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2026-07-24</w:t>
      </w:r>
    </w:p>
    <w:p>
      <w:pPr>
        <w:spacing w:before="160" w:after="120"/>
      </w:pPr>
      <w:r>
        <w:rPr>
          <w:b/>
          <w:sz w:val="28"/>
        </w:rPr>
        <w:t>【光伏】</w:t>
      </w:r>
    </w:p>
    <w:p>
      <w:pPr>
        <w:spacing w:before="160" w:after="40" w:line="240" w:lineRule="auto"/>
      </w:pPr>
      <w:r>
        <w:rPr>
          <w:b/>
        </w:rPr>
        <w:t xml:space="preserve">[1] </w:t>
      </w:r>
      <w:hyperlink r:id="rId9">
        <w:r>
          <w:rPr>
            <w:color w:val="1155CC"/>
            <w:u w:val="single"/>
          </w:rPr>
          <w:t>通过苯乙基卤化铵增材工程改进铅锡钙钛矿太阳能电池</w:t>
        </w:r>
      </w:hyperlink>
    </w:p>
    <w:p>
      <w:pPr>
        <w:spacing w:before="0" w:after="80"/>
      </w:pPr>
      <w:r>
        <w:rPr>
          <w:i/>
          <w:sz w:val="20"/>
        </w:rPr>
        <w:t>EN: Improved Pb-Sn Perovskite Solar Cells through Additive Engineering with Phenethylammonium Halides</w:t>
      </w:r>
    </w:p>
    <w:p>
      <w:pPr>
        <w:spacing w:before="0" w:after="120"/>
      </w:pPr>
      <w:r>
        <w:rPr>
          <w:b/>
        </w:rPr>
        <w:t xml:space="preserve">Source: </w:t>
      </w:r>
      <w:r>
        <w:t>ACS Energy Letters: Latest Articles (ACS Publications)</w:t>
      </w:r>
      <w:r>
        <w:t xml:space="preserve">    </w:t>
      </w:r>
      <w:r>
        <w:rPr>
          <w:b/>
        </w:rPr>
        <w:t xml:space="preserve">Pub date: </w:t>
      </w:r>
      <w:r>
        <w:t>2026-07-17 00:00:00+00:00</w:t>
      </w:r>
      <w:r>
        <w:t xml:space="preserve">    </w:t>
      </w:r>
      <w:r>
        <w:rPr>
          <w:b/>
        </w:rPr>
        <w:t xml:space="preserve">DOI: </w:t>
      </w:r>
      <w:hyperlink r:id="rId10">
        <w:r>
          <w:rPr>
            <w:color w:val="1155CC"/>
            <w:u w:val="single"/>
          </w:rPr>
          <w:t>10.1021/acsenergylett.6c00858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1">
        <w:r>
          <w:rPr>
            <w:color w:val="1155CC"/>
            <w:u w:val="single"/>
          </w:rPr>
          <w:t>大型光伏电站故障定位和缺陷量化的新方法</w:t>
        </w:r>
      </w:hyperlink>
    </w:p>
    <w:p>
      <w:pPr>
        <w:spacing w:before="0" w:after="80"/>
      </w:pPr>
      <w:r>
        <w:rPr>
          <w:i/>
          <w:sz w:val="20"/>
        </w:rPr>
        <w:t>EN: A novel approach for fault location and defect quantification in large-scale photovoltaic plants</w:t>
      </w:r>
    </w:p>
    <w:p>
      <w:pPr>
        <w:spacing w:before="0" w:after="120"/>
      </w:pPr>
      <w:r>
        <w:rPr>
          <w:b/>
        </w:rPr>
        <w:t xml:space="preserve">Source: </w:t>
      </w:r>
      <w:r>
        <w:t>ScienceDirect Publication: Applied Energy</w:t>
      </w:r>
      <w:r>
        <w:t xml:space="preserve">    </w:t>
      </w:r>
      <w:r>
        <w:rPr>
          <w:b/>
        </w:rPr>
        <w:t xml:space="preserve">Pub date: </w:t>
      </w:r>
      <w:r>
        <w:t>2026-07-17 00:00:00+00:00</w:t>
      </w:r>
      <w:r>
        <w:t xml:space="preserve">    </w:t>
      </w:r>
      <w:r>
        <w:rPr>
          <w:b/>
        </w:rPr>
        <w:t xml:space="preserve">DOI: </w:t>
      </w:r>
      <w:hyperlink r:id="rId12">
        <w:r>
          <w:rPr>
            <w:color w:val="1155CC"/>
            <w:u w:val="single"/>
          </w:rPr>
          <w:t>10.1016/j.apenergy.2026.128457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3">
        <w:r>
          <w:rPr>
            <w:color w:val="1155CC"/>
            <w:u w:val="single"/>
          </w:rPr>
          <w:t>在钙钛矿上直接沉积无 C 60 SnO x 电子接触可实现高效且户外稳定的倒置太阳能模块</w:t>
        </w:r>
      </w:hyperlink>
    </w:p>
    <w:p>
      <w:pPr>
        <w:spacing w:before="0" w:after="80"/>
      </w:pPr>
      <w:r>
        <w:rPr>
          <w:i/>
          <w:sz w:val="20"/>
        </w:rPr>
        <w:t>EN: Direct Deposition of C 60 -Free SnO x Electron Contact on Perovskite Enables Efficient and Outdoor-Stable Inverted Solar Modules</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14">
        <w:r>
          <w:rPr>
            <w:color w:val="1155CC"/>
            <w:u w:val="single"/>
          </w:rPr>
          <w:t>10.1021/acsami.6c07759</w:t>
        </w:r>
      </w:hyperlink>
    </w:p>
    <w:p>
      <w:pPr>
        <w:spacing w:before="0" w:after="120"/>
      </w:pPr>
      <w:r>
        <w:rPr>
          <w:b/>
        </w:rPr>
        <w:t xml:space="preserve">Notes: </w:t>
      </w:r>
      <w:r>
        <w:t>abstract_source=pubmed</w:t>
      </w:r>
    </w:p>
    <w:p>
      <w:pPr>
        <w:spacing w:before="0" w:after="80" w:lineRule="auto" w:line="276"/>
      </w:pPr>
      <w:r>
        <w:rPr>
          <w:b/>
        </w:rPr>
        <w:t xml:space="preserve">摘要（ZH）: </w:t>
      </w:r>
      <w:r>
        <w:t>无富勒烯电子传输层（ETL）对于降低成本和简化倒置钙钛矿光伏电池的制造非常有吸引力，但在钙钛矿上直接沉积无机 ETL 仍然具有挑战性。在这里，我们开发了一种低成本的基于 SnOx 的 ETL，可以直接刮涂到钙钛矿薄膜上，而无需使用 C60 或其他富勒烯衍生物中间层。使用 1-己醇进行溶剂工程可延长湿膜寿命并改善 SnOx 薄膜的形成，从而产生光滑且紧凑的 ETL，而钇掺杂可优化界面能量并促进有效的电子提取。因此，直接沉积的无 C60 ETL 使小面积器件的功率转换效率为 19.15%，开路电压为 1.06 V。重要的是，该策略很容易扩展到 21 cm2 单片模块，提供 15.82% 的冠军效率和 97.27% 的几何填充因子。在 40°C 和 50% 相对湿度下进行 1000 小时的最大功率点跟踪后，封装模块仍保留了 91.03% 的初始效率，并且还表现出 63 天的稳定户外运行。这些结果突出了一条实用且可扩展的路线，用于实现低成本、高效且稳定的无 C60 倒置钙钛矿太阳能模块。</w:t>
      </w:r>
    </w:p>
    <w:p>
      <w:pPr>
        <w:spacing w:before="0" w:after="200" w:lineRule="auto" w:line="276"/>
      </w:pPr>
      <w:r>
        <w:rPr>
          <w:b/>
        </w:rPr>
        <w:t xml:space="preserve">Abstract (EN): </w:t>
      </w:r>
      <w:r>
        <w:t>Fullerene-free electron transport layers (ETLs) are highly attractive for lowering the cost and simplifying the fabrication of inverted perovskite photovoltaics, but directly depositing inorganic ETLs on perovskite remains challenging. Here, we develop a low-cost SnOx-based ETL that can be blade-coated directly onto perovskite films without using C60 or other fullerene-derivative interlayers. Solvent engineering with 1-hexanol prolongs the wet-film lifetime and improves SnOx film formation, yielding a smooth and compact ETL, while yttrium doping optimizes the interfacial energetics and promotes efficient electron extraction. Consequently, the directly deposited C60-free ETL enables small-area devices with a power conversion efficiency of 19.15% and an open-circuit voltage of 1.06 V. Importantly, this strategy is readily extended to 21 cm2 monolithic modules, delivering a champion efficiency of 15.82% with a geometric fill factor of 97.27%. The encapsulated modules retain 91.03% of their initial efficiency after 1000 h of maximum power point tracking at 40 °C and 50% relative humidity and also demonstrate stable outdoor operation over 63 days. These results highlight a practical and scalable route toward low-cost, efficient, and stable C60-free inverted perovskite solar modules.</w:t>
      </w:r>
    </w:p>
    <w:p>
      <w:pPr>
        <w:spacing w:before="120" w:after="120"/>
      </w:pPr>
      <w:r>
        <w:rPr>
          <w:sz w:val="18"/>
        </w:rPr>
        <w:t>——————————————————————————————————————————————————————————————————————</w:t>
      </w:r>
    </w:p>
    <w:p>
      <w:pPr>
        <w:spacing w:before="160" w:after="40" w:line="240" w:lineRule="auto"/>
      </w:pPr>
      <w:r>
        <w:rPr>
          <w:b/>
        </w:rPr>
        <w:t xml:space="preserve">[4] </w:t>
      </w:r>
      <w:hyperlink r:id="rId15">
        <w:r>
          <w:rPr>
            <w:color w:val="1155CC"/>
            <w:u w:val="single"/>
          </w:rPr>
          <w:t>ZnSe 量子点动态三重态转移高产率可见光到紫外上转换</w:t>
        </w:r>
      </w:hyperlink>
    </w:p>
    <w:p>
      <w:pPr>
        <w:spacing w:before="0" w:after="80"/>
      </w:pPr>
      <w:r>
        <w:rPr>
          <w:i/>
          <w:sz w:val="20"/>
        </w:rPr>
        <w:t>EN: High-yield visible-to-ultraviolet upconversion by ZnSe quantum dots with dynamic triplet transfer</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量子点敏化的三重态-三重态湮没上转换通常受到激子寿命短的限制，需要束缚三重态发射器。在这里，我们报道了一种由 ZnSe 量子点和 2,5-二苯基恶唑组成的无发射器系统，实现了 24% 的上转换量子产率，这是量子点敏化上转换的最高值。上转换量子产率在 30 mM 2,5-二苯基恶唑处达到峰值。瞬态光谱显示，无论 2,5-二苯基恶唑浓度如何，三重态能量转移效率都超过 80%，但三重态-三重态湮灭效率在整体上转换量子产率中占主导地位，并显示出对 2,5-二苯基恶唑浓度的强烈依赖性，首先从 10% 增加到 25%，然后下降。当三重态 2,5-二苯基恶唑碰撞概率最高时达到最佳浓度，从而确保最大的三重态-三重态湮灭效率。这项工作展示了二元量子点上转换系统的设计原理，并揭示了调制发射极浓度对于最佳上转换量子产率的关键作用。</w:t>
      </w:r>
    </w:p>
    <w:p>
      <w:pPr>
        <w:spacing w:before="0" w:after="200" w:lineRule="auto" w:line="276"/>
      </w:pPr>
      <w:r>
        <w:rPr>
          <w:b/>
        </w:rPr>
        <w:t xml:space="preserve">Abstract (EN): </w:t>
      </w:r>
      <w:r>
        <w:t>Triplet–triplet annihilation upconversion sensitized by quantum dot is often limited by the short exciton lifetime, necessitating tethered triplet transmitter. Here, we report a transmitter-free system of ZnSe quantum dot and 2,5-diphenyloxazole achieving 24% upconversion quantum yield, the highest for quantum dot sensitization upconversion. The upconversion quantum yield peaks at 30 mM 2,5-diphenyloxazole. Transient spectroscopy shows the triplet energy transfer efficiency is over 80% regardless of the 2,5-diphenyloxazole concentration, but the triplet–triplet annihilation efficiency dominates the overall upconversion quantum yield and shows a strong dependence on the 2,5-diphenyloxazole concentration that increases first from 10% to 25%, then decreases. The optimal concentration is achieved when the triplet 2,5-diphenyloxazole collision probability is highest, thus ensuring a maximum triplet–triplet annihilation efficiency. This work demonstrates a design principle of binary quantum dot upconversion system and reveals the critical role of modulating emitter concentration for optimal upconversion quantum yield.</w:t>
      </w:r>
    </w:p>
    <w:p>
      <w:pPr>
        <w:spacing w:before="120" w:after="120"/>
      </w:pPr>
      <w:r>
        <w:rPr>
          <w:sz w:val="18"/>
        </w:rPr>
        <w:t>——————————————————————————————————————————————————————————————————————</w:t>
      </w:r>
    </w:p>
    <w:p>
      <w:pPr>
        <w:spacing w:before="160" w:after="40" w:line="240" w:lineRule="auto"/>
      </w:pPr>
      <w:r>
        <w:rPr>
          <w:b/>
        </w:rPr>
        <w:t xml:space="preserve">[5] </w:t>
      </w:r>
      <w:hyperlink r:id="rId16">
        <w:r>
          <w:rPr>
            <w:color w:val="1155CC"/>
            <w:u w:val="single"/>
          </w:rPr>
          <w:t>基于多齿配位络合物的自组装单层稳定钙钛矿界面</w:t>
        </w:r>
      </w:hyperlink>
    </w:p>
    <w:p>
      <w:pPr>
        <w:spacing w:before="0" w:after="80"/>
      </w:pPr>
      <w:r>
        <w:rPr>
          <w:i/>
          <w:sz w:val="20"/>
        </w:rPr>
        <w:t>EN: A Multidentate Coordination Complex‐Based Self‐Assembled Monolayer Stabilizes Perovskite Interface</w:t>
      </w:r>
    </w:p>
    <w:p>
      <w:pPr>
        <w:spacing w:before="0" w:after="120"/>
      </w:pPr>
      <w:r>
        <w:rPr>
          <w:b/>
        </w:rPr>
        <w:t xml:space="preserve">Source: </w:t>
      </w:r>
      <w:r>
        <w:t>Wiley: Angewandte Chemie International Edition: Table of Contents</w:t>
      </w:r>
      <w:r>
        <w:t xml:space="preserve">    </w:t>
      </w:r>
      <w:r>
        <w:rPr>
          <w:b/>
        </w:rPr>
        <w:t xml:space="preserve">Pub date: </w:t>
      </w:r>
      <w:r>
        <w:t>2026-07-17 05:19:22+00:00</w:t>
      </w:r>
      <w:r>
        <w:t xml:space="preserve">    </w:t>
      </w:r>
      <w:r>
        <w:rPr>
          <w:b/>
        </w:rPr>
        <w:t xml:space="preserve">DOI: </w:t>
      </w:r>
      <w:hyperlink r:id="rId17">
        <w:r>
          <w:rPr>
            <w:color w:val="1155CC"/>
            <w:u w:val="single"/>
          </w:rPr>
          <w:t>10.1002/anie.8080769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自组装单层（SAM）已成为倒置钙钛矿光伏中埋入界面工程的有前途的空穴选择性接触。然而，大多数报道的 SAM 依赖于单一的膦酸锚定基团，该锚定基团在器件制造和操作过程中容易解吸。此外，它们对钙钛矿前驱体的亲和力有限，通常会导致润湿性差和不理想的界面膜形成。在这里，我们报道了一种多齿 Fe(III) 卟啉复合物作为 co-SAM 组分，它同时增强基底锚定并促进与钙钛矿的界面耦合，从而稳定埋入界面。卟啉上的四个膦酸基团能够与氧化物底物形成强大的四齿螯合，使吸附能增加三倍以上。同时，Fe中心稳定了轴向氯配体，与钙钛矿前驱体相互作用，使表观表面能增加~30%，接触角降低~40%，从而促进高质量的钙钛矿结晶。因此，小面积器件的功率转换效率为 27.06%（认证为 26.82%），而钙钛矿模块在 21.54 cm 上的效率为 24.1%</w:t>
      </w:r>
      <w:r>
        <w:rPr>
          <w:vertAlign w:val="subscript"/>
        </w:rPr>
        <w:t>2</w:t>
      </w:r>
      <w:r>
        <w:t>孔径面积，以及显着提高的操作稳定性。这些结果将基于配位络合物的 SAM 确立为稳定钙钛矿光伏中埋入界面的有效平台。</w:t>
      </w:r>
    </w:p>
    <w:p>
      <w:pPr>
        <w:spacing w:before="0" w:after="200" w:lineRule="auto" w:line="276"/>
      </w:pPr>
      <w:r>
        <w:rPr>
          <w:b/>
        </w:rPr>
        <w:t xml:space="preserve">Abstract (EN): </w:t>
      </w:r>
      <w:r>
        <w:t>Self‐assembled monolayers (SAMs) have emerged as promising hole‐selective contacts for buried‐interface engineering in inverted perovskite photovoltaics. However, most reported SAMs rely on a single phosphonic‐acid anchoring group, which is prone to desorption during device fabrication and operation. In addition, their limited affinity for perovskite precursors often leads to poor wettability and non‐ideal interfacial film formation. Here, we report a multidentate Fe(III) porphyrin complex as a co‐SAM component that simultaneously reinforces substrate anchoring and promotes interfacial coupling with the perovskite, thereby stabilizing the buried interface. The four phosphonic‐acid groups on porphyrin enable robust tetradentate chelation with the oxide substrate, increasing the adsorption energy by more than threefold. Meanwhile, the Fe center stabilizes the axial chloride ligand, which interacts with perovskite precursor, increases the apparent surface energy by ∼30%, and reduces the contact angle by ∼40%, thereby promoting high‐quality perovskite crystallization. As a result, small‐area devices achieve a power conversion efficiency of 27.06% (certified 26.82%), while perovskite modules deliver 24.1% efficiency over a 21.54 cm</w:t>
      </w:r>
      <w:r>
        <w:rPr>
          <w:vertAlign w:val="subscript"/>
        </w:rPr>
        <w:t>2</w:t>
      </w:r>
      <w:r>
        <w:t>aperture area, together with substantially improved operational stability. These results establish coordination‐complex‐based SAMs as an effective platform for stabilizing buried interfaces in perovskite photovoltaics.</w:t>
      </w:r>
    </w:p>
    <w:p>
      <w:pPr>
        <w:spacing w:before="120" w:after="120"/>
      </w:pPr>
      <w:r>
        <w:rPr>
          <w:sz w:val="18"/>
        </w:rPr>
        <w:t>——————————————————————————————————————————————————————————————————————</w:t>
      </w:r>
    </w:p>
    <w:p>
      <w:pPr>
        <w:spacing w:before="160" w:after="40" w:line="240" w:lineRule="auto"/>
      </w:pPr>
      <w:r>
        <w:rPr>
          <w:b/>
        </w:rPr>
        <w:t xml:space="preserve">[6] </w:t>
      </w:r>
      <w:hyperlink r:id="rId18">
        <w:r>
          <w:rPr>
            <w:color w:val="1155CC"/>
            <w:u w:val="single"/>
          </w:rPr>
          <w:t>极化子是电化学掺杂 π 共轭聚合物中动态纳米级环境的探针</w:t>
        </w:r>
      </w:hyperlink>
    </w:p>
    <w:p>
      <w:pPr>
        <w:spacing w:before="0" w:after="80"/>
      </w:pPr>
      <w:r>
        <w:rPr>
          <w:i/>
          <w:sz w:val="20"/>
        </w:rPr>
        <w:t>EN: Polarons are probes of the dynamic nanoscale environments found in electrochemically doped π-conjugated polymers</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19">
        <w:r>
          <w:rPr>
            <w:color w:val="1155CC"/>
            <w:u w:val="single"/>
          </w:rPr>
          <w:t>10.1073/pnas.2615650123</w:t>
        </w:r>
      </w:hyperlink>
    </w:p>
    <w:p>
      <w:pPr>
        <w:spacing w:before="0" w:after="120"/>
      </w:pPr>
      <w:r>
        <w:rPr>
          <w:b/>
        </w:rPr>
        <w:t xml:space="preserve">Notes: </w:t>
      </w:r>
      <w:r>
        <w:t>abstract_source=crossref</w:t>
      </w:r>
    </w:p>
    <w:p>
      <w:pPr>
        <w:spacing w:before="0" w:after="80" w:lineRule="auto" w:line="276"/>
      </w:pPr>
      <w:r>
        <w:rPr>
          <w:b/>
        </w:rPr>
        <w:t xml:space="preserve">摘要（ZH）: </w:t>
      </w:r>
      <w:r>
        <w:t>电化学掺杂有机（半）导体中的电荷载流子（即极化子）被认为受多种物理化学特征的调节，包括半导体构件的π共轭框架的化学组成和结构、电解质的化学性质（考虑盐和溶剂）、材料中作为电化学过程函数的多尺度和时间依赖性形态变化，以及这些因素和其他因素的各种排列。为了解决这些假设，我们研究了负极化子（自由基阴离子）的能量、光电、化学和局部结构特性，作为供体-受体 π 共轭氧化还原共聚物 P(NDI2OD-T2)（也称为 N2200）中电化学掺杂的函数。一个重要的发现是，电化学掺杂的 P(NDI2OD-T2) 中不仅仅存在“一种类型”的极化子。相反，存在一组极化子，这些极化子具有由其纳米级环境定义的光电特征。重要的是，极化子光学特征可以作为局部探针，了解操作电化学环境如何动态协同工作以促进电荷传输。总的来说，这里提出的理论和测量科学的独特和广泛的整合为半导体和电解质化学和动态结构特征对电化学掺杂有机半导体中的极化子的作用以及这些因素如何影响极化子传输的能量和速率建立了基线</w:t>
      </w:r>
    </w:p>
    <w:p>
      <w:pPr>
        <w:spacing w:before="0" w:after="200" w:lineRule="auto" w:line="276"/>
      </w:pPr>
      <w:r>
        <w:rPr>
          <w:b/>
        </w:rPr>
        <w:t xml:space="preserve">Abstract (EN): </w:t>
      </w:r>
      <w:r>
        <w:t>Charge carriers (i.e., polarons) in electrochemically doped organic (semi)conductors are proposed to be regulated by several physicochemical features, including the chemical compositions and structures of the π-conjugated frameworks of the semiconductor building blocks, the chemistry of the electrolyte (considering both the salt and solvent), multiscale and time-dependent morphology variations across the material as a function of electrochemical processes, and assorted permutations of these and other factors. To address these hypotheses, we investigate the energetic, optoelectronic, chemical, and local structural properties of negative polarons (radical anions) as a function of electrochemical doping in the donor–acceptor, π-conjugated redox copolymer P(NDI2OD-T2), also referred to as N2200. A critical finding is that there is not just “one type” of polaron in electrochemically doped P(NDI2OD-T2). Rather, an ensemble of polarons exists, with the polarons having optoelectronic signatures that are defined by their nanoscale environments. Importantly, the polaron optical signatures serve as local probes for how the operando electrochemical environments are dynamically working in concert to facilitate charge transport. Collectively, the distinctive and extensive integration of theory and measurement science presented here establishes a baseline for the roles that semiconductor and electrolyte chemistries and dynamic structural features have on polarons in electrochemically doped organic semiconductors and how these factors influence the energetics and rates of polaron transport.</w:t>
      </w:r>
    </w:p>
    <w:p>
      <w:pPr>
        <w:spacing w:before="120" w:after="120"/>
      </w:pPr>
      <w:r>
        <w:rPr>
          <w:sz w:val="18"/>
        </w:rPr>
        <w:t>——————————————————————————————————————————————————————————————————————</w:t>
      </w:r>
    </w:p>
    <w:p>
      <w:pPr>
        <w:spacing w:before="160" w:after="40" w:line="240" w:lineRule="auto"/>
      </w:pPr>
      <w:r>
        <w:rPr>
          <w:b/>
        </w:rPr>
        <w:t xml:space="preserve">[7] </w:t>
      </w:r>
      <w:hyperlink r:id="rId20">
        <w:r>
          <w:rPr>
            <w:color w:val="1155CC"/>
            <w:u w:val="single"/>
          </w:rPr>
          <w:t>Cu-I 纳米拓扑的热力学控制实现太阳能驱动的二氧化碳到多碳的转化</w:t>
        </w:r>
      </w:hyperlink>
    </w:p>
    <w:p>
      <w:pPr>
        <w:spacing w:before="0" w:after="80"/>
      </w:pPr>
      <w:r>
        <w:rPr>
          <w:i/>
          <w:sz w:val="20"/>
        </w:rPr>
        <w:t>EN: Thermodynamic control of Cu-I nanotopologies enables solar-driven CO2-to-multicarbon conversion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21">
        <w:r>
          <w:rPr>
            <w:color w:val="1155CC"/>
            <w:u w:val="single"/>
          </w:rPr>
          <w:t>10.1126/sciadv.aec6434</w:t>
        </w:r>
      </w:hyperlink>
    </w:p>
    <w:p>
      <w:pPr>
        <w:spacing w:before="0" w:after="120"/>
      </w:pPr>
      <w:r>
        <w:rPr>
          <w:b/>
        </w:rPr>
        <w:t xml:space="preserve">Notes: </w:t>
      </w:r>
      <w:r>
        <w:t>abstract_source=crossref</w:t>
      </w:r>
    </w:p>
    <w:p>
      <w:pPr>
        <w:spacing w:before="0" w:after="80" w:lineRule="auto" w:line="276"/>
      </w:pPr>
      <w:r>
        <w:rPr>
          <w:b/>
        </w:rPr>
        <w:t xml:space="preserve">摘要（ZH）: </w:t>
      </w:r>
      <w:r>
        <w:t>太阳能驱动的电化学二氧化碳</w:t>
      </w:r>
      <w:r>
        <w:rPr>
          <w:vertAlign w:val="subscript"/>
        </w:rPr>
        <w:t>2</w:t>
      </w:r>
      <w:r>
        <w:t>还原为多碳（C</w:t>
      </w:r>
      <w:r>
        <w:t xml:space="preserve"> </w:t>
      </w:r>
      <w:r>
        <w:t>2+</w:t>
      </w:r>
      <w:r>
        <w:t xml:space="preserve"> </w:t>
      </w:r>
      <w:r>
        <w:t>）产品为人工光合作用提供了一条有前途的途径，但仍然受到高过电势和有限转换效率的限制。在这里，我们开发了一种碱性环境调节的预还原策略，该策略利用前驱体不同的热力学稳定性，从而能够精确合成碘掺杂的铜纳米拓扑（Cu-I NT）。 Cu-I NT 具有可调节的配位缺陷和稳定的高能吸附位点，与 C 的可逆氢电极相比，其起始电位仅为 -0.37 V</w:t>
      </w:r>
      <w:r>
        <w:t xml:space="preserve"> </w:t>
      </w:r>
      <w:r>
        <w:t>2+</w:t>
      </w:r>
      <w:r>
        <w:t xml:space="preserve"> </w:t>
      </w:r>
      <w:r>
        <w:t>形成。 Operando拉曼测量和密度泛函理论计算表明，定制的表面拓扑有利于Cu-CO旋转吸附，实现从桥结合构型到顶结合构型的动态重新取向，这共同降低了CO-CO耦合的势垒。令人印象深刻的是，该系统通过钙钛矿/硅串联和单结硅光伏器件为电解槽供电，可提供 12.34 mA cm 的光电流</w:t>
      </w:r>
      <w:r>
        <w:t xml:space="preserve"> </w:t>
      </w:r>
      <w:r>
        <w:t>−2</w:t>
      </w:r>
      <w:r>
        <w:t xml:space="preserve"> </w:t>
      </w:r>
      <w:r>
        <w:t>在标准 AM 1.5 照明下，电压为 2.17 V，实现太阳能到 C</w:t>
      </w:r>
      <w:r>
        <w:t xml:space="preserve"> </w:t>
      </w:r>
      <w:r>
        <w:t>2+</w:t>
      </w:r>
      <w:r>
        <w:t xml:space="preserve"> </w:t>
      </w:r>
      <w:r>
        <w:t>转换效率为8.64%。</w:t>
      </w:r>
    </w:p>
    <w:p>
      <w:pPr>
        <w:spacing w:before="0" w:after="200" w:lineRule="auto" w:line="276"/>
      </w:pPr>
      <w:r>
        <w:rPr>
          <w:b/>
        </w:rPr>
        <w:t xml:space="preserve">Abstract (EN): </w:t>
      </w:r>
      <w:r>
        <w:t>Solar-driven electrochemical CO</w:t>
      </w:r>
      <w:r>
        <w:rPr>
          <w:vertAlign w:val="subscript"/>
        </w:rPr>
        <w:t>2</w:t>
      </w:r>
      <w:r>
        <w:t>reduction to multicarbon (C</w:t>
      </w:r>
      <w:r>
        <w:t xml:space="preserve"> </w:t>
      </w:r>
      <w:r>
        <w:t>2+</w:t>
      </w:r>
      <w:r>
        <w:t xml:space="preserve"> </w:t>
      </w:r>
      <w:r>
        <w:t>) products presents a promising avenue for artificial photosynthesis, yet remains constrained by high overpotentials and limited conversion efficiency. Here, we developed an alkaline environment-modulated prereduction strategy that capitalizes on the divergent thermodynamic stabilities of precursors, enabling the precise synthesis of iodine-doped copper nanotopologies (Cu-I NTs). Featuring tunable under-coordination defects and stabilized high-energy adsorption sites, the Cu-I NTs achieve an onset potential of only −0.37 V versus the reversible hydrogen electrode for C</w:t>
      </w:r>
      <w:r>
        <w:t xml:space="preserve"> </w:t>
      </w:r>
      <w:r>
        <w:t>2+</w:t>
      </w:r>
      <w:r>
        <w:t xml:space="preserve"> </w:t>
      </w:r>
      <w:r>
        <w:t>formation. Operando Raman measurement and density functional theory calculation reveal that the tailored surface topologies favor Cu-CO rotation adsorption, enabling dynamic reorientation from bridge- to atop-binding configurations, which collectively lowers the barrier for CO-CO coupling. Impressively, powering the electrolyzer by a perovskite/silicon tandem together with a single-junction silicon photovoltaic device, the system delivers a photocurrent of 12.34 mA cm</w:t>
      </w:r>
      <w:r>
        <w:t xml:space="preserve"> </w:t>
      </w:r>
      <w:r>
        <w:t>−2</w:t>
      </w:r>
      <w:r>
        <w:t xml:space="preserve"> </w:t>
      </w:r>
      <w:r>
        <w:t>at 2.17 V under standard AM 1.5 illumination, achieving a solar-to-C</w:t>
      </w:r>
      <w:r>
        <w:t xml:space="preserve"> </w:t>
      </w:r>
      <w:r>
        <w:t>2+</w:t>
      </w:r>
      <w:r>
        <w:t xml:space="preserve"> </w:t>
      </w:r>
      <w:r>
        <w:t>conversion efficiency of 8.64%.</w:t>
      </w:r>
    </w:p>
    <w:p>
      <w:pPr>
        <w:spacing w:before="120" w:after="120"/>
      </w:pPr>
      <w:r>
        <w:rPr>
          <w:sz w:val="18"/>
        </w:rPr>
        <w:t>——————————————————————————————————————————————————————————————————————</w:t>
      </w:r>
    </w:p>
    <w:p>
      <w:pPr>
        <w:spacing w:before="160" w:after="40" w:line="240" w:lineRule="auto"/>
      </w:pPr>
      <w:r>
        <w:rPr>
          <w:b/>
        </w:rPr>
        <w:t xml:space="preserve">[8] </w:t>
      </w:r>
      <w:hyperlink r:id="rId22">
        <w:r>
          <w:rPr>
            <w:color w:val="1155CC"/>
            <w:u w:val="single"/>
          </w:rPr>
          <w:t>内源性氧化还原敏感紫外线吸收剂可实现高效稳定的全空气处理钙钛矿太阳能电池</w:t>
        </w:r>
      </w:hyperlink>
    </w:p>
    <w:p>
      <w:pPr>
        <w:spacing w:before="0" w:after="80"/>
      </w:pPr>
      <w:r>
        <w:rPr>
          <w:i/>
          <w:sz w:val="20"/>
        </w:rPr>
        <w:t>EN: Endogenous Redox‐Sensitive UV Absorbers Enable Efficient and Stable Full Air‐Processed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2026-07-17 07:39:58+00:00</w:t>
      </w:r>
      <w:r>
        <w:t xml:space="preserve">    </w:t>
      </w:r>
      <w:r>
        <w:rPr>
          <w:b/>
        </w:rPr>
        <w:t xml:space="preserve">DOI: </w:t>
      </w:r>
      <w:hyperlink r:id="rId23">
        <w:r>
          <w:rPr>
            <w:color w:val="1155CC"/>
            <w:u w:val="single"/>
          </w:rPr>
          <w:t>10.1002/anie.4177367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由于钙钛矿材料在非平衡条件下，特别是在太阳光紫外线（UV）辐射下的快速降解，钙钛矿太阳能电池（PSC）面临着商业化的重大障碍。为了解决这一关键挑战，将内源性氧化还原敏感的紫外线吸收剂 2,2”-硫代双-(4-叔辛基苯氧基)-丁胺镍 (TTOB) 引入钙钛矿前体溶液中。集成的 TTOB 通过多种协同功能提高 PSC 的效率和稳定性，包括卓越的紫外线屏蔽能力和用于持续缺陷修复的持续化学钝化效果。最终，完全在空气中制造的最终器件实现了 25.24% 的同类最佳功率转换效率 (PCE)，同时大大提高了各种环境条件下的稳定性，在连续紫外线照射 1000 小时后保持约 86% 的初始效率，在室外实时存储 40 天后保持约 87%，在连续照明 1430 小时后保持超过 80%。这种具有内源性氧化还原敏感的创新紫外线防护策略为钙钛矿光伏技术在实际户外操作中的大规模应用提供了变革潜力。</w:t>
      </w:r>
    </w:p>
    <w:p>
      <w:pPr>
        <w:spacing w:before="0" w:after="200" w:lineRule="auto" w:line="276"/>
      </w:pPr>
      <w:r>
        <w:rPr>
          <w:b/>
        </w:rPr>
        <w:t xml:space="preserve">Abstract (EN): </w:t>
      </w:r>
      <w:r>
        <w:t>Perovskite solar cells (PSCs) face significant obstacles to commercialization due to the rapid degradation of perovskite materials under non‐equilibrium conditions, especially under ultraviolet (UV) radiation from sunlight. To address this critical challenge, an endogenous redox‐sensitive UV absorber, 2,2″‐Thiobis‐(4‐tert‐octylphenoxy)‐butylamine nickel (TTOB), was introduced into the perovskite precursor solution. The integrated TTOB enhances the efficiency and stability of PSCs through multiple synergistic functions, including superior UV shielding capability and sustained chemical passivation effects for ongoing defect repair. Ultimately, the resultant device fabricated entirely in air achieved a best‐in‐class power conversion efficiency (PCE) of 25.24%, accompanied by greatly improved stability under various environmental conditions, with retaining approximately 86% of initial efficiency after 1,000 h of continuous UV exposure, about 87% after 40 days of outdoor real‐time storage, and over 80% after 1430 h of continuous illumination. This innovative UV protection strategy with endogenous redox‐sensitive offers transformative potential for the large‐scale application of perovskite photovoltaic technology during actual outdoor operation.</w:t>
      </w:r>
    </w:p>
    <w:p>
      <w:pPr>
        <w:spacing w:before="120" w:after="120"/>
      </w:pPr>
      <w:r>
        <w:rPr>
          <w:sz w:val="18"/>
        </w:rPr>
        <w:t>——————————————————————————————————————————————————————————————————————</w:t>
      </w:r>
    </w:p>
    <w:p>
      <w:pPr>
        <w:spacing w:before="160" w:after="40" w:line="240" w:lineRule="auto"/>
      </w:pPr>
      <w:r>
        <w:rPr>
          <w:b/>
        </w:rPr>
        <w:t xml:space="preserve">[9] </w:t>
      </w:r>
      <w:hyperlink r:id="rId24">
        <w:r>
          <w:rPr>
            <w:color w:val="1155CC"/>
            <w:u w:val="single"/>
          </w:rPr>
          <w:t>集成光充电电池的工作限制</w:t>
        </w:r>
      </w:hyperlink>
    </w:p>
    <w:p>
      <w:pPr>
        <w:spacing w:before="0" w:after="80"/>
      </w:pPr>
      <w:r>
        <w:rPr>
          <w:i/>
          <w:sz w:val="20"/>
        </w:rPr>
        <w:t>EN: Operation Limits of Integrated Photo‐Rechargeable Batteries</w:t>
      </w:r>
    </w:p>
    <w:p>
      <w:pPr>
        <w:spacing w:before="0" w:after="120"/>
      </w:pPr>
      <w:r>
        <w:rPr>
          <w:b/>
        </w:rPr>
        <w:t xml:space="preserve">Source: </w:t>
      </w:r>
      <w:r>
        <w:t>Wiley: Advanced Materials: Table of Contents</w:t>
      </w:r>
      <w:r>
        <w:t xml:space="preserve">    </w:t>
      </w:r>
      <w:r>
        <w:rPr>
          <w:b/>
        </w:rPr>
        <w:t xml:space="preserve">Pub date: </w:t>
      </w:r>
      <w:r>
        <w:t>2026-07-17 08:29:03+00:00</w:t>
      </w:r>
      <w:r>
        <w:t xml:space="preserve">    </w:t>
      </w:r>
      <w:r>
        <w:rPr>
          <w:b/>
        </w:rPr>
        <w:t xml:space="preserve">DOI: </w:t>
      </w:r>
      <w:hyperlink r:id="rId25">
        <w:r>
          <w:rPr>
            <w:color w:val="1155CC"/>
            <w:u w:val="single"/>
          </w:rPr>
          <w:t>10.1002/adma.74159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片光充电电池（PRB）是为离网自主系统供电的有吸引力的解决方案。然而，限制此类设备光充电过程的基本效应尚不清楚。在此，我们提出了一种集成的PRB设计，可以在一定的照度范围内充满电。我们将其用作模型系统，将光充电电流的衰减与光致电荷动力学相关联。我们的结果表明，光诱导的空穴传输随着电荷状态的增加而逐渐恶化，这归因于阴极层中阴离子耦合空穴的积累。此外，我们的设备表明，空穴传输层和阴极之间的电势差对于驱动阴极的光致脱锂至关重要。如果阴极的脱锂电位高于空穴传输能级，则尽管光电池提供足够的电压来为电池充电，光充电电流也会迅速衰减。这些发现表明，PRB 的器件物理特性与单独耦合的太阳能电池和电池的器件物理特性有很大不同，从而为其工作机制和未来的设计指南提供了新的见解。</w:t>
      </w:r>
    </w:p>
    <w:p>
      <w:pPr>
        <w:spacing w:before="0" w:after="200" w:lineRule="auto" w:line="276"/>
      </w:pPr>
      <w:r>
        <w:rPr>
          <w:b/>
        </w:rPr>
        <w:t xml:space="preserve">Abstract (EN): </w:t>
      </w:r>
      <w:r>
        <w:t>Monolithic photo‐rechargeable batteries (PRB) are attractive solution for powering off‐grid autonomous systems. However, the fundamental effects limiting the light‐charging process in such devices are not well understood. Herein, we present an integrated PRB design that can be fully charged under a range of illuminances. We use it as a model system to correlate the decay in photo‐charging current with photo‐induced charge kinetics. Our results indicate that light‐induced hole transport gradually deteriorates with increasing state of charge, which is attributed to the anion‐coupled hole accumulation in the cathode layer. Furthermore, our device reveals that the potential gap between the hole transport layer and the cathode is critical for driving a photo‐induced delithiation of the cathode. If the cathode has a more positive delithiation potential than the hole transport level, the photo‐charging current rapidly decays despite the photo‐cells providing sufficient voltage to charge the battery. These findings demonstrate that the device physics of PRBs vary greatly from that of separately coupled solar cells and batteries, thus providing new insights in their working mechanism and their future design guidelines.</w:t>
      </w:r>
    </w:p>
    <w:p>
      <w:pPr>
        <w:spacing w:before="120" w:after="120"/>
      </w:pPr>
      <w:r>
        <w:rPr>
          <w:sz w:val="18"/>
        </w:rPr>
        <w:t>——————————————————————————————————————————————————————————————————————</w:t>
      </w:r>
    </w:p>
    <w:p>
      <w:pPr>
        <w:spacing w:before="160" w:after="40" w:line="240" w:lineRule="auto"/>
      </w:pPr>
      <w:r>
        <w:rPr>
          <w:b/>
        </w:rPr>
        <w:t xml:space="preserve">[10] </w:t>
      </w:r>
      <w:hyperlink r:id="rId26">
        <w:r>
          <w:rPr>
            <w:color w:val="1155CC"/>
            <w:u w:val="single"/>
          </w:rPr>
          <w:t>${\mathrm{AgNbO}}_{3}$钙钛矿中隐藏的手性铁电性</w:t>
        </w:r>
      </w:hyperlink>
    </w:p>
    <w:p>
      <w:pPr>
        <w:spacing w:before="0" w:after="80"/>
      </w:pPr>
      <w:r>
        <w:rPr>
          <w:i/>
          <w:sz w:val="20"/>
        </w:rPr>
        <w:t>EN: Hidden Chiral Ferroelectricity in ${\mathrm{AgNbO}}_{3}$ Perovskite</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27">
        <w:r>
          <w:rPr>
            <w:color w:val="1155CC"/>
            <w:u w:val="single"/>
          </w:rPr>
          <w:t>10.1103/kbfj-btly</w:t>
        </w:r>
      </w:hyperlink>
    </w:p>
    <w:p>
      <w:pPr>
        <w:spacing w:before="0" w:after="120"/>
      </w:pPr>
      <w:r>
        <w:rPr>
          <w:b/>
        </w:rPr>
        <w:t xml:space="preserve">Notes: </w:t>
      </w:r>
      <w:r>
        <w:t>abstract_source=rss_description</w:t>
      </w:r>
    </w:p>
    <w:p>
      <w:pPr>
        <w:spacing w:before="0" w:after="80" w:lineRule="auto" w:line="276"/>
      </w:pPr>
      <w:r>
        <w:rPr>
          <w:b/>
        </w:rPr>
        <w:t xml:space="preserve">摘要（ZH）: </w:t>
      </w:r>
      <w:r>
        <w:t>作者：Ying Song，Lingzhi Cao，Jinming Zhai，Zhilong Yang，Yali Yang，Laurent Bellaiche，Jiangang He${\mathrm{AgNbO}}_{3}$是一种无铅钙钛矿，在储能和光电应用方面具有巨大的潜力，但其低温晶体结构仍然存在争议。在这封信中，我们利用系统的第一性原理重新审视了它的低能结构景观……[物理学。莱特牧师。 137, 036102] 发表于 2026 年 7 月 17 日星期五</w:t>
      </w:r>
    </w:p>
    <w:p>
      <w:pPr>
        <w:spacing w:before="0" w:after="200" w:lineRule="auto" w:line="276"/>
      </w:pPr>
      <w:r>
        <w:rPr>
          <w:b/>
        </w:rPr>
        <w:t xml:space="preserve">Abstract (EN): </w:t>
      </w:r>
      <w:r>
        <w:t>Author(s): Ying Song, Lingzhi Cao, Jinming Zhai, Zhilong Yang, Yali Yang, Laurent Bellaiche, and Jiangang He${\mathrm{AgNbO}}_{3}$ is a lead-free perovskite with considerable potential for energy storage and optoelectronic applications, yet its low-temperature crystal structure has remained controversial. In this Letter, we revisit its low-energy structural landscape using a systematic first-principles st…[Phys. Rev. Lett. 137, 036102] Published Fri Jul 17, 2026</w:t>
      </w:r>
    </w:p>
    <w:p>
      <w:pPr>
        <w:spacing w:before="120" w:after="120"/>
      </w:pPr>
      <w:r>
        <w:rPr>
          <w:sz w:val="18"/>
        </w:rPr>
        <w:t>——————————————————————————————————————————————————————————————————————</w:t>
      </w:r>
    </w:p>
    <w:p>
      <w:pPr>
        <w:spacing w:before="160" w:after="40" w:line="240" w:lineRule="auto"/>
      </w:pPr>
      <w:r>
        <w:rPr>
          <w:b/>
        </w:rPr>
        <w:t xml:space="preserve">[11] </w:t>
      </w:r>
      <w:hyperlink r:id="rId28">
        <w:r>
          <w:rPr>
            <w:color w:val="1155CC"/>
            <w:u w:val="single"/>
          </w:rPr>
          <w:t>自限性超薄杂环桥接界面实现高效 p-i-n PbS 量子点太阳能电池</w:t>
        </w:r>
      </w:hyperlink>
    </w:p>
    <w:p>
      <w:pPr>
        <w:spacing w:before="0" w:after="80"/>
      </w:pPr>
      <w:r>
        <w:rPr>
          <w:i/>
          <w:sz w:val="20"/>
        </w:rPr>
        <w:t>EN: Self‐Limiting Ultrathin Heterocycle‐Bridged Interface Enabling Efficient p–i–n PbS Quantum Dot Solar Cells</w:t>
      </w:r>
    </w:p>
    <w:p>
      <w:pPr>
        <w:spacing w:before="0" w:after="120"/>
      </w:pPr>
      <w:r>
        <w:rPr>
          <w:b/>
        </w:rPr>
        <w:t xml:space="preserve">Source: </w:t>
      </w:r>
      <w:r>
        <w:t>Wiley: Advanced Materials: Table of Contents</w:t>
      </w:r>
      <w:r>
        <w:t xml:space="preserve">    </w:t>
      </w:r>
      <w:r>
        <w:rPr>
          <w:b/>
        </w:rPr>
        <w:t xml:space="preserve">Pub date: </w:t>
      </w:r>
      <w:r>
        <w:t>2026-07-17 10:47:17+00:00</w:t>
      </w:r>
      <w:r>
        <w:t xml:space="preserve">    </w:t>
      </w:r>
      <w:r>
        <w:rPr>
          <w:b/>
        </w:rPr>
        <w:t xml:space="preserve">DOI: </w:t>
      </w:r>
      <w:hyperlink r:id="rId29">
        <w:r>
          <w:rPr>
            <w:color w:val="1155CC"/>
            <w:u w:val="single"/>
          </w:rPr>
          <w:t>10.1002/adma.74170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过去几年，空穴传输自组装单层 (SAM) 推动了溶液处理 p-i-n 太阳能电池效率的快速提升。相比之下，虽然有效的电子提取对于器件运行同样重要，但电子传输 SAM 仍然很少被探索，从而限制了器件性能的进一步提高。在这里，我们提出了一种用于 PbS 量子点（QD）太阳能电池的电子提取调节自限性超薄分子层策略。设计的噻吩基分子具有与表面 Pb 配合的硫醇锚</w:t>
      </w:r>
      <w:r>
        <w:rPr>
          <w:vertAlign w:val="subscript"/>
        </w:rPr>
        <w:t>2</w:t>
      </w:r>
      <w:r>
        <w:t>+</w:t>
      </w:r>
      <w:r>
        <w:t xml:space="preserve"> </w:t>
      </w:r>
      <w:r>
        <w:t>离子抑制非辐射复合，而它们的富电子芳香环与顶部 C 发生 π-π 相互作用</w:t>
      </w:r>
      <w:r>
        <w:rPr>
          <w:vertAlign w:val="subscript"/>
        </w:rPr>
        <w:t>60</w:t>
      </w:r>
      <w:r>
        <w:t>层以增强电子提取。至关重要的是，它们的高挥发性能够在退火过程中去除多余的分子，从而在界面处产生紧凑的超薄分子修饰。该界面工程使 p-i-n PbS QD 太阳能电池的功率转换效率达到 14.47%，这是迄今为止报道的最高值。这些结果为应用自限性超薄分子层作为界面设计的强大范例提供了一条稳健且可扩展的途径。</w:t>
      </w:r>
    </w:p>
    <w:p>
      <w:pPr>
        <w:spacing w:before="0" w:after="200" w:lineRule="auto" w:line="276"/>
      </w:pPr>
      <w:r>
        <w:rPr>
          <w:b/>
        </w:rPr>
        <w:t xml:space="preserve">Abstract (EN): </w:t>
      </w:r>
      <w:r>
        <w:t>Hole‐transporting self‐assembled monolayers (SAMs) have driven rapid efficiency gains in solution‐processed p–i–n solar cells over the past few years. By contrast, while efficient electron extraction is equally crucial for device operation, electron‐transporting SAMs remain scarcely explored, thereby constraining further improvements in device performance. Here, we present an electron‐extraction‐modulating self‐limiting ultrathin molecular layer strategy for PbS quantum dot (QD) solar cells. The designed thiophene‐based molecules feature thiol anchors that coordinate with surface Pb</w:t>
      </w:r>
      <w:r>
        <w:rPr>
          <w:vertAlign w:val="subscript"/>
        </w:rPr>
        <w:t>2</w:t>
      </w:r>
      <w:r>
        <w:t>+</w:t>
      </w:r>
      <w:r>
        <w:t xml:space="preserve"> </w:t>
      </w:r>
      <w:r>
        <w:t>ions to suppress nonradiative recombination, while their electron‐rich aromatic rings engage in π–π interactions with the top C</w:t>
      </w:r>
      <w:r>
        <w:rPr>
          <w:vertAlign w:val="subscript"/>
        </w:rPr>
        <w:t>60</w:t>
      </w:r>
      <w:r>
        <w:t>layer to enhance electron extraction. Critically, their high volatility enables the removal of excess molecules during annealing, yielding a compact, ultrathin molecular modification at the interface. This interface engineering delivers a power conversion efficiency of 14.47% in p–i–n PbS QD solar cells‐the highest value reported to date. These results provide a robust and scalable pathway for applying self‐limiting ultrathin molecular layer as a powerful paradigm for interfacial design.</w:t>
      </w:r>
    </w:p>
    <w:p>
      <w:pPr>
        <w:spacing w:before="120" w:after="120"/>
      </w:pPr>
      <w:r>
        <w:rPr>
          <w:sz w:val="18"/>
        </w:rPr>
        <w:t>——————————————————————————————————————————————————————————————————————</w:t>
      </w:r>
    </w:p>
    <w:p>
      <w:pPr>
        <w:spacing w:before="160" w:after="40" w:line="240" w:lineRule="auto"/>
      </w:pPr>
      <w:r>
        <w:rPr>
          <w:b/>
        </w:rPr>
        <w:t xml:space="preserve">[12] </w:t>
      </w:r>
      <w:hyperlink r:id="rId30">
        <w:r>
          <w:rPr>
            <w:color w:val="1155CC"/>
            <w:u w:val="single"/>
          </w:rPr>
          <w:t>通过混合自组装多层实现 21.26% 效率的有机太阳能电池</w:t>
        </w:r>
      </w:hyperlink>
    </w:p>
    <w:p>
      <w:pPr>
        <w:spacing w:before="0" w:after="80"/>
      </w:pPr>
      <w:r>
        <w:rPr>
          <w:i/>
          <w:sz w:val="20"/>
        </w:rPr>
        <w:t>EN: 21.26% Efficiency Organic Solar Cells Enabled by Mixed Self‐Assembled Multilayers</w:t>
      </w:r>
    </w:p>
    <w:p>
      <w:pPr>
        <w:spacing w:before="0" w:after="120"/>
      </w:pPr>
      <w:r>
        <w:rPr>
          <w:b/>
        </w:rPr>
        <w:t xml:space="preserve">Source: </w:t>
      </w:r>
      <w:r>
        <w:t>Wiley: Advanced Materials: Table of Contents</w:t>
      </w:r>
      <w:r>
        <w:t xml:space="preserve">    </w:t>
      </w:r>
      <w:r>
        <w:rPr>
          <w:b/>
        </w:rPr>
        <w:t xml:space="preserve">Pub date: </w:t>
      </w:r>
      <w:r>
        <w:t>2026-07-17 11:26:30+00:00</w:t>
      </w:r>
      <w:r>
        <w:t xml:space="preserve">    </w:t>
      </w:r>
      <w:r>
        <w:rPr>
          <w:b/>
        </w:rPr>
        <w:t xml:space="preserve">DOI: </w:t>
      </w:r>
      <w:hyperlink r:id="rId31">
        <w:r>
          <w:rPr>
            <w:color w:val="1155CC"/>
            <w:u w:val="single"/>
          </w:rPr>
          <w:t>10.1002/adma.74193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表面覆盖不足仍然是光伏领域自组装单层/多层（SAM/SAMUL）的一个关键限制。共组装 SAMUL（Co-SAMUL）策略结合了客体自组装分子，提供了一种有效的解决方案。然而，客体分子的工作机制仍不完全清楚。在此，将苯并[b]噻吩-2-基硼酸（BBA）作为客体材料引入基于（4-（3,6-二（噻吩-3-基）-9H-咔唑-9-基）丁基）膦酸酯（4PAThCz）的主体分子系统中，以构建高效的Co-SAMUL。我们发现 BBA 可以融合到 4PAThCz 胶束中，而不是分别形成单独的胶束，从而抑制胶束生长。在成膜过程中，BBA与主体分子协同吸附，选择性填充主体分子之间的空隙，大幅提高表面覆盖率。这种均匀且高质量的薄膜有效地抑制了表面缺陷态，增强了界面电荷传输能力并最大限度地减少了非辐射激子复合。结果，实现了 21.26% 的冠军功率转换效率 (PCE)（认证为 20.79%）和 83.54% 的出色填充因子 (FF)，代表了迄今为止有机太阳能电池 (OSC) 报道的最高性能。</w:t>
      </w:r>
    </w:p>
    <w:p>
      <w:pPr>
        <w:spacing w:before="0" w:after="200" w:lineRule="auto" w:line="276"/>
      </w:pPr>
      <w:r>
        <w:rPr>
          <w:b/>
        </w:rPr>
        <w:t xml:space="preserve">Abstract (EN): </w:t>
      </w:r>
      <w:r>
        <w:t>Insufficient surface coverage persists as a critical limitation for self‐assembled monolayers/multilayers (SAMs/SAMULs) in photovoltaic field. The co‐assembled SAMULs (Co‐SAMULs) strategy, which incorporates a guest self‐assembled molecule, offers an effective solution. However, the working mechanism of the guest molecule is still not fully understood. Herein, benzo[b]thien‐2‐ylboronic acid (BBA) was introduced as a guest material into the host molecule system based on (4‐(3,6‐di(thiophen‐3‐yl)‐9H‐carbazol‐9‐yl)butyl) phosphonate (4PAThCz) to construct efficient Co‐SAMULs. We found that BBA can fused into 4PAThCz micelles rather than forming individual micelles, respectively, thereby inhibiting micelle growth. During the film‐forming process, BBA engages in synergistic adsorption with the host molecules, selectively fills the voids between host molecule and substantially improving surface coverage. Such a homogeneous and high‐quality film effectively suppresses surface defect states, enhances interfacial charge transport capacity and minimizes non‐radiative exciton recombination. As a result, a champion power conversion efficiency (PCE) of 21.26% (certificated as 20.79%) with an outstanding fill factor (FF) of 83.54% is achieved, representing the highest performances reported for organic solar cells (OSCs) to date.</w:t>
      </w:r>
    </w:p>
    <w:p>
      <w:pPr>
        <w:spacing w:before="120" w:after="120"/>
      </w:pPr>
      <w:r>
        <w:rPr>
          <w:sz w:val="18"/>
        </w:rPr>
        <w:t>——————————————————————————————————————————————————————————————————————</w:t>
      </w:r>
    </w:p>
    <w:p>
      <w:pPr>
        <w:spacing w:before="160" w:after="40" w:line="240" w:lineRule="auto"/>
      </w:pPr>
      <w:r>
        <w:rPr>
          <w:b/>
        </w:rPr>
        <w:t xml:space="preserve">[13] </w:t>
      </w:r>
      <w:hyperlink r:id="rId32">
        <w:r>
          <w:rPr>
            <w:color w:val="1155CC"/>
            <w:u w:val="single"/>
          </w:rPr>
          <w:t>具有自发皱纹的部分倒置 Janus MoSSe 同质结构的光电池效应</w:t>
        </w:r>
      </w:hyperlink>
    </w:p>
    <w:p>
      <w:pPr>
        <w:spacing w:before="0" w:after="80"/>
      </w:pPr>
      <w:r>
        <w:rPr>
          <w:i/>
          <w:sz w:val="20"/>
        </w:rPr>
        <w:t>EN: Photogalvanic Effect in Partially Inverted Janus MoSSe Homostructures with Spontaneous Wrinkles</w:t>
      </w:r>
    </w:p>
    <w:p>
      <w:pPr>
        <w:spacing w:before="0" w:after="120"/>
      </w:pPr>
      <w:r>
        <w:rPr>
          <w:b/>
        </w:rPr>
        <w:t xml:space="preserve">Source: </w:t>
      </w:r>
      <w:r>
        <w:t>ACS Applied Materials &amp; Interfaces: Latest Articles (ACS Publications)</w:t>
      </w:r>
      <w:r>
        <w:t xml:space="preserve">    </w:t>
      </w:r>
      <w:r>
        <w:rPr>
          <w:b/>
        </w:rPr>
        <w:t xml:space="preserve">Pub date: </w:t>
      </w:r>
      <w:r>
        <w:t>2026-07-18 00:00:00+00:00</w:t>
      </w:r>
      <w:r>
        <w:t xml:space="preserve">    </w:t>
      </w:r>
      <w:r>
        <w:rPr>
          <w:b/>
        </w:rPr>
        <w:t xml:space="preserve">DOI: </w:t>
      </w:r>
      <w:hyperlink r:id="rId33">
        <w:r>
          <w:rPr>
            <w:color w:val="1155CC"/>
            <w:u w:val="single"/>
          </w:rPr>
          <w:t>10.1021/acsami.6c05768</w:t>
        </w:r>
      </w:hyperlink>
    </w:p>
    <w:p>
      <w:pPr>
        <w:spacing w:before="0" w:after="120"/>
      </w:pPr>
      <w:r>
        <w:rPr>
          <w:b/>
        </w:rPr>
        <w:t xml:space="preserve">Notes: </w:t>
      </w:r>
      <w:r>
        <w:t>abstract_source=pubmed</w:t>
      </w:r>
    </w:p>
    <w:p>
      <w:pPr>
        <w:spacing w:before="0" w:after="80" w:lineRule="auto" w:line="276"/>
      </w:pPr>
      <w:r>
        <w:rPr>
          <w:b/>
        </w:rPr>
        <w:t xml:space="preserve">摘要（ZH）: </w:t>
      </w:r>
      <w:r>
        <w:t>二维 (2D) Janus 过渡金属二硫族化物 (TMD) 具有源自其不对称硫族层的内在应变，该应变驱动自发卷曲、折叠和起皱。这种独特的结构特性为调节光电特性和设计柔性器件提供了额外的自由度。该工作基于密度泛函理论（DFT）结合非平衡格林函数（NEGF）方法，系统地构建和优化了一系列部分倒置的Janus MoSSe纳米带同质结构，展示了自发皱纹的形成，降低了形成能并打破了初始平坦构型的空间对称性。皱纹结构中的应变及其梯度有效地调整了电子能带结构，导致整体向上的能量转移和能带色散修改。量子输运模拟表明，与平面结构相比，这些波纹结构明显增强了基于光电池效应（PGE）的光电流。这种增强不仅归因于其对称性的降低，还归因于受照射中心区域的空间分级能带排列，这改善了光生电子空穴对的分离及其随后向电极的载流子传输。这些发现表明，Janus TMD 中硫族层的部分反转扩展了性能调节的设计范式，并在先进的自供电光电探测器中具有应用潜力。</w:t>
      </w:r>
    </w:p>
    <w:p>
      <w:pPr>
        <w:spacing w:before="0" w:after="200" w:lineRule="auto" w:line="276"/>
      </w:pPr>
      <w:r>
        <w:rPr>
          <w:b/>
        </w:rPr>
        <w:t xml:space="preserve">Abstract (EN): </w:t>
      </w:r>
      <w:r>
        <w:t>Two-dimensional (2D) Janus transition-metal dichalcogenides (TMDs) harbor intrinsic strain originating from their asymmetric chalcogen layers, which drives the spontaneous curling, folding, and wrinkling. Such a unique structural property provides an additional degree of freedom for modulating the optoelectronic properties and designing flexible devices. Based on density functional theory (DFT) combined with nonequilibrium Green's function (NEGF) method, this work systematically constructs and optimizes a series of partially inverted Janus MoSSe nanoribbon homostructures, demonstrating the formation of spontaneous wrinkles, which reduces the formation energy and breaks the spatial symmetry of the initial flat configuration. The strain and its gradient in the wrinkled structure effectively tailor the electronic band structure, leading to an overall upward energy shift and band dispersion modification. The quantum transport simulations reveal that these corrugated structures obviously enhance the photocurrent based on the photogalvanic effect (PGE) compared to the flat structures. The enhancement is not only attributed to the reduction of their symmetry but also to a spatially graded band alignment in the irradiated central region, which improves the separation of photogenerated electron-hole pairs and their subsequent carrier transport toward the electrode. These findings indicate that the partial inversion of chalcogen layers in Janus TMDs extends the design paradigm for property regulation and possesses application potential in advanced self-powered photodetectors.</w:t>
      </w:r>
    </w:p>
    <w:p>
      <w:pPr>
        <w:spacing w:before="120" w:after="120"/>
      </w:pPr>
      <w:r>
        <w:rPr>
          <w:sz w:val="18"/>
        </w:rPr>
        <w:t>——————————————————————————————————————————————————————————————————————</w:t>
      </w:r>
    </w:p>
    <w:p>
      <w:pPr>
        <w:spacing w:before="160" w:after="40" w:line="240" w:lineRule="auto"/>
      </w:pPr>
      <w:r>
        <w:rPr>
          <w:b/>
        </w:rPr>
        <w:t xml:space="preserve">[14] </w:t>
      </w:r>
      <w:hyperlink r:id="rId34">
        <w:r>
          <w:rPr>
            <w:color w:val="1155CC"/>
            <w:u w:val="single"/>
          </w:rPr>
          <w:t>CsPbBr 3 钙钛矿晶体宽带近红外发光的起源：缺陷还是铋杂质？</w:t>
        </w:r>
      </w:hyperlink>
    </w:p>
    <w:p>
      <w:pPr>
        <w:spacing w:before="0" w:after="80"/>
      </w:pPr>
      <w:r>
        <w:rPr>
          <w:i/>
          <w:sz w:val="20"/>
        </w:rPr>
        <w:t>EN: Origin of Broad-Band Near-Infrared Luminescence from CsPbBr 3 Perovskite Crystals: Defects or Bismuth Impurity?</w:t>
      </w:r>
    </w:p>
    <w:p>
      <w:pPr>
        <w:spacing w:before="0" w:after="120"/>
      </w:pPr>
      <w:r>
        <w:rPr>
          <w:b/>
        </w:rPr>
        <w:t xml:space="preserve">Source: </w:t>
      </w:r>
      <w:r>
        <w:t>ACS Energy Letters: Latest Articles (ACS Publications)</w:t>
      </w:r>
      <w:r>
        <w:t xml:space="preserve">    </w:t>
      </w:r>
      <w:r>
        <w:rPr>
          <w:b/>
        </w:rPr>
        <w:t xml:space="preserve">Pub date: </w:t>
      </w:r>
      <w:r>
        <w:t>2026-07-18 00:00:00+00:00</w:t>
      </w:r>
      <w:r>
        <w:t xml:space="preserve">    </w:t>
      </w:r>
      <w:r>
        <w:rPr>
          <w:b/>
        </w:rPr>
        <w:t xml:space="preserve">DOI: </w:t>
      </w:r>
      <w:hyperlink r:id="rId35">
        <w:r>
          <w:rPr>
            <w:color w:val="1155CC"/>
            <w:u w:val="single"/>
          </w:rPr>
          <w:t>10.1021/acsenergylett.6c01661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6">
        <w:r>
          <w:rPr>
            <w:color w:val="1155CC"/>
            <w:u w:val="single"/>
          </w:rPr>
          <w:t>一种改进的每小时多站点光伏发电场景发电的 imagentime 框架</w:t>
        </w:r>
      </w:hyperlink>
    </w:p>
    <w:p>
      <w:pPr>
        <w:spacing w:before="0" w:after="80"/>
      </w:pPr>
      <w:r>
        <w:rPr>
          <w:i/>
          <w:sz w:val="20"/>
        </w:rPr>
        <w:t>EN: An improved imagentime framework for hourly multi-site photovoltaic power scenario generation</w:t>
      </w:r>
    </w:p>
    <w:p>
      <w:pPr>
        <w:spacing w:before="0" w:after="120"/>
      </w:pPr>
      <w:r>
        <w:rPr>
          <w:b/>
        </w:rPr>
        <w:t xml:space="preserve">Source: </w:t>
      </w:r>
      <w:r>
        <w:t>ScienceDirect Publication: Applied Energy</w:t>
      </w:r>
      <w:r>
        <w:t xml:space="preserve">    </w:t>
      </w:r>
      <w:r>
        <w:rPr>
          <w:b/>
        </w:rPr>
        <w:t xml:space="preserve">Pub date: </w:t>
      </w:r>
      <w:r>
        <w:t>2026-07-18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37">
        <w:r>
          <w:rPr>
            <w:color w:val="1155CC"/>
            <w:u w:val="single"/>
          </w:rPr>
          <w:t>政府如何支持替代能源项目的推广？</w:t>
        </w:r>
      </w:hyperlink>
    </w:p>
    <w:p>
      <w:pPr>
        <w:spacing w:before="0" w:after="80"/>
      </w:pPr>
      <w:r>
        <w:rPr>
          <w:i/>
          <w:sz w:val="20"/>
        </w:rPr>
        <w:t>EN: How could the government support the spread of alternative energy projects?</w:t>
      </w:r>
    </w:p>
    <w:p>
      <w:pPr>
        <w:spacing w:before="0" w:after="120"/>
      </w:pPr>
      <w:r>
        <w:rPr>
          <w:b/>
        </w:rPr>
        <w:t xml:space="preserve">Source: </w:t>
      </w:r>
      <w:r>
        <w:t>ScienceDirect Publication: Energy Policy</w:t>
      </w:r>
      <w:r>
        <w:t xml:space="preserve">    </w:t>
      </w:r>
      <w:r>
        <w:rPr>
          <w:b/>
        </w:rPr>
        <w:t xml:space="preserve">Pub date: </w:t>
      </w:r>
      <w:r>
        <w:t>2026-07-18 00:00:00+00:00</w:t>
      </w:r>
      <w:r>
        <w:t xml:space="preserve">    </w:t>
      </w:r>
      <w:r>
        <w:rPr>
          <w:b/>
        </w:rPr>
        <w:t xml:space="preserve">DOI: </w:t>
      </w:r>
      <w:hyperlink r:id="rId38">
        <w:r>
          <w:rPr>
            <w:color w:val="1155CC"/>
            <w:u w:val="single"/>
          </w:rPr>
          <w:t>10.1016/j.enpol.2026.115513</w:t>
        </w:r>
      </w:hyperlink>
    </w:p>
    <w:p>
      <w:pPr>
        <w:spacing w:before="0" w:after="120"/>
      </w:pPr>
      <w:r>
        <w:rPr>
          <w:b/>
        </w:rPr>
        <w:t xml:space="preserve">Notes: </w:t>
      </w:r>
      <w:r>
        <w:t>abstract_source=openalex</w:t>
      </w:r>
    </w:p>
    <w:p>
      <w:pPr>
        <w:spacing w:before="0" w:after="80" w:lineRule="auto" w:line="276"/>
      </w:pPr>
      <w:r>
        <w:rPr>
          <w:b/>
        </w:rPr>
        <w:t xml:space="preserve">摘要（ZH）: </w:t>
      </w:r>
      <w:r>
        <w:t>本文探讨了一个涉及 200 kWp 太阳能电池板项目、1200 kW 木片燃烧锅炉和 6 kW 热泵系统的案例研究，重点关注市场驱动型投资者成功实施此类举措必须解决的关键风险。主要目标是强调政府可用于支持和促进可再生能源项目实现的工具。本文通过案例研究的方法，分析了政府如何通过确保透明度、提供有针对性的激励措施和建立有效的财务框架来降低投资者风险。此类激励措施可能包括预先确定的上网电价补贴（FIT）、绿色定价计划、上网电价补贴（FIP）、资本补贴、赠款、回扣、绿色或白色证书或碳信用额、低息贷款。这些选项的影响在 200 kWp 太阳能光伏系统、1200 kW 木片燃烧锅炉和 6 kW 热泵系统的案例研究中进行了量化。一个关键方面是利益相关者利益的法律保护，这对于树立投资者信心起着重要作用。此外，一些国家还引入了保险机制，以防止表现不佳的项目造成潜在的财务损失。总之，该研究强调，政府通过建立必要的支持或激励立法和监管框架，并提供保证投资者长期回报的财政激励措施，在扩大可再生能源的使用方面发挥着至关重要的作用。计算表明，每1kW装机容量，最多</w:t>
      </w:r>
    </w:p>
    <w:p>
      <w:pPr>
        <w:spacing w:before="0" w:after="200" w:lineRule="auto" w:line="276"/>
      </w:pPr>
      <w:r>
        <w:rPr>
          <w:b/>
        </w:rPr>
        <w:t xml:space="preserve">Abstract (EN): </w:t>
      </w:r>
      <w:r>
        <w:t>This article explores a case study involving a 200 kWp solar panel project a 1200 kW woodchip-fired boiler, and a 6 kW heat pump system, focusing on the key risks that must be addressed for market-driven investors to successfully implement such initiatives. The main objective is to highlight the tools available to governments to support and promote the realization of renewable energy projects. Through a case study approach, the paper analyses how governments can reduce investor risks by ensuring transparency, offering targeted incentives, and establishing effective financial frameworks. Such incentives might include pre-determined feed-in tariffs (FITs), green pricing programs, feed-in premiums (FIP), capital subsidies, grants, rebates, green or white certificates or carbon credits, low-interest loans. The effects of these options are quantified in the case study for a 200 kWp solar PV system, a 1200 kW woodchip-fired boiler, and a 6 kW heat pump system. A critical aspect is the legal protection of stakeholder interests, which plays a major role in building investor confidence. Additionally, several countries have introduced insurance mechanisms to safeguard against potential financial losses from underperforming projects. In conclusion, the study emphasizes that governments play a vital role in expanding the use of renewable energy by creating the necessary supporting or incentivising legislative and regulatory framework and providing financial incentives that guarantee long-term returns for investors. Calculations indicate that, per 1 kW of installed capacity, the most beneficial approach for the state involves providing investment grants. This strategy is followed in effectiveness by subsidized interest rate loans, and subsequently by feed-in tariffs and feed-in premiums or purchase price support.</w:t>
      </w:r>
    </w:p>
    <w:p>
      <w:pPr>
        <w:spacing w:before="120" w:after="120"/>
      </w:pPr>
      <w:r>
        <w:rPr>
          <w:sz w:val="18"/>
        </w:rPr>
        <w:t>——————————————————————————————————————————————————————————————————————</w:t>
      </w:r>
    </w:p>
    <w:p>
      <w:pPr>
        <w:spacing w:before="160" w:after="40" w:line="240" w:lineRule="auto"/>
      </w:pPr>
      <w:r>
        <w:rPr>
          <w:b/>
        </w:rPr>
        <w:t xml:space="preserve">[17] </w:t>
      </w:r>
      <w:hyperlink r:id="rId39">
        <w:r>
          <w:rPr>
            <w:color w:val="1155CC"/>
            <w:u w:val="single"/>
          </w:rPr>
          <w:t>超分子晶种诱导原纤维细化，实现高效、稳定的有机太阳能电池</w:t>
        </w:r>
      </w:hyperlink>
    </w:p>
    <w:p>
      <w:pPr>
        <w:spacing w:before="0" w:after="80"/>
      </w:pPr>
      <w:r>
        <w:rPr>
          <w:i/>
          <w:sz w:val="20"/>
        </w:rPr>
        <w:t>EN: Supramolecular Seeding-Induced Fibrillar Refinement for High Efficiency and Stable Organic Solar Cells</w:t>
      </w:r>
    </w:p>
    <w:p>
      <w:pPr>
        <w:spacing w:before="0" w:after="120"/>
      </w:pPr>
      <w:r>
        <w:rPr>
          <w:b/>
        </w:rPr>
        <w:t xml:space="preserve">Source: </w:t>
      </w:r>
      <w:r>
        <w:t>Journal of the American Chemical Society: Latest Articles (ACS Publications)</w:t>
      </w:r>
      <w:r>
        <w:t xml:space="preserve">    </w:t>
      </w:r>
      <w:r>
        <w:rPr>
          <w:b/>
        </w:rPr>
        <w:t xml:space="preserve">Pub date: </w:t>
      </w:r>
      <w:r>
        <w:t>2026-07-19 00:00:00+00:00</w:t>
      </w:r>
      <w:r>
        <w:t xml:space="preserve">    </w:t>
      </w:r>
      <w:r>
        <w:rPr>
          <w:b/>
        </w:rPr>
        <w:t xml:space="preserve">DOI: </w:t>
      </w:r>
      <w:hyperlink r:id="rId40">
        <w:r>
          <w:rPr>
            <w:color w:val="1155CC"/>
            <w:u w:val="single"/>
          </w:rPr>
          <w:t>10.1021/jacs.6c06526</w:t>
        </w:r>
      </w:hyperlink>
    </w:p>
    <w:p>
      <w:pPr>
        <w:spacing w:before="0" w:after="120"/>
      </w:pPr>
      <w:r>
        <w:rPr>
          <w:b/>
        </w:rPr>
        <w:t xml:space="preserve">Notes: </w:t>
      </w:r>
      <w:r>
        <w:t>abstract_source=pubmed</w:t>
      </w:r>
    </w:p>
    <w:p>
      <w:pPr>
        <w:spacing w:before="0" w:after="80" w:lineRule="auto" w:line="276"/>
      </w:pPr>
      <w:r>
        <w:rPr>
          <w:b/>
        </w:rPr>
        <w:t xml:space="preserve">摘要（ZH）: </w:t>
      </w:r>
      <w:r>
        <w:t>在有机太阳能电池（OSC）中实现最佳形态和长期稳定性仍然具有挑战性，因为在溶液处理过程中供体-受体结晶顺序通常协调不佳。在这里，我们通过将羟基封端的高度结晶受体（Y-OH）引入D18/L8-BO系统来开发超分子结晶晶种策略。通过设计分层热力学相容性梯度（χD18/Y-OH &gt; χL8-BO/Y-OH &gt; χD18/L8-BO），Y-OH 变得具有界面活性，并在多组分薄膜中表现出界面分布趋势。原位紫外-可见光测量表明，Y-OH 在更接近供体的时间尺度上经历早期排序，从而参与初始形态演化，并引导 L8-BO 的后续组织形成细化的互穿原纤维网络，原纤维直径减小。这种形态同时促进有效的激子收集/电荷生成并实现平衡的电荷传输，从而同时增强短路电流密度（JSC）和填充因子（FF）。因此，优化的三元器件的 PCE 为 20.90%（而二元控制的 PCE 为 20.05%）。此外，羟基超分子相互作用提供非共价锚定，延缓热驱动的形态松弛，使器件在 65°C 下 900 小时后仍能保持约 83% 的初始效率。这项工作强调了超分子结晶晶种作为一种有效的设计原理，可同时提高效率和热稳定性</w:t>
      </w:r>
    </w:p>
    <w:p>
      <w:pPr>
        <w:spacing w:before="0" w:after="200" w:lineRule="auto" w:line="276"/>
      </w:pPr>
      <w:r>
        <w:rPr>
          <w:b/>
        </w:rPr>
        <w:t xml:space="preserve">Abstract (EN): </w:t>
      </w:r>
      <w:r>
        <w:t>Achieving optimal morphology and long-term stability in organic solar cells (OSCs) remains challenging because the donor-acceptor crystallization sequence is often poorly coordinated during solution processing. Here, we develop a supramolecular crystallization seeding strategy by introducing a hydroxyl-terminated, highly crystalline acceptor (Y-OH) into the D18/L8-BO system. By engineering a hierarchical thermodynamic compatibility gradient (χD18/Y-OH &gt; χL8-BO/Y-OH &gt; χD18/L8-BO), Y-OH becomes interface-active and exhibits an interfacial distribution tendency in the multicomponent film. In situ UV-vis measurements reveal that Y-OH undergoes early stage ordering on a time scale closer to the donor, thereby participating in the initial morphology evolution and steering the subsequent organization of L8-BO into a refined interpenetrating fibrillar network with reduced fibril diameters. This morphology simultaneously promotes efficient exciton harvesting/charge generation and enables balanced charge transport, leading to concurrent enhancements in short-circuit current density (JSC) and fill factor (FF). As a result, the optimized ternary devices deliver a PCE of 20.90% (vs 20.05% for the binary control). Moreover, hydroxyl-enabled supramolecular interactions provide noncovalent anchoring that retards thermally driven morphology relaxation, allowing the devices to retain ≈83% of their initial efficiency after 900 h at 65 °C. This work highlights supramolecular crystallization seeding as an effective design principle for simultaneously improving efficiency and thermal stability in OSCs.</w:t>
      </w:r>
    </w:p>
    <w:p>
      <w:pPr>
        <w:spacing w:before="120" w:after="120"/>
      </w:pPr>
      <w:r>
        <w:rPr>
          <w:sz w:val="18"/>
        </w:rPr>
        <w:t>——————————————————————————————————————————————————————————————————————</w:t>
      </w:r>
    </w:p>
    <w:p>
      <w:pPr>
        <w:spacing w:before="160" w:after="40" w:line="240" w:lineRule="auto"/>
      </w:pPr>
      <w:r>
        <w:rPr>
          <w:b/>
        </w:rPr>
        <w:t xml:space="preserve">[18] </w:t>
      </w:r>
      <w:hyperlink r:id="rId41">
        <w:r>
          <w:rPr>
            <w:color w:val="1155CC"/>
            <w:u w:val="single"/>
          </w:rPr>
          <w:t>用于增强发光太阳能聚光器波导中的光捕获的各向异性发光体发射</w:t>
        </w:r>
      </w:hyperlink>
    </w:p>
    <w:p>
      <w:pPr>
        <w:spacing w:before="0" w:after="80"/>
      </w:pPr>
      <w:r>
        <w:rPr>
          <w:i/>
          <w:sz w:val="20"/>
        </w:rPr>
        <w:t>EN: Anisotropic Luminophore Emission for Enhanced Light Trapping in Luminescent Solar Concentrator Waveguides</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42">
        <w:r>
          <w:rPr>
            <w:color w:val="1155CC"/>
            <w:u w:val="single"/>
          </w:rPr>
          <w:t>10.1021/acsami.5c21066</w:t>
        </w:r>
      </w:hyperlink>
    </w:p>
    <w:p>
      <w:pPr>
        <w:spacing w:before="0" w:after="120"/>
      </w:pPr>
      <w:r>
        <w:rPr>
          <w:b/>
        </w:rPr>
        <w:t xml:space="preserve">Notes: </w:t>
      </w:r>
      <w:r>
        <w:t>abstract_source=pubmed</w:t>
      </w:r>
    </w:p>
    <w:p>
      <w:pPr>
        <w:spacing w:before="0" w:after="80" w:lineRule="auto" w:line="276"/>
      </w:pPr>
      <w:r>
        <w:rPr>
          <w:b/>
        </w:rPr>
        <w:t xml:space="preserve">摘要（ZH）: </w:t>
      </w:r>
      <w:r>
        <w:t>控制光的集中度对于许多光学系统来说非常重要。发光二极管 (LED)、激光器和光学放大器需要对系统内部和外部的光发射进行控制。光学传感器、探测器和光伏系统通常受益于光捕获。为了在光波导中实现增强的光捕获，我们在发光太阳能聚光器（LSC）波导几何结构中演示了各向异性发光体发射。通过将 CdSe-CdZnS 纳米片发射器嵌入高折射率 TiO2 纳米圆柱体中，我们改变了它们的发射角轮廓，以增加全内反射 (TIR) 角的发射。可以通过优化各个纳米圆柱体中的类米氏多极共振以及与晶格的相互作用来控制发射方向。对所制造的纳米圆柱阵列进行的角度分辨光致发光测量证实了这一理解。通过优化圆柱体形状和晶格间距，我们发现 TIR 角的发射从 75%（各向同性发射）增加到 83.5%。这种集成纳米级光子结构和发射器的新颖方法为增强光伏系统以及固态照明和智能显示器中的排放控制铺平了道路。</w:t>
      </w:r>
    </w:p>
    <w:p>
      <w:pPr>
        <w:spacing w:before="0" w:after="200" w:lineRule="auto" w:line="276"/>
      </w:pPr>
      <w:r>
        <w:rPr>
          <w:b/>
        </w:rPr>
        <w:t xml:space="preserve">Abstract (EN): </w:t>
      </w:r>
      <w:r>
        <w:t>Control over the concentration of light is of great importance for many optical systems. Light-emitting diodes (LEDs), lasers, and optical amplifiers necessitate control over the emission of light inside and out of the system. Optical sensors, detectors, and photovoltaic systems typically benefit from light trapping. To achieve enhanced light trapping in an optical waveguide, we demonstrate anisotropic luminophore emission in a luminescent solar concentrator (LSC) waveguide geometry. By embedding CdSe-CdZnS nanoplatelet emitters into high-index TiO2 nanocylinders, we alter their angular emission profile to increase emission into total internal reflection (TIR) angles. The emission direction can be controlled by optimizing Mie-like multipolar resonances in the individual nanocylinders and the interaction with the lattice. Angle-resolved photoluminescence measurements on the fabricated nanocylinder arrays corroborate this understanding. By optimizing the cylinder shape and lattice spacing, we show an increase in emission into TIR angles from 75% (isotropic emission) to 83.5%. This novel approach to the integration of nanoscale photonic structures and emitters paves the way for enhanced emission control in photovoltaic systems, as well as in solid-state lighting and smart displays.</w:t>
      </w:r>
    </w:p>
    <w:p>
      <w:pPr>
        <w:spacing w:before="120" w:after="120"/>
      </w:pPr>
      <w:r>
        <w:rPr>
          <w:sz w:val="18"/>
        </w:rPr>
        <w:t>——————————————————————————————————————————————————————————————————————</w:t>
      </w:r>
    </w:p>
    <w:p>
      <w:pPr>
        <w:spacing w:before="160" w:after="40" w:line="240" w:lineRule="auto"/>
      </w:pPr>
      <w:r>
        <w:rPr>
          <w:b/>
        </w:rPr>
        <w:t xml:space="preserve">[19] </w:t>
      </w:r>
      <w:hyperlink r:id="rId43">
        <w:r>
          <w:rPr>
            <w:color w:val="1155CC"/>
            <w:u w:val="single"/>
          </w:rPr>
          <w:t>Sr/Pb 合金可稳定宽带隙钙钛矿，用于耐用的全纹理钙钛矿/硅串联太阳能电池</w:t>
        </w:r>
      </w:hyperlink>
    </w:p>
    <w:p>
      <w:pPr>
        <w:spacing w:before="0" w:after="80"/>
      </w:pPr>
      <w:r>
        <w:rPr>
          <w:i/>
          <w:sz w:val="20"/>
        </w:rPr>
        <w:t>EN: Sr/Pb Alloying Stabilizes Wide‐Bandgap Perovskites for Durable Fully‐Textured Perovskite/Silicon Tandem Solar Cells</w:t>
      </w:r>
    </w:p>
    <w:p>
      <w:pPr>
        <w:spacing w:before="0" w:after="120"/>
      </w:pPr>
      <w:r>
        <w:rPr>
          <w:b/>
        </w:rPr>
        <w:t xml:space="preserve">Source: </w:t>
      </w:r>
      <w:r>
        <w:t>Wiley: Advanced Energy Materials: Table of Contents</w:t>
      </w:r>
      <w:r>
        <w:t xml:space="preserve">    </w:t>
      </w:r>
      <w:r>
        <w:rPr>
          <w:b/>
        </w:rPr>
        <w:t xml:space="preserve">Pub date: </w:t>
      </w:r>
      <w:r>
        <w:t>2026-07-20 07:12:29+00:00</w:t>
      </w:r>
      <w:r>
        <w:t xml:space="preserve">    </w:t>
      </w:r>
      <w:r>
        <w:rPr>
          <w:b/>
        </w:rPr>
        <w:t xml:space="preserve">DOI: </w:t>
      </w:r>
      <w:hyperlink r:id="rId44">
        <w:r>
          <w:rPr>
            <w:color w:val="1155CC"/>
            <w:u w:val="single"/>
          </w:rPr>
          <w:t>10.1002/aenm.71317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双面全纹理（3-5 µm）钙钛矿/硅串联太阳能电池（PS-TSC）因其出色的光学管理和较低的制造成本而成为串联光伏发电的一种有前途的途径。然而，它们的商业化受到操作不稳定的阻碍，这很大程度上归因于宽带隙钙钛矿顶部电池内的离子迁移。在这里，我们报告了一种使用锶（Sr</w:t>
      </w:r>
      <w:r>
        <w:t xml:space="preserve"> </w:t>
      </w:r>
      <w:r>
        <w:t>2+</w:t>
      </w:r>
      <w:r>
        <w:t xml:space="preserve"> </w:t>
      </w:r>
      <w:r>
        <w:t>）通过局部晶格工程增强宽带隙钙钛矿的稳定性。由于其相对于铅（Pb</w:t>
      </w:r>
      <w:r>
        <w:t xml:space="preserve"> </w:t>
      </w:r>
      <w:r>
        <w:t>2+</w:t>
      </w:r>
      <w:r>
        <w:t xml:space="preserve"> </w:t>
      </w:r>
      <w:r>
        <w:t>), 锶</w:t>
      </w:r>
      <w:r>
        <w:t xml:space="preserve"> </w:t>
      </w:r>
      <w:r>
        <w:t>2+</w:t>
      </w:r>
      <w:r>
        <w:t xml:space="preserve"> </w:t>
      </w:r>
      <w:r>
        <w:t>掺入增强了金属卤化物键合网络，从而形成更加刚性和有序的八面体框架，削弱了电子声子耦合。 Sr/Pb合金钙钛矿薄膜在光照和/或热应力下表现出显着增强的稳定性。采用该策略的全纹理 PS-TSC 实现了 31.66% 的功率转换效率。重要的是，封装器件在最大功率点跟踪超过 1391 小时后表现出不到 7% 的性能损失，对应于预计的</w:t>
      </w:r>
      <w:r>
        <w:t xml:space="preserve"> </w:t>
      </w:r>
      <w:r>
        <w:t>时间</w:t>
      </w:r>
      <w:r>
        <w:rPr>
          <w:vertAlign w:val="subscript"/>
        </w:rPr>
        <w:t>80</w:t>
      </w:r>
      <w:r>
        <w:t>在连续 1 太阳光照下，寿命约为 6785 小时。在 65°C 的热老化下，器件进一步表现出</w:t>
      </w:r>
      <w:r>
        <w:t xml:space="preserve"> </w:t>
      </w:r>
      <w:r>
        <w:t>时间</w:t>
      </w:r>
      <w:r>
        <w:rPr>
          <w:vertAlign w:val="subscript"/>
        </w:rPr>
        <w:t>90</w:t>
      </w:r>
      <w:r>
        <w:t>寿命超过</w:t>
      </w:r>
    </w:p>
    <w:p>
      <w:pPr>
        <w:spacing w:before="0" w:after="200" w:lineRule="auto" w:line="276"/>
      </w:pPr>
      <w:r>
        <w:rPr>
          <w:b/>
        </w:rPr>
        <w:t xml:space="preserve">Abstract (EN): </w:t>
      </w:r>
      <w:r>
        <w:t>Double‐sided fully‐textured (3–5 µm) perovskite/silicon tandem solar cells (PS‐TSCs) emerge as a promising pathway for tandem photovoltaics due to their excellent optical management and low manufacturing costs. However, their commercialization is hindered by operational instability, largely attributable to ion migration within the wide‐bandgap perovskite top cell. Here, we report a B‐site cation alloying strategy employing strontium (Sr</w:t>
      </w:r>
      <w:r>
        <w:t xml:space="preserve"> </w:t>
      </w:r>
      <w:r>
        <w:t>2+</w:t>
      </w:r>
      <w:r>
        <w:t xml:space="preserve"> </w:t>
      </w:r>
      <w:r>
        <w:t>) to enhance the stability of wide‐bandgap perovskites through local lattice engineering. Owing to its lower electronegativity and polarizability relative to lead (Pb</w:t>
      </w:r>
      <w:r>
        <w:t xml:space="preserve"> </w:t>
      </w:r>
      <w:r>
        <w:t>2+</w:t>
      </w:r>
      <w:r>
        <w:t xml:space="preserve"> </w:t>
      </w:r>
      <w:r>
        <w:t>), Sr</w:t>
      </w:r>
      <w:r>
        <w:t xml:space="preserve"> </w:t>
      </w:r>
      <w:r>
        <w:t>2+</w:t>
      </w:r>
      <w:r>
        <w:t xml:space="preserve"> </w:t>
      </w:r>
      <w:r>
        <w:t>incorporation strengthens the metal‐halide bonding network, thereby forming a more rigid and ordered octahedral framework with weakened electron‐phonon coupling. The Sr/Pb alloyed perovskite films exhibit significantly enhanced stability under illumination and/or thermal stress. Fully‐textured PS‐TSCs incorporating this strategy achieve a power conversion efficiency of 31.66%. Importantly, encapsulated devices show less than 7% performance loss after more than 1391 h at maximum power point tracking, corresponding to a projected</w:t>
      </w:r>
      <w:r>
        <w:t xml:space="preserve"> </w:t>
      </w:r>
      <w:r>
        <w:t>T</w:t>
      </w:r>
      <w:r>
        <w:rPr>
          <w:vertAlign w:val="subscript"/>
        </w:rPr>
        <w:t>80</w:t>
      </w:r>
      <w:r>
        <w:t>lifetime of approximately 6785 h under continuous 1‐sun illumination. Under thermal aging at 65°C, devices further demonstrate a</w:t>
      </w:r>
      <w:r>
        <w:t xml:space="preserve"> </w:t>
      </w:r>
      <w:r>
        <w:t>T</w:t>
      </w:r>
      <w:r>
        <w:rPr>
          <w:vertAlign w:val="subscript"/>
        </w:rPr>
        <w:t>90</w:t>
      </w:r>
      <w:r>
        <w:t>lifetime exceeding 1100 h.</w:t>
      </w:r>
    </w:p>
    <w:p>
      <w:pPr>
        <w:spacing w:before="120" w:after="120"/>
      </w:pPr>
      <w:r>
        <w:rPr>
          <w:sz w:val="18"/>
        </w:rPr>
        <w:t>——————————————————————————————————————————————————————————————————————</w:t>
      </w:r>
    </w:p>
    <w:p>
      <w:pPr>
        <w:spacing w:before="160" w:after="40" w:line="240" w:lineRule="auto"/>
      </w:pPr>
      <w:r>
        <w:rPr>
          <w:b/>
        </w:rPr>
        <w:t xml:space="preserve">[20] </w:t>
      </w:r>
      <w:hyperlink r:id="rId45">
        <w:r>
          <w:rPr>
            <w:color w:val="1155CC"/>
            <w:u w:val="single"/>
          </w:rPr>
          <w:t>抑制碘化物氧化和调节结晶协同实现高效稳定的空气处理 CsPbI 2 Br 钙钛矿太阳能电池</w:t>
        </w:r>
      </w:hyperlink>
    </w:p>
    <w:p>
      <w:pPr>
        <w:spacing w:before="0" w:after="80"/>
      </w:pPr>
      <w:r>
        <w:rPr>
          <w:i/>
          <w:sz w:val="20"/>
        </w:rPr>
        <w:t>EN: Inhibiting Iodide Oxidation and Regulating Crystallization Synergistically Enable Efficient and Stable Air-Processed CsPbI 2 Br Perovskite Solar Cells</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46">
        <w:r>
          <w:rPr>
            <w:color w:val="1155CC"/>
            <w:u w:val="single"/>
          </w:rPr>
          <w:t>10.1021/acsami.6c11168</w:t>
        </w:r>
      </w:hyperlink>
    </w:p>
    <w:p>
      <w:pPr>
        <w:spacing w:before="0" w:after="120"/>
      </w:pPr>
      <w:r>
        <w:rPr>
          <w:b/>
        </w:rPr>
        <w:t xml:space="preserve">Notes: </w:t>
      </w:r>
      <w:r>
        <w:t>abstract_source=pubmed</w:t>
      </w:r>
    </w:p>
    <w:p>
      <w:pPr>
        <w:spacing w:before="0" w:after="80" w:lineRule="auto" w:line="276"/>
      </w:pPr>
      <w:r>
        <w:rPr>
          <w:b/>
        </w:rPr>
        <w:t xml:space="preserve">摘要（ZH）: </w:t>
      </w:r>
      <w:r>
        <w:t>常温条件下制备钙钛矿太阳能电池更适合工业生产和商业应用。然而，由氧气引发的碘化物氧化和不受控制的钙钛矿结晶对空气处理钙钛矿太阳能电池实现令人满意的性能提出了重大挑战。在此，我们将季戊四醇四（3-巯基丙酸酯）（PETMP）引入到CsPbI2Br前驱体溶液中，同时抑制碘化物氧化并调节钙钛矿结晶，从而在环境空气中组装高性能CsPbI2Br钙钛矿太阳能电池。 PETMP 和 CsPbI2Br 前驱体之间的配位相互作用稳定了前驱体并减缓了钙钛矿结晶。此外，PETMP的还原性-SH基团将形成的分子碘转化为碘化物，有效抑制前驱体溶液中和钙钛矿结晶过程中碘化物的氧化。添加 PETMP 后，我们制备了高质量的 CsPbI2Br 钙钛矿薄膜，该薄膜在环境空气中具有增大的晶粒和降低的缺陷密度。因此，没有空穴传输层的空气处理 CsPbI2Br 钙钛矿太阳能电池具有 15.20% 的诱人效率，与在氮气气氛下组装的最先进的同类产品相当。此外，未封装的空气处理电池在环境条件下储存 1200 小时后仍保持其原始效率的 88.7%。</w:t>
      </w:r>
    </w:p>
    <w:p>
      <w:pPr>
        <w:spacing w:before="0" w:after="200" w:lineRule="auto" w:line="276"/>
      </w:pPr>
      <w:r>
        <w:rPr>
          <w:b/>
        </w:rPr>
        <w:t xml:space="preserve">Abstract (EN): </w:t>
      </w:r>
      <w:r>
        <w:t>The fabrication of perovskite solar cells under ambient conditions is more compatible with industrial production and commercial applications. Nevertheless, the iodide oxidation triggered by oxygen and uncontrolled perovskite crystallization pose major challenges to achieving satisfactory performance for the air-processed perovskite solar cell. Herein, we introduce pentaerythrityl tetrakis(3-mercaptopropionate) (PETMP) into the CsPbI2Br precursor solution to simultaneously inhibit the iodide oxidation and regulate perovskite crystallization for assembling high-performance CsPbI2Br perovskite solar cells in ambient air. The coordination interaction between PETMP and CsPbI2Br precursor stabilizes the precursor and slows perovskite crystallization. Moreover, the reductive -SH groups of PETMP convert the formed molecular iodine into iodide, effectively suppressing the iodide oxidation in the precursor solution and during the perovskite crystallization process. Upon PETMP addition, we fabricate a high-quality CsPbI2Br perovskite film with enlarged grains and decreased defect density in ambient air. Consequently, the air-processed CsPbI2Br perovskite solar cell without a hole-transport layer delivers an attractive efficiency of 15.20%, on a par with those of state-of-the-art counterparts assembled under a nitrogen atmosphere. In addition, the unencapsulated air-processed cell preserves 88.7% of its original efficiency after 1200 h of storage under ambient conditions.</w:t>
      </w:r>
    </w:p>
    <w:p>
      <w:pPr>
        <w:spacing w:before="120" w:after="120"/>
      </w:pPr>
      <w:r>
        <w:rPr>
          <w:sz w:val="18"/>
        </w:rPr>
        <w:t>——————————————————————————————————————————————————————————————————————</w:t>
      </w:r>
    </w:p>
    <w:p>
      <w:pPr>
        <w:spacing w:before="160" w:after="40" w:line="240" w:lineRule="auto"/>
      </w:pPr>
      <w:r>
        <w:rPr>
          <w:b/>
        </w:rPr>
        <w:t xml:space="preserve">[21] </w:t>
      </w:r>
      <w:hyperlink r:id="rId47">
        <w:r>
          <w:rPr>
            <w:color w:val="1155CC"/>
            <w:u w:val="single"/>
          </w:rPr>
          <w:t>难以捉摸的块状碘化物双钙钛矿半导体 Cs 2 AgBiI 6 的合成：微晶和光电导薄膜</w:t>
        </w:r>
      </w:hyperlink>
    </w:p>
    <w:p>
      <w:pPr>
        <w:spacing w:before="0" w:after="80"/>
      </w:pPr>
      <w:r>
        <w:rPr>
          <w:i/>
          <w:sz w:val="20"/>
        </w:rPr>
        <w:t>EN: Synthesis of the Elusive Bulk Iodide Double-Perovskite Semiconductor, Cs 2 AgBiI 6 : Microcrystals and Photoconductive Films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48">
        <w:r>
          <w:rPr>
            <w:color w:val="1155CC"/>
            <w:u w:val="single"/>
          </w:rPr>
          <w:t>10.1021/jacs.6c08152</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三维（3D）碘化物双钙钛矿（钾硅石）半导体作为太阳能应用中潜在的无铅金属卤化物吸收层引起了人们的兴趣。尽管通过计算方法进行了广泛的研究，但它们在很大程度上仍然无法合成，这与它们预测的热力学不稳定性是一致的。在这里，我们报告了块状 Cs 2 AgBiI 6 的首次合成，展示了微晶和薄膜形式。通过阴离子交换从相纯Cs 2 AgBiBr 6 微晶制备Cs 2 AgBiBr 6 微晶粉末。所得的碘化钾冰晶石在可见光范围内表现出广泛的吸收，光学带隙为 1.70 ± 0.05 eV，近红外光致发光集中在 1.03 eV。我们认为消除散装 Cs 2 AgBiBr 6 中的痕量水分是实现完全卤化物交换和分离具有相纯度的散装 Cs 2 AgBiI 6 的关键因素。在惰性气氛中，微晶Cs 2 AgBiI 6 在室温下储存数月或加热至~70 °C 时不会分解，并且在干燥空气中表现出同样稳定。基于这些见解，我们随后演示了通过 Cs 2 AgBiBr 6 闪蒸热蒸发然后进行阴离子交换来制备相纯 Cs 2 AgBiI 6 薄膜。对此类 Cs 2 AgBiI 6 薄膜的光电导测量证明了光载流子的生成和传输，这标志着对这种难以捉摸的 3D 碘化物双钙钛矿的首次光电测量。 ACS 出版物 © 2026 作者。美国化学公司出版</w:t>
      </w:r>
    </w:p>
    <w:p>
      <w:pPr>
        <w:spacing w:before="0" w:after="200" w:lineRule="auto" w:line="276"/>
      </w:pPr>
      <w:r>
        <w:rPr>
          <w:b/>
        </w:rPr>
        <w:t xml:space="preserve">Abstract (EN): </w:t>
      </w:r>
      <w:r>
        <w:t>Click to copy section link Section link copied! Three-dimensional (3D) iodide double-perovskite (elpasolite) semiconductors have attracted interest as potential lead-free metal-halide absorber layers for solar applications. Although studied extensively by computational methods, they have remained largely inaccessible synthetically, consistent with their predicted thermodynamic instability. Here, we report the first synthesis of bulk Cs 2 AgBiI 6, demonstrating both microcrystalline and thin-film forms. Microcrystalline powders of Cs 2 AgBiI 6 were prepared via anion exchange from phase-pure Cs 2 AgBiBr 6 microcrystals. The resulting iodide elpasolite shows broad absorption throughout the visible with a 1.70 ± 0.05 eV optical bandgap and near-infrared photoluminescence centered at 1.03 eV. We identify the elimination of trace moisture in bulk Cs 2 AgBiBr 6 as the critical factor enabling complete halide exchange and isolation of bulk Cs 2 AgBiI 6 with phase purity. In inert atmosphere, microcrystalline Cs 2 AgBiI 6 shows no decomposition when stored for months at room temperature or heated to ∼70 °C, and it appears equally stable in dry air. Building upon these insights, we then demonstrate the preparation of phase-pure Cs 2 AgBiI 6 films by flash thermal evaporation of Cs 2 AgBiBr 6 followed by anion exchange. Photoconductivity measurements on such Cs 2 AgBiI 6 films demonstrate photocarrier generation and transport, marking the first optoelectronic measurement on this elusive 3D iodide double perovskite. ACS Publications © 2026 The Authors. Published by American Chemical Society</w:t>
      </w:r>
    </w:p>
    <w:p>
      <w:pPr>
        <w:spacing w:before="120" w:after="120"/>
      </w:pPr>
      <w:r>
        <w:rPr>
          <w:sz w:val="18"/>
        </w:rPr>
        <w:t>——————————————————————————————————————————————————————————————————————</w:t>
      </w:r>
    </w:p>
    <w:p>
      <w:pPr>
        <w:spacing w:before="160" w:after="40" w:line="240" w:lineRule="auto"/>
      </w:pPr>
      <w:r>
        <w:rPr>
          <w:b/>
        </w:rPr>
        <w:t xml:space="preserve">[22] </w:t>
      </w:r>
      <w:hyperlink r:id="rId49">
        <w:r>
          <w:rPr>
            <w:color w:val="1155CC"/>
            <w:u w:val="single"/>
          </w:rPr>
          <w:t>多重非共价组装二聚受体的演示使有机太阳能电池效率接近 21%</w:t>
        </w:r>
      </w:hyperlink>
    </w:p>
    <w:p>
      <w:pPr>
        <w:spacing w:before="0" w:after="80"/>
      </w:pPr>
      <w:r>
        <w:rPr>
          <w:i/>
          <w:sz w:val="20"/>
        </w:rPr>
        <w:t>EN: The Demonstration of a Multiply Noncovalently Assembled Dimeric Acceptor Enabling Organic Solar Cells Approaching 21% Efficiency</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50">
        <w:r>
          <w:rPr>
            <w:color w:val="1155CC"/>
            <w:u w:val="single"/>
          </w:rPr>
          <w:t>10.1021/jacs.6c06833</w:t>
        </w:r>
      </w:hyperlink>
    </w:p>
    <w:p>
      <w:pPr>
        <w:spacing w:before="0" w:after="120"/>
      </w:pPr>
      <w:r>
        <w:rPr>
          <w:b/>
        </w:rPr>
        <w:t xml:space="preserve">Notes: </w:t>
      </w:r>
      <w:r>
        <w:t>abstract_source=pubmed</w:t>
      </w:r>
    </w:p>
    <w:p>
      <w:pPr>
        <w:spacing w:before="0" w:after="80" w:lineRule="auto" w:line="276"/>
      </w:pPr>
      <w:r>
        <w:rPr>
          <w:b/>
        </w:rPr>
        <w:t xml:space="preserve">摘要（ZH）: </w:t>
      </w:r>
      <w:r>
        <w:t>有机太阳能电池（OSC）的电能转换效率已超过20%；然而，有限的分子有序性和高激子结合能阻碍了进一步的进展。在这里，通过调整小分子受体（SMA）内硫原子的数量，我们设计并合成了四种受体CHSMe、CHSPh、CH2SPh和CHDF，其中强的分子间C-H·S和C=S·S非共价相互作用导致清晰的双分子结构单元。 CHDF 的单晶 X 射线衍射分析表明，其 DTF 单元内的硫原子参与与邻近分子的分子间非共价相互作用。这些包括与苯环的双氢键相互作用（C-H…S）和与噻吩单元的双C=S…S相互作用。总的来说，这些多重相互作用推动了两个相邻 CHDF 分子之间几乎共面的二聚体的形成，这是首次在 SMA 单晶中观察到这种双分子自组装现象。这种行为在一系列具有不同侧链和端基的衍生物中得到了进一步证实。因此，所得的 CHDF 表现出增强的结晶度、广泛的 π-π 堆积以及显着降低的 150 meV 激子结合能。当与 PM6 配合使用时，基于 CHDF 的器件实现了 20.69% 的冠军效率，在二进制 OSC 中名列前茅。</w:t>
      </w:r>
    </w:p>
    <w:p>
      <w:pPr>
        <w:spacing w:before="0" w:after="200" w:lineRule="auto" w:line="276"/>
      </w:pPr>
      <w:r>
        <w:rPr>
          <w:b/>
        </w:rPr>
        <w:t xml:space="preserve">Abstract (EN): </w:t>
      </w:r>
      <w:r>
        <w:t>Organic solar cells (OSCs) have achieved power conversion efficiencies exceeding 20%; yet, further progress is hindered by limited molecular ordering and high exciton binding energies. Here, by tuning the number of sulfur atoms within small molecule acceptors (SMAs), we designed and synthesized four acceptors CHSMe, CHSPh, CH2SPh, and CHDF, where the strong intermolecular C-H···S and C═S···S noncovalent interactions lead to clear bimolecular structure units. Single-crystal X-ray diffraction analysis of CHDF reveals that the sulfur atoms within its DTF unit participate in intermolecular noncovalent interactions with neighboring molecules. These include a dual hydrogen-bonding interaction (C-H···S) with a benzene ring and a dual C═S···S interaction with a thiophene unit. Collectively, these multiple interactions drive the formation of a nearly coplanar dimer between two adjacent CHDF molecules─representing the first observation of such a bimolecular self-assembly in single crystals of SMAs. This behavior is further confirmed across a series of derivatives with different side chains and end groups. Thus, the resulting CHDF exhibits enhanced crystallinity, extensive π-π stacking, and a markedly reduced exciton binding energy of 150 meV. When paired with PM6, CHDF-based devices achieve a champion efficiency of 20.69%, ranking among the highest for binary OSCs.</w:t>
      </w:r>
    </w:p>
    <w:p>
      <w:pPr>
        <w:spacing w:before="120" w:after="120"/>
      </w:pPr>
      <w:r>
        <w:rPr>
          <w:sz w:val="18"/>
        </w:rPr>
        <w:t>——————————————————————————————————————————————————————————————————————</w:t>
      </w:r>
    </w:p>
    <w:p>
      <w:pPr>
        <w:spacing w:before="160" w:after="40" w:line="240" w:lineRule="auto"/>
      </w:pPr>
      <w:r>
        <w:rPr>
          <w:b/>
        </w:rPr>
        <w:t xml:space="preserve">[23] </w:t>
      </w:r>
      <w:hyperlink r:id="rId51">
        <w:r>
          <w:rPr>
            <w:color w:val="1155CC"/>
            <w:u w:val="single"/>
          </w:rPr>
          <w:t>用于钙钛矿太阳能电池的电子共振增强分子</w:t>
        </w:r>
      </w:hyperlink>
    </w:p>
    <w:p>
      <w:pPr>
        <w:spacing w:before="0" w:after="80"/>
      </w:pPr>
      <w:r>
        <w:rPr>
          <w:i/>
          <w:sz w:val="20"/>
        </w:rPr>
        <w:t>EN: Electronic-resonance enhanced molecule for perovskite solar cells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52">
        <w:r>
          <w:rPr>
            <w:color w:val="1155CC"/>
            <w:u w:val="single"/>
          </w:rPr>
          <w:t>10.1038/s41586-026-10919-4</w:t>
        </w:r>
      </w:hyperlink>
    </w:p>
    <w:p>
      <w:pPr>
        <w:spacing w:before="0" w:after="120"/>
      </w:pPr>
      <w:r>
        <w:rPr>
          <w:b/>
        </w:rPr>
        <w:t xml:space="preserve">Notes: </w:t>
      </w:r>
      <w:r>
        <w:t>abstract_source=nature_html</w:t>
      </w:r>
    </w:p>
    <w:p>
      <w:pPr>
        <w:spacing w:before="0" w:after="80" w:lineRule="auto" w:line="276"/>
      </w:pPr>
      <w:r>
        <w:rPr>
          <w:b/>
        </w:rPr>
        <w:t xml:space="preserve">摘要（ZH）: </w:t>
      </w:r>
      <w:r>
        <w:t>自组装单层 (SAM) 锚定在透明导电氧化物 (TCO) 基板上并形成界面分子偶极子以从钙钛矿层中提取载流子，促进了钙钛矿太阳能电池 (pero-SC) 效率的逐步提高。1-5 然而，由于配位点上的电子密度受限，固有键合强度有限，导致 SAM 在操作压力下解吸并损害电荷提取，这对其长期发展构成了显着挑战。 6,7 为了解决这个问题，我们设计了一种具有供体-受体-供体 (D-A-D) 共振分子结构的 SAM，其中电子共振增加了受体锚定基团处的负电荷密度，显着增强了膦酸-氧化铟锡 (ITO) 锚定键并防止 SAM 在操作过程中解吸。采用 D-A-D 谐振 SAM 的器件具有卓越的工作稳定性，在 85±5 °C 下最大功率点跟踪 (MPPT) 下运行 1,080 小时，衰减可忽略不计，在 85±5 °C 的金属卤化物 (MH) 灯照明（100 mW cm−2，内部 4.4% UV）下 1,080 小时后保持 &gt;93%，并且在 720 次重复热后保持 &gt;98%在−40 °C 和85 °C 之间循环。同时，谐振诱导的电荷离域促进了高效的载流子传输，在 0.063 cm2 器件上实现了 27.69% 的经认证功率转换效率 (PCE)，在孔径面积为 15.64 cm2 时实现了 23.63%。在柔性基板 (0.063 cm2) 上也实现了 26.64% 的认证效率，证明了这种方法的通用性</w:t>
      </w:r>
    </w:p>
    <w:p>
      <w:pPr>
        <w:spacing w:before="0" w:after="200" w:lineRule="auto" w:line="276"/>
      </w:pPr>
      <w:r>
        <w:rPr>
          <w:b/>
        </w:rPr>
        <w:t xml:space="preserve">Abstract (EN): </w:t>
      </w:r>
      <w:r>
        <w:t>Self-assembly monolayers (SAMs), which anchor to transparent conductive oxide (TCO) substrate and form an interfacial molecular dipole to extract carriers from perovskite layer, has promoted a stepwise improvement in efficiency of perovskite solar cells (pero-SCs).1-5 However, the limited intrinsic bonding strength due to constrained electron density on coordination sites incurs SAMs desorption and compromises charge extraction under operational stressors, posing a notable challenge to their long-term stability.6,7 To address this, we design a SAM with donor-acceptor-donor (D-A-D) resonant molecular structure, in which the electronic resonance increases the negative charge density at the acceptor anchoring group, significantly strengthening the phosphonic acid-indium tin oxide (ITO) anchoring bond and preventing the SAM desorption during operation. The device applying D-A-D resonant SAM possesses remarkable operational stability with negligible decay under maximum-power-point tracking (MPPT) at 85±5 °C for 1,080 h, maintains &gt;93% after 1,080 h under metal halide (MH) lamp illumination (100 mW cm−2, 4.4% UV inside) at 85±5 °C and also retains &gt;98% after 720 repetitive thermal cycles between −40 °C and 85 °C. Concurrently, the resonance induced charge delocalization facilitates efficient carrier transport, realizing a certified power conversion efficiencies (PCEs) of 27.69% on 0.063 cm2 devices and 23.63% with aperture area of 15.64 cm2. The certified efficiency of 26.64% is also realized on flexible substrates (0.063 cm2), demonstrating the universality of this approach across different types of substrates.</w:t>
      </w:r>
    </w:p>
    <w:p>
      <w:pPr>
        <w:spacing w:before="120" w:after="120"/>
      </w:pPr>
      <w:r>
        <w:rPr>
          <w:sz w:val="18"/>
        </w:rPr>
        <w:t>——————————————————————————————————————————————————————————————————————</w:t>
      </w:r>
    </w:p>
    <w:p>
      <w:pPr>
        <w:spacing w:before="160" w:after="40" w:line="240" w:lineRule="auto"/>
      </w:pPr>
      <w:r>
        <w:rPr>
          <w:b/>
        </w:rPr>
        <w:t xml:space="preserve">[24] </w:t>
      </w:r>
      <w:hyperlink r:id="rId53">
        <w:r>
          <w:rPr>
            <w:color w:val="1155CC"/>
            <w:u w:val="single"/>
          </w:rPr>
          <w:t>钙钛矿光伏的热蒸发路线，从基础到集成</w:t>
        </w:r>
      </w:hyperlink>
    </w:p>
    <w:p>
      <w:pPr>
        <w:spacing w:before="0" w:after="80"/>
      </w:pPr>
      <w:r>
        <w:rPr>
          <w:i/>
          <w:sz w:val="20"/>
        </w:rPr>
        <w:t>EN: Thermal evaporation routes for perovskite photovoltaics, from fundamentals to integration</w:t>
      </w:r>
    </w:p>
    <w:p>
      <w:pPr>
        <w:spacing w:before="0" w:after="120"/>
      </w:pPr>
      <w:r>
        <w:rPr>
          <w:b/>
        </w:rPr>
        <w:t xml:space="preserve">Source: </w:t>
      </w:r>
      <w:r>
        <w:t>Joule</w:t>
      </w:r>
      <w:r>
        <w:t xml:space="preserve">    </w:t>
      </w:r>
      <w:r>
        <w:rPr>
          <w:b/>
        </w:rPr>
        <w:t xml:space="preserve">Pub date: </w:t>
      </w:r>
      <w:r>
        <w:t>2026-07-22 00:00:00+00:00</w:t>
      </w:r>
      <w:r>
        <w:t xml:space="preserve">    </w:t>
      </w:r>
      <w:r>
        <w:rPr>
          <w:b/>
        </w:rPr>
        <w:t xml:space="preserve">DOI: </w:t>
      </w:r>
      <w:hyperlink r:id="rId54">
        <w:r>
          <w:rPr>
            <w:color w:val="1155CC"/>
            <w:u w:val="single"/>
          </w:rPr>
          <w:t>10.1016/j.joule.2026.102593</w:t>
        </w:r>
      </w:hyperlink>
    </w:p>
    <w:p>
      <w:pPr>
        <w:spacing w:before="0" w:after="120"/>
      </w:pPr>
      <w:r>
        <w:rPr>
          <w:b/>
        </w:rPr>
        <w:t xml:space="preserve">Notes: </w:t>
      </w:r>
      <w:r>
        <w:t>abstract_source=rss_cell</w:t>
      </w:r>
    </w:p>
    <w:p>
      <w:pPr>
        <w:spacing w:before="0" w:after="80" w:lineRule="auto" w:line="276"/>
      </w:pPr>
      <w:r>
        <w:rPr>
          <w:b/>
        </w:rPr>
        <w:t xml:space="preserve">摘要（ZH）: </w:t>
      </w:r>
      <w:r>
        <w:t>热蒸发为构建具有受控薄膜生长、界面和层厚度的钙钛矿太阳能电池和串联堆叠提供了一种无溶剂途径。本综述解释了共蒸发、顺序蒸发和混合蒸汽处理如何支持多层和大面积集成。它将源稳定性、沉积速率、材料利用率和大面积均匀性视为将高效设备转化为可扩展模块的关键障碍。</w:t>
      </w:r>
    </w:p>
    <w:p>
      <w:pPr>
        <w:spacing w:before="0" w:after="200" w:lineRule="auto" w:line="276"/>
      </w:pPr>
      <w:r>
        <w:rPr>
          <w:b/>
        </w:rPr>
        <w:t xml:space="preserve">Abstract (EN): </w:t>
      </w:r>
      <w:r>
        <w:t>Thermal evaporation offers a solvent-free route for constructing perovskite solar cells and tandem stacks with controlled film growth, interfaces, and layer thickness. This review explains how co-evaporation, sequential evaporation, and hybrid vapor-based processing support multilayer and large-area integration. It identifies source stability, deposition rate, material utilization, and large-area uniformity as key hurdles for translating efficient devices into scalable modules.</w:t>
      </w:r>
    </w:p>
    <w:p>
      <w:pPr>
        <w:spacing w:before="120" w:after="120"/>
      </w:pPr>
      <w:r>
        <w:rPr>
          <w:sz w:val="18"/>
        </w:rPr>
        <w:t>——————————————————————————————————————————————————————————————————————</w:t>
      </w:r>
    </w:p>
    <w:p>
      <w:pPr>
        <w:spacing w:before="160" w:after="40" w:line="240" w:lineRule="auto"/>
      </w:pPr>
      <w:r>
        <w:rPr>
          <w:b/>
        </w:rPr>
        <w:t xml:space="preserve">[25] </w:t>
      </w:r>
      <w:hyperlink r:id="rId55">
        <w:r>
          <w:rPr>
            <w:color w:val="1155CC"/>
            <w:u w:val="single"/>
          </w:rPr>
          <w:t>光伏系统中机器人清洁的实际性能和模块退化影响</w:t>
        </w:r>
      </w:hyperlink>
    </w:p>
    <w:p>
      <w:pPr>
        <w:spacing w:before="0" w:after="80"/>
      </w:pPr>
      <w:r>
        <w:rPr>
          <w:i/>
          <w:sz w:val="20"/>
        </w:rPr>
        <w:t>EN: Real-world performance and module degradation impacts of robotic cleaning in PV systems</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56">
        <w:r>
          <w:rPr>
            <w:color w:val="1155CC"/>
            <w:u w:val="single"/>
          </w:rPr>
          <w:t>10.1016/j.apenergy.2026.128460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57">
        <w:r>
          <w:rPr>
            <w:color w:val="1155CC"/>
            <w:u w:val="single"/>
          </w:rPr>
          <w:t>通过二维纳米晶体的动力学模板原纤维自组装可实现 21% 的有机太阳能电池效率</w:t>
        </w:r>
      </w:hyperlink>
    </w:p>
    <w:p>
      <w:pPr>
        <w:spacing w:before="0" w:after="80"/>
      </w:pPr>
      <w:r>
        <w:rPr>
          <w:i/>
          <w:sz w:val="20"/>
        </w:rPr>
        <w:t>EN: Kinetically templated fibrillar self-assembly via two-dimensional nanocrystals enables 21% efficient organic solar cells</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有机太阳能电池（OSC）的性能很大程度上取决于体异质结活性层的纤维组织，但在非平衡处理下控制长程、定向纤维形态仍然具有挑战性。在这里，我们报道了二维磷硫化钴（CoPS3）纳米晶体作为动力学模板，在薄膜形成过程中重新编程分子自组装。通过与共轭聚合物供体和小分子受体的集体电子相互作用，CoPS3 可以调节分子致密化和相分离途径，从而在不增加结晶度的情况下实现精细的长程纤维网络。由此产生的形态增强了激子解离和电荷传输，并抑制复合，实现了 21.0% 的功率转换效率。这种模板策略在多个 OSC 系统中有效，同时提高了效率和存储稳定性，为有机光电子学中的动力学形态控制提供了一条有前途的途径。</w:t>
      </w:r>
    </w:p>
    <w:p>
      <w:pPr>
        <w:spacing w:before="0" w:after="200" w:lineRule="auto" w:line="276"/>
      </w:pPr>
      <w:r>
        <w:rPr>
          <w:b/>
        </w:rPr>
        <w:t xml:space="preserve">Abstract (EN): </w:t>
      </w:r>
      <w:r>
        <w:t>The performance of organic solar cells (OSCs) is critically governed by the fibrillar organization of bulk-heterojunction active layers, yet controlling long-range, directional fibrillar morphology under nonequilibrium processing remains challenging. Here we report that two-dimensional cobalt phosphosulfide (CoPS3) nanocrystals act as kinetic templates that reprogram molecular self-assembly during film formation. Through collective electronic interactions with conjugated polymer donors and small-molecule acceptors, CoPS3 modulates molecular densification and phase separation pathways, enabling refined, long-range fibrillar networks without increasing crystallinity. The resulting morphology enhances exciton dissociation and charge transport, and inhibits recombination, delivering a power conversion efficiency of 21.0%. This templating strategy is effective across multiple OSC systems, simultaneously improving efficiency and storage stability, offering a promising route for kinetic morphology control in organic optoelectronics.</w:t>
      </w:r>
    </w:p>
    <w:p>
      <w:pPr>
        <w:spacing w:before="120" w:after="120"/>
      </w:pPr>
      <w:r>
        <w:rPr>
          <w:sz w:val="18"/>
        </w:rPr>
        <w:t>——————————————————————————————————————————————————————————————————————</w:t>
      </w:r>
    </w:p>
    <w:p>
      <w:pPr>
        <w:spacing w:before="160" w:after="40" w:line="240" w:lineRule="auto"/>
      </w:pPr>
      <w:r>
        <w:rPr>
          <w:b/>
        </w:rPr>
        <w:t xml:space="preserve">[27] </w:t>
      </w:r>
      <w:hyperlink r:id="rId58">
        <w:r>
          <w:rPr>
            <w:color w:val="1155CC"/>
            <w:u w:val="single"/>
          </w:rPr>
          <w:t>超越自组装分子：宽带隙钙钛矿的氢键调控结晶，用于高性能钙钛矿-硅串联光伏</w:t>
        </w:r>
      </w:hyperlink>
    </w:p>
    <w:p>
      <w:pPr>
        <w:spacing w:before="0" w:after="80"/>
      </w:pPr>
      <w:r>
        <w:rPr>
          <w:i/>
          <w:sz w:val="20"/>
        </w:rPr>
        <w:t>EN: Beyond Self‐Assembled Molecules: Hydrogen‐Bonding‐Regulated Crystallization of Wide‐Bandgap Perovskite for High‐Performance Perovskite‐Silicon Tandem Photovoltaics</w:t>
      </w:r>
    </w:p>
    <w:p>
      <w:pPr>
        <w:spacing w:before="0" w:after="120"/>
      </w:pPr>
      <w:r>
        <w:rPr>
          <w:b/>
        </w:rPr>
        <w:t xml:space="preserve">Source: </w:t>
      </w:r>
      <w:r>
        <w:t>Wiley: Angewandte Chemie International Edition: Table of Contents</w:t>
      </w:r>
      <w:r>
        <w:t xml:space="preserve">    </w:t>
      </w:r>
      <w:r>
        <w:rPr>
          <w:b/>
        </w:rPr>
        <w:t xml:space="preserve">Pub date: </w:t>
      </w:r>
      <w:r>
        <w:t>2026-07-22 05:21:10+00:00</w:t>
      </w:r>
      <w:r>
        <w:t xml:space="preserve">    </w:t>
      </w:r>
      <w:r>
        <w:rPr>
          <w:b/>
        </w:rPr>
        <w:t xml:space="preserve">DOI: </w:t>
      </w:r>
      <w:hyperlink r:id="rId59">
        <w:r>
          <w:rPr>
            <w:color w:val="1155CC"/>
            <w:u w:val="single"/>
          </w:rPr>
          <w:t>10.1002/anie.1676645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隙（WBG）钙钛矿结晶对于高效钙钛矿-硅串联太阳能电池（TSC）至关重要，但它们在自组装分子（SAM）上的制造经常受到溶剂引起的损伤和不受控制的堆积的挑战。在这里，我们报告了一种界面工程策略，该策略通过在 SAM 和钙钛矿光敏层之间引入噻吩-3-基甲胺盐酸盐 (3-TMA) 分子层，超越了传统的 SAM 修饰。芳香族噻吩单元建立了强大的</w:t>
      </w:r>
      <w:r>
        <w:t xml:space="preserve"> </w:t>
      </w:r>
      <w:r>
        <w:t>π</w:t>
      </w:r>
      <w:r>
        <w:t xml:space="preserve"> </w:t>
      </w:r>
      <w:r>
        <w:t>－</w:t>
      </w:r>
      <w:r>
        <w:t xml:space="preserve"> </w:t>
      </w:r>
      <w:r>
        <w:t>π</w:t>
      </w:r>
      <w:r>
        <w:t xml:space="preserve"> </w:t>
      </w:r>
      <w:r>
        <w:t>与底层 SAM 堆叠相互作用，形成耐溶剂中间层，在溶液处理过程中稳定锚定的 SAM 结构。同时，3-TMA和钙钛矿前驱体之间的氢键相互作用有效地减缓了结晶，促进均匀成核和高质量的WBG钙钛矿薄膜。由此产生的界面表现出改善的能级排列和降低的界面应力，有利于有效的电荷传输和增强的器件稳定性。因此，带隙为 1.67 和 1.84 eV 的单结 WBG 钙钛矿器件分别实现了 23.17% 和 19.61% 的冠军功率转换效率 (PCE)。当集成到单片钙钛矿硅 TSC 中时，该策略使刚性串联的 PCE 达到 33.21%（认证为 32.13%），使柔性串联的 PCE 达到 31.03%（认证为 30.34%）。封装器件保留了 92.3% 的初始性能</w:t>
      </w:r>
    </w:p>
    <w:p>
      <w:pPr>
        <w:spacing w:before="0" w:after="200" w:lineRule="auto" w:line="276"/>
      </w:pPr>
      <w:r>
        <w:rPr>
          <w:b/>
        </w:rPr>
        <w:t xml:space="preserve">Abstract (EN): </w:t>
      </w:r>
      <w:r>
        <w:t>Wide‐bandgap (WBG) perovskites crystallization is essential for high‐efficiency perovskite–silicon tandem solar cells (TSCs), yet their fabrication on self‐assembled molecules (SAMs) is often challenged by solvent‐induced damage and uncontrolled packing. Here, we report an interfacial engineering strategy that goes beyond conventional SAM modification by introducing a thiophen‐3‐ylmethanamine hydrochloride (3‐TMA) molecular layer between the SAM and perovskite photo‐active layer. The aromatic thiophene units establish strong</w:t>
      </w:r>
      <w:r>
        <w:t xml:space="preserve"> </w:t>
      </w:r>
      <w:r>
        <w:t>π</w:t>
      </w:r>
      <w:r>
        <w:t xml:space="preserve"> </w:t>
      </w:r>
      <w:r>
        <w:t>‑</w:t>
      </w:r>
      <w:r>
        <w:t xml:space="preserve"> </w:t>
      </w:r>
      <w:r>
        <w:t>π</w:t>
      </w:r>
      <w:r>
        <w:t xml:space="preserve"> </w:t>
      </w:r>
      <w:r>
        <w:t>stacking interactions with the underlying SAM, forming a solvent‐resistant interlayer that stabilizes the anchored SAM structure during solution processing. Meanwhile, hydrogen‐bonding interactions between 3‐TMA and the perovskite precursors effectively decelerate crystallization, promoting uniform nucleation and high‐quality WBG perovskite films. The resulting interface exhibits improved energy‐level alignment and reduced interfacial stress, facilitating efficient charge transport and enhanced device stability. Consequently, single‐junction WBG perovskite devices with bandgaps of 1.67 and 1.84 eV achieve champion power conversion efficiencies (PCEs) of 23.17% and 19.61%, respectively. When integrated into monolithic perovskite‒silicon TSCs, the strategy enables PCEs of 33.21% (certified 32.13%) for rigid tandems and 31.03% (certified 30.34%) for flexible tandems. Encapsulated devices retain 92.3% of their initial performance after 1000 h of continuous 1 sun illumination at room temperature.</w:t>
      </w:r>
    </w:p>
    <w:p>
      <w:pPr>
        <w:spacing w:before="120" w:after="120"/>
      </w:pPr>
      <w:r>
        <w:rPr>
          <w:sz w:val="18"/>
        </w:rPr>
        <w:t>——————————————————————————————————————————————————————————————————————</w:t>
      </w:r>
    </w:p>
    <w:p>
      <w:pPr>
        <w:spacing w:before="160" w:after="40" w:line="240" w:lineRule="auto"/>
      </w:pPr>
      <w:r>
        <w:rPr>
          <w:b/>
        </w:rPr>
        <w:t xml:space="preserve">[28] </w:t>
      </w:r>
      <w:hyperlink r:id="rId60">
        <w:r>
          <w:rPr>
            <w:color w:val="1155CC"/>
            <w:u w:val="single"/>
          </w:rPr>
          <w:t>热激活“冷”孔以 15.6% 的效率克服了单组件有机太阳能电池的复合限制</w:t>
        </w:r>
      </w:hyperlink>
    </w:p>
    <w:p>
      <w:pPr>
        <w:spacing w:before="0" w:after="80"/>
      </w:pPr>
      <w:r>
        <w:rPr>
          <w:i/>
          <w:sz w:val="20"/>
        </w:rPr>
        <w:t>EN: Thermally Activated “Cold” Holes Overcome Recombination Limits in Single‐Component Organic Solar Cells With 15.6% Efficiency</w:t>
      </w:r>
    </w:p>
    <w:p>
      <w:pPr>
        <w:spacing w:before="0" w:after="120"/>
      </w:pPr>
      <w:r>
        <w:rPr>
          <w:b/>
        </w:rPr>
        <w:t xml:space="preserve">Source: </w:t>
      </w:r>
      <w:r>
        <w:t>Wiley: Angewandte Chemie International Edition: Table of Contents</w:t>
      </w:r>
      <w:r>
        <w:t xml:space="preserve">    </w:t>
      </w:r>
      <w:r>
        <w:rPr>
          <w:b/>
        </w:rPr>
        <w:t xml:space="preserve">Pub date: </w:t>
      </w:r>
      <w:r>
        <w:t>2026-07-22 05:21:13+00:00</w:t>
      </w:r>
      <w:r>
        <w:t xml:space="preserve">    </w:t>
      </w:r>
      <w:r>
        <w:rPr>
          <w:b/>
        </w:rPr>
        <w:t xml:space="preserve">DOI: </w:t>
      </w:r>
      <w:hyperlink r:id="rId61">
        <w:r>
          <w:rPr>
            <w:color w:val="1155CC"/>
            <w:u w:val="single"/>
          </w:rPr>
          <w:t>10.1002/anie.7854948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本体异质结系统相比，基于双缆共轭聚合物的单组件有机太阳能电池（SCOSC）提供了无与伦比的形态稳定性，但其效率受到快速成对重组的严重瓶颈。虽然这些聚合物中固有的供体-受体接近性会产生超长寿命的电荷转移 (CT) 态 (&gt;5 ns)，但这些“冷”载流子传统上被视为能量陷阱。在这里，我们报告了一种热力学策略，该策略将这种扩展的时间窗口转换为热激活电荷提取的资源。通过使用具有精确的 0.02 eV 最高占据分子轨道 (HOMO) 偏移的 D18 聚合物层设计界面能梯，我们证明了可以热促进和选择性收集长寿命的空穴。这种主动能量管理机制成功地超越了非辐射复合损耗，同时提高了开路电压、短路电流和填充因子。因此，优化后的器件实现了破纪录的 15.65% 功率转换效率。这项工作为有机光伏建立了一个新的范式：证明以前被认为是基本限制的长寿命激发态可以战略性地利用作为热激活库来克服热力学复合损失。</w:t>
      </w:r>
    </w:p>
    <w:p>
      <w:pPr>
        <w:spacing w:before="0" w:after="200" w:lineRule="auto" w:line="276"/>
      </w:pPr>
      <w:r>
        <w:rPr>
          <w:b/>
        </w:rPr>
        <w:t xml:space="preserve">Abstract (EN): </w:t>
      </w:r>
      <w:r>
        <w:t>Single‐component organic solar cells (SCOSCs) based on double‐cable conjugated polymers offer unparalleled morphological stability compared to bulk‐heterojunction systems, but their efficiencies are severely bottlenecked by rapid geminate recombination. While the intrinsic donor–acceptor proximity in these polymers generates ultralong‐lived charge‐transfer (CT) states (&amp;gt;5 ns), these “cold” carriers are traditionally viewed as an energetic trap. Here, we report a thermodynamic strategy that converts this extended temporal window into a resource for thermally activated charge extraction. By engineering an interfacial energy ladder using a D18 polymer layer with a precise 0.02 eV highest occupied molecular orbital (HOMO) offset, we demonstrate that long‐lived holes can be thermally promoted and selectively harvested. This active energy management mechanism successfully outcompetes non‐radiative recombination loss, simultaneously elevating the open‐circuit voltage, short‐circuit current, and fill factor. Consequently, the optimized devices achieve a record‐breaking power conversion efficiency of 15.65%. This work establishes a new paradigm for organic photovoltaics: demonstrating that long‐lived excited states, previously considered a fundamental limitation, can be strategically harnessed as a thermal activation reservoir to overcome thermodynamic recombination losses.</w:t>
      </w:r>
    </w:p>
    <w:p>
      <w:pPr>
        <w:spacing w:before="120" w:after="120"/>
      </w:pPr>
      <w:r>
        <w:rPr>
          <w:sz w:val="18"/>
        </w:rPr>
        <w:t>——————————————————————————————————————————————————————————————————————</w:t>
      </w:r>
    </w:p>
    <w:p>
      <w:pPr>
        <w:spacing w:before="160" w:after="40" w:line="240" w:lineRule="auto"/>
      </w:pPr>
      <w:r>
        <w:rPr>
          <w:b/>
        </w:rPr>
        <w:t xml:space="preserve">[29] </w:t>
      </w:r>
      <w:hyperlink r:id="rId62">
        <w:r>
          <w:rPr>
            <w:color w:val="1155CC"/>
            <w:u w:val="single"/>
          </w:rPr>
          <w:t>多位点分子盐可实现高效倒置钙钛矿太阳能电池的表面钝化和能量管理</w:t>
        </w:r>
      </w:hyperlink>
    </w:p>
    <w:p>
      <w:pPr>
        <w:spacing w:before="0" w:after="80"/>
      </w:pPr>
      <w:r>
        <w:rPr>
          <w:i/>
          <w:sz w:val="20"/>
        </w:rPr>
        <w:t>EN: A Multisite Molecular Salt Enables Surface Passivation and Energetics Management for Efficient Inverted Perovskite Solar Cells</w:t>
      </w:r>
    </w:p>
    <w:p>
      <w:pPr>
        <w:spacing w:before="0" w:after="120"/>
      </w:pPr>
      <w:r>
        <w:rPr>
          <w:b/>
        </w:rPr>
        <w:t xml:space="preserve">Source: </w:t>
      </w:r>
      <w:r>
        <w:t>Wiley: Advanced Energy Materials: Table of Contents</w:t>
      </w:r>
      <w:r>
        <w:t xml:space="preserve">    </w:t>
      </w:r>
      <w:r>
        <w:rPr>
          <w:b/>
        </w:rPr>
        <w:t xml:space="preserve">Pub date: </w:t>
      </w:r>
      <w:r>
        <w:t>2026-07-22 06:28:01+00:00</w:t>
      </w:r>
      <w:r>
        <w:t xml:space="preserve">    </w:t>
      </w:r>
      <w:r>
        <w:rPr>
          <w:b/>
        </w:rPr>
        <w:t xml:space="preserve">DOI: </w:t>
      </w:r>
      <w:hyperlink r:id="rId63">
        <w:r>
          <w:rPr>
            <w:color w:val="1155CC"/>
            <w:u w:val="single"/>
          </w:rPr>
          <w:t>10.1002/aenm.71305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表面缺陷化学和界面能量仍然是限制倒置钙钛矿太阳能电池的电压输出和运行耐久性的主要瓶颈。在这里，我们开发了一种广泛适用的沉积后表面改性，在钙钛矿电子接触界面安装了 1-(4'-磺基苯基)-3-羧基-5-吡唑啉酮钠盐 (SCP) 的超薄多功能分子层。磺酸盐/羧酸盐和吡唑啉酮O/N基序协同协调欠配位的Pb</w:t>
      </w:r>
      <w:r>
        <w:t xml:space="preserve"> </w:t>
      </w:r>
      <w:r>
        <w:t>2+</w:t>
      </w:r>
      <w:r>
        <w:t xml:space="preserve"> </w:t>
      </w:r>
      <w:r>
        <w:t>，和钠</w:t>
      </w:r>
      <w:r>
        <w:t xml:space="preserve"> </w:t>
      </w:r>
      <w:r>
        <w:t>+</w:t>
      </w:r>
      <w:r>
        <w:t xml:space="preserve"> </w:t>
      </w:r>
      <w:r>
        <w:t>提供额外的离子补偿，有助于减少陷阱辅助重组并抑制界面离子活性。同时，SCP 重建了近表面电子结构和能带弯曲，从而改善了能级排列并加快了电子提取速度。因此，修改后的器件的冠军效率为 27.25%。值得注意的是，经过第三方认证的稳态 PCE（IEC 60904-1:2020，AM1.5G，25°C）在 300 秒老化后达到了 26.84% 的平均值。经过 1485 小时的最大功率点跟踪后，这些器件进一步保留了 90% 的初始性能。这项工作突出了一种通用的表面能工程范式，将化学钝化与界面电子重构相结合，为高性能、耐用的钙钛矿光伏发电提供了一条可扩展的途径。</w:t>
      </w:r>
    </w:p>
    <w:p>
      <w:pPr>
        <w:spacing w:before="0" w:after="200" w:lineRule="auto" w:line="276"/>
      </w:pPr>
      <w:r>
        <w:rPr>
          <w:b/>
        </w:rPr>
        <w:t xml:space="preserve">Abstract (EN): </w:t>
      </w:r>
      <w:r>
        <w:t>Surface defect chemistry and interfacial energetics remain the primary bottlenecks limiting both voltage output and operational durability in inverted perovskite solar cells. Here we develop a broadly applicable post‐deposition surface modification that installs an ultrathin multifunctional molecular layer of 1‐(4’‐sulfophenyl)‐3‐carboxyl‐5‐pyrazolone sodium salt (SCP) at the perovskite electron‐contact interface. The sulfonate/carboxylate and pyrazolone O/N motifs cooperatively coordinate undercoordinated Pb</w:t>
      </w:r>
      <w:r>
        <w:t xml:space="preserve"> </w:t>
      </w:r>
      <w:r>
        <w:t>2+</w:t>
      </w:r>
      <w:r>
        <w:t xml:space="preserve"> </w:t>
      </w:r>
      <w:r>
        <w:t>, and the Na</w:t>
      </w:r>
      <w:r>
        <w:t xml:space="preserve"> </w:t>
      </w:r>
      <w:r>
        <w:t>+</w:t>
      </w:r>
      <w:r>
        <w:t xml:space="preserve"> </w:t>
      </w:r>
      <w:r>
        <w:t>provides additional ionic compensation, contributing to reduced trap‐assisted recombination and suppressed interfacial ionic activity. Meanwhile, SCP reconstructs the near‐surface electronic structure and band bending, enabling improved energy‐level alignment and faster electron extraction. Consequently, the modified devices deliver a champion efficiency of 27.25%. Notably, a third‐party certified steady‐state PCE (IEC 60904‐1:2020, AM1.5G, 25°C) achieved a mean value of 26.84% after 300s aging. The devices further retain 90% of their initial performance after 1485 h of maximum‐power‐point tracking. This work highlights a general surface‐energetics engineering paradigm that couples chemical passivation with interfacial electronic reconstruction, offering a scalable route toward high‐performance, durable perovskite photovoltaics.</w:t>
      </w:r>
    </w:p>
    <w:p>
      <w:pPr>
        <w:spacing w:before="120" w:after="120"/>
      </w:pPr>
      <w:r>
        <w:rPr>
          <w:sz w:val="18"/>
        </w:rPr>
        <w:t>——————————————————————————————————————————————————————————————————————</w:t>
      </w:r>
    </w:p>
    <w:p>
      <w:pPr>
        <w:spacing w:before="160" w:after="40" w:line="240" w:lineRule="auto"/>
      </w:pPr>
      <w:r>
        <w:rPr>
          <w:b/>
        </w:rPr>
        <w:t xml:space="preserve">[30] </w:t>
      </w:r>
      <w:hyperlink r:id="rId64">
        <w:r>
          <w:rPr>
            <w:color w:val="1155CC"/>
            <w:u w:val="single"/>
          </w:rPr>
          <w:t>具有混合取向表面结构的纯相 n = 1 二维钙钛矿的热独立界面重构</w:t>
        </w:r>
      </w:hyperlink>
    </w:p>
    <w:p>
      <w:pPr>
        <w:spacing w:before="0" w:after="80"/>
      </w:pPr>
      <w:r>
        <w:rPr>
          <w:i/>
          <w:sz w:val="20"/>
        </w:rPr>
        <w:t>EN: Thermally Independent Interfacial Reconstruction for Phase‐Pure n = 1 2D Perovskites With Mixed‐Orientation Surface Architecture</w:t>
      </w:r>
    </w:p>
    <w:p>
      <w:pPr>
        <w:spacing w:before="0" w:after="120"/>
      </w:pPr>
      <w:r>
        <w:rPr>
          <w:b/>
        </w:rPr>
        <w:t xml:space="preserve">Source: </w:t>
      </w:r>
      <w:r>
        <w:t>Wiley: Advanced Materials: Table of Contents</w:t>
      </w:r>
      <w:r>
        <w:t xml:space="preserve">    </w:t>
      </w:r>
      <w:r>
        <w:rPr>
          <w:b/>
        </w:rPr>
        <w:t xml:space="preserve">Pub date: </w:t>
      </w:r>
      <w:r>
        <w:t>2026-07-22 18:52:18+00:00</w:t>
      </w:r>
      <w:r>
        <w:t xml:space="preserve">    </w:t>
      </w:r>
      <w:r>
        <w:rPr>
          <w:b/>
        </w:rPr>
        <w:t xml:space="preserve">DOI: </w:t>
      </w:r>
      <w:hyperlink r:id="rId65">
        <w:r>
          <w:rPr>
            <w:color w:val="1155CC"/>
            <w:u w:val="single"/>
          </w:rPr>
          <w:t>10.1002/adma.74247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2D）钙钛矿被广泛用于提高钙钛矿太阳能电池（PSC）的效率和稳定性；然而，它们的形成通常依赖于热退火，这会降解底层的三维（3D）钙钛矿并导致不明确的相。此外，它们本质上较低的面外电导率需要在提高稳定性和有效电荷传输之间进行权衡。在这里，报道了一种与热无关的界面重建策略，以实现相纯相的选择性形成</w:t>
      </w:r>
      <w:r>
        <w:t xml:space="preserve"> </w:t>
      </w:r>
      <w:r>
        <w:t>n</w:t>
      </w:r>
      <w:r>
        <w:t xml:space="preserve"> </w:t>
      </w:r>
      <w:r>
        <w:t>= 1 没有热激活的 2D 钙钛矿。这种方法抑制热诱导降解并防止形成高n或混合相中间体。由此产生的 2D 钙钛矿表现出混合取向的结构，包括相对于底层 3D 晶格平行和倾斜的域。这种结构配置同时实现了有效的表面钝化和离子阻挡，同时保持有效的垂直电荷传输，从而克服了稳定性与传输的权衡。结果，优化的 PSC 实现了 26.61% 的冠军效率，并在 2000 小时的连续最大功率点跟踪后保留了 98% 以上的初始性能。相比之下，控制装置在相同条件下表现出较差的效率和加速的退化。这项工作建立了一种非热途径来协调钙钛矿光电子学的稳定性和电荷传输。</w:t>
      </w:r>
    </w:p>
    <w:p>
      <w:pPr>
        <w:spacing w:before="0" w:after="200" w:lineRule="auto" w:line="276"/>
      </w:pPr>
      <w:r>
        <w:rPr>
          <w:b/>
        </w:rPr>
        <w:t xml:space="preserve">Abstract (EN): </w:t>
      </w:r>
      <w:r>
        <w:t>Two‐dimensional (2D) perovskites are widely employed to enhance the efficiency and stability of perovskite solar cells (PSCs); however, their formation typically relies on thermal annealing, which can degrade the underlying three‐dimensional (3D) perovskite and lead to poorly defined phases. In addition, their intrinsically low out‐of‐plane conductivity imposes a trade‐off between improved stability and efficient charge transport. Here, a thermally independent interfacial reconstruction strategy is reported to enable the phase‐selective formation of phase‐pure</w:t>
      </w:r>
      <w:r>
        <w:t xml:space="preserve"> </w:t>
      </w:r>
      <w:r>
        <w:t>n</w:t>
      </w:r>
      <w:r>
        <w:t xml:space="preserve"> </w:t>
      </w:r>
      <w:r>
        <w:t>= 1 2D perovskites without thermal activation. This approach suppresses thermally induced degradation and prevents the formation of higher‐n or mixed‐phase intermediates. The resulting 2D perovskite exhibits a mixed‐orientation architecture, comprising domains parallel and tilted relative to the underlying 3D lattice. This structural configuration simultaneously enables effective surface passivation and ion‐blocking while maintaining efficient vertical charge transport, thereby overcoming the stability‐transport trade‐off. As a result, the optimized PSCs achieve a champion efficiency of 26.61% and retain over 98% of their initial performance after 2000 h of continuous maximum power point tracking. In contrast, the control devices exhibit inferior efficiency and accelerated degradation under identical conditions. This work establishes a nonthermal pathway to reconcile stability and charge transport in perovskite optoelectronics.</w:t>
      </w:r>
    </w:p>
    <w:p>
      <w:pPr>
        <w:spacing w:before="120" w:after="120"/>
      </w:pPr>
      <w:r>
        <w:rPr>
          <w:sz w:val="18"/>
        </w:rPr>
        <w:t>——————————————————————————————————————————————————————————————————————</w:t>
      </w:r>
    </w:p>
    <w:p>
      <w:pPr>
        <w:spacing w:before="160" w:after="40" w:line="240" w:lineRule="auto"/>
      </w:pPr>
      <w:r>
        <w:rPr>
          <w:b/>
        </w:rPr>
        <w:t xml:space="preserve">[31] </w:t>
      </w:r>
      <w:hyperlink r:id="rId66">
        <w:r>
          <w:rPr>
            <w:color w:val="1155CC"/>
            <w:u w:val="single"/>
          </w:rPr>
          <w:t>用于评估钙钛矿太阳能模块晶体均匀性的完整薄膜正交 2D X 射线衍射图</w:t>
        </w:r>
      </w:hyperlink>
    </w:p>
    <w:p>
      <w:pPr>
        <w:spacing w:before="0" w:after="80"/>
      </w:pPr>
      <w:r>
        <w:rPr>
          <w:i/>
          <w:sz w:val="20"/>
        </w:rPr>
        <w:t>EN: Intact-film orthogonal 2D X-ray diffraction mapping for crystallographic homogeneity evaluation in perovskite solar modules</w:t>
      </w:r>
    </w:p>
    <w:p>
      <w:pPr>
        <w:spacing w:before="0" w:after="120"/>
      </w:pPr>
      <w:r>
        <w:rPr>
          <w:b/>
        </w:rPr>
        <w:t xml:space="preserve">Source: </w:t>
      </w:r>
      <w:r>
        <w:t>Joule</w:t>
      </w:r>
      <w:r>
        <w:t xml:space="preserve">    </w:t>
      </w:r>
      <w:r>
        <w:rPr>
          <w:b/>
        </w:rPr>
        <w:t xml:space="preserve">Pub date: </w:t>
      </w:r>
      <w:r>
        <w:t>2026-07-23 00:00:00+00:00</w:t>
      </w:r>
      <w:r>
        <w:t xml:space="preserve">    </w:t>
      </w:r>
      <w:r>
        <w:rPr>
          <w:b/>
        </w:rPr>
        <w:t xml:space="preserve">DOI: </w:t>
      </w:r>
      <w:hyperlink r:id="rId67">
        <w:r>
          <w:rPr>
            <w:color w:val="1155CC"/>
            <w:u w:val="single"/>
          </w:rPr>
          <w:t>10.1016/j.joule.2026.102594</w:t>
        </w:r>
      </w:hyperlink>
    </w:p>
    <w:p>
      <w:pPr>
        <w:spacing w:before="0" w:after="120"/>
      </w:pPr>
      <w:r>
        <w:rPr>
          <w:b/>
        </w:rPr>
        <w:t xml:space="preserve">Notes: </w:t>
      </w:r>
      <w:r>
        <w:t>abstract_source=rss_cell</w:t>
      </w:r>
    </w:p>
    <w:p>
      <w:pPr>
        <w:spacing w:before="0" w:after="80" w:lineRule="auto" w:line="276"/>
      </w:pPr>
      <w:r>
        <w:rPr>
          <w:b/>
        </w:rPr>
        <w:t xml:space="preserve">摘要（ZH）: </w:t>
      </w:r>
      <w:r>
        <w:t>金等人。开发了一种正交二维 X 射线衍射绘图技术，用于大面积完整钙钛矿模块的无损结构表征。该平台能够同时空间可视化整个薄膜的结晶度、晶体取向和残余应变，揭示结构均匀性如何控制可扩展、高效的模块制造。</w:t>
      </w:r>
    </w:p>
    <w:p>
      <w:pPr>
        <w:spacing w:before="0" w:after="200" w:lineRule="auto" w:line="276"/>
      </w:pPr>
      <w:r>
        <w:rPr>
          <w:b/>
        </w:rPr>
        <w:t xml:space="preserve">Abstract (EN): </w:t>
      </w:r>
      <w:r>
        <w:t>Kim et al. developed an orthogonal 2D X-ray diffraction mapping technique for non-destructive structural characterization of large-area intact perovskite modules. The platform enables simultaneous spatial visualization of crystallinity, crystal orientation, and residual strain across entire films, revealing how structural homogeneity governs scalable, high-efficiency module fabrication.</w:t>
      </w:r>
    </w:p>
    <w:p>
      <w:pPr>
        <w:spacing w:before="120" w:after="120"/>
      </w:pPr>
      <w:r>
        <w:rPr>
          <w:sz w:val="18"/>
        </w:rPr>
        <w:t>——————————————————————————————————————————————————————————————————————</w:t>
      </w:r>
    </w:p>
    <w:p>
      <w:pPr>
        <w:spacing w:before="160" w:after="40" w:line="240" w:lineRule="auto"/>
      </w:pPr>
      <w:r>
        <w:rPr>
          <w:b/>
        </w:rPr>
        <w:t xml:space="preserve">[32] </w:t>
      </w:r>
      <w:hyperlink r:id="rId68">
        <w:r>
          <w:rPr>
            <w:color w:val="1155CC"/>
            <w:u w:val="single"/>
          </w:rPr>
          <w:t>钙钛矿太阳能电池和模块的工艺湿度鲁棒性和可重复制造的分子增材工程</w:t>
        </w:r>
      </w:hyperlink>
    </w:p>
    <w:p>
      <w:pPr>
        <w:spacing w:before="0" w:after="80"/>
      </w:pPr>
      <w:r>
        <w:rPr>
          <w:i/>
          <w:sz w:val="20"/>
        </w:rPr>
        <w:t>EN: Molecular Additive Engineering for Process-Humidity Robustness and Reproducible Fabrication of Perovskite Solar Cells and Modules</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69">
        <w:r>
          <w:rPr>
            <w:color w:val="1155CC"/>
            <w:u w:val="single"/>
          </w:rPr>
          <w:t>10.1021/acsami.6c09922</w:t>
        </w:r>
      </w:hyperlink>
    </w:p>
    <w:p>
      <w:pPr>
        <w:spacing w:before="0" w:after="120"/>
      </w:pPr>
      <w:r>
        <w:rPr>
          <w:b/>
        </w:rPr>
        <w:t xml:space="preserve">Notes: </w:t>
      </w:r>
      <w:r>
        <w:t>abstract_source=pubmed</w:t>
      </w:r>
    </w:p>
    <w:p>
      <w:pPr>
        <w:spacing w:before="0" w:after="80" w:lineRule="auto" w:line="276"/>
      </w:pPr>
      <w:r>
        <w:rPr>
          <w:b/>
        </w:rPr>
        <w:t xml:space="preserve">摘要（ZH）: </w:t>
      </w:r>
      <w:r>
        <w:t>钙钛矿太阳能电池（PSC）的商业化面临着重大挑战，因为它们对环境湿度敏感，这会影响薄膜结晶和器件稳定性。在这里，我们引入二苯基乙烯基膦 (DPVP) 作为路易斯碱添加剂，可提高在环境空气条件下制造的 PSC 的性能和再现性。 DPVP 可抑制水分引起的缺陷形成，并在实验室和中试规模制造环境中常见的实际工艺湿度范围（20-40% 相对湿度）内稳定结晶。它提高了薄膜均匀性，降低了陷阱密度，并产生高度可重复的器件性能，使小面积器件中的冠军 PCE 达到 24.2%，在刀片涂层的 12 cm2 迷你模块中达到 20.5%。此外，DPVP 辅助模块表现出增强的稳定性，在 65 °C 的最大功率点跟踪 (MPPT) 900 小时后仍保持超过 85% 的初始效率。这项研究展示了一种用于环境空气钙钛矿光伏制造的耐湿且可扩展的添加剂策略。</w:t>
      </w:r>
    </w:p>
    <w:p>
      <w:pPr>
        <w:spacing w:before="0" w:after="200" w:lineRule="auto" w:line="276"/>
      </w:pPr>
      <w:r>
        <w:rPr>
          <w:b/>
        </w:rPr>
        <w:t xml:space="preserve">Abstract (EN): </w:t>
      </w:r>
      <w:r>
        <w:t>The commercialization of perovskite solar cells (PSCs) faces significant challenges due to their sensitivity to environmental humidity, which compromises film crystallization and device stability. Here, we introduce diphenylvinylphosphine (DPVP) as a Lewis base additive that enhances the performance and reproducibility of PSCs fabricated under ambient-air conditions. DPVP suppresses moisture-induced defect formation and stabilizes crystallization within realistic process-humidity ranges (20-40% relative humidity) commonly encountered in laboratory and pilot-scale manufacturing environments. It improves film uniformity, reduces trap densities, and yields highly reproducible device performance, enabling champion PCEs of 24.2% in small-area devices and 20.5% in blade-coated 12 cm2 mini-modules. Furthermore, DPVP-assisted modules exhibit enhanced stability, retaining over 85% of their initial efficiency after 900 h of maximum power point tracking (MPPT) at 65 °C. This study demonstrates a humidity-resilient and scalable additive strategy for ambient-air perovskite photovoltaic manufacturing.</w:t>
      </w:r>
    </w:p>
    <w:p>
      <w:pPr>
        <w:spacing w:before="120" w:after="120"/>
      </w:pPr>
      <w:r>
        <w:rPr>
          <w:sz w:val="18"/>
        </w:rPr>
        <w:t>——————————————————————————————————————————————————————————————————————</w:t>
      </w:r>
    </w:p>
    <w:p>
      <w:pPr>
        <w:spacing w:before="160" w:after="40" w:line="240" w:lineRule="auto"/>
      </w:pPr>
      <w:r>
        <w:rPr>
          <w:b/>
        </w:rPr>
        <w:t xml:space="preserve">[33] </w:t>
      </w:r>
      <w:hyperlink r:id="rId70">
        <w:r>
          <w:rPr>
            <w:color w:val="1155CC"/>
            <w:u w:val="single"/>
          </w:rPr>
          <w:t>具有双模光学响应的​​手性有机可溶性碳纳米胶体：从非极性对映选择性传感到卤化铅钙钛矿钝化</w:t>
        </w:r>
      </w:hyperlink>
    </w:p>
    <w:p>
      <w:pPr>
        <w:spacing w:before="0" w:after="80"/>
      </w:pPr>
      <w:r>
        <w:rPr>
          <w:i/>
          <w:sz w:val="20"/>
        </w:rPr>
        <w:t>EN: Chiral Organo-Soluble Carbon Nanocolloids with Dual-Mode Optical Responsiveness: From Nonpolar Enantioselective Sensing to Lead−Halide Perovskite Passivation</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71">
        <w:r>
          <w:rPr>
            <w:color w:val="1155CC"/>
            <w:u w:val="single"/>
          </w:rPr>
          <w:t>10.1021/acsami.6c10251</w:t>
        </w:r>
      </w:hyperlink>
    </w:p>
    <w:p>
      <w:pPr>
        <w:spacing w:before="0" w:after="120"/>
      </w:pPr>
      <w:r>
        <w:rPr>
          <w:b/>
        </w:rPr>
        <w:t xml:space="preserve">Notes: </w:t>
      </w:r>
      <w:r>
        <w:t>abstract_source=pubmed</w:t>
      </w:r>
    </w:p>
    <w:p>
      <w:pPr>
        <w:spacing w:before="0" w:after="80" w:lineRule="auto" w:line="276"/>
      </w:pPr>
      <w:r>
        <w:rPr>
          <w:b/>
        </w:rPr>
        <w:t xml:space="preserve">摘要（ZH）: </w:t>
      </w:r>
      <w:r>
        <w:t>手性碳纳米粒子的一个主要挑战是创造出手性在水环境之外持续存在并在有机合成、界面工程和器件制造条件下保持功能的材料。我们克服了这一障碍，通过对映体纯 α-甲基苄胺与甲脒盐在 180 °C 下无溶剂热缩合，开发了本质手性、有机可溶的碳纳米胶体 (CNC)。与传统的表面功能化手性碳点不同，这些 CNC 形成具有共价嵌入手性脒发色团的无定形碳-氮-氧网络，实验研究和分子动力学模拟证实了这一点。所得纳米颗粒（尺寸为 5-10 nm）很容易分散在极性和非极性溶剂中，同时保持其结构完整性，这一点可以通过在含 Cl 溶剂中保留非振动光致发光带来证明。手性 CNC 显示出明亮的蓝色发射（量子产率高达 40%）和明显的圆二色性信号（|g| = 3.1-3.7 × 10-4），光谱范围跨越 250-450 nm。使用这些 CNC，我们展示了通过光致发光和圆二色性的双重调制以及 CsPbBr3 钙钛矿薄膜的钝化对甲苯中的手性胺进行对映选择性传感，这同时增强了其发射强度和环境稳定性。这项研究介绍了一类新型的本质手性 CNC，它将分子立体化学精度与纳米级胶体稳定性结合起来，用于先进的手性光电和传感</w:t>
      </w:r>
    </w:p>
    <w:p>
      <w:pPr>
        <w:spacing w:before="0" w:after="200" w:lineRule="auto" w:line="276"/>
      </w:pPr>
      <w:r>
        <w:rPr>
          <w:b/>
        </w:rPr>
        <w:t xml:space="preserve">Abstract (EN): </w:t>
      </w:r>
      <w:r>
        <w:t>A major challenge in chiral carbon nanoparticles is to create materials whose chirality persists outside aqueous environments and remains functional under organic synthesis, interfacial engineering, and device fabrication conditions. We overcome this barrier by developing intrinsically chiral, organo-soluble carbon nanocolloids (CNCs) through solvent-free thermal condensation of enantiopure α-methylbenzylamine with formamidinium salts at 180 °C. Unlike conventional surface-functionalized chiral carbon dots, these CNCs form amorphous carbon-nitrogen-oxygen networks with covalently embedded chiral amidinium chromophores, as confirmed by experimental studies and molecular dynamics simulations. The resulting nanoparticles (5-10 nm in size) are easily dispersible in both polar and nonpolar solvents while maintaining their structural integrity, which is demonstrated by retention of nonvibrational photoluminescence bands in Cl-containing solvents. Chiral CNCs display both bright blue emission (quantum yield up to 40%) and distinct circular dichroism signals (|g| = 3.1-3.7 × 10-4) spanning 250-450 nm in spectral range. Using these CNCs, we demonstrate enantioselective sensing of chiral amines in toluene via dual modulation of photoluminescence and circular dichroism, and passivation of CsPbBr3 perovskite films, which simultaneously enhances their emission intensity and ambient stability. This study introduces a novel class of intrinsically chiral CNCs bridging molecular stereochemical precision with nanoscale colloidal stability for advanced chiral optoelectronics and sensing in organic media.</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72">
        <w:r>
          <w:rPr>
            <w:color w:val="1155CC"/>
            <w:u w:val="single"/>
          </w:rPr>
          <w:t>动态离子对网络实现选择性锂离子传输，实现稳定高效的固态锂硫电池</w:t>
        </w:r>
      </w:hyperlink>
    </w:p>
    <w:p>
      <w:pPr>
        <w:spacing w:before="0" w:after="80"/>
      </w:pPr>
      <w:r>
        <w:rPr>
          <w:i/>
          <w:sz w:val="20"/>
        </w:rPr>
        <w:t>EN: Dynamic Ion‐Pair Networks Enable Selective Li+ Transport for Stable and Efficient Solid‐State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2026-07-17 05:26:41+00:00</w:t>
      </w:r>
      <w:r>
        <w:t xml:space="preserve">    </w:t>
      </w:r>
      <w:r>
        <w:rPr>
          <w:b/>
        </w:rPr>
        <w:t xml:space="preserve">DOI: </w:t>
      </w:r>
      <w:hyperlink r:id="rId73">
        <w:r>
          <w:rPr>
            <w:color w:val="1155CC"/>
            <w:u w:val="single"/>
          </w:rPr>
          <w:t>10.1002/anie.4252910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固态锂硫（Li-S）电池本质上受到持久性Li的限制</w:t>
      </w:r>
      <w:r>
        <w:t xml:space="preserve"> </w:t>
      </w:r>
      <w:r>
        <w:t>+</w:t>
      </w:r>
      <w:r>
        <w:t xml:space="preserve"> </w:t>
      </w:r>
      <w:r>
        <w:t>‐聚合物电解质中的阴离子配位，与Li偶联</w:t>
      </w:r>
      <w:r>
        <w:t xml:space="preserve"> </w:t>
      </w:r>
      <w:r>
        <w:t>+</w:t>
      </w:r>
      <w:r>
        <w:t xml:space="preserve"> </w:t>
      </w:r>
      <w:r>
        <w:t>迁移到阴离子运动并限制界面稳定性和硫氧化还原动力学。在这里，我们表明，将离子液体修饰的 ZIF-67 (IL@ZIF-67) 纳入聚合物固体电解质中，可以实现离子配位的有意重组和 Li 的重新配置。</w:t>
      </w:r>
      <w:r>
        <w:t xml:space="preserve"> </w:t>
      </w:r>
      <w:r>
        <w:t>+</w:t>
      </w:r>
      <w:r>
        <w:t xml:space="preserve"> </w:t>
      </w:r>
      <w:r>
        <w:t>分子水平上的运输途径。 ZIF-67 位点优先锚定 TFSI</w:t>
      </w:r>
      <w:r>
        <w:t xml:space="preserve"> </w:t>
      </w:r>
      <w:r>
        <w:t>-</w:t>
      </w:r>
      <w:r>
        <w:t>，而受限的离子液体域重塑了Li</w:t>
      </w:r>
      <w:r>
        <w:t xml:space="preserve"> </w:t>
      </w:r>
      <w:r>
        <w:t>+</w:t>
      </w:r>
      <w:r>
        <w:t xml:space="preserve"> </w:t>
      </w:r>
      <w:r>
        <w:t>配位，建立弱锂的动态离子对网络</w:t>
      </w:r>
      <w:r>
        <w:t xml:space="preserve"> </w:t>
      </w:r>
      <w:r>
        <w:t>+</w:t>
      </w:r>
      <w:r>
        <w:t xml:space="preserve"> </w:t>
      </w:r>
      <w:r>
        <w:t>‐阴离子耦合和空间限制的阴离子。这种协调重组解耦了远程 Li</w:t>
      </w:r>
      <w:r>
        <w:t xml:space="preserve"> </w:t>
      </w:r>
      <w:r>
        <w:t>+</w:t>
      </w:r>
      <w:r>
        <w:t xml:space="preserve"> </w:t>
      </w:r>
      <w:r>
        <w:t>阴离子迁移的运输，降低Li</w:t>
      </w:r>
      <w:r>
        <w:t xml:space="preserve"> </w:t>
      </w:r>
      <w:r>
        <w:t>+</w:t>
      </w:r>
      <w:r>
        <w:t xml:space="preserve"> </w:t>
      </w:r>
      <w:r>
        <w:t>迁移能垒，并使Li均质化</w:t>
      </w:r>
      <w:r>
        <w:t xml:space="preserve"> </w:t>
      </w:r>
      <w:r>
        <w:t>+</w:t>
      </w:r>
      <w:r>
        <w:t xml:space="preserve"> </w:t>
      </w:r>
      <w:r>
        <w:t>穿过电解质的通量。因此，稳定的LiF/Li</w:t>
      </w:r>
      <w:r>
        <w:rPr>
          <w:vertAlign w:val="subscript"/>
        </w:rPr>
        <w:t>2</w:t>
      </w:r>
      <w:r>
        <w:t>富硫固体电解质界面在锂金属界面形成，而连续的锂</w:t>
      </w:r>
      <w:r>
        <w:t xml:space="preserve"> </w:t>
      </w:r>
      <w:r>
        <w:t>+</w:t>
      </w:r>
      <w:r>
        <w:t xml:space="preserve"> </w:t>
      </w:r>
      <w:r>
        <w:t>供应减轻固-固界面极化并加速可逆S─C/S─S键转换</w:t>
      </w:r>
    </w:p>
    <w:p>
      <w:pPr>
        <w:spacing w:before="0" w:after="200" w:lineRule="auto" w:line="276"/>
      </w:pPr>
      <w:r>
        <w:rPr>
          <w:b/>
        </w:rPr>
        <w:t xml:space="preserve">Abstract (EN): </w:t>
      </w:r>
      <w:r>
        <w:t>Solid‐state lithium‐sulfur (Li‐S) batteries are intrinsically constrained by persistent Li</w:t>
      </w:r>
      <w:r>
        <w:t xml:space="preserve"> </w:t>
      </w:r>
      <w:r>
        <w:t>+</w:t>
      </w:r>
      <w:r>
        <w:t xml:space="preserve"> </w:t>
      </w:r>
      <w:r>
        <w:t>‐anion coordination in polymer electrolytes, which couples Li</w:t>
      </w:r>
      <w:r>
        <w:t xml:space="preserve"> </w:t>
      </w:r>
      <w:r>
        <w:t>+</w:t>
      </w:r>
      <w:r>
        <w:t xml:space="preserve"> </w:t>
      </w:r>
      <w:r>
        <w:t>migration to anion motion and limits both interfacial stability and sulfur redox kinetics. Here, we show that incorporating an ionic liquid modified ZIF‐67 (IL@ZIF‐67) into a polymer solid electrolyte enables deliberate reorganization of ion coordination and reconfiguration of Li</w:t>
      </w:r>
      <w:r>
        <w:t xml:space="preserve"> </w:t>
      </w:r>
      <w:r>
        <w:t>+</w:t>
      </w:r>
      <w:r>
        <w:t xml:space="preserve"> </w:t>
      </w:r>
      <w:r>
        <w:t>transport pathways at the molecular level. ZIF‐67 sites preferentially anchor TFSI</w:t>
      </w:r>
      <w:r>
        <w:t xml:space="preserve"> </w:t>
      </w:r>
      <w:r>
        <w:t>−</w:t>
      </w:r>
      <w:r>
        <w:t>, while confined ionic liquid domains reshape Li</w:t>
      </w:r>
      <w:r>
        <w:t xml:space="preserve"> </w:t>
      </w:r>
      <w:r>
        <w:t>+</w:t>
      </w:r>
      <w:r>
        <w:t xml:space="preserve"> </w:t>
      </w:r>
      <w:r>
        <w:t>coordination, establishing a dynamic ion‐pair network with weakened Li</w:t>
      </w:r>
      <w:r>
        <w:t xml:space="preserve"> </w:t>
      </w:r>
      <w:r>
        <w:t>+</w:t>
      </w:r>
      <w:r>
        <w:t xml:space="preserve"> </w:t>
      </w:r>
      <w:r>
        <w:t>‐anion coupling and spatially restricted anions. This coordination reorganization decouples long‐range Li</w:t>
      </w:r>
      <w:r>
        <w:t xml:space="preserve"> </w:t>
      </w:r>
      <w:r>
        <w:t>+</w:t>
      </w:r>
      <w:r>
        <w:t xml:space="preserve"> </w:t>
      </w:r>
      <w:r>
        <w:t>transport from anion migration, lowers the Li</w:t>
      </w:r>
      <w:r>
        <w:t xml:space="preserve"> </w:t>
      </w:r>
      <w:r>
        <w:t>+</w:t>
      </w:r>
      <w:r>
        <w:t xml:space="preserve"> </w:t>
      </w:r>
      <w:r>
        <w:t>migration energy barrier, and homogenizes Li</w:t>
      </w:r>
      <w:r>
        <w:t xml:space="preserve"> </w:t>
      </w:r>
      <w:r>
        <w:t>+</w:t>
      </w:r>
      <w:r>
        <w:t xml:space="preserve"> </w:t>
      </w:r>
      <w:r>
        <w:t>flux across the electrolyte. Consequently, a stable LiF/Li</w:t>
      </w:r>
      <w:r>
        <w:rPr>
          <w:vertAlign w:val="subscript"/>
        </w:rPr>
        <w:t>2</w:t>
      </w:r>
      <w:r>
        <w:t>S‐rich solid electrolyte interphase forms at the lithium metal interface, while continuous Li</w:t>
      </w:r>
      <w:r>
        <w:t xml:space="preserve"> </w:t>
      </w:r>
      <w:r>
        <w:t>+</w:t>
      </w:r>
      <w:r>
        <w:t xml:space="preserve"> </w:t>
      </w:r>
      <w:r>
        <w:t>supply mitigates solid‐solid interfacial polarization and accelerates reversible S─C/S─S bond conversion and Li</w:t>
      </w:r>
      <w:r>
        <w:rPr>
          <w:vertAlign w:val="subscript"/>
        </w:rPr>
        <w:t>2</w:t>
      </w:r>
      <w:r>
        <w:t>S nucleation/decomposition kinetics in SPAN cathodes. As a result, the solid‐state Li‐S batteries deliver a high reversible capacity of 1004.97 mAh g</w:t>
      </w:r>
      <w:r>
        <w:t xml:space="preserve"> </w:t>
      </w:r>
      <w:r>
        <w:t>−1</w:t>
      </w:r>
      <w:r>
        <w:t xml:space="preserve"> </w:t>
      </w:r>
      <w:r>
        <w:t>after 150 cycles at 0.2 C, prolonged cycling stability over 500 cycles at 1 C with a decay rate of ∼0.06% per cycle, highlighting ion‐pair regulation via ionic‐liquid‐engineered MOF fillers as an effective pathway toward high‐performance solid‐state Li‐S batteries.</w:t>
      </w:r>
    </w:p>
    <w:p>
      <w:pPr>
        <w:spacing w:before="120" w:after="120"/>
      </w:pPr>
      <w:r>
        <w:rPr>
          <w:sz w:val="18"/>
        </w:rPr>
        <w:t>——————————————————————————————————————————————————————————————————————</w:t>
      </w:r>
    </w:p>
    <w:p>
      <w:pPr>
        <w:spacing w:before="160" w:after="40" w:line="240" w:lineRule="auto"/>
      </w:pPr>
      <w:r>
        <w:rPr>
          <w:b/>
        </w:rPr>
        <w:t xml:space="preserve">[2] </w:t>
      </w:r>
      <w:hyperlink r:id="rId74">
        <w:r>
          <w:rPr>
            <w:color w:val="1155CC"/>
            <w:u w:val="single"/>
          </w:rPr>
          <w:t>盐聚合物电解质的多用途集成填料设计可实现长寿命、安全的固态锂电池</w:t>
        </w:r>
      </w:hyperlink>
    </w:p>
    <w:p>
      <w:pPr>
        <w:spacing w:before="0" w:after="80"/>
      </w:pPr>
      <w:r>
        <w:rPr>
          <w:i/>
          <w:sz w:val="20"/>
        </w:rPr>
        <w:t>EN: Multirole Integrated Filler Design for Polymer‐in‐Salt Electrolytes Enables Long‐Life, Safe 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2026-07-17 05:34:48+00:00</w:t>
      </w:r>
      <w:r>
        <w:t xml:space="preserve">    </w:t>
      </w:r>
      <w:r>
        <w:rPr>
          <w:b/>
        </w:rPr>
        <w:t xml:space="preserve">DOI: </w:t>
      </w:r>
      <w:hyperlink r:id="rId75">
        <w:r>
          <w:rPr>
            <w:color w:val="1155CC"/>
            <w:u w:val="single"/>
          </w:rPr>
          <w:t>10.1002/anie.4049895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盐聚合物（PIS）电解质策略广泛应用于固态锂电池中，通过离子传输调节和界面化学调节来稳定界面，但其应用仍然受到残留溶剂和固有离子电导率-力学权衡引起的界面降解的困扰。在这里，我们提出了一种多用途集成填料设计，通过缺陷化学和界面工程同时解决这些限制。氟化钙</w:t>
      </w:r>
      <w:r>
        <w:rPr>
          <w:vertAlign w:val="subscript"/>
        </w:rPr>
        <w:t>2</w:t>
      </w:r>
      <w:r>
        <w:t>作为代表性案例，填料通过氟空位缺陷协同促进盐解离和离子传导位点的产生，同时通过氢键相互作用和高体积模量增强聚合物基体。这使得卷对卷可扩展制造超薄（约 8 µm）PIS 膜具有 3.32 × 10 的卓越离子电导率</w:t>
      </w:r>
      <w:r>
        <w:t xml:space="preserve"> </w:t>
      </w:r>
      <w:r>
        <w:t>−4</w:t>
      </w:r>
      <w:r>
        <w:t xml:space="preserve"> </w:t>
      </w:r>
      <w:r>
        <w:t>厘米</w:t>
      </w:r>
      <w:r>
        <w:t xml:space="preserve"> </w:t>
      </w:r>
      <w:r>
        <w:t>−1</w:t>
      </w:r>
      <w:r>
        <w:t xml:space="preserve"> </w:t>
      </w:r>
      <w:r>
        <w:t>25°C 时。至关重要的是，原位生成的 LiF/Li-Ca 界面抑制了残留溶剂分解和枝晶形成，实现了锂对称电池近 1600 小时的稳定循环，并在 LiFePO 全电池中实现了高容量保留</w:t>
      </w:r>
      <w:r>
        <w:rPr>
          <w:vertAlign w:val="subscript"/>
        </w:rPr>
        <w:t>4</w:t>
      </w:r>
      <w:r>
        <w:t>或 NCM811 阴极超过 1000 次循环。 CaF 出色的热稳定性（熔点：1418°C）</w:t>
      </w:r>
      <w:r>
        <w:rPr>
          <w:vertAlign w:val="subscript"/>
        </w:rPr>
        <w:t>2</w:t>
      </w:r>
      <w:r>
        <w:t>进一步提高了软包电池在机械和热滥用条件下的固有安全性。这斯</w:t>
      </w:r>
    </w:p>
    <w:p>
      <w:pPr>
        <w:spacing w:before="0" w:after="200" w:lineRule="auto" w:line="276"/>
      </w:pPr>
      <w:r>
        <w:rPr>
          <w:b/>
        </w:rPr>
        <w:t xml:space="preserve">Abstract (EN): </w:t>
      </w:r>
      <w:r>
        <w:t>Although polymer‐in‐salt (PIS) electrolyte strategy is widely employed in solid‐state lithium batteries for interface stabilization through ion transport modulation and interphase chemistry tailoring, its application remains plagued by interfacial degradation induced by residual solvent and inherent ionic conductivity‐mechanics trade‐off. Herein, we propose a multirole integrated filler design to simultaneously address these limitations through defect chemistry and interface engineering. CaF</w:t>
      </w:r>
      <w:r>
        <w:rPr>
          <w:vertAlign w:val="subscript"/>
        </w:rPr>
        <w:t>2</w:t>
      </w:r>
      <w:r>
        <w:t>filler, as a representative case, synergistically promotes salt dissociation and ion‐conducting sites generation through fluorine vacancy defects while reinforcing the polymer matrix via hydrogen bonding interactions and high bulk modulus. This enables roll‐to‐roll scalable fabrication of ultra‐thin (ca. 8 µm) PIS membrane with exceptional ionic conductivity of 3.32 × 10</w:t>
      </w:r>
      <w:r>
        <w:t xml:space="preserve"> </w:t>
      </w:r>
      <w:r>
        <w:t>−4</w:t>
      </w:r>
      <w:r>
        <w:t xml:space="preserve"> </w:t>
      </w:r>
      <w:r>
        <w:t>S cm</w:t>
      </w:r>
      <w:r>
        <w:t xml:space="preserve"> </w:t>
      </w:r>
      <w:r>
        <w:t>−1</w:t>
      </w:r>
      <w:r>
        <w:t xml:space="preserve"> </w:t>
      </w:r>
      <w:r>
        <w:t>at 25°C. Crucially, the in situ generated LiF/Li‐Ca interphase suppresses both residual solvent decomposition and dendrite formation, achieving stable cycling in lithium symmetric cells for nearly 1600 h and high‐capacity retention in full cells with LiFePO</w:t>
      </w:r>
      <w:r>
        <w:rPr>
          <w:vertAlign w:val="subscript"/>
        </w:rPr>
        <w:t>4</w:t>
      </w:r>
      <w:r>
        <w:t>or NCM811 cathodes over 1000 cycles. The outstanding thermal stability (melting point: 1418°C) of CaF</w:t>
      </w:r>
      <w:r>
        <w:rPr>
          <w:vertAlign w:val="subscript"/>
        </w:rPr>
        <w:t>2</w:t>
      </w:r>
      <w:r>
        <w:t>further boosts the inherent safety of pouch cells under mechanical and thermal abuse conditions. This single‐component filler strategy effectively addresses multiple performance bottlenecks in polymer electrolytes, offering a scalable and cost‐effective pathway for practical solid‐state batteries.</w:t>
      </w:r>
    </w:p>
    <w:p>
      <w:pPr>
        <w:spacing w:before="120" w:after="120"/>
      </w:pPr>
      <w:r>
        <w:rPr>
          <w:sz w:val="18"/>
        </w:rPr>
        <w:t>——————————————————————————————————————————————————————————————————————</w:t>
      </w:r>
    </w:p>
    <w:p>
      <w:pPr>
        <w:spacing w:before="160" w:after="40" w:line="240" w:lineRule="auto"/>
      </w:pPr>
      <w:r>
        <w:rPr>
          <w:b/>
        </w:rPr>
        <w:t xml:space="preserve">[3] </w:t>
      </w:r>
      <w:hyperlink r:id="rId24">
        <w:r>
          <w:rPr>
            <w:color w:val="1155CC"/>
            <w:u w:val="single"/>
          </w:rPr>
          <w:t>集成光充电电池的工作限制</w:t>
        </w:r>
      </w:hyperlink>
    </w:p>
    <w:p>
      <w:pPr>
        <w:spacing w:before="0" w:after="80"/>
      </w:pPr>
      <w:r>
        <w:rPr>
          <w:i/>
          <w:sz w:val="20"/>
        </w:rPr>
        <w:t>EN: Operation Limits of Integrated Photo‐Rechargeable Batteries</w:t>
      </w:r>
    </w:p>
    <w:p>
      <w:pPr>
        <w:spacing w:before="0" w:after="120"/>
      </w:pPr>
      <w:r>
        <w:rPr>
          <w:b/>
        </w:rPr>
        <w:t xml:space="preserve">Source: </w:t>
      </w:r>
      <w:r>
        <w:t>Wiley: Advanced Materials: Table of Contents</w:t>
      </w:r>
      <w:r>
        <w:t xml:space="preserve">    </w:t>
      </w:r>
      <w:r>
        <w:rPr>
          <w:b/>
        </w:rPr>
        <w:t xml:space="preserve">Pub date: </w:t>
      </w:r>
      <w:r>
        <w:t>2026-07-17 08:29:03+00:00</w:t>
      </w:r>
      <w:r>
        <w:t xml:space="preserve">    </w:t>
      </w:r>
      <w:r>
        <w:rPr>
          <w:b/>
        </w:rPr>
        <w:t xml:space="preserve">DOI: </w:t>
      </w:r>
      <w:hyperlink r:id="rId25">
        <w:r>
          <w:rPr>
            <w:color w:val="1155CC"/>
            <w:u w:val="single"/>
          </w:rPr>
          <w:t>10.1002/adma.74159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片光充电电池（PRB）是为离网自主系统供电的有吸引力的解决方案。然而，限制此类设备光充电过程的基本效应尚不清楚。在此，我们提出了一种集成的PRB设计，可以在一定的照度范围内充满电。我们将其用作模型系统，将光充电电流的衰减与光致电荷动力学相关联。我们的结果表明，光诱导的空穴传输随着电荷状态的增加而逐渐恶化，这归因于阴极层中阴离子耦合空穴的积累。此外，我们的设备表明，空穴传输层和阴极之间的电势差对于驱动阴极的光致脱锂至关重要。如果阴极的脱锂电位高于空穴传输能级，则尽管光电池提供足够的电压来为电池充电，光充电电流也会迅速衰减。这些发现表明，PRB 的器件物理特性与单独耦合的太阳能电池和电池的器件物理特性有很大不同，从而为其工作机制和未来的设计指南提供了新的见解。</w:t>
      </w:r>
    </w:p>
    <w:p>
      <w:pPr>
        <w:spacing w:before="0" w:after="200" w:lineRule="auto" w:line="276"/>
      </w:pPr>
      <w:r>
        <w:rPr>
          <w:b/>
        </w:rPr>
        <w:t xml:space="preserve">Abstract (EN): </w:t>
      </w:r>
      <w:r>
        <w:t>Monolithic photo‐rechargeable batteries (PRB) are attractive solution for powering off‐grid autonomous systems. However, the fundamental effects limiting the light‐charging process in such devices are not well understood. Herein, we present an integrated PRB design that can be fully charged under a range of illuminances. We use it as a model system to correlate the decay in photo‐charging current with photo‐induced charge kinetics. Our results indicate that light‐induced hole transport gradually deteriorates with increasing state of charge, which is attributed to the anion‐coupled hole accumulation in the cathode layer. Furthermore, our device reveals that the potential gap between the hole transport layer and the cathode is critical for driving a photo‐induced delithiation of the cathode. If the cathode has a more positive delithiation potential than the hole transport level, the photo‐charging current rapidly decays despite the photo‐cells providing sufficient voltage to charge the battery. These findings demonstrate that the device physics of PRBs vary greatly from that of separately coupled solar cells and batteries, thus providing new insights in their working mechanism and their future design guidelines.</w:t>
      </w:r>
    </w:p>
    <w:p>
      <w:pPr>
        <w:spacing w:before="120" w:after="120"/>
      </w:pPr>
      <w:r>
        <w:rPr>
          <w:sz w:val="18"/>
        </w:rPr>
        <w:t>——————————————————————————————————————————————————————————————————————</w:t>
      </w:r>
    </w:p>
    <w:p>
      <w:pPr>
        <w:spacing w:before="160" w:after="40" w:line="240" w:lineRule="auto"/>
      </w:pPr>
      <w:r>
        <w:rPr>
          <w:b/>
        </w:rPr>
        <w:t xml:space="preserve">[4] </w:t>
      </w:r>
      <w:hyperlink r:id="rId76">
        <w:r>
          <w:rPr>
            <w:color w:val="1155CC"/>
            <w:u w:val="single"/>
          </w:rPr>
          <w:t>先进无阳极锂硫电池高性能Li2S/碱土金属硫化物正极的理论筛选和结构优化</w:t>
        </w:r>
      </w:hyperlink>
    </w:p>
    <w:p>
      <w:pPr>
        <w:spacing w:before="0" w:after="80"/>
      </w:pPr>
      <w:r>
        <w:rPr>
          <w:i/>
          <w:sz w:val="20"/>
        </w:rPr>
        <w:t>EN: Theoretical Screening and Structural Optimization of High‐Performing Li2S/Alkaline‐Earth Metal Sulfides Cathodes for Advanced Anode‐Free Li−S Batteries</w:t>
      </w:r>
    </w:p>
    <w:p>
      <w:pPr>
        <w:spacing w:before="0" w:after="120"/>
      </w:pPr>
      <w:r>
        <w:rPr>
          <w:b/>
        </w:rPr>
        <w:t xml:space="preserve">Source: </w:t>
      </w:r>
      <w:r>
        <w:t>Wiley: Angewandte Chemie International Edition: Table of Contents</w:t>
      </w:r>
      <w:r>
        <w:t xml:space="preserve">    </w:t>
      </w:r>
      <w:r>
        <w:rPr>
          <w:b/>
        </w:rPr>
        <w:t xml:space="preserve">Pub date: </w:t>
      </w:r>
      <w:r>
        <w:t>2026-07-17 12:22:11+00:00</w:t>
      </w:r>
      <w:r>
        <w:t xml:space="preserve">    </w:t>
      </w:r>
      <w:r>
        <w:rPr>
          <w:b/>
        </w:rPr>
        <w:t xml:space="preserve">DOI: </w:t>
      </w:r>
      <w:hyperlink r:id="rId77">
        <w:r>
          <w:rPr>
            <w:color w:val="1155CC"/>
            <w:u w:val="single"/>
          </w:rPr>
          <w:t>10.1002/anie.7062131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无阳极锂硫电池可以通过规避直接使用金属锂来实现极高的能量密度和优异的本质安全性。然而，实际的输出性能在很大程度上受到缓慢的反应动力学和Li的严重结构恶化的限制。</w:t>
      </w:r>
      <w:r>
        <w:rPr>
          <w:vertAlign w:val="subscript"/>
        </w:rPr>
        <w:t>2</w:t>
      </w:r>
      <w:r>
        <w:t>S阴极。在这里，我们报道了一种锚定封装的纳米结构与碱土金属硫化物催化配合以促进Li</w:t>
      </w:r>
      <w:r>
        <w:rPr>
          <w:vertAlign w:val="subscript"/>
        </w:rPr>
        <w:t>2</w:t>
      </w:r>
      <w:r>
        <w:t>S 动力学并同时稳定硫物质。首先进行 DFT 计算以筛选出优化的 MgS 电催化剂，然后通过在 CS 中燃烧 LiMg 合金来筛选出金属热硫化碳化的合成范例</w:t>
      </w:r>
      <w:r>
        <w:rPr>
          <w:vertAlign w:val="subscript"/>
        </w:rPr>
        <w:t>2</w:t>
      </w:r>
      <w:r>
        <w:t>建议采用蒸汽原位构建Li</w:t>
      </w:r>
      <w:r>
        <w:rPr>
          <w:vertAlign w:val="subscript"/>
        </w:rPr>
        <w:t>2</w:t>
      </w:r>
      <w:r>
        <w:t>S-MgS@石墨烯纳米胶囊。系统研究揭示了其完整的锚定封装结构以及三个关键成分之间的协同物理化学相互作用：强大的C-S键合有利于快速电子/离子传输和稳定的界面，致密的石墨烯封装减轻了体积变化和电解质的侵蚀，共生MgS对Li具有优异的电催化作用</w:t>
      </w:r>
      <w:r>
        <w:rPr>
          <w:vertAlign w:val="subscript"/>
        </w:rPr>
        <w:t>2</w:t>
      </w:r>
      <w:r>
        <w:t>S解离，大大降低活化势垒。由于电学、催化和体积特性的改进，这种阴极设计实现了有前景的电化学性能。它展示了阳极f的巨大潜力</w:t>
      </w:r>
    </w:p>
    <w:p>
      <w:pPr>
        <w:spacing w:before="0" w:after="200" w:lineRule="auto" w:line="276"/>
      </w:pPr>
      <w:r>
        <w:rPr>
          <w:b/>
        </w:rPr>
        <w:t xml:space="preserve">Abstract (EN): </w:t>
      </w:r>
      <w:r>
        <w:t>Anode‐fre Li−S batteries can achieve extremely high energy density and excellent intrinsic safety by circumventing the direct use of metallic Li. However, the actual output performance is largely constrained by sluggish reaction kinetics and severe structural deterioration of Li</w:t>
      </w:r>
      <w:r>
        <w:rPr>
          <w:vertAlign w:val="subscript"/>
        </w:rPr>
        <w:t>2</w:t>
      </w:r>
      <w:r>
        <w:t>S cathode. Here, we report an anchor‐encapsulated nanostructure cooperated with alkaline‐earth metal sulfides’ catalysis to promote Li</w:t>
      </w:r>
      <w:r>
        <w:rPr>
          <w:vertAlign w:val="subscript"/>
        </w:rPr>
        <w:t>2</w:t>
      </w:r>
      <w:r>
        <w:t>S kinetics and simultaneously stabilize sulfur species. DFT calculations are first implemented to screen out an optimized MgS electrocatalyst, then a synthetic paradigm of metallothermic‐sulfidation‐carbonization via burning LiMg alloy in CS</w:t>
      </w:r>
      <w:r>
        <w:rPr>
          <w:vertAlign w:val="subscript"/>
        </w:rPr>
        <w:t>2</w:t>
      </w:r>
      <w:r>
        <w:t>vapor is proposed to in situ construct Li</w:t>
      </w:r>
      <w:r>
        <w:rPr>
          <w:vertAlign w:val="subscript"/>
        </w:rPr>
        <w:t>2</w:t>
      </w:r>
      <w:r>
        <w:t>S‐MgS@graphene nanocapsules. Systematic studies reveal its integrated anchor‐encapsulated structure and synergistic physicochemical interactions among three key components: robust C−S bonding facilitates fast electron/ion transport and stable interface, compact graphene encapsulation alleviates volume change and electrolyte's erosion, and symbiotic MgS bears excellent electrocatalytic effect on Li</w:t>
      </w:r>
      <w:r>
        <w:rPr>
          <w:vertAlign w:val="subscript"/>
        </w:rPr>
        <w:t>2</w:t>
      </w:r>
      <w:r>
        <w:t>S dissociation, greatly reducing activation barrier. Owing to the improvement on electrical, catalytic and volumetric properties, this cathode design enables promising electrochemical performance. It demonstrates a great potential for anode‐free Li−S battery and Li</w:t>
      </w:r>
      <w:r>
        <w:rPr>
          <w:vertAlign w:val="subscript"/>
        </w:rPr>
        <w:t>2</w:t>
      </w:r>
      <w:r>
        <w:t>S‐MgS@graphene//Cu cell exhibits 823 mAh g</w:t>
      </w:r>
      <w:r>
        <w:t xml:space="preserve"> </w:t>
      </w:r>
      <w:r>
        <w:t>−1</w:t>
      </w:r>
      <w:r>
        <w:t xml:space="preserve"> </w:t>
      </w:r>
      <w:r>
        <w:t>initial specific capacity and 73% capacity retention after 100 cycles. Findings in this work are expected to spark a promising direction for designing high‐performing anode‐free batteries.</w:t>
      </w:r>
    </w:p>
    <w:p>
      <w:pPr>
        <w:spacing w:before="120" w:after="120"/>
      </w:pPr>
      <w:r>
        <w:rPr>
          <w:sz w:val="18"/>
        </w:rPr>
        <w:t>——————————————————————————————————————————————————————————————————————</w:t>
      </w:r>
    </w:p>
    <w:p>
      <w:pPr>
        <w:spacing w:before="160" w:after="40" w:line="240" w:lineRule="auto"/>
      </w:pPr>
      <w:r>
        <w:rPr>
          <w:b/>
        </w:rPr>
        <w:t xml:space="preserve">[5] </w:t>
      </w:r>
      <w:hyperlink r:id="rId78">
        <w:r>
          <w:rPr>
            <w:color w:val="1155CC"/>
            <w:u w:val="single"/>
          </w:rPr>
          <w:t>配位电化学驯化可逆高价溴氧化还原用于高能六电子转移锂溴电池</w:t>
        </w:r>
      </w:hyperlink>
    </w:p>
    <w:p>
      <w:pPr>
        <w:spacing w:before="0" w:after="80"/>
      </w:pPr>
      <w:r>
        <w:rPr>
          <w:i/>
          <w:sz w:val="20"/>
        </w:rPr>
        <w:t>EN: Coordination electrochemistry taming reversible hypervalent bromine redox for energetic six-electron-transfer lithium-bromine battery</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由于固有的多价反应电势，转换型静态溴电池在高输出电压和大容量可充电储能方面表现出良好的前景。然而，有限的双电子 2Br-/Br2 氧化还原电对和氧化还原惰性有机配体的组合构成了整体比能的基本瓶颈。在此，乙基紫罗碱二溴化物通过高效的配位化学被开发为有机锂溴电池的高能活性正极，具有由插层和转化反应触发的先进的六电子氧化还原机制。 2Br-/2Br+ 的激活氧化还原对可协同增加容量 (632.8 mAh g−1Br) 和放电电压 (3.7 V)。此外，乙基紫精经历可逆的两步嵌入和脱嵌Li+离子，有助于额外的能量储存。相互光谱表征和计算电化学表明了化学吸附效应和卤素间限制，并详细说明了动态质荷转移途径。这项工作为设计高性能卤素电池树立了值得效仿的范例。</w:t>
      </w:r>
    </w:p>
    <w:p>
      <w:pPr>
        <w:spacing w:before="0" w:after="200" w:lineRule="auto" w:line="276"/>
      </w:pPr>
      <w:r>
        <w:rPr>
          <w:b/>
        </w:rPr>
        <w:t xml:space="preserve">Abstract (EN): </w:t>
      </w:r>
      <w:r>
        <w:t>Conversion-type static bromine batteries demonstrate promise in high output voltage and large capacity for rechargeable energy storage due to the inherent polyvalent reaction potential. Nevertheless, the combination of the limited two-electron 2Br-/Br2 redox couple and the redox-inactive organic ligands presents a fundamental bottleneck for the overall specific energy. Herein, ethyl viologen dibromide is developed as an energetically active positive electrode for organic lithium-bromine batteries by efficient coordination chemistry, featuring an advanced six-electron redox mechanism triggered by both intercalation and conversion reactions. The activated redox couple of 2Br-/2Br+ incubates a collaborative increase in capacity (632.8 mAh g−1Br) and discharge voltage (3.7 V). Besides, ethyl viologen undergoes reversible two-step intercalation and extraction of Li+ ions, contributing to additional energy storage. Reciprocal spectroscopic characterizations and computational electrochemistry indicate the chemisorption effect and interhalogen confinement and detail the dynamic mass-charge transfer pathway. This work sets a paradigm worth emulating for designing high-performance halogen batteries.</w:t>
      </w:r>
    </w:p>
    <w:p>
      <w:pPr>
        <w:spacing w:before="120" w:after="120"/>
      </w:pPr>
      <w:r>
        <w:rPr>
          <w:sz w:val="18"/>
        </w:rPr>
        <w:t>——————————————————————————————————————————————————————————————————————</w:t>
      </w:r>
    </w:p>
    <w:p>
      <w:pPr>
        <w:spacing w:before="160" w:after="40" w:line="240" w:lineRule="auto"/>
      </w:pPr>
      <w:r>
        <w:rPr>
          <w:b/>
        </w:rPr>
        <w:t xml:space="preserve">[6] </w:t>
      </w:r>
      <w:hyperlink r:id="rId79">
        <w:r>
          <w:rPr>
            <w:color w:val="1155CC"/>
            <w:u w:val="single"/>
          </w:rPr>
          <w:t>氯化物桥重塑双电层可实现高性能水系铝离子电池的定向沉积</w:t>
        </w:r>
      </w:hyperlink>
    </w:p>
    <w:p>
      <w:pPr>
        <w:spacing w:before="0" w:after="80"/>
      </w:pPr>
      <w:r>
        <w:rPr>
          <w:i/>
          <w:sz w:val="20"/>
        </w:rPr>
        <w:t>EN: Chloride‐Bridge Reshaped Electric Double Layer Enables Oriented Deposition for High‐Performance Aqueous Aluminum Ion Batteries</w:t>
      </w:r>
    </w:p>
    <w:p>
      <w:pPr>
        <w:spacing w:before="0" w:after="120"/>
      </w:pPr>
      <w:r>
        <w:rPr>
          <w:b/>
        </w:rPr>
        <w:t xml:space="preserve">Source: </w:t>
      </w:r>
      <w:r>
        <w:t>Wiley: Advanced Materials: Table of Contents</w:t>
      </w:r>
      <w:r>
        <w:t xml:space="preserve">    </w:t>
      </w:r>
      <w:r>
        <w:rPr>
          <w:b/>
        </w:rPr>
        <w:t xml:space="preserve">Pub date: </w:t>
      </w:r>
      <w:r>
        <w:t>2026-07-18 12:04:16+00:00</w:t>
      </w:r>
      <w:r>
        <w:t xml:space="preserve">    </w:t>
      </w:r>
      <w:r>
        <w:rPr>
          <w:b/>
        </w:rPr>
        <w:t xml:space="preserve">DOI: </w:t>
      </w:r>
      <w:hyperlink r:id="rId80">
        <w:r>
          <w:rPr>
            <w:color w:val="1155CC"/>
            <w:u w:val="single"/>
          </w:rPr>
          <w:t>10.1002/adma.74195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水性铝离子电池（AAIB）已成为大规模储能的有希望的候选者。然而，Al的强溶剂化</w:t>
      </w:r>
      <w:r>
        <w:t xml:space="preserve"> </w:t>
      </w:r>
      <w:r>
        <w:t>3+</w:t>
      </w:r>
      <w:r>
        <w:t xml:space="preserve"> </w:t>
      </w:r>
      <w:r>
        <w:t>离子和钝化氧化物层的形成阻碍了界面电荷转移动力学，导致长时间循环过程中性能逐渐下降。在此，提出了一种氯桥策略，采用三氯乙醇（TCE）作为添加剂，在电解质/电极界面自发自组装，形成富含氯桥的分子层。由此产生的氯桥框架重组双电层（EDL），加速界面电荷转移动力学，并促进均匀的铝</w:t>
      </w:r>
      <w:r>
        <w:t xml:space="preserve"> </w:t>
      </w:r>
      <w:r>
        <w:t>3+</w:t>
      </w:r>
      <w:r>
        <w:t xml:space="preserve"> </w:t>
      </w:r>
      <w:r>
        <w:t>具有优选（111）晶体取向的沉积。定制的界面可在低极化下维持高度可逆的铝沉积/剥离超过 800 小时，并将 FeCoPBA 全电池寿命从 OTF 电解质中的不到 50 次循环提高到 100 mA g-1 时的 150 次</w:t>
      </w:r>
      <w:r>
        <w:t xml:space="preserve"> </w:t>
      </w:r>
      <w:r>
        <w:t>−1</w:t>
      </w:r>
      <w:r>
        <w:t xml:space="preserve"> </w:t>
      </w:r>
      <w:r>
        <w:t>200 mA g 下 300 个循环</w:t>
      </w:r>
      <w:r>
        <w:t xml:space="preserve"> </w:t>
      </w:r>
      <w:r>
        <w:t>−1</w:t>
      </w:r>
      <w:r>
        <w:t xml:space="preserve"> </w:t>
      </w:r>
      <w:r>
        <w:t>。此外，PANI 正极可提供 116 mAh g</w:t>
      </w:r>
      <w:r>
        <w:t xml:space="preserve"> </w:t>
      </w:r>
      <w:r>
        <w:t>−1</w:t>
      </w:r>
      <w:r>
        <w:t xml:space="preserve"> </w:t>
      </w:r>
      <w:r>
        <w:t>在 100 mA g 下进行 200 个循环后</w:t>
      </w:r>
      <w:r>
        <w:t xml:space="preserve"> </w:t>
      </w:r>
      <w:r>
        <w:t>−1</w:t>
      </w:r>
      <w:r>
        <w:t xml:space="preserve"> </w:t>
      </w:r>
      <w:r>
        <w:t>在 200 mA g 电流下超过 350 个周期保持稳定</w:t>
      </w:r>
      <w:r>
        <w:t xml:space="preserve"> </w:t>
      </w:r>
      <w:r>
        <w:t>−1</w:t>
      </w:r>
      <w:r>
        <w:t xml:space="preserve"> </w:t>
      </w:r>
      <w:r>
        <w:t>，而 OTF 电解质仅保留 46 mAh g</w:t>
      </w:r>
      <w:r>
        <w:t xml:space="preserve"> </w:t>
      </w:r>
      <w:r>
        <w:t>−1</w:t>
      </w:r>
      <w:r>
        <w:t xml:space="preserve"> </w:t>
      </w:r>
      <w:r>
        <w:t>200 个周期后 t</w:t>
      </w:r>
    </w:p>
    <w:p>
      <w:pPr>
        <w:spacing w:before="0" w:after="200" w:lineRule="auto" w:line="276"/>
      </w:pPr>
      <w:r>
        <w:rPr>
          <w:b/>
        </w:rPr>
        <w:t xml:space="preserve">Abstract (EN): </w:t>
      </w:r>
      <w:r>
        <w:t>Aqueous aluminum‐ion batteries (AAIBs) have emerged as a promising candidate for large‐scale energy storage. However, the strong solvation of Al</w:t>
      </w:r>
      <w:r>
        <w:t xml:space="preserve"> </w:t>
      </w:r>
      <w:r>
        <w:t>3+</w:t>
      </w:r>
      <w:r>
        <w:t xml:space="preserve"> </w:t>
      </w:r>
      <w:r>
        <w:t>ions and the formation of passivating oxide layers impede interfacial charge‐transfer kinetics, resulting in progressive performance degradation during prolonged cycling. Herein, a chloride‐bridge strategy is proposed by employing trichloroethanol (TCE) as an additive that spontaneously self‐assembles at the electrolyte/electrode interface to form a chloride‐bridge‐rich molecular layer. The resulting chloride‐bridge framework reorganizes the electric double layer (EDL), accelerates interfacial charge‐transfer kinetics, and promotes uniform Al</w:t>
      </w:r>
      <w:r>
        <w:t xml:space="preserve"> </w:t>
      </w:r>
      <w:r>
        <w:t>3+</w:t>
      </w:r>
      <w:r>
        <w:t xml:space="preserve"> </w:t>
      </w:r>
      <w:r>
        <w:t>deposition with a preferred (111) crystallographic orientation. The tailored interface sustains highly reversible Al deposition/stripping for over 800 h with low polarization and enhances the FeCoPBA full‐cell lifetime from fewer than 50 cycles in the OTF electrolyte to 150 at 100 mA g</w:t>
      </w:r>
      <w:r>
        <w:t xml:space="preserve"> </w:t>
      </w:r>
      <w:r>
        <w:t>−1</w:t>
      </w:r>
      <w:r>
        <w:t xml:space="preserve"> </w:t>
      </w:r>
      <w:r>
        <w:t>and 300 cycles at 200 mA g</w:t>
      </w:r>
      <w:r>
        <w:t xml:space="preserve"> </w:t>
      </w:r>
      <w:r>
        <w:t>−1</w:t>
      </w:r>
      <w:r>
        <w:t xml:space="preserve"> </w:t>
      </w:r>
      <w:r>
        <w:t>. Furthermore, the PANI cathode delivers 116 mAh g</w:t>
      </w:r>
      <w:r>
        <w:t xml:space="preserve"> </w:t>
      </w:r>
      <w:r>
        <w:t>−1</w:t>
      </w:r>
      <w:r>
        <w:t xml:space="preserve"> </w:t>
      </w:r>
      <w:r>
        <w:t>after 200 cycles at 100 mA g</w:t>
      </w:r>
      <w:r>
        <w:t xml:space="preserve"> </w:t>
      </w:r>
      <w:r>
        <w:t>−1</w:t>
      </w:r>
      <w:r>
        <w:t xml:space="preserve"> </w:t>
      </w:r>
      <w:r>
        <w:t>and remains stable over 350 cycles at 200 mA g</w:t>
      </w:r>
      <w:r>
        <w:t xml:space="preserve"> </w:t>
      </w:r>
      <w:r>
        <w:t>−1</w:t>
      </w:r>
      <w:r>
        <w:t xml:space="preserve"> </w:t>
      </w:r>
      <w:r>
        <w:t>, whereas the OTF electrolyte retains only 46 mAh g</w:t>
      </w:r>
      <w:r>
        <w:t xml:space="preserve"> </w:t>
      </w:r>
      <w:r>
        <w:t>−1</w:t>
      </w:r>
      <w:r>
        <w:t xml:space="preserve"> </w:t>
      </w:r>
      <w:r>
        <w:t>after 200 cycles at the same current rate. This work establishes a chloride‐bridge‐mediated interfacial engineering strategy for accelerating interfacial charge‐transfer kinetics and enabling durable AAIBs.</w:t>
      </w:r>
    </w:p>
    <w:p>
      <w:pPr>
        <w:spacing w:before="120" w:after="120"/>
      </w:pPr>
      <w:r>
        <w:rPr>
          <w:sz w:val="18"/>
        </w:rPr>
        <w:t>——————————————————————————————————————————————————————————————————————</w:t>
      </w:r>
    </w:p>
    <w:p>
      <w:pPr>
        <w:spacing w:before="160" w:after="40" w:line="240" w:lineRule="auto"/>
      </w:pPr>
      <w:r>
        <w:rPr>
          <w:b/>
        </w:rPr>
        <w:t xml:space="preserve">[7] </w:t>
      </w:r>
      <w:hyperlink r:id="rId81">
        <w:r>
          <w:rPr>
            <w:color w:val="1155CC"/>
            <w:u w:val="single"/>
          </w:rPr>
          <w:t>空位工程使镁金属电池 NASICON 阴极具有超低电压迟滞</w:t>
        </w:r>
      </w:hyperlink>
    </w:p>
    <w:p>
      <w:pPr>
        <w:spacing w:before="0" w:after="80"/>
      </w:pPr>
      <w:r>
        <w:rPr>
          <w:i/>
          <w:sz w:val="20"/>
        </w:rPr>
        <w:t>EN: Vacancy Engineering Enables Ultralow Voltage Hysteresis in NASICON Cathodes for Mg-Metal Batteries</w:t>
      </w:r>
    </w:p>
    <w:p>
      <w:pPr>
        <w:spacing w:before="0" w:after="120"/>
      </w:pPr>
      <w:r>
        <w:rPr>
          <w:b/>
        </w:rPr>
        <w:t xml:space="preserve">Source: </w:t>
      </w:r>
      <w:r>
        <w:t>ACS Energy Letters: Latest Articles (ACS Publications)</w:t>
      </w:r>
      <w:r>
        <w:t xml:space="preserve">    </w:t>
      </w:r>
      <w:r>
        <w:rPr>
          <w:b/>
        </w:rPr>
        <w:t xml:space="preserve">Pub date: </w:t>
      </w:r>
      <w:r>
        <w:t>2026-07-20 00:00:00+00:00</w:t>
      </w:r>
      <w:r>
        <w:t xml:space="preserve">    </w:t>
      </w:r>
      <w:r>
        <w:rPr>
          <w:b/>
        </w:rPr>
        <w:t xml:space="preserve">DOI: </w:t>
      </w:r>
      <w:hyperlink r:id="rId82">
        <w:r>
          <w:rPr>
            <w:color w:val="1155CC"/>
            <w:u w:val="single"/>
          </w:rPr>
          <w:t>10.1021/acsenergylett.6c01787</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部分链接已复制！可充电镁金属电池由于其高容量、安全性和资源丰富而具有吸引力，但其发展受到严重极化和缓慢的阴极动力学的限制。在此，通过NASICON型NaTi 2(PO 4) 3 中的Mg取代实现了阳离子空位工程策略。优化的 Mg 0.25 Na 0.5 Ti 2(PO 4)3 正极表现出低电压迟滞 (0.05 V)、高倍率性能（500 mA g−1 时容量保持率为 87%）和长期循环稳定性（500 次循环后容量保持率为 81%）。概念验证软包电池可提供 0.067 V 的低极化电压。机理研究揭示了 Mg−Na 混合离子存储机制，其中 Na+ 主要控制可逆阴极反应，而 Mg 金属在阳极经历可逆剥离/电镀。空位工程有效调节离子传输和结构可逆性，实现高度稳定的电化学操作。这项工作证明了空位工程是开发用于镁金属电池系统的高性能 NASICON 阴极的有效策略。 ACS 出版物 © 2026 美国化学会</w:t>
      </w:r>
    </w:p>
    <w:p>
      <w:pPr>
        <w:spacing w:before="0" w:after="200" w:lineRule="auto" w:line="276"/>
      </w:pPr>
      <w:r>
        <w:rPr>
          <w:b/>
        </w:rPr>
        <w:t xml:space="preserve">Abstract (EN): </w:t>
      </w:r>
      <w:r>
        <w:t>Click to copy section link Section link copied! Rechargeable Mg-metal batteries are attractive owing to their high volumetric capacity, safety, and resource abundance, yet their development is limited by severe polarization and sluggish cathode kinetics. Herein, a cation-vacancy engineering strategy is achieved through Mg substitution in NASICON-type NaTi 2(PO 4)3. The optimized Mg 0.25 Na 0.5 Ti 2(PO 4)3 cathode exhibits low voltage hysteresis (0.05 V), high rate capability (87% capacity retention at 500 mA g−1), and long-term cycling stability (81% capacity retention after 500 cycles). A proof-of-concept pouch cell delivers a low polarization voltage of 0.067 V. Mechanistic investigations reveal a Mg−Na hybrid-ion storage mechanism, in which Na+ predominantly governs the reversible cathode reaction while Mg metal undergoes reversible stripping/plating at the anode. Vacancy engineering effectively regulates ion transport and structural reversibility, enabling highly stable electrochemical operation. This work demonstrates vacancy engineering as an effective strategy for developing high-performance NASICON cathodes for Mg-metal battery systems. ACS Publications © 2026 American Chemical Society</w:t>
      </w:r>
    </w:p>
    <w:p>
      <w:pPr>
        <w:spacing w:before="120" w:after="120"/>
      </w:pPr>
      <w:r>
        <w:rPr>
          <w:sz w:val="18"/>
        </w:rPr>
        <w:t>——————————————————————————————————————————————————————————————————————</w:t>
      </w:r>
    </w:p>
    <w:p>
      <w:pPr>
        <w:spacing w:before="160" w:after="40" w:line="240" w:lineRule="auto"/>
      </w:pPr>
      <w:r>
        <w:rPr>
          <w:b/>
        </w:rPr>
        <w:t xml:space="preserve">[8] </w:t>
      </w:r>
      <w:hyperlink r:id="rId83">
        <w:r>
          <w:rPr>
            <w:color w:val="1155CC"/>
            <w:u w:val="single"/>
          </w:rPr>
          <w:t>将电池阴极转换为 1,000 Wh kg−1</w:t>
        </w:r>
      </w:hyperlink>
    </w:p>
    <w:p>
      <w:pPr>
        <w:spacing w:before="0" w:after="80"/>
      </w:pPr>
      <w:r>
        <w:rPr>
          <w:i/>
          <w:sz w:val="20"/>
        </w:rPr>
        <w:t>EN: Conversion cathodes for batteries towards 1,000 Wh kg−1</w:t>
      </w:r>
    </w:p>
    <w:p>
      <w:pPr>
        <w:spacing w:before="0" w:after="120"/>
      </w:pPr>
      <w:r>
        <w:rPr>
          <w:b/>
        </w:rPr>
        <w:t xml:space="preserve">Source: </w:t>
      </w:r>
      <w:r>
        <w:t>Matter</w:t>
      </w:r>
      <w:r>
        <w:t xml:space="preserve">    </w:t>
      </w:r>
      <w:r>
        <w:rPr>
          <w:b/>
        </w:rPr>
        <w:t xml:space="preserve">Pub date: </w:t>
      </w:r>
      <w:r>
        <w:t>2026-07-20 00:00:00+00:00</w:t>
      </w:r>
      <w:r>
        <w:t xml:space="preserve">    </w:t>
      </w:r>
      <w:r>
        <w:rPr>
          <w:b/>
        </w:rPr>
        <w:t xml:space="preserve">DOI: </w:t>
      </w:r>
      <w:hyperlink r:id="rId84">
        <w:r>
          <w:rPr>
            <w:color w:val="1155CC"/>
            <w:u w:val="single"/>
          </w:rPr>
          <w:t>10.1016/j.matt.2026.102882</w:t>
        </w:r>
      </w:hyperlink>
    </w:p>
    <w:p>
      <w:pPr>
        <w:spacing w:before="0" w:after="120"/>
      </w:pPr>
      <w:r>
        <w:rPr>
          <w:b/>
        </w:rPr>
        <w:t xml:space="preserve">Notes: </w:t>
      </w:r>
      <w:r>
        <w:t>abstract_source=rss_cell</w:t>
      </w:r>
    </w:p>
    <w:p>
      <w:pPr>
        <w:spacing w:before="0" w:after="80" w:lineRule="auto" w:line="276"/>
      </w:pPr>
      <w:r>
        <w:rPr>
          <w:b/>
        </w:rPr>
        <w:t xml:space="preserve">摘要（ZH）: </w:t>
      </w:r>
      <w:r>
        <w:t>随着锂电池接近插层化学的固有能量密度极限，电动航空等新兴应用需要全新的电化学系统。通过热力学矩阵计算，该观点将卤素间化合物和过渡金属氟化物确定为目标为 1,000 Wh kg−1 的可充电电池的有前途的转换阴极。</w:t>
      </w:r>
    </w:p>
    <w:p>
      <w:pPr>
        <w:spacing w:before="0" w:after="200" w:lineRule="auto" w:line="276"/>
      </w:pPr>
      <w:r>
        <w:rPr>
          <w:b/>
        </w:rPr>
        <w:t xml:space="preserve">Abstract (EN): </w:t>
      </w:r>
      <w:r>
        <w:t>As lithium batteries approach the intrinsic energy density limits of intercalation chemistry, emerging applications such as electric aviation demand fundamentally new electrochemical systems. Using thermodynamic matrix calculations, this perspective identifies interhalogens and transition-metal fluorides as promising conversion cathodes for rechargeable batteries targeting 1,000 Wh kg−1.</w:t>
      </w:r>
    </w:p>
    <w:p>
      <w:pPr>
        <w:spacing w:before="120" w:after="120"/>
      </w:pPr>
      <w:r>
        <w:rPr>
          <w:sz w:val="18"/>
        </w:rPr>
        <w:t>——————————————————————————————————————————————————————————————————————</w:t>
      </w:r>
    </w:p>
    <w:p>
      <w:pPr>
        <w:spacing w:before="160" w:after="40" w:line="240" w:lineRule="auto"/>
      </w:pPr>
      <w:r>
        <w:rPr>
          <w:b/>
        </w:rPr>
        <w:t xml:space="preserve">[9] </w:t>
      </w:r>
      <w:hyperlink r:id="rId85">
        <w:r>
          <w:rPr>
            <w:color w:val="1155CC"/>
            <w:u w:val="single"/>
          </w:rPr>
          <w:t>共价稳定高能氧化钒正极，用于可持续水性锌离子电池</w:t>
        </w:r>
      </w:hyperlink>
    </w:p>
    <w:p>
      <w:pPr>
        <w:spacing w:before="0" w:after="80"/>
      </w:pPr>
      <w:r>
        <w:rPr>
          <w:i/>
          <w:sz w:val="20"/>
        </w:rPr>
        <w:t>EN: Covalency stabilizes high energy vanadium oxide positive electrode for sustainable aqueous zinc-ion batteries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水系锌离子电池是一种很有前途的可持续能源存储系统，但其实际部署受到循环过程中正极结构不稳定的阻碍，而这一问题受到的关注较少。认识到轨道耦合在金属氧化物中的关键作用，我们通过调节 V2O3 中 V 的电子态来调节氧化钒正极的高压稳定性。氟掺入 V-O 框架会引起不对称电子分布，增强 V-O 轨道重叠并通过增强的 π-和 σ-键加强共价相互作用。这种增加的共价性降低了轴向氧原子的碱性，抑制质子攻击并减轻高充电电压下的结构变形。 F-V2O3 表现出增强的循环稳定性，在 3 A g−1 下经过 60,000 次循环后仍保留 80% 的容量。此外，Ah 级软包电池在 50 mA g−1 下可提供 95 Wh kg−1 的比能量（基于所有电极材料）。具有 3.7 V 输出的实用软包电池组成功为无人机提供动力。在这里，我们展示了共价工程对于稳定氧化物正极的重要性。</w:t>
      </w:r>
    </w:p>
    <w:p>
      <w:pPr>
        <w:spacing w:before="0" w:after="200" w:lineRule="auto" w:line="276"/>
      </w:pPr>
      <w:r>
        <w:rPr>
          <w:b/>
        </w:rPr>
        <w:t xml:space="preserve">Abstract (EN): </w:t>
      </w:r>
      <w:r>
        <w:t>Aqueous zinc-ion batteries are promising sustainable energy-storage systems, yet their practical deployment is hindered by positive electrode structural instability during cycling, which has received less attention. Recognizing the critical role of orbital coupling in metal oxides, we regulate the high-voltage stability of vanadium oxide positive electrodes by modulating the electronic state of V in V2O3. Fluorine incorporation into the V-O framework induces asymmetric electron distribution, enhancing V-O orbital overlap and strengthening covalent interactions through reinforced π- and σ-bonding. This increased covalency reduces the basicity of axial oxygen atoms, suppressing proton attack and mitigating structural distortion at high charging voltages. F-V2O3 exhibits enhanced cycling stability, retaining 80% capacity over 60,000 cycles at 3 A g−1. Furthermore, Ah-level pouch cell delivers specific energy (based on all electrode materials) of 95 Wh kg−1 at 50 mA g−1. A practical pouch-cell pack with a 3.7 V output successfully powers drones. Here, we show the importance of covalency engineering for stabilizing oxide positive electrodes.</w:t>
      </w:r>
    </w:p>
    <w:p>
      <w:pPr>
        <w:spacing w:before="120" w:after="120"/>
      </w:pPr>
      <w:r>
        <w:rPr>
          <w:sz w:val="18"/>
        </w:rPr>
        <w:t>——————————————————————————————————————————————————————————————————————</w:t>
      </w:r>
    </w:p>
    <w:p>
      <w:pPr>
        <w:spacing w:before="160" w:after="40" w:line="240" w:lineRule="auto"/>
      </w:pPr>
      <w:r>
        <w:rPr>
          <w:b/>
        </w:rPr>
        <w:t xml:space="preserve">[10] </w:t>
      </w:r>
      <w:hyperlink r:id="rId86">
        <w:r>
          <w:rPr>
            <w:color w:val="1155CC"/>
            <w:u w:val="single"/>
          </w:rPr>
          <w:t>利用 O2-O3 共生升级回收废 LiCoO2，以增强高压稳定性和循环性能</w:t>
        </w:r>
      </w:hyperlink>
    </w:p>
    <w:p>
      <w:pPr>
        <w:spacing w:before="0" w:after="80"/>
      </w:pPr>
      <w:r>
        <w:rPr>
          <w:i/>
          <w:sz w:val="20"/>
        </w:rPr>
        <w:t>EN: Upcycling Spent LiCoO2 with O2–O3 Intergrowth for Enhanced High‐Voltage Stability and Cycling Performance</w:t>
      </w:r>
    </w:p>
    <w:p>
      <w:pPr>
        <w:spacing w:before="0" w:after="120"/>
      </w:pPr>
      <w:r>
        <w:rPr>
          <w:b/>
        </w:rPr>
        <w:t xml:space="preserve">Source: </w:t>
      </w:r>
      <w:r>
        <w:t>Wiley: Advanced Materials: Table of Contents</w:t>
      </w:r>
      <w:r>
        <w:t xml:space="preserve">    </w:t>
      </w:r>
      <w:r>
        <w:rPr>
          <w:b/>
        </w:rPr>
        <w:t xml:space="preserve">Pub date: </w:t>
      </w:r>
      <w:r>
        <w:t>2026-07-20 08:45:32+00:00</w:t>
      </w:r>
      <w:r>
        <w:t xml:space="preserve">    </w:t>
      </w:r>
      <w:r>
        <w:rPr>
          <w:b/>
        </w:rPr>
        <w:t xml:space="preserve">DOI: </w:t>
      </w:r>
      <w:hyperlink r:id="rId87">
        <w:r>
          <w:rPr>
            <w:color w:val="1155CC"/>
            <w:u w:val="single"/>
          </w:rPr>
          <w:t>10.1002/adma.74208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由于元素回收率高、能耗低，直接再生被认为是废旧锂离子电池（LIB）的下一代回收策略。然而，受限于5-8年前的原始设计，废LiCoO的简单回收</w:t>
      </w:r>
      <w:r>
        <w:rPr>
          <w:vertAlign w:val="subscript"/>
        </w:rPr>
        <w:t>2</w:t>
      </w:r>
      <w:r>
        <w:t>（LCO）很难诱导出适合现代储能系统的电化学能力。此外，采用传统 O3 相的商用 LCO 本身就存在高压稳定性差的问题。在此，利用废 LCO 的褪色特性作为升级循环的跳板，通过晶格重建和离子交换诱导的相变，它们成功再生为具有 O2-O3 共生结构的新鲜 LCO。通过定制 SLCO 的缺锂水平来精确控制 O2 相含量。在交织的晶格位错的帮助下，O2 和 O3 相相干地互锁，有效地缓解晶格膨胀和氧释放。同时，降低的能带（1.359 eV）和扩散能垒（0.375 eV）对能量存储能力起着重要作用。优化后的材料容量为 223.3 mAh g</w:t>
      </w:r>
      <w:r>
        <w:t xml:space="preserve"> </w:t>
      </w:r>
      <w:r>
        <w:t>−1</w:t>
      </w:r>
      <w:r>
        <w:t xml:space="preserve"> </w:t>
      </w:r>
      <w:r>
        <w:t>在 0.1 C 下，在 1.0 C 下循环 100 次后保留率达 90.6%，优于商用 LCO。使用改进的电解质，在 5C 下循环 500 次后，容量保持率为 73.6%。这项工作凸显了 O2-O3 共生 LCO 的优势，并为高性能阴极提供了一条有前景的升级回收途径。</w:t>
      </w:r>
    </w:p>
    <w:p>
      <w:pPr>
        <w:spacing w:before="0" w:after="200" w:lineRule="auto" w:line="276"/>
      </w:pPr>
      <w:r>
        <w:rPr>
          <w:b/>
        </w:rPr>
        <w:t xml:space="preserve">Abstract (EN): </w:t>
      </w:r>
      <w:r>
        <w:t>Direct regeneration is regarded as a next‐generation recycling strategy for spent lithium‐ion batteries (LIBs) owing to high element recovery and low energy consumption. However, limited by pristine design from 5–8 years ago, the simple recovery for spent LiCoO</w:t>
      </w:r>
      <w:r>
        <w:rPr>
          <w:vertAlign w:val="subscript"/>
        </w:rPr>
        <w:t>2</w:t>
      </w:r>
      <w:r>
        <w:t>(LCO) hardly induced the suitable electrochemical abilities for modern energy‐storage systems. Moreover, commercial LCO with conventional O3 phase inherently suffers from poor high‑voltage stability. Herein, using the fading traits of spent LCO as upcycling springboards, they are successfully regenerated toward fresh LCO with O2–O3 intergrown architecture through lattice reconstruction and ion‑exchange‑induced phase transformation. The O2‑phase content is precisely controlled by tailoring Li‑deficiency level of SLCO. Assisted by intertwined lattice dislocations, O2 and O3 phases are coherently interlocked, effectively alleviating lattice expansion and oxygen release. Meanwhile, the lowered energy band (1.359 eV) and diffusion energy barrier (0.375 eV) play important roles for energy‐storage abilities. The optimized material delivers a capacity of 223.3 mAh g</w:t>
      </w:r>
      <w:r>
        <w:t xml:space="preserve"> </w:t>
      </w:r>
      <w:r>
        <w:t>−1</w:t>
      </w:r>
      <w:r>
        <w:t xml:space="preserve"> </w:t>
      </w:r>
      <w:r>
        <w:t>at 0.1 C and retains 90.6% after 100 cycles at 1.0 C, outperforming commercial LCO. With a modified electrolyte, a capacity retention of 73.6% is achieved after 500 cycles at 5C. This work highlights the advantages of O2–O3 intergrown LCO and provides a promising upcycling route toward high‑performance cathodes.</w:t>
      </w:r>
    </w:p>
    <w:p>
      <w:pPr>
        <w:spacing w:before="120" w:after="120"/>
      </w:pPr>
      <w:r>
        <w:rPr>
          <w:sz w:val="18"/>
        </w:rPr>
        <w:t>——————————————————————————————————————————————————————————————————————</w:t>
      </w:r>
    </w:p>
    <w:p>
      <w:pPr>
        <w:spacing w:before="160" w:after="40" w:line="240" w:lineRule="auto"/>
      </w:pPr>
      <w:r>
        <w:rPr>
          <w:b/>
        </w:rPr>
        <w:t xml:space="preserve">[11] </w:t>
      </w:r>
      <w:hyperlink r:id="rId88">
        <w:r>
          <w:rPr>
            <w:color w:val="1155CC"/>
            <w:u w:val="single"/>
          </w:rPr>
          <w:t>通过感应效应调节钠层氧化物阴极的晶格稳定性</w:t>
        </w:r>
      </w:hyperlink>
    </w:p>
    <w:p>
      <w:pPr>
        <w:spacing w:before="0" w:after="80"/>
      </w:pPr>
      <w:r>
        <w:rPr>
          <w:i/>
          <w:sz w:val="20"/>
        </w:rPr>
        <w:t>EN: Modulating the Lattice Stability in Sodium-Layered Oxide Cathodes through Inductive Effect</w:t>
      </w:r>
    </w:p>
    <w:p>
      <w:pPr>
        <w:spacing w:before="0" w:after="120"/>
      </w:pPr>
      <w:r>
        <w:rPr>
          <w:b/>
        </w:rPr>
        <w:t xml:space="preserve">Source: </w:t>
      </w:r>
      <w:r>
        <w:t>ACS Energy Letters: Latest Articles (ACS Publications)</w:t>
      </w:r>
      <w:r>
        <w:t xml:space="preserve">    </w:t>
      </w:r>
      <w:r>
        <w:rPr>
          <w:b/>
        </w:rPr>
        <w:t xml:space="preserve">Pub date: </w:t>
      </w:r>
      <w:r>
        <w:t>2026-07-21 00:00:00+00:00</w:t>
      </w:r>
      <w:r>
        <w:t xml:space="preserve">    </w:t>
      </w:r>
      <w:r>
        <w:rPr>
          <w:b/>
        </w:rPr>
        <w:t xml:space="preserve">DOI: </w:t>
      </w:r>
      <w:hyperlink r:id="rId89">
        <w:r>
          <w:rPr>
            <w:color w:val="1155CC"/>
            <w:u w:val="single"/>
          </w:rPr>
          <w:t>10.1021/acsenergylett.6c01916</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部分链接已复制！钠层氧化物阴极相对于锂类似物的稳定性和安全性仍然是一个关键问题，但其基本起源仍然知之甚少。在这里，我们通过将 5% 锂 (Li)、钾 (K) 或两者引入层状 NaNiO 2 (NNO) 中，产生 Na 0.95 Li 0.05 NiO 2、Na 0.95 K 0.05 NiO 2 和 Na 0.90 Li 0.05 K 0.05 NiO 2，研究钠-氧键离子性在控制放气中的作用。在线电化学质谱法在 4.3 V 电压下，K 替代增加了气体逸出，但充电容量相似，而 Li 替代则使气体逸出减少了近 80%，而容量仅降低了 16%。容量控制实验表明，NNO 仅需充电至 3.8 V (144 mA h g−1) 即可实现与充电至 4.3 V (175 mA h g−1) 的 Na 0.95 Li 0.05 NiO 2 相当的气体逸出。这些结果表明，通过感应效应调节碱金属-氧键离子性可以调节Ni-O共价、晶格氧稳定性和界面反应性，为更安全的钠层氧化物阴极提供设计指导。 ACS 出版物 © 2026 作者。美国化学会出版</w:t>
      </w:r>
    </w:p>
    <w:p>
      <w:pPr>
        <w:spacing w:before="0" w:after="200" w:lineRule="auto" w:line="276"/>
      </w:pPr>
      <w:r>
        <w:rPr>
          <w:b/>
        </w:rPr>
        <w:t xml:space="preserve">Abstract (EN): </w:t>
      </w:r>
      <w:r>
        <w:t>Click to copy section link Section link copied! The stability and safety of sodium-layered oxide cathodes relative to lithium analogs remain a critical concern, yet their fundamental origin remains poorly understood. Here, we examine the role of sodium−oxygen bond ionicity in governing outgassing by introducing 5% lithium (Li), potassium (K), or both into layered NaNiO 2 (NNO), yielding Na 0.95 Li 0.05 NiO 2, Na 0.95 K 0.05 NiO 2, and Na 0.90 Li 0.05 K 0.05 NiO 2. Online electrochemical mass spectrometry at 4.3 V reveals that K substitution increases gas evolution with similar charge capacity, whereas Li substitution reduces gas evolution by nearly 80% with only a 16% capacity decrease. Capacity-controlled experiments show that NNO must be charged to only 3.8 V (144 mA h g−1) to achieve gas evolution comparable to Na 0.95 Li 0.05 NiO 2 charged to 4.3 V (175 mA h g−1). These results demonstrate that tuning alkali-metal−oxygen bond ionicity through the inductive effect regulates Ni−O covalency, lattice oxygen stability, and interfacial reactivity, providing design guidance for safer sodium-layered oxide cathodes. ACS Publications © 2026 The Authors. Published by American Chemical Society</w:t>
      </w:r>
    </w:p>
    <w:p>
      <w:pPr>
        <w:spacing w:before="120" w:after="120"/>
      </w:pPr>
      <w:r>
        <w:rPr>
          <w:sz w:val="18"/>
        </w:rPr>
        <w:t>——————————————————————————————————————————————————————————————————————</w:t>
      </w:r>
    </w:p>
    <w:p>
      <w:pPr>
        <w:spacing w:before="160" w:after="40" w:line="240" w:lineRule="auto"/>
      </w:pPr>
      <w:r>
        <w:rPr>
          <w:b/>
        </w:rPr>
        <w:t xml:space="preserve">[12] </w:t>
      </w:r>
      <w:hyperlink r:id="rId90">
        <w:r>
          <w:rPr>
            <w:color w:val="1155CC"/>
            <w:u w:val="single"/>
          </w:rPr>
          <w:t>用于自适应热调节和能量存储的进化驱动生物复合气凝胶</w:t>
        </w:r>
      </w:hyperlink>
    </w:p>
    <w:p>
      <w:pPr>
        <w:spacing w:before="0" w:after="80"/>
      </w:pPr>
      <w:r>
        <w:rPr>
          <w:i/>
          <w:sz w:val="20"/>
        </w:rPr>
        <w:t>EN: Evolution‐Driven Bio‐Composite Aerogels for Self‐Adaptive Thermal Regulation and Energy Storage</w:t>
      </w:r>
    </w:p>
    <w:p>
      <w:pPr>
        <w:spacing w:before="0" w:after="120"/>
      </w:pPr>
      <w:r>
        <w:rPr>
          <w:b/>
        </w:rPr>
        <w:t xml:space="preserve">Source: </w:t>
      </w:r>
      <w:r>
        <w:t>Wiley: Advanced Materials: Table of Contents</w:t>
      </w:r>
      <w:r>
        <w:t xml:space="preserve">    </w:t>
      </w:r>
      <w:r>
        <w:rPr>
          <w:b/>
        </w:rPr>
        <w:t xml:space="preserve">Pub date: </w:t>
      </w:r>
      <w:r>
        <w:t>2026-07-21 08:52:16+00:00</w:t>
      </w:r>
      <w:r>
        <w:t xml:space="preserve">    </w:t>
      </w:r>
      <w:r>
        <w:rPr>
          <w:b/>
        </w:rPr>
        <w:t xml:space="preserve">DOI: </w:t>
      </w:r>
      <w:hyperlink r:id="rId91">
        <w:r>
          <w:rPr>
            <w:color w:val="1155CC"/>
            <w:u w:val="single"/>
          </w:rPr>
          <w:t>10.1002/adma.73935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大自然通过将化学上不同的相整合到分层组织的结构中来实现显着的多功能性。受这一原理的启发，我们开发了一种简单而通用的策略，通过掺入三价金属氯化物（MCl</w:t>
      </w:r>
      <w:r>
        <w:rPr>
          <w:vertAlign w:val="subscript"/>
        </w:rPr>
        <w:t>3</w:t>
      </w:r>
      <w:r>
        <w:t>）转化为生物聚合物壳聚糖（CTS）基质。水介质中的配位驱动组装能够直接形成金属离子配位壳聚糖（CTS-M）气凝胶，无需外部酸或额外的交联剂。这些气凝胶在湿度刺激下表现出可逆的脆性到柔性的转变，并具有出色的机械弹性，可在极端温度下实现自适应隔热。热解后，相同的前体转化为导电碳金属氧化物（C-M</w:t>
      </w:r>
      <w:r>
        <w:rPr>
          <w:vertAlign w:val="subscript"/>
        </w:rPr>
        <w:t>2</w:t>
      </w:r>
      <w:r>
        <w:t>氧</w:t>
      </w:r>
      <w:r>
        <w:rPr>
          <w:vertAlign w:val="subscript"/>
        </w:rPr>
        <w:t>3</w:t>
      </w:r>
      <w:r>
        <w:t>）气凝胶，其中金属氧化物纳米晶体嵌入互连的碳框架内。这种结构整合将连续的电子传输网络与氧化还原活性域耦合起来，从而促进电荷转移并增加可访问的存储位点。作为一个代表性的例子，C-V</w:t>
      </w:r>
      <w:r>
        <w:rPr>
          <w:vertAlign w:val="subscript"/>
        </w:rPr>
        <w:t>2</w:t>
      </w:r>
      <w:r>
        <w:t>氧</w:t>
      </w:r>
      <w:r>
        <w:rPr>
          <w:vertAlign w:val="subscript"/>
        </w:rPr>
        <w:t>3</w:t>
      </w:r>
      <w:r>
        <w:t>水性锌离子电池 (ZIB) 的阴极具有出色的能量功率性能（656 Wh kg</w:t>
      </w:r>
      <w:r>
        <w:t xml:space="preserve"> </w:t>
      </w:r>
      <w:r>
        <w:t>−1</w:t>
      </w:r>
      <w:r>
        <w:t xml:space="preserve"> </w:t>
      </w:r>
      <w:r>
        <w:t>200 W 千克</w:t>
      </w:r>
      <w:r>
        <w:t xml:space="preserve"> </w:t>
      </w:r>
      <w:r>
        <w:t>−1</w:t>
      </w:r>
      <w:r>
        <w:t xml:space="preserve"> </w:t>
      </w:r>
      <w:r>
        <w:t>, 178 瓦时千克</w:t>
      </w:r>
    </w:p>
    <w:p>
      <w:pPr>
        <w:spacing w:before="0" w:after="200" w:lineRule="auto" w:line="276"/>
      </w:pPr>
      <w:r>
        <w:rPr>
          <w:b/>
        </w:rPr>
        <w:t xml:space="preserve">Abstract (EN): </w:t>
      </w:r>
      <w:r>
        <w:t>Nature achieves remarkable multifunctionality by integrating chemically dissimilar phases into hierarchically organized architectures. Inspired by this principle, we develop a simple and universal strategy to construct bio‐composite aerogels by incorporating trivalent metal chlorides (MCl</w:t>
      </w:r>
      <w:r>
        <w:rPr>
          <w:vertAlign w:val="subscript"/>
        </w:rPr>
        <w:t>3</w:t>
      </w:r>
      <w:r>
        <w:t>) into biopolymer chitosan (CTS) matrices. Coordination‐driven assembly in aqueous media enables the direct formation of metal ion‐coordinated chitosan (CTS–M) aerogels without external acids or additional crosslinkers. These aerogels exhibit reversible brittle‐to‐flexible transitions under humidity stimuli, together with exceptional mechanical resilience, enabling self‐adaptive thermal insulation under temperature extremes. Upon pyrolysis, the same precursor is converted into conductive carbon–metal oxide (C–M</w:t>
      </w:r>
      <w:r>
        <w:rPr>
          <w:vertAlign w:val="subscript"/>
        </w:rPr>
        <w:t>2</w:t>
      </w:r>
      <w:r>
        <w:t>O</w:t>
      </w:r>
      <w:r>
        <w:rPr>
          <w:vertAlign w:val="subscript"/>
        </w:rPr>
        <w:t>3</w:t>
      </w:r>
      <w:r>
        <w:t>) aerogels, where metal oxide nanocrystals are embedded within an interconnected carbon framework. This structural integration couples a continuous electron‐transport network with redox‐active domains, thereby promoting charge‐transfer and increasing accessible storage sites. As a representative example, the C–V</w:t>
      </w:r>
      <w:r>
        <w:rPr>
          <w:vertAlign w:val="subscript"/>
        </w:rPr>
        <w:t>2</w:t>
      </w:r>
      <w:r>
        <w:t>O</w:t>
      </w:r>
      <w:r>
        <w:rPr>
          <w:vertAlign w:val="subscript"/>
        </w:rPr>
        <w:t>3</w:t>
      </w:r>
      <w:r>
        <w:t>cathode for aqueous zinc‐ion batteries (ZIBs) delivers excellent energy–power performance (656 Wh kg</w:t>
      </w:r>
      <w:r>
        <w:t xml:space="preserve"> </w:t>
      </w:r>
      <w:r>
        <w:t>−1</w:t>
      </w:r>
      <w:r>
        <w:t xml:space="preserve"> </w:t>
      </w:r>
      <w:r>
        <w:t>at 200 W kg</w:t>
      </w:r>
      <w:r>
        <w:t xml:space="preserve"> </w:t>
      </w:r>
      <w:r>
        <w:t>−1</w:t>
      </w:r>
      <w:r>
        <w:t xml:space="preserve"> </w:t>
      </w:r>
      <w:r>
        <w:t>, 178 Wh kg</w:t>
      </w:r>
      <w:r>
        <w:t xml:space="preserve"> </w:t>
      </w:r>
      <w:r>
        <w:t>−1</w:t>
      </w:r>
      <w:r>
        <w:t xml:space="preserve"> </w:t>
      </w:r>
      <w:r>
        <w:t>at ∼20 000 W kg</w:t>
      </w:r>
      <w:r>
        <w:t xml:space="preserve"> </w:t>
      </w:r>
      <w:r>
        <w:t>−1</w:t>
      </w:r>
      <w:r>
        <w:t xml:space="preserve"> </w:t>
      </w:r>
      <w:r>
        <w:t>) with 85% capacity retention after 10 000 cycles, outperforming previously reported carbon–metal oxide systems. By linking adaptive thermal regulation and electrochemical energy storage through a single precursor‐to‐function pathway, this work establishes an evolution‐driven aerogel design paradigm for next‐generation multifunctional materials.</w:t>
      </w:r>
    </w:p>
    <w:p>
      <w:pPr>
        <w:spacing w:before="120" w:after="120"/>
      </w:pPr>
      <w:r>
        <w:rPr>
          <w:sz w:val="18"/>
        </w:rPr>
        <w:t>——————————————————————————————————————————————————————————————————————</w:t>
      </w:r>
    </w:p>
    <w:p>
      <w:pPr>
        <w:spacing w:before="160" w:after="40" w:line="240" w:lineRule="auto"/>
      </w:pPr>
      <w:r>
        <w:rPr>
          <w:b/>
        </w:rPr>
        <w:t xml:space="preserve">[13] </w:t>
      </w:r>
      <w:hyperlink r:id="rId92">
        <w:r>
          <w:rPr>
            <w:color w:val="1155CC"/>
            <w:u w:val="single"/>
          </w:rPr>
          <w:t>对“通过静电排斥调节激活无序岩盐的 1-TM 通道以增强锂存储”的修正</w:t>
        </w:r>
      </w:hyperlink>
    </w:p>
    <w:p>
      <w:pPr>
        <w:spacing w:before="0" w:after="80"/>
      </w:pPr>
      <w:r>
        <w:rPr>
          <w:i/>
          <w:sz w:val="20"/>
        </w:rPr>
        <w:t>EN: Correction to “Activate 1‐TM Channel of Disordered Rock Salts via Electrostatic Repulsion Regulation for Enhanced Lithium Storage”</w:t>
      </w:r>
    </w:p>
    <w:p>
      <w:pPr>
        <w:spacing w:before="0" w:after="120"/>
      </w:pPr>
      <w:r>
        <w:rPr>
          <w:b/>
        </w:rPr>
        <w:t xml:space="preserve">Source: </w:t>
      </w:r>
      <w:r>
        <w:t>Wiley: Angewandte Chemie International Edition: Table of Contents</w:t>
      </w:r>
      <w:r>
        <w:t xml:space="preserve">    </w:t>
      </w:r>
      <w:r>
        <w:rPr>
          <w:b/>
        </w:rPr>
        <w:t xml:space="preserve">Pub date: </w:t>
      </w:r>
      <w:r>
        <w:t>2026-07-21 12:00:09+00:00</w:t>
      </w:r>
      <w:r>
        <w:t xml:space="preserve">    </w:t>
      </w:r>
      <w:r>
        <w:rPr>
          <w:b/>
        </w:rPr>
        <w:t xml:space="preserve">DOI: </w:t>
      </w:r>
      <w:hyperlink r:id="rId93">
        <w:r>
          <w:rPr>
            <w:color w:val="1155CC"/>
            <w:u w:val="single"/>
          </w:rPr>
          <w:t>10.1002/anie.7326145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94">
        <w:r>
          <w:rPr>
            <w:color w:val="1155CC"/>
            <w:u w:val="single"/>
          </w:rPr>
          <w:t>阐明实用的下一代高能量密度锂离子电池热安全问题的根源</w:t>
        </w:r>
      </w:hyperlink>
    </w:p>
    <w:p>
      <w:pPr>
        <w:spacing w:before="0" w:after="80"/>
      </w:pPr>
      <w:r>
        <w:rPr>
          <w:i/>
          <w:sz w:val="20"/>
        </w:rPr>
        <w:t>EN: Elucidating the Origin of Intensified Thermal Safety Concerns of Practical Next‐Generation High‐Energy‐Density Li‐Ion Batteries</w:t>
      </w:r>
    </w:p>
    <w:p>
      <w:pPr>
        <w:spacing w:before="0" w:after="120"/>
      </w:pPr>
      <w:r>
        <w:rPr>
          <w:b/>
        </w:rPr>
        <w:t xml:space="preserve">Source: </w:t>
      </w:r>
      <w:r>
        <w:t>Wiley: Angewandte Chemie International Edition: Table of Contents</w:t>
      </w:r>
      <w:r>
        <w:t xml:space="preserve">    </w:t>
      </w:r>
      <w:r>
        <w:rPr>
          <w:b/>
        </w:rPr>
        <w:t xml:space="preserve">Pub date: </w:t>
      </w:r>
      <w:r>
        <w:t>2026-07-21 12:06:02+00:00</w:t>
      </w:r>
      <w:r>
        <w:t xml:space="preserve">    </w:t>
      </w:r>
      <w:r>
        <w:rPr>
          <w:b/>
        </w:rPr>
        <w:t xml:space="preserve">DOI: </w:t>
      </w:r>
      <w:hyperlink r:id="rId95">
        <w:r>
          <w:rPr>
            <w:color w:val="1155CC"/>
            <w:u w:val="single"/>
          </w:rPr>
          <w:t>10.1002/anie.5057887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比能电池系统对于为重型无人机（UAV）和电动垂直起降（eVTOL）飞机提供动力至关重要，被视为低空经济发展的关键推动力。然而，它们的商业化仍然受到重大热安全问题的阻碍。在这项工作中，我们使用超高富镍层状氧化物阴极（Ni占96%）与混合Si@C阳极配对作为模型系统，系统地研究了实时气体析出行为，并阐明了阴极/阳极电极气体产生的潜在机制，以及它们在热失控过程中的串扰反应。结果表明 Si@C 阳极有严重的气体排放，其中 H</w:t>
      </w:r>
      <w:r>
        <w:rPr>
          <w:vertAlign w:val="subscript"/>
        </w:rPr>
        <w:t>2</w:t>
      </w:r>
      <w:r>
        <w:t>占释放气体总量的71.12%（质量比）。同时，Ni96阴极释放活性氧（O</w:t>
      </w:r>
      <w:r>
        <w:t xml:space="preserve"> </w:t>
      </w:r>
      <w:r>
        <w:t>n−</w:t>
      </w:r>
      <w:r>
        <w:t>/O</w:t>
      </w:r>
      <w:r>
        <w:rPr>
          <w:vertAlign w:val="subscript"/>
        </w:rPr>
        <w:t>2</w:t>
      </w:r>
      <w:r>
        <w:t>）在高温（例如220°C）下，与Si@C阳极和电解质产生的还原气体发生反应，从而引发热失控。此外，采用专门定制的低氢（low-H）电解质来有效抑制H</w:t>
      </w:r>
      <w:r>
        <w:rPr>
          <w:vertAlign w:val="subscript"/>
        </w:rPr>
        <w:t>2</w:t>
      </w:r>
      <w:r>
        <w:t>进化，从而提高高比能量电池系统的安全性。这些对气体析出机制的见解为电池材料的针对性设计和实际安全标准的制定提供了基础。</w:t>
      </w:r>
    </w:p>
    <w:p>
      <w:pPr>
        <w:spacing w:before="0" w:after="200" w:lineRule="auto" w:line="276"/>
      </w:pPr>
      <w:r>
        <w:rPr>
          <w:b/>
        </w:rPr>
        <w:t xml:space="preserve">Abstract (EN): </w:t>
      </w:r>
      <w:r>
        <w:t>High‐specific‐energy battery systems, crucial for powering heavy‐lift unmanned aerial vehicles (UAVs) and electric vertical take‐off and landing (eVTOL) aircraft, are regarded as key enablers for the development of the low‐altitude economy. However, their commercialization remains hindered by significant thermal safety concerns. In this work, using an ultrahigh Ni‐rich layered oxide cathode (Ni accounts for 96%) paired with a mixed Si@C anode as a model system, we systematically investigate real‐time gas evolution behavior and elucidate the underlying mechanisms of gas generation at both cathode/anode electrodes, along with their crosstalk reactions during thermal runaway. The results reveal severe gas emission from the Si@C anode, with H</w:t>
      </w:r>
      <w:r>
        <w:rPr>
          <w:vertAlign w:val="subscript"/>
        </w:rPr>
        <w:t>2</w:t>
      </w:r>
      <w:r>
        <w:t>constituting 71.12% (mass ratio) of the total gas released. Meanwhile, the Ni96 cathode releases active oxygen species (O</w:t>
      </w:r>
      <w:r>
        <w:t xml:space="preserve"> </w:t>
      </w:r>
      <w:r>
        <w:t>n−</w:t>
      </w:r>
      <w:r>
        <w:t>/O</w:t>
      </w:r>
      <w:r>
        <w:rPr>
          <w:vertAlign w:val="subscript"/>
        </w:rPr>
        <w:t>2</w:t>
      </w:r>
      <w:r>
        <w:t>) at elevated temperatures (e.g., 220°C), which react with reducing gases generated from the Si@C anode and electrolyte, thereby triggering the onset of thermal runaway. Furthermore, a specially tailored low‐hydrogen (low‐H) electrolyte is employed to effectively suppress H</w:t>
      </w:r>
      <w:r>
        <w:rPr>
          <w:vertAlign w:val="subscript"/>
        </w:rPr>
        <w:t>2</w:t>
      </w:r>
      <w:r>
        <w:t>evolution, thereby enhancing the safety of high specific energy battery systems. These insights into gas evolution mechanisms provide a foundation for the targeted design of battery materials and the formulation of practical safety strategies for the low‐altitude sector.</w:t>
      </w:r>
    </w:p>
    <w:p>
      <w:pPr>
        <w:spacing w:before="120" w:after="120"/>
      </w:pPr>
      <w:r>
        <w:rPr>
          <w:sz w:val="18"/>
        </w:rPr>
        <w:t>——————————————————————————————————————————————————————————————————————</w:t>
      </w:r>
    </w:p>
    <w:p>
      <w:pPr>
        <w:spacing w:before="160" w:after="40" w:line="240" w:lineRule="auto"/>
      </w:pPr>
      <w:r>
        <w:rPr>
          <w:b/>
        </w:rPr>
        <w:t xml:space="preserve">[15] </w:t>
      </w:r>
      <w:hyperlink r:id="rId96">
        <w:r>
          <w:rPr>
            <w:color w:val="1155CC"/>
            <w:u w:val="single"/>
          </w:rPr>
          <w:t>实现低温钠储存的同分异构共价有机框架设计</w:t>
        </w:r>
      </w:hyperlink>
    </w:p>
    <w:p>
      <w:pPr>
        <w:spacing w:before="0" w:after="80"/>
      </w:pPr>
      <w:r>
        <w:rPr>
          <w:i/>
          <w:sz w:val="20"/>
        </w:rPr>
        <w:t>EN: Design of Isomeric Covalent Organic Frameworks for Realizing Low‐Temperature Sodium Storage</w:t>
      </w:r>
    </w:p>
    <w:p>
      <w:pPr>
        <w:spacing w:before="0" w:after="120"/>
      </w:pPr>
      <w:r>
        <w:rPr>
          <w:b/>
        </w:rPr>
        <w:t xml:space="preserve">Source: </w:t>
      </w:r>
      <w:r>
        <w:t>Wiley: Angewandte Chemie International Edition: Table of Contents</w:t>
      </w:r>
      <w:r>
        <w:t xml:space="preserve">    </w:t>
      </w:r>
      <w:r>
        <w:rPr>
          <w:b/>
        </w:rPr>
        <w:t xml:space="preserve">Pub date: </w:t>
      </w:r>
      <w:r>
        <w:t>2026-07-21 12:25:59+00:00</w:t>
      </w:r>
      <w:r>
        <w:t xml:space="preserve">    </w:t>
      </w:r>
      <w:r>
        <w:rPr>
          <w:b/>
        </w:rPr>
        <w:t xml:space="preserve">DOI: </w:t>
      </w:r>
      <w:hyperlink r:id="rId97">
        <w:r>
          <w:rPr>
            <w:color w:val="1155CC"/>
            <w:u w:val="single"/>
          </w:rPr>
          <w:t>10.1002/anie.6384515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低温钠离子电池（SIB）对于极端环境下的能量存储至关重要，然而，由于缓慢的离子扩散和晶格收缩，反应动力学缓慢，严重阻碍了这种电池的发展。在此，我们报告了基于蒽醌的共价有机框架（TPAQ-COF）的异构体设计策略，通过调节羰基的空间排列来优化钠储存。通过将TPAQ-COF与相邻的羰基配位位点（异构体TPAQ-COF、i-TPAQ-COF）进行设计，我们成功地利用协同螯合效应促进钠离子在低温下的储存。因此，i-TPAQ-COF 表现出 153 mAh g 的优异可逆容量</w:t>
      </w:r>
      <w:r>
        <w:t xml:space="preserve"> </w:t>
      </w:r>
      <w:r>
        <w:t>-</w:t>
      </w:r>
      <w:r>
        <w:rPr>
          <w:vertAlign w:val="subscript"/>
        </w:rPr>
        <w:t>1</w:t>
      </w:r>
      <w:r>
        <w:t>0.1 A g 时</w:t>
      </w:r>
      <w:r>
        <w:t xml:space="preserve"> </w:t>
      </w:r>
      <w:r>
        <w:t>-</w:t>
      </w:r>
      <w:r>
        <w:rPr>
          <w:vertAlign w:val="subscript"/>
        </w:rPr>
        <w:t>1</w:t>
      </w:r>
      <w:r>
        <w:t>以及出色的长期循环稳定性（在 2 A g 下循环 5000 次后保留 95%）</w:t>
      </w:r>
      <w:r>
        <w:t xml:space="preserve"> </w:t>
      </w:r>
      <w:r>
        <w:t>-</w:t>
      </w:r>
      <w:r>
        <w:rPr>
          <w:vertAlign w:val="subscript"/>
        </w:rPr>
        <w:t>1</w:t>
      </w:r>
      <w:r>
        <w:t>）在环境条件下。更重要的是，i-TPAQ-COF 表现出卓越的低温弹性，可提供 124 mAh g</w:t>
      </w:r>
      <w:r>
        <w:t xml:space="preserve"> </w:t>
      </w:r>
      <w:r>
        <w:t>-</w:t>
      </w:r>
      <w:r>
        <w:rPr>
          <w:vertAlign w:val="subscript"/>
        </w:rPr>
        <w:t>1</w:t>
      </w:r>
      <w:r>
        <w:t>在‐30°C 下（代表室温下容量的 82%），200 次循环后的衰减可以忽略不计，并保留了 75% 的室温容量（114 mAh g</w:t>
      </w:r>
      <w:r>
        <w:t xml:space="preserve"> </w:t>
      </w:r>
      <w:r>
        <w:t>-</w:t>
      </w:r>
      <w:r>
        <w:rPr>
          <w:vertAlign w:val="subscript"/>
        </w:rPr>
        <w:t>1</w:t>
      </w:r>
      <w:r>
        <w:t>）即使在‐40°C 下也是如此。分子动力学（MD）模拟和密度泛函理论（DFT）计算表明，ad</w:t>
      </w:r>
    </w:p>
    <w:p>
      <w:pPr>
        <w:spacing w:before="0" w:after="200" w:lineRule="auto" w:line="276"/>
      </w:pPr>
      <w:r>
        <w:rPr>
          <w:b/>
        </w:rPr>
        <w:t xml:space="preserve">Abstract (EN): </w:t>
      </w:r>
      <w:r>
        <w:t>High‐performance low‐temperature sodium‐ion batteries (SIBs) are essential for energy storage in extreme environments, which, however, is severely hindered by the sluggish reaction kinetics due to the slow ionic diffusion and lattice shrink. Herein, we report an isomeric design strategy for anthraquinone‐based covalent organic frameworks (TPAQ‐COF) to optimize sodium storage by regulating the spatial arrangement of carbonyl groups. By engineering TPAQ‐COF with adjacent carbonyl coordination sites (isomeric TPAQ‐COF, i‐TPAQ‐COF), we successfully leverage a synergistic chelation effect to facilitate sodium ion storage at low temperature. As a result, i‐TPAQ‐COF exhibits a superior reversible capacity of 153 mAh g</w:t>
      </w:r>
      <w:r>
        <w:t xml:space="preserve"> </w:t>
      </w:r>
      <w:r>
        <w:t>−</w:t>
      </w:r>
      <w:r>
        <w:rPr>
          <w:vertAlign w:val="subscript"/>
        </w:rPr>
        <w:t>1</w:t>
      </w:r>
      <w:r>
        <w:t>at 0.1 A g</w:t>
      </w:r>
      <w:r>
        <w:t xml:space="preserve"> </w:t>
      </w:r>
      <w:r>
        <w:t>−</w:t>
      </w:r>
      <w:r>
        <w:rPr>
          <w:vertAlign w:val="subscript"/>
        </w:rPr>
        <w:t>1</w:t>
      </w:r>
      <w:r>
        <w:t>and an outstanding long‐term cycling stability (95% retention after 5000 cycles at 2 A g</w:t>
      </w:r>
      <w:r>
        <w:t xml:space="preserve"> </w:t>
      </w:r>
      <w:r>
        <w:t>−</w:t>
      </w:r>
      <w:r>
        <w:rPr>
          <w:vertAlign w:val="subscript"/>
        </w:rPr>
        <w:t>1</w:t>
      </w:r>
      <w:r>
        <w:t>) under ambient conditions. More importantly, the i‐TPAQ‐COF demonstrates remarkable low‐temperature resilience, delivering 124 mAh g</w:t>
      </w:r>
      <w:r>
        <w:t xml:space="preserve"> </w:t>
      </w:r>
      <w:r>
        <w:t>−</w:t>
      </w:r>
      <w:r>
        <w:rPr>
          <w:vertAlign w:val="subscript"/>
        </w:rPr>
        <w:t>1</w:t>
      </w:r>
      <w:r>
        <w:t>at ‐30°C (representing 82% of capacity at room‐temperature) with negligible decay over 200 cycles, and retaining 75% of room‐temperature capacity (114 mAh g</w:t>
      </w:r>
      <w:r>
        <w:t xml:space="preserve"> </w:t>
      </w:r>
      <w:r>
        <w:t>−</w:t>
      </w:r>
      <w:r>
        <w:rPr>
          <w:vertAlign w:val="subscript"/>
        </w:rPr>
        <w:t>1</w:t>
      </w:r>
      <w:r>
        <w:t>) even at ‐40°C. Molecular dynamics (MD) simulations and density functional theory (DFT) calculations reveal that the adjacent carbonyl groups in i‐TPAQ‐COF exhibit a synergistic chelation effect, which not only elevates the discharge voltage, facilitates the capture of sodium ions but also effectively promotes ion transport.</w:t>
      </w:r>
    </w:p>
    <w:p>
      <w:pPr>
        <w:spacing w:before="120" w:after="120"/>
      </w:pPr>
      <w:r>
        <w:rPr>
          <w:sz w:val="18"/>
        </w:rPr>
        <w:t>——————————————————————————————————————————————————————————————————————</w:t>
      </w:r>
    </w:p>
    <w:p>
      <w:pPr>
        <w:spacing w:before="160" w:after="40" w:line="240" w:lineRule="auto"/>
      </w:pPr>
      <w:r>
        <w:rPr>
          <w:b/>
        </w:rPr>
        <w:t xml:space="preserve">[16] </w:t>
      </w:r>
      <w:hyperlink r:id="rId98">
        <w:r>
          <w:rPr>
            <w:color w:val="1155CC"/>
            <w:u w:val="single"/>
          </w:rPr>
          <w:t>通过调节手性催化剂的不对称因子 g 实现锂硫电池的加速电化学动力学</w:t>
        </w:r>
      </w:hyperlink>
    </w:p>
    <w:p>
      <w:pPr>
        <w:spacing w:before="0" w:after="80"/>
      </w:pPr>
      <w:r>
        <w:rPr>
          <w:i/>
          <w:sz w:val="20"/>
        </w:rPr>
        <w:t>EN: Achieving accelerated electrochemical kinetics in lithium–sulfur batteries by regulating the asymmetry factor g of chiral catalysts</w:t>
      </w:r>
    </w:p>
    <w:p>
      <w:pPr>
        <w:spacing w:before="0" w:after="120"/>
      </w:pPr>
      <w:r>
        <w:rPr>
          <w:b/>
        </w:rPr>
        <w:t xml:space="preserve">Source: </w:t>
      </w:r>
      <w:r>
        <w:t>National Science Review Advance Access</w:t>
      </w:r>
      <w:r>
        <w:t xml:space="preserve">    </w:t>
      </w:r>
      <w:r>
        <w:rPr>
          <w:b/>
        </w:rPr>
        <w:t xml:space="preserve">Pub date: </w:t>
      </w:r>
      <w:r>
        <w:t>2026-07-22 00:00:00+00:00</w:t>
      </w:r>
      <w:r>
        <w:t xml:space="preserve">    </w:t>
      </w:r>
      <w:r>
        <w:rPr>
          <w:b/>
        </w:rPr>
        <w:t xml:space="preserve">DOI: </w:t>
      </w:r>
      <w:hyperlink r:id="rId99">
        <w:r>
          <w:rPr>
            <w:color w:val="1155CC"/>
            <w:u w:val="single"/>
          </w:rPr>
          <w:t>10.1093/nsr/nwag448</w:t>
        </w:r>
      </w:hyperlink>
    </w:p>
    <w:p>
      <w:pPr>
        <w:spacing w:before="0" w:after="120"/>
      </w:pPr>
      <w:r>
        <w:rPr>
          <w:b/>
        </w:rPr>
        <w:t xml:space="preserve">Notes: </w:t>
      </w:r>
      <w:r>
        <w:t>abstract_source=rss_oup</w:t>
      </w:r>
    </w:p>
    <w:p>
      <w:pPr>
        <w:spacing w:before="0" w:after="80" w:lineRule="auto" w:line="276"/>
      </w:pPr>
      <w:r>
        <w:rPr>
          <w:b/>
        </w:rPr>
        <w:t xml:space="preserve">摘要（ZH）: </w:t>
      </w:r>
      <w:r>
        <w:t>操纵电子自旋是增强催化剂活性的有效方法。然而，由于缺乏稳定和普遍的战略，进展仍然受到限制。在这里，我们报告了一种调节 Co3O4 自旋状态的创新策略，该策略依赖于手性诱导的自旋选择性效应，从而调节手性不对称因子 g</w:t>
      </w:r>
    </w:p>
    <w:p>
      <w:pPr>
        <w:spacing w:before="0" w:after="200" w:lineRule="auto" w:line="276"/>
      </w:pPr>
      <w:r>
        <w:rPr>
          <w:b/>
        </w:rPr>
        <w:t xml:space="preserve">Abstract (EN): </w:t>
      </w:r>
      <w:r>
        <w:t>Manipulating electron spin is an effective approach to enhancing the activity of catalysts. However, progress remains limited by the lack of stable and universally strategies. Here, we report an innovative strategy to regulate the spin state of Co3O4 that relies on the chiral-induced spin selectivity effect, whereby modulation of the chiral asymmetric factor g</w:t>
      </w:r>
    </w:p>
    <w:p>
      <w:pPr>
        <w:spacing w:before="120" w:after="120"/>
      </w:pPr>
      <w:r>
        <w:rPr>
          <w:sz w:val="18"/>
        </w:rPr>
        <w:t>——————————————————————————————————————————————————————————————————————</w:t>
      </w:r>
    </w:p>
    <w:p>
      <w:pPr>
        <w:spacing w:before="160" w:after="40" w:line="240" w:lineRule="auto"/>
      </w:pPr>
      <w:r>
        <w:rPr>
          <w:b/>
        </w:rPr>
        <w:t xml:space="preserve">[17] </w:t>
      </w:r>
      <w:hyperlink r:id="rId100">
        <w:r>
          <w:rPr>
            <w:color w:val="1155CC"/>
            <w:u w:val="single"/>
          </w:rPr>
          <w:t>水性锌离子电池中按需和双边界面形成的仿生酶原激活策略</w:t>
        </w:r>
      </w:hyperlink>
    </w:p>
    <w:p>
      <w:pPr>
        <w:spacing w:before="0" w:after="80"/>
      </w:pPr>
      <w:r>
        <w:rPr>
          <w:i/>
          <w:sz w:val="20"/>
        </w:rPr>
        <w:t>EN: Bio‐Inspired Zymogen‐Activation Strategy for On‐Demand and Bilateral Interphase Formation in Aqueous Zinc‐Ion Batteries</w:t>
      </w:r>
    </w:p>
    <w:p>
      <w:pPr>
        <w:spacing w:before="0" w:after="120"/>
      </w:pPr>
      <w:r>
        <w:rPr>
          <w:b/>
        </w:rPr>
        <w:t xml:space="preserve">Source: </w:t>
      </w:r>
      <w:r>
        <w:t>Wiley: Angewandte Chemie International Edition: Table of Contents</w:t>
      </w:r>
      <w:r>
        <w:t xml:space="preserve">    </w:t>
      </w:r>
      <w:r>
        <w:rPr>
          <w:b/>
        </w:rPr>
        <w:t xml:space="preserve">Pub date: </w:t>
      </w:r>
      <w:r>
        <w:t>2026-07-22 05:24:50+00:00</w:t>
      </w:r>
      <w:r>
        <w:t xml:space="preserve">    </w:t>
      </w:r>
      <w:r>
        <w:rPr>
          <w:b/>
        </w:rPr>
        <w:t xml:space="preserve">DOI: </w:t>
      </w:r>
      <w:hyperlink r:id="rId101">
        <w:r>
          <w:rPr>
            <w:color w:val="1155CC"/>
            <w:u w:val="single"/>
          </w:rPr>
          <w:t>10.1002/anie.5322811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水系锌离子电池（AZIB）在成本和安全性方面具有明显的优势，但锌阳极和MnO的双边界面失效</w:t>
      </w:r>
      <w:r>
        <w:rPr>
          <w:vertAlign w:val="subscript"/>
        </w:rPr>
        <w:t>2</w:t>
      </w:r>
      <w:r>
        <w:t>阴极限制了它们的实际应用。受酶原到酶激活的启发，这项工作提出了一种仿生智能电解质添加剂策略，可以对两个电极提供按需保护。该策略采用惰性添加剂 1,4-丁烷磺内酯 (BS)，它优先吸附在电极表面上。当水侵蚀和局部 pH 值升高时，BS 可以被激活，生成开环衍生物 (OBS)，以促进有机-无机复合成分的双边保护性界面相的原位构建。同时，它优化了 Zn</w:t>
      </w:r>
      <w:r>
        <w:t xml:space="preserve"> </w:t>
      </w:r>
      <w:r>
        <w:t>2+</w:t>
      </w:r>
      <w:r>
        <w:t xml:space="preserve"> </w:t>
      </w:r>
      <w:r>
        <w:t>溶剂化结构以降低去溶剂化能垒。残留BS进一步困住SO</w:t>
      </w:r>
      <w:r>
        <w:rPr>
          <w:vertAlign w:val="subscript"/>
        </w:rPr>
        <w:t>4</w:t>
      </w:r>
      <w:r>
        <w:t>2−</w:t>
      </w:r>
      <w:r>
        <w:t>和H</w:t>
      </w:r>
      <w:r>
        <w:rPr>
          <w:vertAlign w:val="subscript"/>
        </w:rPr>
        <w:t>2</w:t>
      </w:r>
      <w:r>
        <w:t>O 并维持 OBS 形成以防止界面碱化。因此，BS 改性的 Zn//Zn 电池的使用寿命超过 4000 小时，Zn//Cu 电池实现了 97.62% 的超高初始库仑效率。锌//氧化锰</w:t>
      </w:r>
      <w:r>
        <w:rPr>
          <w:vertAlign w:val="subscript"/>
        </w:rPr>
        <w:t>2</w:t>
      </w:r>
      <w:r>
        <w:t>0.2 A g-1 循环 100 次后，全电池容量保持率分别为 92.7% 和 80.5%</w:t>
      </w:r>
      <w:r>
        <w:t xml:space="preserve"> </w:t>
      </w:r>
      <w:r>
        <w:t>−1</w:t>
      </w:r>
      <w:r>
        <w:t xml:space="preserve"> </w:t>
      </w:r>
      <w:r>
        <w:t>6 A g 下 8000 次循环</w:t>
      </w:r>
      <w:r>
        <w:t xml:space="preserve"> </w:t>
      </w:r>
      <w:r>
        <w:t>−1</w:t>
      </w:r>
      <w:r>
        <w:t xml:space="preserve"> </w:t>
      </w:r>
      <w:r>
        <w:t>，分别。这样的策略不仅能够实现</w:t>
      </w:r>
    </w:p>
    <w:p>
      <w:pPr>
        <w:spacing w:before="0" w:after="200" w:lineRule="auto" w:line="276"/>
      </w:pPr>
      <w:r>
        <w:rPr>
          <w:b/>
        </w:rPr>
        <w:t xml:space="preserve">Abstract (EN): </w:t>
      </w:r>
      <w:r>
        <w:t>Aqueous zinc‐ion batteries (AZIBs) possess distinct benefits in cost and safety, but bilateral interfacial failures on Zn anodes and MnO</w:t>
      </w:r>
      <w:r>
        <w:rPr>
          <w:vertAlign w:val="subscript"/>
        </w:rPr>
        <w:t>2</w:t>
      </w:r>
      <w:r>
        <w:t>cathodes constrain their practical applications. Inspired by zymogen‐to‐enzyme activation, this work proposes a biomimetic, intelligent electrolyte additive strategy that enables on‐demand protection on both electrodes. This strategy employs an inert additive, 1,4‐butane sultone (BS), which preferentially adsorbs on the electrode surfaces. Upon water attack and localized pH increase, BS can be activated, generating open‐ring derivatives (OBS) to facilitate the in situ construction of bilateral protective interphases with organic–inorganic composite components. Concurrently, it optimizes Zn</w:t>
      </w:r>
      <w:r>
        <w:t xml:space="preserve"> </w:t>
      </w:r>
      <w:r>
        <w:t>2+</w:t>
      </w:r>
      <w:r>
        <w:t xml:space="preserve"> </w:t>
      </w:r>
      <w:r>
        <w:t>solvation structures to lower the desolvation energy barrier. Residual BS further traps SO</w:t>
      </w:r>
      <w:r>
        <w:rPr>
          <w:vertAlign w:val="subscript"/>
        </w:rPr>
        <w:t>4</w:t>
      </w:r>
      <w:r>
        <w:t>2−</w:t>
      </w:r>
      <w:r>
        <w:t>and H</w:t>
      </w:r>
      <w:r>
        <w:rPr>
          <w:vertAlign w:val="subscript"/>
        </w:rPr>
        <w:t>2</w:t>
      </w:r>
      <w:r>
        <w:t>O and sustains the OBS formation for preventing interfacial alkalization. Consequently, the BS‐modified Zn//Zn cell delivers a lifespan exceeding 4000 h, and the Zn//Cu cell attains an ultrahigh initial Coulombic efficiency of 97.62%. Zn//MnO</w:t>
      </w:r>
      <w:r>
        <w:rPr>
          <w:vertAlign w:val="subscript"/>
        </w:rPr>
        <w:t>2</w:t>
      </w:r>
      <w:r>
        <w:t>full cells maintain capacity retention of 92.7% and 80.5% after 100 cycles at 0.2 A g</w:t>
      </w:r>
      <w:r>
        <w:t xml:space="preserve"> </w:t>
      </w:r>
      <w:r>
        <w:t>−1</w:t>
      </w:r>
      <w:r>
        <w:t xml:space="preserve"> </w:t>
      </w:r>
      <w:r>
        <w:t>and 8000 cycles at 6 A g</w:t>
      </w:r>
      <w:r>
        <w:t xml:space="preserve"> </w:t>
      </w:r>
      <w:r>
        <w:t>−1</w:t>
      </w:r>
      <w:r>
        <w:t xml:space="preserve"> </w:t>
      </w:r>
      <w:r>
        <w:t>, respectively. Such a strategy not only delivers a high‐performance electrolyte additive for AZIBs but also offers biomimetic inspiration for the development of electrolytes in other metal‐based battery systems.</w:t>
      </w:r>
    </w:p>
    <w:p>
      <w:pPr>
        <w:spacing w:before="120" w:after="120"/>
      </w:pPr>
      <w:r>
        <w:rPr>
          <w:sz w:val="18"/>
        </w:rPr>
        <w:t>——————————————————————————————————————————————————————————————————————</w:t>
      </w:r>
    </w:p>
    <w:p>
      <w:pPr>
        <w:spacing w:before="160" w:after="40" w:line="240" w:lineRule="auto"/>
      </w:pPr>
      <w:r>
        <w:rPr>
          <w:b/>
        </w:rPr>
        <w:t xml:space="preserve">[18] </w:t>
      </w:r>
      <w:hyperlink r:id="rId102">
        <w:r>
          <w:rPr>
            <w:color w:val="1155CC"/>
            <w:u w:val="single"/>
          </w:rPr>
          <w:t>揭示锰基层状氧化物的超快相变途径</w:t>
        </w:r>
      </w:hyperlink>
    </w:p>
    <w:p>
      <w:pPr>
        <w:spacing w:before="0" w:after="80"/>
      </w:pPr>
      <w:r>
        <w:rPr>
          <w:i/>
          <w:sz w:val="20"/>
        </w:rPr>
        <w:t>EN: Unraveling the Ultrafast Phase Transition Pathways of Mn‐Based Layered Oxides</w:t>
      </w:r>
    </w:p>
    <w:p>
      <w:pPr>
        <w:spacing w:before="0" w:after="120"/>
      </w:pPr>
      <w:r>
        <w:rPr>
          <w:b/>
        </w:rPr>
        <w:t xml:space="preserve">Source: </w:t>
      </w:r>
      <w:r>
        <w:t>Wiley: Advanced Energy Materials: Table of Contents</w:t>
      </w:r>
      <w:r>
        <w:t xml:space="preserve">    </w:t>
      </w:r>
      <w:r>
        <w:rPr>
          <w:b/>
        </w:rPr>
        <w:t xml:space="preserve">Pub date: </w:t>
      </w:r>
      <w:r>
        <w:t>2026-07-22 06:23:38+00:00</w:t>
      </w:r>
      <w:r>
        <w:t xml:space="preserve">    </w:t>
      </w:r>
      <w:r>
        <w:rPr>
          <w:b/>
        </w:rPr>
        <w:t xml:space="preserve">DOI: </w:t>
      </w:r>
      <w:hyperlink r:id="rId103">
        <w:r>
          <w:rPr>
            <w:color w:val="1155CC"/>
            <w:u w:val="single"/>
          </w:rPr>
          <w:t>10.1002/aenm.71234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富锰层状氧化物（MRLO）由于其高理论容量和低成本而成为钠离子电池（SIB）的有前途的正极，但其实际应用受到结构不稳定、复杂相演化和Na缓慢的严重阻碍。</w:t>
      </w:r>
      <w:r>
        <w:t xml:space="preserve"> </w:t>
      </w:r>
      <w:r>
        <w:t>+</w:t>
      </w:r>
      <w:r>
        <w:t xml:space="preserve"> </w:t>
      </w:r>
      <w:r>
        <w:t>扩散动力学。由于 MRLO 的相组成关键决定其结构稳定性和钠离子传输行为，而单个 O3 相和单个 P2 相都无法充分满足这两个要求，因此精确的相调节对于增强电化学性能至关重要。在此，开发了一种将传统马弗炉煅烧与高温冲击（HTS）相结合的连续两步热处理来调节Na的相组成</w:t>
      </w:r>
      <w:r>
        <w:t xml:space="preserve"> </w:t>
      </w:r>
      <w:r>
        <w:t>0.75</w:t>
      </w:r>
      <w:r>
        <w:t xml:space="preserve"> </w:t>
      </w:r>
      <w:r>
        <w:t>锰</w:t>
      </w:r>
      <w:r>
        <w:t xml:space="preserve"> </w:t>
      </w:r>
      <w:r>
        <w:t>0.6</w:t>
      </w:r>
      <w:r>
        <w:t xml:space="preserve"> </w:t>
      </w:r>
      <w:r>
        <w:t>镍</w:t>
      </w:r>
      <w:r>
        <w:t xml:space="preserve"> </w:t>
      </w:r>
      <w:r>
        <w:t>0.2</w:t>
      </w:r>
      <w:r>
        <w:t xml:space="preserve"> </w:t>
      </w:r>
      <w:r>
        <w:t>李</w:t>
      </w:r>
      <w:r>
        <w:t xml:space="preserve"> </w:t>
      </w:r>
      <w:r>
        <w:t>0.1</w:t>
      </w:r>
      <w:r>
        <w:t xml:space="preserve"> </w:t>
      </w:r>
      <w:r>
        <w:t>钛</w:t>
      </w:r>
      <w:r>
        <w:t xml:space="preserve"> </w:t>
      </w:r>
      <w:r>
        <w:t>0.05</w:t>
      </w:r>
      <w:r>
        <w:t xml:space="preserve"> </w:t>
      </w:r>
      <w:r>
        <w:t>铁</w:t>
      </w:r>
      <w:r>
        <w:t xml:space="preserve"> </w:t>
      </w:r>
      <w:r>
        <w:t>0.05</w:t>
      </w:r>
      <w:r>
        <w:t xml:space="preserve"> </w:t>
      </w:r>
      <w:r>
        <w:t>氧</w:t>
      </w:r>
      <w:r>
        <w:rPr>
          <w:vertAlign w:val="subscript"/>
        </w:rPr>
        <w:t>2</w:t>
      </w:r>
      <w:r>
        <w:t>（MNLTF）。所得样品呈现出以 O3 为主的结构（95.7% O3 相）和痕量 P2 相。原位高温同步辐射X射线衍射表明，不同合成条件下相演化路径存在显着差异。优化的阴极可提高倍率性能（95.3 mAh g</w:t>
      </w:r>
      <w:r>
        <w:t xml:space="preserve"> </w:t>
      </w:r>
      <w:r>
        <w:t>−1</w:t>
      </w:r>
      <w:r>
        <w:t xml:space="preserve"> </w:t>
      </w:r>
      <w:r>
        <w:t>10 C）和循环稳定性（在 250 次循环后仍保留 90.7%）</w:t>
      </w:r>
    </w:p>
    <w:p>
      <w:pPr>
        <w:spacing w:before="0" w:after="200" w:lineRule="auto" w:line="276"/>
      </w:pPr>
      <w:r>
        <w:rPr>
          <w:b/>
        </w:rPr>
        <w:t xml:space="preserve">Abstract (EN): </w:t>
      </w:r>
      <w:r>
        <w:t>Manganese‐rich layered oxides (MRLO) are promising cathodes for sodium‐ion batteries (SIBs) due to their high theoretical capacity and low cost, yet their practical application is severely hindered by structural instability, complex phase evolution, and sluggish Na</w:t>
      </w:r>
      <w:r>
        <w:t xml:space="preserve"> </w:t>
      </w:r>
      <w:r>
        <w:t>+</w:t>
      </w:r>
      <w:r>
        <w:t xml:space="preserve"> </w:t>
      </w:r>
      <w:r>
        <w:t>diffusion kinetics. Since the phase composition of MRLO critically determines their structural stability and sodium‐ion transport behavior, and neither a single O3 nor a single P2 phase can adequately fulfill both requirements, precise phase regulation is essential for enhancing electrochemical performance. Herein, a sequential two‐step thermal treatment combining conventional muffle furnace calcination with high‐temperature shock (HTS) is developed to regulate the phase composition of Na</w:t>
      </w:r>
      <w:r>
        <w:t xml:space="preserve"> </w:t>
      </w:r>
      <w:r>
        <w:t>0.75</w:t>
      </w:r>
      <w:r>
        <w:t xml:space="preserve"> </w:t>
      </w:r>
      <w:r>
        <w:t>Mn</w:t>
      </w:r>
      <w:r>
        <w:t xml:space="preserve"> </w:t>
      </w:r>
      <w:r>
        <w:t>0.6</w:t>
      </w:r>
      <w:r>
        <w:t xml:space="preserve"> </w:t>
      </w:r>
      <w:r>
        <w:t>Ni</w:t>
      </w:r>
      <w:r>
        <w:t xml:space="preserve"> </w:t>
      </w:r>
      <w:r>
        <w:t>0.2</w:t>
      </w:r>
      <w:r>
        <w:t xml:space="preserve"> </w:t>
      </w:r>
      <w:r>
        <w:t>Li</w:t>
      </w:r>
      <w:r>
        <w:t xml:space="preserve"> </w:t>
      </w:r>
      <w:r>
        <w:t>0.1</w:t>
      </w:r>
      <w:r>
        <w:t xml:space="preserve"> </w:t>
      </w:r>
      <w:r>
        <w:t>Ti</w:t>
      </w:r>
      <w:r>
        <w:t xml:space="preserve"> </w:t>
      </w:r>
      <w:r>
        <w:t>0.05</w:t>
      </w:r>
      <w:r>
        <w:t xml:space="preserve"> </w:t>
      </w:r>
      <w:r>
        <w:t>Fe</w:t>
      </w:r>
      <w:r>
        <w:t xml:space="preserve"> </w:t>
      </w:r>
      <w:r>
        <w:t>0.05</w:t>
      </w:r>
      <w:r>
        <w:t xml:space="preserve"> </w:t>
      </w:r>
      <w:r>
        <w:t>O</w:t>
      </w:r>
      <w:r>
        <w:rPr>
          <w:vertAlign w:val="subscript"/>
        </w:rPr>
        <w:t>2</w:t>
      </w:r>
      <w:r>
        <w:t>(MNLTF). The resulting sample exhibits an O3‐dominated structure (95.7% O3 phase) with trace P2 phase. In situ high‐temperature synchrotron XRD reveals that the phase evolution pathways differ significantly under different synthesis conditions. The optimized cathode delivers improved rate capability (95.3 mAh g</w:t>
      </w:r>
      <w:r>
        <w:t xml:space="preserve"> </w:t>
      </w:r>
      <w:r>
        <w:t>−1</w:t>
      </w:r>
      <w:r>
        <w:t xml:space="preserve"> </w:t>
      </w:r>
      <w:r>
        <w:t>at 10 C) and cycling stability (90.7% retention after 250 cycles at 1 C). These results demonstrate that this two‐step thermal treatment is an effective approach for phase regulation of layered oxide cathodes.</w:t>
      </w:r>
    </w:p>
    <w:p>
      <w:pPr>
        <w:spacing w:before="120" w:after="120"/>
      </w:pPr>
      <w:r>
        <w:rPr>
          <w:sz w:val="18"/>
        </w:rPr>
        <w:t>——————————————————————————————————————————————————————————————————————</w:t>
      </w:r>
    </w:p>
    <w:p>
      <w:pPr>
        <w:spacing w:before="160" w:after="40" w:line="240" w:lineRule="auto"/>
      </w:pPr>
      <w:r>
        <w:rPr>
          <w:b/>
        </w:rPr>
        <w:t xml:space="preserve">[19] </w:t>
      </w:r>
      <w:hyperlink r:id="rId104">
        <w:r>
          <w:rPr>
            <w:color w:val="1155CC"/>
            <w:u w:val="single"/>
          </w:rPr>
          <w:t>调节实用钠离子电池硫酸铁钠正极的框架稳定性</w:t>
        </w:r>
      </w:hyperlink>
    </w:p>
    <w:p>
      <w:pPr>
        <w:spacing w:before="0" w:after="80"/>
      </w:pPr>
      <w:r>
        <w:rPr>
          <w:i/>
          <w:sz w:val="20"/>
        </w:rPr>
        <w:t>EN: Regulating Framework Stability of Sodium Iron Sulfate Cathodes for Practical Sodium–Ion Batteries</w:t>
      </w:r>
    </w:p>
    <w:p>
      <w:pPr>
        <w:spacing w:before="0" w:after="120"/>
      </w:pPr>
      <w:r>
        <w:rPr>
          <w:b/>
        </w:rPr>
        <w:t xml:space="preserve">Source: </w:t>
      </w:r>
      <w:r>
        <w:t>Wiley: Advanced Energy Materials: Table of Contents</w:t>
      </w:r>
      <w:r>
        <w:t xml:space="preserve">    </w:t>
      </w:r>
      <w:r>
        <w:rPr>
          <w:b/>
        </w:rPr>
        <w:t xml:space="preserve">Pub date: </w:t>
      </w:r>
      <w:r>
        <w:t>2026-07-22 13:30:30+00:00</w:t>
      </w:r>
      <w:r>
        <w:t xml:space="preserve">    </w:t>
      </w:r>
      <w:r>
        <w:rPr>
          <w:b/>
        </w:rPr>
        <w:t xml:space="preserve">DOI: </w:t>
      </w:r>
      <w:hyperlink r:id="rId105">
        <w:r>
          <w:rPr>
            <w:color w:val="1155CC"/>
            <w:u w:val="single"/>
          </w:rPr>
          <w:t>10.1002/aenm.71315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 SO 的强感应效应，阿铝铁矿型硫酸铁钠是钠离子电池 (SIB) 中极具吸引力的低成本、高电压正极。</w:t>
      </w:r>
      <w:r>
        <w:rPr>
          <w:vertAlign w:val="subscript"/>
        </w:rPr>
        <w:t>4</w:t>
      </w:r>
      <w:r>
        <w:t>2−</w:t>
      </w:r>
      <w:r>
        <w:t>提升铁</w:t>
      </w:r>
      <w:r>
        <w:t xml:space="preserve"> </w:t>
      </w:r>
      <w:r>
        <w:t>2+</w:t>
      </w:r>
      <w:r>
        <w:t xml:space="preserve"> </w:t>
      </w:r>
      <w:r>
        <w:t>/铁</w:t>
      </w:r>
      <w:r>
        <w:t xml:space="preserve"> </w:t>
      </w:r>
      <w:r>
        <w:t>3+</w:t>
      </w:r>
      <w:r>
        <w:t xml:space="preserve"> </w:t>
      </w:r>
      <w:r>
        <w:t>氧化还原电偶至〜3.8 V。然而，较差的内在框架稳定性阻碍了它们的实际部署，导致Fe-Fe库仑排斥引起的反位缺陷，缓慢的Na</w:t>
      </w:r>
      <w:r>
        <w:t xml:space="preserve"> </w:t>
      </w:r>
      <w:r>
        <w:t>+</w:t>
      </w:r>
      <w:r>
        <w:t xml:space="preserve"> </w:t>
      </w:r>
      <w:r>
        <w:t>扩散和水分引发的表面水合作用。在此，开发了一种阳离子取代策略来同时调节Na的体积和表面框架稳定性</w:t>
      </w:r>
      <w:r>
        <w:t xml:space="preserve"> </w:t>
      </w:r>
      <w:r>
        <w:t>2+2x</w:t>
      </w:r>
      <w:r>
        <w:t xml:space="preserve"> </w:t>
      </w:r>
      <w:r>
        <w:t>铁</w:t>
      </w:r>
      <w:r>
        <w:t xml:space="preserve"> </w:t>
      </w:r>
      <w:r>
        <w:t>2−x</w:t>
      </w:r>
      <w:r>
        <w:t xml:space="preserve"> </w:t>
      </w:r>
      <w:r>
        <w:t>（所以</w:t>
      </w:r>
      <w:r>
        <w:rPr>
          <w:vertAlign w:val="subscript"/>
        </w:rPr>
        <w:t>4</w:t>
      </w:r>
      <w:r>
        <w:t>）</w:t>
      </w:r>
      <w:r>
        <w:rPr>
          <w:vertAlign w:val="subscript"/>
        </w:rPr>
        <w:t>3</w:t>
      </w:r>
      <w:r>
        <w:t>通过部分铜取代铁的占据。 X射线吸收光谱、原位X射线衍射和密度泛函理论计算表明，Cu的掺入扩大了Fe-Fe分离，拓宽了Na</w:t>
      </w:r>
      <w:r>
        <w:t xml:space="preserve"> </w:t>
      </w:r>
      <w:r>
        <w:t>+</w:t>
      </w:r>
      <w:r>
        <w:t xml:space="preserve"> </w:t>
      </w:r>
      <w:r>
        <w:t>迁移通道，将带隙从 3.27 eV 缩小至 2.23 eV，并抑制表面 H</w:t>
      </w:r>
      <w:r>
        <w:rPr>
          <w:vertAlign w:val="subscript"/>
        </w:rPr>
        <w:t>2</w:t>
      </w:r>
      <w:r>
        <w:t>亲和力哦。优化后的Na</w:t>
      </w:r>
      <w:r>
        <w:t xml:space="preserve"> </w:t>
      </w:r>
      <w:r>
        <w:t>2.6</w:t>
      </w:r>
      <w:r>
        <w:t xml:space="preserve"> </w:t>
      </w:r>
      <w:r>
        <w:t>铁</w:t>
      </w:r>
      <w:r>
        <w:t xml:space="preserve"> </w:t>
      </w:r>
      <w:r>
        <w:t>1.6</w:t>
      </w:r>
      <w:r>
        <w:t xml:space="preserve"> </w:t>
      </w:r>
      <w:r>
        <w:t>铜</w:t>
      </w:r>
      <w:r>
        <w:t xml:space="preserve"> </w:t>
      </w:r>
      <w:r>
        <w:t>0.1</w:t>
      </w:r>
      <w:r>
        <w:t xml:space="preserve"> </w:t>
      </w:r>
      <w:r>
        <w:t>（所以</w:t>
      </w:r>
      <w:r>
        <w:rPr>
          <w:vertAlign w:val="subscript"/>
        </w:rPr>
        <w:t>4</w:t>
      </w:r>
      <w:r>
        <w:t>）</w:t>
      </w:r>
      <w:r>
        <w:rPr>
          <w:vertAlign w:val="subscript"/>
        </w:rPr>
        <w:t>3</w:t>
      </w:r>
      <w:r>
        <w:t>/C (NFCS/C) 阴极删除</w:t>
      </w:r>
    </w:p>
    <w:p>
      <w:pPr>
        <w:spacing w:before="0" w:after="200" w:lineRule="auto" w:line="276"/>
      </w:pPr>
      <w:r>
        <w:rPr>
          <w:b/>
        </w:rPr>
        <w:t xml:space="preserve">Abstract (EN): </w:t>
      </w:r>
      <w:r>
        <w:t>Alluaudite–type sodium iron sulfates are attractive low–cost, high–voltage cathodes for sodium–ion batteries (SIBs), as the strong inductive effect of SO</w:t>
      </w:r>
      <w:r>
        <w:rPr>
          <w:vertAlign w:val="subscript"/>
        </w:rPr>
        <w:t>4</w:t>
      </w:r>
      <w:r>
        <w:t>2−</w:t>
      </w:r>
      <w:r>
        <w:t>lifts the Fe</w:t>
      </w:r>
      <w:r>
        <w:t xml:space="preserve"> </w:t>
      </w:r>
      <w:r>
        <w:t>2+</w:t>
      </w:r>
      <w:r>
        <w:t xml:space="preserve"> </w:t>
      </w:r>
      <w:r>
        <w:t>/Fe</w:t>
      </w:r>
      <w:r>
        <w:t xml:space="preserve"> </w:t>
      </w:r>
      <w:r>
        <w:t>3+</w:t>
      </w:r>
      <w:r>
        <w:t xml:space="preserve"> </w:t>
      </w:r>
      <w:r>
        <w:t>redox couple to ∼3.8 V. However, poor intrinsic framework stability hinders their practical deployment, causing Fe–Fe Coulombic repulsion–induced antisite defects, sluggish Na</w:t>
      </w:r>
      <w:r>
        <w:t xml:space="preserve"> </w:t>
      </w:r>
      <w:r>
        <w:t>+</w:t>
      </w:r>
      <w:r>
        <w:t xml:space="preserve"> </w:t>
      </w:r>
      <w:r>
        <w:t>diffusion, and moisture–triggered surface hydration. Herein, a cation–substitution strategy is developed to concurrently regulate the bulk and surface framework stability of Na</w:t>
      </w:r>
      <w:r>
        <w:t xml:space="preserve"> </w:t>
      </w:r>
      <w:r>
        <w:t>2+2x</w:t>
      </w:r>
      <w:r>
        <w:t xml:space="preserve"> </w:t>
      </w:r>
      <w:r>
        <w:t>Fe</w:t>
      </w:r>
      <w:r>
        <w:t xml:space="preserve"> </w:t>
      </w:r>
      <w:r>
        <w:t>2−x</w:t>
      </w:r>
      <w:r>
        <w:t xml:space="preserve"> </w:t>
      </w:r>
      <w:r>
        <w:t>(SO</w:t>
      </w:r>
      <w:r>
        <w:rPr>
          <w:vertAlign w:val="subscript"/>
        </w:rPr>
        <w:t>4</w:t>
      </w:r>
      <w:r>
        <w:t>)</w:t>
      </w:r>
      <w:r>
        <w:rPr>
          <w:vertAlign w:val="subscript"/>
        </w:rPr>
        <w:t>3</w:t>
      </w:r>
      <w:r>
        <w:t>via partial Cu–for–Fe occupation. X–ray absorption spectroscopy, in situ X–ray diffraction, and density functional theory calculations reveal that Cu incorporation enlarges Fe–Fe separation, widens Na</w:t>
      </w:r>
      <w:r>
        <w:t xml:space="preserve"> </w:t>
      </w:r>
      <w:r>
        <w:t>+</w:t>
      </w:r>
      <w:r>
        <w:t xml:space="preserve"> </w:t>
      </w:r>
      <w:r>
        <w:t>migration channels, narrows the band gap from 3.27 to 2.23 eV, and suppresses surface H</w:t>
      </w:r>
      <w:r>
        <w:rPr>
          <w:vertAlign w:val="subscript"/>
        </w:rPr>
        <w:t>2</w:t>
      </w:r>
      <w:r>
        <w:t>O affinity. The optimized Na</w:t>
      </w:r>
      <w:r>
        <w:t xml:space="preserve"> </w:t>
      </w:r>
      <w:r>
        <w:t>2.6</w:t>
      </w:r>
      <w:r>
        <w:t xml:space="preserve"> </w:t>
      </w:r>
      <w:r>
        <w:t>Fe</w:t>
      </w:r>
      <w:r>
        <w:t xml:space="preserve"> </w:t>
      </w:r>
      <w:r>
        <w:t>1.6</w:t>
      </w:r>
      <w:r>
        <w:t xml:space="preserve"> </w:t>
      </w:r>
      <w:r>
        <w:t>Cu</w:t>
      </w:r>
      <w:r>
        <w:t xml:space="preserve"> </w:t>
      </w:r>
      <w:r>
        <w:t>0.1</w:t>
      </w:r>
      <w:r>
        <w:t xml:space="preserve"> </w:t>
      </w:r>
      <w:r>
        <w:t>(SO</w:t>
      </w:r>
      <w:r>
        <w:rPr>
          <w:vertAlign w:val="subscript"/>
        </w:rPr>
        <w:t>4</w:t>
      </w:r>
      <w:r>
        <w:t>)</w:t>
      </w:r>
      <w:r>
        <w:rPr>
          <w:vertAlign w:val="subscript"/>
        </w:rPr>
        <w:t>3</w:t>
      </w:r>
      <w:r>
        <w:t>/C (NFCS/C) cathode delivers a reversible capacity of 109.6 mAh g</w:t>
      </w:r>
      <w:r>
        <w:t xml:space="preserve"> </w:t>
      </w:r>
      <w:r>
        <w:t>−1</w:t>
      </w:r>
      <w:r>
        <w:t xml:space="preserve"> </w:t>
      </w:r>
      <w:r>
        <w:t>at 0.1C, retains 78.3% capacity over 10 000 cycles at 5C, sustains operation from −20°C to 80°C, and preserves its electrochemistry after 168 h ambient air exposure. The assembled HC//NFCS/C full cell with 5.1 mg cm</w:t>
      </w:r>
      <w:r>
        <w:t xml:space="preserve"> </w:t>
      </w:r>
      <w:r>
        <w:t>−2</w:t>
      </w:r>
      <w:r>
        <w:t xml:space="preserve"> </w:t>
      </w:r>
      <w:r>
        <w:t>cathode loading achieves 89.6% capacity retention after 1300 cycles at 1C. This work establishes cation substitution as an effective handle for concurrent bulk–surface stabilization of alluaudite sulfates, advancing a viable route toward high–voltage, long–life SIBs.</w:t>
      </w:r>
    </w:p>
    <w:p>
      <w:pPr>
        <w:spacing w:before="120" w:after="120"/>
      </w:pPr>
      <w:r>
        <w:rPr>
          <w:sz w:val="18"/>
        </w:rPr>
        <w:t>——————————————————————————————————————————————————————————————————————</w:t>
      </w:r>
    </w:p>
    <w:p>
      <w:pPr>
        <w:spacing w:before="160" w:after="40" w:line="240" w:lineRule="auto"/>
      </w:pPr>
      <w:r>
        <w:rPr>
          <w:b/>
        </w:rPr>
        <w:t xml:space="preserve">[20] </w:t>
      </w:r>
      <w:hyperlink r:id="rId106">
        <w:r>
          <w:rPr>
            <w:color w:val="1155CC"/>
            <w:u w:val="single"/>
          </w:rPr>
          <w:t>通过形状记忆聚合物纳米涂层实现脆性电池正极活性材料应力的动态离域化</w:t>
        </w:r>
      </w:hyperlink>
    </w:p>
    <w:p>
      <w:pPr>
        <w:spacing w:before="0" w:after="80"/>
      </w:pPr>
      <w:r>
        <w:rPr>
          <w:i/>
          <w:sz w:val="20"/>
        </w:rPr>
        <w:t>EN: Dynamic delocalization of stress in brittle battery positive electrode active materials by shape-memory polymer nanocoating</w:t>
      </w:r>
    </w:p>
    <w:p>
      <w:pPr>
        <w:spacing w:before="0" w:after="120"/>
      </w:pPr>
      <w:r>
        <w:rPr>
          <w:b/>
        </w:rPr>
        <w:t xml:space="preserve">Source: </w:t>
      </w:r>
      <w:r>
        <w:t>Nature Nanotechnology</w:t>
      </w:r>
      <w:r>
        <w:t xml:space="preserve">    </w:t>
      </w:r>
      <w:r>
        <w:rPr>
          <w:b/>
        </w:rPr>
        <w:t xml:space="preserve">Pub date: </w:t>
      </w:r>
      <w:r>
        <w:t>2026-07-23 00:00:00+00:00</w:t>
      </w:r>
      <w:r>
        <w:t xml:space="preserve">    </w:t>
      </w:r>
      <w:r>
        <w:rPr>
          <w:b/>
        </w:rPr>
        <w:t xml:space="preserve">DOI: </w:t>
      </w:r>
      <w:hyperlink r:id="rId107">
        <w:r>
          <w:rPr>
            <w:color w:val="1155CC"/>
            <w:u w:val="single"/>
          </w:rPr>
          <w:t>10.1038/s41565-026-02224-y</w:t>
        </w:r>
      </w:hyperlink>
    </w:p>
    <w:p>
      <w:pPr>
        <w:spacing w:before="0" w:after="120"/>
      </w:pPr>
      <w:r>
        <w:rPr>
          <w:b/>
        </w:rPr>
        <w:t xml:space="preserve">Notes: </w:t>
      </w:r>
      <w:r>
        <w:t>abstract_source=pubmed</w:t>
      </w:r>
    </w:p>
    <w:p>
      <w:pPr>
        <w:spacing w:before="0" w:after="80" w:lineRule="auto" w:line="276"/>
      </w:pPr>
      <w:r>
        <w:rPr>
          <w:b/>
        </w:rPr>
        <w:t xml:space="preserve">摘要（ZH）: </w:t>
      </w:r>
      <w:r>
        <w:t>应力引起的断裂被认为是电池运行过程中各种正极活性材料降解的主要原因。然而，最先进的机械理解和策略开发往往忽视了这些材料的脆性本质，以及电池充电和放电循环期间机械应力的动态和局部特征。在这里，我们提出了一种形状记忆聚合物纳米涂层方法，使用引发的化学气相沉积来动态地离域各种正极活性材料中的集中应力，包括不同镍含量的富镍层状氧化物和LiFePO4。断裂模拟和表面到本体的物理化学表征共同表明，正极材料上形状记忆聚合物纳米涂层的平衡刚度和变形能力有效减轻了电池运行过程中的应力梯度以及随之而来的表面重构、化学不均匀性和晶间裂纹。特别是，当聚合物纳米涂覆的富镍层状氧化物正极活性材料（90at%的Ni）在25°C的非水锂金属纽扣电池配置中进行测试时，电池可以在中等（例如，400mAg-1下1,000个循环）和高（例如，400mAg-1下1,000个循环）和高（例如，500个循环）下的长周期内一致地充电和放电。 1 A g-1) 特定电流。</w:t>
      </w:r>
    </w:p>
    <w:p>
      <w:pPr>
        <w:spacing w:before="0" w:after="200" w:lineRule="auto" w:line="276"/>
      </w:pPr>
      <w:r>
        <w:rPr>
          <w:b/>
        </w:rPr>
        <w:t xml:space="preserve">Abstract (EN): </w:t>
      </w:r>
      <w:r>
        <w:t>Stress-induced fractures are recognized as a primary cause of degradation in a wide range of positive electrode active materials during battery operation. However, the state-of-the-art mechanistic understanding and strategy development often overlook the brittle nature of these materials, as well as the dynamic and localized characteristics of mechanical stress during the charge and discharge cycles of the cell. Here we present a shape-memory polymer nanocoating method using initiated chemical vapour deposition to dynamically delocalize concentrated stresses in various positive electrode active materials, including Ni-rich layered oxides with different Ni contents and LiFePO4. Fracture simulations and surface-to-bulk physicochemical characterizations collectively show that the balanced stiffness and deformability of the shape-memory polymer nanocoating on the positive electrode material effectively mitigate stress gradients and the consequent surface reconstruction, chemical heterogeneity and intergranular cracking during battery operation. In particular, when a polymeric nanocoated nickel-rich layered oxide positive electrode active material (90 at% of Ni) is tested in non-aqueous lithium metal coin cell configuration at 25 °C, the cells can be consistently charged and discharged over long cycles at moderate (for example, 1,000 cycles at 400 mA g-1) and high (for example, 500 cycles at 1 A g-1) specific currents.</w:t>
      </w:r>
    </w:p>
    <w:p>
      <w:pPr>
        <w:spacing w:before="120" w:after="120"/>
      </w:pPr>
      <w:r>
        <w:rPr>
          <w:sz w:val="18"/>
        </w:rPr>
        <w:t>——————————————————————————————————————————————————————————————————————</w:t>
      </w:r>
    </w:p>
    <w:p>
      <w:pPr>
        <w:spacing w:before="160" w:after="40" w:line="240" w:lineRule="auto"/>
      </w:pPr>
      <w:r>
        <w:rPr>
          <w:b/>
        </w:rPr>
        <w:t xml:space="preserve">[21] </w:t>
      </w:r>
      <w:hyperlink r:id="rId108">
        <w:r>
          <w:rPr>
            <w:color w:val="1155CC"/>
            <w:u w:val="single"/>
          </w:rPr>
          <w:t>牢不可破的电池正极</w:t>
        </w:r>
      </w:hyperlink>
    </w:p>
    <w:p>
      <w:pPr>
        <w:spacing w:before="0" w:after="80"/>
      </w:pPr>
      <w:r>
        <w:rPr>
          <w:i/>
          <w:sz w:val="20"/>
        </w:rPr>
        <w:t>EN: Unbreakable battery positive electrodes</w:t>
      </w:r>
    </w:p>
    <w:p>
      <w:pPr>
        <w:spacing w:before="0" w:after="120"/>
      </w:pPr>
      <w:r>
        <w:rPr>
          <w:b/>
        </w:rPr>
        <w:t xml:space="preserve">Source: </w:t>
      </w:r>
      <w:r>
        <w:t>Nature Nanotechnology</w:t>
      </w:r>
      <w:r>
        <w:t xml:space="preserve">    </w:t>
      </w:r>
      <w:r>
        <w:rPr>
          <w:b/>
        </w:rPr>
        <w:t xml:space="preserve">Pub date: </w:t>
      </w:r>
      <w:r>
        <w:t>2026-07-23 00:00:00+00:00</w:t>
      </w:r>
      <w:r>
        <w:t xml:space="preserve">    </w:t>
      </w:r>
      <w:r>
        <w:rPr>
          <w:b/>
        </w:rPr>
        <w:t xml:space="preserve">DOI: </w:t>
      </w:r>
      <w:hyperlink r:id="rId109">
        <w:r>
          <w:rPr>
            <w:color w:val="1155CC"/>
            <w:u w:val="single"/>
          </w:rPr>
          <w:t>10.1038/s41565-025-02088-8</w:t>
        </w:r>
      </w:hyperlink>
    </w:p>
    <w:p>
      <w:pPr>
        <w:spacing w:before="0" w:after="120"/>
      </w:pPr>
      <w:r>
        <w:rPr>
          <w:b/>
        </w:rPr>
        <w:t xml:space="preserve">Notes: </w:t>
      </w:r>
      <w:r>
        <w:t>abstract_source=rss_nature</w:t>
      </w:r>
    </w:p>
    <w:p>
      <w:pPr>
        <w:spacing w:before="0" w:after="80" w:lineRule="auto" w:line="276"/>
      </w:pPr>
      <w:r>
        <w:rPr>
          <w:b/>
        </w:rPr>
        <w:t xml:space="preserve">摘要（ZH）: </w:t>
      </w:r>
      <w:r>
        <w:t>涂有形状记忆聚合物纳米涂层的正极活性材料在电池运行过程中表现出更好的电化学和机械稳定性。</w:t>
      </w:r>
    </w:p>
    <w:p>
      <w:pPr>
        <w:spacing w:before="0" w:after="200" w:lineRule="auto" w:line="276"/>
      </w:pPr>
      <w:r>
        <w:rPr>
          <w:b/>
        </w:rPr>
        <w:t xml:space="preserve">Abstract (EN): </w:t>
      </w:r>
      <w:r>
        <w:t>Positive electrode active materials nanocoated with shape-memory polymers show improved electrochemical and mechanical stability during battery operation.</w:t>
      </w:r>
    </w:p>
    <w:p>
      <w:pPr>
        <w:spacing w:before="120" w:after="120"/>
      </w:pPr>
      <w:r>
        <w:rPr>
          <w:sz w:val="18"/>
        </w:rPr>
        <w:t>——————————————————————————————————————————————————————————————————————</w:t>
      </w:r>
    </w:p>
    <w:p>
      <w:pPr>
        <w:spacing w:before="160" w:after="40" w:line="240" w:lineRule="auto"/>
      </w:pPr>
      <w:r>
        <w:rPr>
          <w:b/>
        </w:rPr>
        <w:t xml:space="preserve">[22] </w:t>
      </w:r>
      <w:hyperlink r:id="rId110">
        <w:r>
          <w:rPr>
            <w:color w:val="1155CC"/>
            <w:u w:val="single"/>
          </w:rPr>
          <w:t>通过变革性氨纶-聚丙烯酸粘合剂湿法加工高面积容量电极，用于 450 Wh kg−1 锂离子电池</w:t>
        </w:r>
      </w:hyperlink>
    </w:p>
    <w:p>
      <w:pPr>
        <w:spacing w:before="0" w:after="80"/>
      </w:pPr>
      <w:r>
        <w:rPr>
          <w:i/>
          <w:sz w:val="20"/>
        </w:rPr>
        <w:t>EN: Wet-processed high-areal-capacity electrodes via transformative spandex–poly(acrylic acid) binder toward 450 Wh kg−1 lithium-ion batteries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由于人们对高能量密度锂离子电池的兴趣日益浓厚，采用富镍正极材料的高质量负载电极设计最近被认为是实现这一目标的最有前途的策略之一。然而，传统的粘合剂聚偏二氟乙烯无法确保高质量负载电极中的结构完整性和均匀的电荷转移。在此，我们提出了一种双作用杂化聚合物作为先进的可湿加工粘合剂，包含氨纶和聚丙烯酸的交联网络。氨纶赋予高弹性和与富镍正极的强亲和力，而聚丙烯酸在电极表面形成聚丙烯酸锂以增强界面Li+传输。每种聚合物的独特作用可确保机械稳定性、增强 Li+ 传输并抑制干燥过程中的粘合剂迁移，从而缓解高质量负载电极中的长期问题。值得注意的是，尽管粘合剂含量低至 2 wt%，但所提出的混合聚合物粘合剂能够制造具有稳定循环性能的高质量负载电极 (70 mg cm−2)。此外，采用基于混合聚合物粘合剂的高负载正极的软包电池比传统的基于聚偏二氟乙烯的同类电池表现出更好的循环稳定性，最终凸显了其工业适用性。这项研究为粘合剂的合理设计提供了实用的见解，并强调了它们在可湿法加工制造高质量负载电极方面的潜力。</w:t>
      </w:r>
    </w:p>
    <w:p>
      <w:pPr>
        <w:spacing w:before="0" w:after="200" w:lineRule="auto" w:line="276"/>
      </w:pPr>
      <w:r>
        <w:rPr>
          <w:b/>
        </w:rPr>
        <w:t xml:space="preserve">Abstract (EN): </w:t>
      </w:r>
      <w:r>
        <w:t>Driven by the increasing interest in lithium-ion batteries with high energy density, the design of high-mass-loading electrodes with Ni-rich positive materials has recently been considered one of the most promising strategies to achieve this goal. However, the conventional binder, poly(vinylidene fluoride), cannot ensure structural integrity and uniform charge transfer in high-mass-loading electrodes. Herein, we propose a dual-acting hybrid polymer as an advanced wet-processable binder, comprising a crosslinked network of spandex and polyacrylic acid. Spandex imparts high elasticity and strong affinity with Ni-rich positive electrode, while poly(acrylic acid) forms lithium polyacrylate on the electrode surface to enhance interfacial Li+ transport. The distinct roles of each polymer ensure mechanical robustness, enhance Li+ transport, and suppress binder migration during the drying process, thereby alleviating chronic issues in high-mass-loading electrodes. Notably, proposed hybrid polymer binder enables the fabrication of high-mass-loading electrodes (70 mg cm−2) with stable cyclability, despite a low binder content of 2 wt%. Moreover, pouch cell employing high-loading positive electrode based on the hybrid polymer binder exhibited improved cycling stability over its conventional poly(vinylidene fluoride)-based counterparts, ultimately highlighting its industrial applicability. This study provides practical insights into rational design of binders and highlights their potential to enable wet-processable fabrication of high-mass-loading electrodes.</w:t>
      </w:r>
    </w:p>
    <w:p>
      <w:pPr>
        <w:spacing w:before="120" w:after="120"/>
      </w:pPr>
      <w:r>
        <w:rPr>
          <w:sz w:val="18"/>
        </w:rPr>
        <w:t>——————————————————————————————————————————————————————————————————————</w:t>
      </w:r>
    </w:p>
    <w:p>
      <w:pPr>
        <w:spacing w:before="160" w:after="40" w:line="240" w:lineRule="auto"/>
      </w:pPr>
      <w:r>
        <w:rPr>
          <w:b/>
        </w:rPr>
        <w:t xml:space="preserve">[23] </w:t>
      </w:r>
      <w:hyperlink r:id="rId111">
        <w:r>
          <w:rPr>
            <w:color w:val="1155CC"/>
            <w:u w:val="single"/>
          </w:rPr>
          <w:t>调整金属硫电池的转换机制：从纳米结构到单原子</w:t>
        </w:r>
      </w:hyperlink>
    </w:p>
    <w:p>
      <w:pPr>
        <w:spacing w:before="0" w:after="80"/>
      </w:pPr>
      <w:r>
        <w:rPr>
          <w:i/>
          <w:sz w:val="20"/>
        </w:rPr>
        <w:t>EN: Tuning the Conversion Mechanisms of Metal–Sulfur Batteries: From Nanostructures to Single Atoms</w:t>
      </w:r>
    </w:p>
    <w:p>
      <w:pPr>
        <w:spacing w:before="0" w:after="120"/>
      </w:pPr>
      <w:r>
        <w:rPr>
          <w:b/>
        </w:rPr>
        <w:t xml:space="preserve">Source: </w:t>
      </w:r>
      <w:r>
        <w:t>Wiley: Advanced Materials: Table of Contents</w:t>
      </w:r>
      <w:r>
        <w:t xml:space="preserve">    </w:t>
      </w:r>
      <w:r>
        <w:rPr>
          <w:b/>
        </w:rPr>
        <w:t xml:space="preserve">Pub date: </w:t>
      </w:r>
      <w:r>
        <w:t>2026-07-23 07:08:58+00:00</w:t>
      </w:r>
      <w:r>
        <w:t xml:space="preserve">    </w:t>
      </w:r>
      <w:r>
        <w:rPr>
          <w:b/>
        </w:rPr>
        <w:t xml:space="preserve">DOI: </w:t>
      </w:r>
      <w:hyperlink r:id="rId112">
        <w:r>
          <w:rPr>
            <w:color w:val="1155CC"/>
            <w:u w:val="single"/>
          </w:rPr>
          <w:t>10.1002/adma.74219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可充电金属硫 (M–S) 电池（锂、钠、钾、铝、锌、镁、钙、铜、铁基）是传统锂离子电池的有前途的替代品，具有高能量密度和成本效益。然而，它们的进步受到缓慢的硫转化动力学和硫阴极臭名昭著的多硫化物穿梭效应的严重阻碍。因此，催化正极材料的合理设计对于实现M-S电池的实际应用至关重要。本综述首先评估了各种M-S电池的实际可行性，进一步描述了硫化物中间体的化学行为和转化过程，并总结了探索硫阴极转化化学的理论方法。值得注意的是，三种经典的多相催化机制，即Langmuir-Hinshelwood、Eley-Rideal和Mars-van Krevelen，首次被创新地用于解释M-S电池中的阴极催化行为。随后，详细阐述了针对催化阴极材料的载体和活性位点的合理设计原则，从纳米结构工程到单原子催化，旨在进一步加强硫固定并加速各种M-S系统的氧化还原反应动力学。此外，它还强调了指导合理材料设计和阐明精确电催化机制的表征策略方面的进展，并最终展望了实用液态和固态M-S电池的关键未来研究方向</w:t>
      </w:r>
    </w:p>
    <w:p>
      <w:pPr>
        <w:spacing w:before="0" w:after="200" w:lineRule="auto" w:line="276"/>
      </w:pPr>
      <w:r>
        <w:rPr>
          <w:b/>
        </w:rPr>
        <w:t xml:space="preserve">Abstract (EN): </w:t>
      </w:r>
      <w:r>
        <w:t>Rechargeable metal–sulfur (M–S) batteries (Li, Na, K, Al, Zn, Mg, Ca, Cu, Fe‑based) are promising alternatives to conventional lithium‑ion batteries, featuring high energy density and cost‑effectiveness. However, their advancement is severely hindered by the sluggish sulfur conversion kinetics and the notorious polysulfide shuttle effect of the sulfur cathode. Thus, rational design of catalytic cathode materials is pivotal to realizing the practical application of M–S batteries. This review first evaluates the practical viability of various M–S batteries, further delineates the chemical behavior and transformation processes of sulfide intermediates, and summarizes the theoretical methodologies for probing sulfur cathode conversion chemistry. Notably, three classic heterogeneous catalysis mechanisms, namely Langmuir–Hinshelwood, Eley–Rideal, and Mars–van Krevelen, are innovatively utilized to interpret the cathode catalytic behavior in M–S batteries for the first time. Following this, it elaborates on the rational design principles targeting the supports and active sites of catalytic cathode materials, ranging from nanostructured engineering to single‐atom catalysis, aiming to further reinforce sulfur immobilization and accelerate redox reaction kinetics across various M–S systems. Furthermore, it highlights advances in characterization strategies for guiding rational material design and elucidating precise electrocatalytic mechanisms, and ultimately prospects the pivotal future research directions toward practical liquid and solid‐state M–S battery systems.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113">
        <w:r>
          <w:rPr>
            <w:color w:val="1155CC"/>
            <w:u w:val="single"/>
          </w:rPr>
          <w:t>LiCuFe 2 (VO 4 ) 3 阳极的自增强结构-界面演化可实现耐用、高容量的锂存储</w:t>
        </w:r>
      </w:hyperlink>
    </w:p>
    <w:p>
      <w:pPr>
        <w:spacing w:before="0" w:after="80"/>
      </w:pPr>
      <w:r>
        <w:rPr>
          <w:i/>
          <w:sz w:val="20"/>
        </w:rPr>
        <w:t>EN: Self-Reinforcing Structural–Interfacial Evolution in LiCuFe 2 (VO 4 ) 3 Anodes Enables Durable, High-Capacity Lithium Storage</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114">
        <w:r>
          <w:rPr>
            <w:color w:val="1155CC"/>
            <w:u w:val="single"/>
          </w:rPr>
          <w:t>10.1021/acsami.6c03927</w:t>
        </w:r>
      </w:hyperlink>
    </w:p>
    <w:p>
      <w:pPr>
        <w:spacing w:before="0" w:after="120"/>
      </w:pPr>
      <w:r>
        <w:rPr>
          <w:b/>
        </w:rPr>
        <w:t xml:space="preserve">Notes: </w:t>
      </w:r>
      <w:r>
        <w:t>abstract_source=pubmed</w:t>
      </w:r>
    </w:p>
    <w:p>
      <w:pPr>
        <w:spacing w:before="0" w:after="80" w:lineRule="auto" w:line="276"/>
      </w:pPr>
      <w:r>
        <w:rPr>
          <w:b/>
        </w:rPr>
        <w:t xml:space="preserve">摘要（ZH）: </w:t>
      </w:r>
      <w:r>
        <w:t>由于持续的结构退化和缓慢的界面动力学，为锂离子电池（LIB）设计高容量且耐用的阳极仍然是一项艰巨的挑战。本文设计了一种基于聚阳离子钒酸盐的化合物LiCuFe2(VO4)3，通过电化学晶格重组和自适应界面调制的耦合机制来解决这些问题。该电极表现出优异的循环性能，在0.5 A g-1下循环1000次后，比容量仍保持在1178 mAh g-1，并伴有持续的容量提升现象。先进的同步加速器辐射X射线衍射和第一原理计算表明，在循环过程中，金属Cu纳米粒子的沉淀协调电荷渗流网络，而Fe3+衍生的Fe3O4催化动态电解质转化，产生聚合物凝胶状薄膜。这种双调节框架可同时减轻机械应力并实现高速表面主导存储。这些发现揭示了电化学诱导优化范例，将 LiCuFe2(VO4)3 定位为下一代高性能 LIB 阳极的原型材料。</w:t>
      </w:r>
    </w:p>
    <w:p>
      <w:pPr>
        <w:spacing w:before="0" w:after="200" w:lineRule="auto" w:line="276"/>
      </w:pPr>
      <w:r>
        <w:rPr>
          <w:b/>
        </w:rPr>
        <w:t xml:space="preserve">Abstract (EN): </w:t>
      </w:r>
      <w:r>
        <w:t>Designing high-capacity and durable anodes for lithium-ion batteries (LIBs) remains a formidable challenge due to persistent structural degradation and sluggish interfacial kinetics. Herein, a polycationic vanadate-based compound, LiCuFe2(VO4)3, is engineered to address these issues through a coupled mechanism of electrochemical lattice reorganization and self-adaptive interface modulation. The electrode exhibits an exceptional cycling performance, retaining a specific capacity of 1178 mAh g-1 after 1000 cycles at 0.5 A g-1, accompanied by a continuous capacity elevation phenomenon. Advanced synchrotron radiation X-ray diffraction and first-principles calculations reveal that, during cycling, the precipitation of metallic Cu nanoparticles orchestrates charge percolation networks, while Fe3+-derived Fe3O4 catalyzes dynamic electrolyte translation, yielding a polymer gel-like film. This dual-regulation framework simultaneously alleviates mechanical stress and enables high-rate surface-dominated storage. These findings shed light on an electrochemically induced optimization paradigm, positioning LiCuFe2(VO4)3 as a prototype material for next-generation high-performance LIB anode.</w:t>
      </w:r>
    </w:p>
    <w:p>
      <w:pPr>
        <w:spacing w:before="120" w:after="120"/>
      </w:pPr>
      <w:r>
        <w:rPr>
          <w:sz w:val="18"/>
        </w:rPr>
        <w:t>——————————————————————————————————————————————————————————————————————</w:t>
      </w:r>
    </w:p>
    <w:p>
      <w:pPr>
        <w:spacing w:before="160" w:after="40" w:line="240" w:lineRule="auto"/>
      </w:pPr>
      <w:r>
        <w:rPr>
          <w:b/>
        </w:rPr>
        <w:t xml:space="preserve">[2] </w:t>
      </w:r>
      <w:hyperlink r:id="rId115">
        <w:r>
          <w:rPr>
            <w:color w:val="1155CC"/>
            <w:u w:val="single"/>
          </w:rPr>
          <w:t>通过基于纳米多孔 CaSO 4 的人工 SEI 均匀化界面电场，实现长寿命锌金属阳极</w:t>
        </w:r>
      </w:hyperlink>
    </w:p>
    <w:p>
      <w:pPr>
        <w:spacing w:before="0" w:after="80"/>
      </w:pPr>
      <w:r>
        <w:rPr>
          <w:i/>
          <w:sz w:val="20"/>
        </w:rPr>
        <w:t>EN: Homogenizing Interfacial Electric Fields through a Nanoporous CaSO 4 -Based Artificial SEI for Long-Lifespan Zinc Metal Anodes</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116">
        <w:r>
          <w:rPr>
            <w:color w:val="1155CC"/>
            <w:u w:val="single"/>
          </w:rPr>
          <w:t>10.1021/acsami.6c07851</w:t>
        </w:r>
      </w:hyperlink>
    </w:p>
    <w:p>
      <w:pPr>
        <w:spacing w:before="0" w:after="120"/>
      </w:pPr>
      <w:r>
        <w:rPr>
          <w:b/>
        </w:rPr>
        <w:t xml:space="preserve">Notes: </w:t>
      </w:r>
      <w:r>
        <w:t>abstract_source=pubmed</w:t>
      </w:r>
    </w:p>
    <w:p>
      <w:pPr>
        <w:spacing w:before="0" w:after="80" w:lineRule="auto" w:line="276"/>
      </w:pPr>
      <w:r>
        <w:rPr>
          <w:b/>
        </w:rPr>
        <w:t xml:space="preserve">摘要（ZH）: </w:t>
      </w:r>
      <w:r>
        <w:t>尽管水性锌离子电池具有高能量密度、本质安全性和低成本等优点，但其实际可行性受到容量衰减和内部短路现象的影响，这些现象可追溯到非均匀锌剥离/电镀过程中不受控制的枝晶生长。在这项工作中，我们提出了一种经济高效的纳米多孔 CaSO4 涂层策略，以实现均匀的锌沉积。原位枝晶可视化、扫描电子显微镜和激光共焦显微镜共同证实了其卓越的枝晶抑制能力。人工中间层均匀化界面电场的能力支撑着 Zn@CaSO4 对称电池卓越的循环性能。因此，它在 1 mA cm-2 和 1 mAh cm-2 下保持稳定运行超过 1700 小时，相对于未改性的 Zn 电极，该持续时间提高了 16 倍。此外，延长的循环显示了 Zn@CaSO4||MnO2 配置的耐久性。在1 A g-1的电流密度下，经过1000次循环仍保持158 mAh g-1的比容量，容量保持率高达72.7%。该研究开创了纳米多孔 CaSO4 作为一种低成本、环保且易于扩展的锌阳极保护层，显着提高了循环稳定性和容量保持率。</w:t>
      </w:r>
    </w:p>
    <w:p>
      <w:pPr>
        <w:spacing w:before="0" w:after="200" w:lineRule="auto" w:line="276"/>
      </w:pPr>
      <w:r>
        <w:rPr>
          <w:b/>
        </w:rPr>
        <w:t xml:space="preserve">Abstract (EN): </w:t>
      </w:r>
      <w:r>
        <w:t>Despite the high energy density, intrinsic safety, and low cost that render aqueous zinc-ion batteries attractive, their practical viability is compromised by capacity decay and internal short circuits-phenomena traceable to uncontrolled dendritic growth during non-uniform Zn stripping/plating. In this work, we propose a cost-effective nanoporous CaSO4 coating strategy to enable the uniform zinc deposition. In situ dendrite visualization, scanning electron microscopy, and laser confocal microscopy collectively corroborate its exceptional dendrite-suppression capability. The artificial interlayer's ability to homogenize the interfacial electric field underpins the remarkable cyclability of the Zn@CaSO4 symmetric cell. Consequently, it maintains stable operation for over 1700 h at 1 mA cm-2 and 1 mAh cm-2, a duration that represents a 16-fold improvement relative to an unmodified Zn electrode. Furthermore, extended cycling reveals the durability of the Zn@CaSO4||MnO2 configuration. At a current density of 1 A g-1, it maintains a specific capacity of 158 mAh g-1 over 1000 cycles, achieving a capacity retention as high as 72.7%. The study pioneers nanoporous CaSO4 as a low-cost, eco-friendly, and readily scalable protective layer for Zn anodes, significantly enhancing cycling stability and capacity retention.</w:t>
      </w:r>
    </w:p>
    <w:p>
      <w:pPr>
        <w:spacing w:before="120" w:after="120"/>
      </w:pPr>
      <w:r>
        <w:rPr>
          <w:sz w:val="18"/>
        </w:rPr>
        <w:t>——————————————————————————————————————————————————————————————————————</w:t>
      </w:r>
    </w:p>
    <w:p>
      <w:pPr>
        <w:spacing w:before="160" w:after="40" w:line="240" w:lineRule="auto"/>
      </w:pPr>
      <w:r>
        <w:rPr>
          <w:b/>
        </w:rPr>
        <w:t xml:space="preserve">[3] </w:t>
      </w:r>
      <w:hyperlink r:id="rId72">
        <w:r>
          <w:rPr>
            <w:color w:val="1155CC"/>
            <w:u w:val="single"/>
          </w:rPr>
          <w:t>动态离子对网络实现选择性锂离子传输，实现稳定高效的固态锂硫电池</w:t>
        </w:r>
      </w:hyperlink>
    </w:p>
    <w:p>
      <w:pPr>
        <w:spacing w:before="0" w:after="80"/>
      </w:pPr>
      <w:r>
        <w:rPr>
          <w:i/>
          <w:sz w:val="20"/>
        </w:rPr>
        <w:t>EN: Dynamic Ion‐Pair Networks Enable Selective Li+ Transport for Stable and Efficient Solid‐State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2026-07-17 05:26:41+00:00</w:t>
      </w:r>
      <w:r>
        <w:t xml:space="preserve">    </w:t>
      </w:r>
      <w:r>
        <w:rPr>
          <w:b/>
        </w:rPr>
        <w:t xml:space="preserve">DOI: </w:t>
      </w:r>
      <w:hyperlink r:id="rId73">
        <w:r>
          <w:rPr>
            <w:color w:val="1155CC"/>
            <w:u w:val="single"/>
          </w:rPr>
          <w:t>10.1002/anie.4252910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固态锂硫（Li-S）电池本质上受到持久性Li的限制</w:t>
      </w:r>
      <w:r>
        <w:t xml:space="preserve"> </w:t>
      </w:r>
      <w:r>
        <w:t>+</w:t>
      </w:r>
      <w:r>
        <w:t xml:space="preserve"> </w:t>
      </w:r>
      <w:r>
        <w:t>‐聚合物电解质中的阴离子配位，与Li偶联</w:t>
      </w:r>
      <w:r>
        <w:t xml:space="preserve"> </w:t>
      </w:r>
      <w:r>
        <w:t>+</w:t>
      </w:r>
      <w:r>
        <w:t xml:space="preserve"> </w:t>
      </w:r>
      <w:r>
        <w:t>迁移到阴离子运动并限制界面稳定性和硫氧化还原动力学。在这里，我们表明，将离子液体修饰的 ZIF-67 (IL@ZIF-67) 纳入聚合物固体电解质中，可以实现离子配位的有意重组和 Li 的重新配置。</w:t>
      </w:r>
      <w:r>
        <w:t xml:space="preserve"> </w:t>
      </w:r>
      <w:r>
        <w:t>+</w:t>
      </w:r>
      <w:r>
        <w:t xml:space="preserve"> </w:t>
      </w:r>
      <w:r>
        <w:t>分子水平上的运输途径。 ZIF-67 位点优先锚定 TFSI</w:t>
      </w:r>
      <w:r>
        <w:t xml:space="preserve"> </w:t>
      </w:r>
      <w:r>
        <w:t>-</w:t>
      </w:r>
      <w:r>
        <w:t>，而受限的离子液体域重塑了Li</w:t>
      </w:r>
      <w:r>
        <w:t xml:space="preserve"> </w:t>
      </w:r>
      <w:r>
        <w:t>+</w:t>
      </w:r>
      <w:r>
        <w:t xml:space="preserve"> </w:t>
      </w:r>
      <w:r>
        <w:t>配位，建立弱锂的动态离子对网络</w:t>
      </w:r>
      <w:r>
        <w:t xml:space="preserve"> </w:t>
      </w:r>
      <w:r>
        <w:t>+</w:t>
      </w:r>
      <w:r>
        <w:t xml:space="preserve"> </w:t>
      </w:r>
      <w:r>
        <w:t>‐阴离子耦合和空间限制的阴离子。这种协调重组解耦了远程 Li</w:t>
      </w:r>
      <w:r>
        <w:t xml:space="preserve"> </w:t>
      </w:r>
      <w:r>
        <w:t>+</w:t>
      </w:r>
      <w:r>
        <w:t xml:space="preserve"> </w:t>
      </w:r>
      <w:r>
        <w:t>阴离子迁移的运输，降低Li</w:t>
      </w:r>
      <w:r>
        <w:t xml:space="preserve"> </w:t>
      </w:r>
      <w:r>
        <w:t>+</w:t>
      </w:r>
      <w:r>
        <w:t xml:space="preserve"> </w:t>
      </w:r>
      <w:r>
        <w:t>迁移能垒，并使Li均质化</w:t>
      </w:r>
      <w:r>
        <w:t xml:space="preserve"> </w:t>
      </w:r>
      <w:r>
        <w:t>+</w:t>
      </w:r>
      <w:r>
        <w:t xml:space="preserve"> </w:t>
      </w:r>
      <w:r>
        <w:t>穿过电解质的通量。因此，稳定的LiF/Li</w:t>
      </w:r>
      <w:r>
        <w:rPr>
          <w:vertAlign w:val="subscript"/>
        </w:rPr>
        <w:t>2</w:t>
      </w:r>
      <w:r>
        <w:t>富硫固体电解质界面在锂金属界面形成，而连续的锂</w:t>
      </w:r>
      <w:r>
        <w:t xml:space="preserve"> </w:t>
      </w:r>
      <w:r>
        <w:t>+</w:t>
      </w:r>
      <w:r>
        <w:t xml:space="preserve"> </w:t>
      </w:r>
      <w:r>
        <w:t>供应减轻固-固界面极化并加速可逆S─C/S─S键转换</w:t>
      </w:r>
    </w:p>
    <w:p>
      <w:pPr>
        <w:spacing w:before="0" w:after="200" w:lineRule="auto" w:line="276"/>
      </w:pPr>
      <w:r>
        <w:rPr>
          <w:b/>
        </w:rPr>
        <w:t xml:space="preserve">Abstract (EN): </w:t>
      </w:r>
      <w:r>
        <w:t>Solid‐state lithium‐sulfur (Li‐S) batteries are intrinsically constrained by persistent Li</w:t>
      </w:r>
      <w:r>
        <w:t xml:space="preserve"> </w:t>
      </w:r>
      <w:r>
        <w:t>+</w:t>
      </w:r>
      <w:r>
        <w:t xml:space="preserve"> </w:t>
      </w:r>
      <w:r>
        <w:t>‐anion coordination in polymer electrolytes, which couples Li</w:t>
      </w:r>
      <w:r>
        <w:t xml:space="preserve"> </w:t>
      </w:r>
      <w:r>
        <w:t>+</w:t>
      </w:r>
      <w:r>
        <w:t xml:space="preserve"> </w:t>
      </w:r>
      <w:r>
        <w:t>migration to anion motion and limits both interfacial stability and sulfur redox kinetics. Here, we show that incorporating an ionic liquid modified ZIF‐67 (IL@ZIF‐67) into a polymer solid electrolyte enables deliberate reorganization of ion coordination and reconfiguration of Li</w:t>
      </w:r>
      <w:r>
        <w:t xml:space="preserve"> </w:t>
      </w:r>
      <w:r>
        <w:t>+</w:t>
      </w:r>
      <w:r>
        <w:t xml:space="preserve"> </w:t>
      </w:r>
      <w:r>
        <w:t>transport pathways at the molecular level. ZIF‐67 sites preferentially anchor TFSI</w:t>
      </w:r>
      <w:r>
        <w:t xml:space="preserve"> </w:t>
      </w:r>
      <w:r>
        <w:t>−</w:t>
      </w:r>
      <w:r>
        <w:t>, while confined ionic liquid domains reshape Li</w:t>
      </w:r>
      <w:r>
        <w:t xml:space="preserve"> </w:t>
      </w:r>
      <w:r>
        <w:t>+</w:t>
      </w:r>
      <w:r>
        <w:t xml:space="preserve"> </w:t>
      </w:r>
      <w:r>
        <w:t>coordination, establishing a dynamic ion‐pair network with weakened Li</w:t>
      </w:r>
      <w:r>
        <w:t xml:space="preserve"> </w:t>
      </w:r>
      <w:r>
        <w:t>+</w:t>
      </w:r>
      <w:r>
        <w:t xml:space="preserve"> </w:t>
      </w:r>
      <w:r>
        <w:t>‐anion coupling and spatially restricted anions. This coordination reorganization decouples long‐range Li</w:t>
      </w:r>
      <w:r>
        <w:t xml:space="preserve"> </w:t>
      </w:r>
      <w:r>
        <w:t>+</w:t>
      </w:r>
      <w:r>
        <w:t xml:space="preserve"> </w:t>
      </w:r>
      <w:r>
        <w:t>transport from anion migration, lowers the Li</w:t>
      </w:r>
      <w:r>
        <w:t xml:space="preserve"> </w:t>
      </w:r>
      <w:r>
        <w:t>+</w:t>
      </w:r>
      <w:r>
        <w:t xml:space="preserve"> </w:t>
      </w:r>
      <w:r>
        <w:t>migration energy barrier, and homogenizes Li</w:t>
      </w:r>
      <w:r>
        <w:t xml:space="preserve"> </w:t>
      </w:r>
      <w:r>
        <w:t>+</w:t>
      </w:r>
      <w:r>
        <w:t xml:space="preserve"> </w:t>
      </w:r>
      <w:r>
        <w:t>flux across the electrolyte. Consequently, a stable LiF/Li</w:t>
      </w:r>
      <w:r>
        <w:rPr>
          <w:vertAlign w:val="subscript"/>
        </w:rPr>
        <w:t>2</w:t>
      </w:r>
      <w:r>
        <w:t>S‐rich solid electrolyte interphase forms at the lithium metal interface, while continuous Li</w:t>
      </w:r>
      <w:r>
        <w:t xml:space="preserve"> </w:t>
      </w:r>
      <w:r>
        <w:t>+</w:t>
      </w:r>
      <w:r>
        <w:t xml:space="preserve"> </w:t>
      </w:r>
      <w:r>
        <w:t>supply mitigates solid‐solid interfacial polarization and accelerates reversible S─C/S─S bond conversion and Li</w:t>
      </w:r>
      <w:r>
        <w:rPr>
          <w:vertAlign w:val="subscript"/>
        </w:rPr>
        <w:t>2</w:t>
      </w:r>
      <w:r>
        <w:t>S nucleation/decomposition kinetics in SPAN cathodes. As a result, the solid‐state Li‐S batteries deliver a high reversible capacity of 1004.97 mAh g</w:t>
      </w:r>
      <w:r>
        <w:t xml:space="preserve"> </w:t>
      </w:r>
      <w:r>
        <w:t>−1</w:t>
      </w:r>
      <w:r>
        <w:t xml:space="preserve"> </w:t>
      </w:r>
      <w:r>
        <w:t>after 150 cycles at 0.2 C, prolonged cycling stability over 500 cycles at 1 C with a decay rate of ∼0.06% per cycle, highlighting ion‐pair regulation via ionic‐liquid‐engineered MOF fillers as an effective pathway toward high‐performance solid‐state Li‐S batteries.</w:t>
      </w:r>
    </w:p>
    <w:p>
      <w:pPr>
        <w:spacing w:before="120" w:after="120"/>
      </w:pPr>
      <w:r>
        <w:rPr>
          <w:sz w:val="18"/>
        </w:rPr>
        <w:t>——————————————————————————————————————————————————————————————————————</w:t>
      </w:r>
    </w:p>
    <w:p>
      <w:pPr>
        <w:spacing w:before="160" w:after="40" w:line="240" w:lineRule="auto"/>
      </w:pPr>
      <w:r>
        <w:rPr>
          <w:b/>
        </w:rPr>
        <w:t xml:space="preserve">[4] </w:t>
      </w:r>
      <w:hyperlink r:id="rId74">
        <w:r>
          <w:rPr>
            <w:color w:val="1155CC"/>
            <w:u w:val="single"/>
          </w:rPr>
          <w:t>盐聚合物电解质的多用途集成填料设计可实现长寿命、安全的固态锂电池</w:t>
        </w:r>
      </w:hyperlink>
    </w:p>
    <w:p>
      <w:pPr>
        <w:spacing w:before="0" w:after="80"/>
      </w:pPr>
      <w:r>
        <w:rPr>
          <w:i/>
          <w:sz w:val="20"/>
        </w:rPr>
        <w:t>EN: Multirole Integrated Filler Design for Polymer‐in‐Salt Electrolytes Enables Long‐Life, Safe 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2026-07-17 05:34:48+00:00</w:t>
      </w:r>
      <w:r>
        <w:t xml:space="preserve">    </w:t>
      </w:r>
      <w:r>
        <w:rPr>
          <w:b/>
        </w:rPr>
        <w:t xml:space="preserve">DOI: </w:t>
      </w:r>
      <w:hyperlink r:id="rId75">
        <w:r>
          <w:rPr>
            <w:color w:val="1155CC"/>
            <w:u w:val="single"/>
          </w:rPr>
          <w:t>10.1002/anie.4049895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盐聚合物（PIS）电解质策略广泛应用于固态锂电池中，通过离子传输调节和界面化学调节来稳定界面，但其应用仍然受到残留溶剂和固有离子电导率-力学权衡引起的界面降解的困扰。在这里，我们提出了一种多用途集成填料设计，通过缺陷化学和界面工程同时解决这些限制。氟化钙</w:t>
      </w:r>
      <w:r>
        <w:rPr>
          <w:vertAlign w:val="subscript"/>
        </w:rPr>
        <w:t>2</w:t>
      </w:r>
      <w:r>
        <w:t>作为代表性案例，填料通过氟空位缺陷协同促进盐解离和离子传导位点的产生，同时通过氢键相互作用和高体积模量增强聚合物基体。这使得卷对卷可扩展制造超薄（约 8 µm）PIS 膜具有 3.32 × 10 的卓越离子电导率</w:t>
      </w:r>
      <w:r>
        <w:t xml:space="preserve"> </w:t>
      </w:r>
      <w:r>
        <w:t>−4</w:t>
      </w:r>
      <w:r>
        <w:t xml:space="preserve"> </w:t>
      </w:r>
      <w:r>
        <w:t>厘米</w:t>
      </w:r>
      <w:r>
        <w:t xml:space="preserve"> </w:t>
      </w:r>
      <w:r>
        <w:t>−1</w:t>
      </w:r>
      <w:r>
        <w:t xml:space="preserve"> </w:t>
      </w:r>
      <w:r>
        <w:t>25°C 时。至关重要的是，原位生成的 LiF/Li-Ca 界面抑制了残留溶剂分解和枝晶形成，实现了锂对称电池近 1600 小时的稳定循环，并在 LiFePO 全电池中实现了高容量保留</w:t>
      </w:r>
      <w:r>
        <w:rPr>
          <w:vertAlign w:val="subscript"/>
        </w:rPr>
        <w:t>4</w:t>
      </w:r>
      <w:r>
        <w:t>或 NCM811 阴极超过 1000 次循环。 CaF 出色的热稳定性（熔点：1418°C）</w:t>
      </w:r>
      <w:r>
        <w:rPr>
          <w:vertAlign w:val="subscript"/>
        </w:rPr>
        <w:t>2</w:t>
      </w:r>
      <w:r>
        <w:t>进一步提高了软包电池在机械和热滥用条件下的固有安全性。这斯</w:t>
      </w:r>
    </w:p>
    <w:p>
      <w:pPr>
        <w:spacing w:before="0" w:after="200" w:lineRule="auto" w:line="276"/>
      </w:pPr>
      <w:r>
        <w:rPr>
          <w:b/>
        </w:rPr>
        <w:t xml:space="preserve">Abstract (EN): </w:t>
      </w:r>
      <w:r>
        <w:t>Although polymer‐in‐salt (PIS) electrolyte strategy is widely employed in solid‐state lithium batteries for interface stabilization through ion transport modulation and interphase chemistry tailoring, its application remains plagued by interfacial degradation induced by residual solvent and inherent ionic conductivity‐mechanics trade‐off. Herein, we propose a multirole integrated filler design to simultaneously address these limitations through defect chemistry and interface engineering. CaF</w:t>
      </w:r>
      <w:r>
        <w:rPr>
          <w:vertAlign w:val="subscript"/>
        </w:rPr>
        <w:t>2</w:t>
      </w:r>
      <w:r>
        <w:t>filler, as a representative case, synergistically promotes salt dissociation and ion‐conducting sites generation through fluorine vacancy defects while reinforcing the polymer matrix via hydrogen bonding interactions and high bulk modulus. This enables roll‐to‐roll scalable fabrication of ultra‐thin (ca. 8 µm) PIS membrane with exceptional ionic conductivity of 3.32 × 10</w:t>
      </w:r>
      <w:r>
        <w:t xml:space="preserve"> </w:t>
      </w:r>
      <w:r>
        <w:t>−4</w:t>
      </w:r>
      <w:r>
        <w:t xml:space="preserve"> </w:t>
      </w:r>
      <w:r>
        <w:t>S cm</w:t>
      </w:r>
      <w:r>
        <w:t xml:space="preserve"> </w:t>
      </w:r>
      <w:r>
        <w:t>−1</w:t>
      </w:r>
      <w:r>
        <w:t xml:space="preserve"> </w:t>
      </w:r>
      <w:r>
        <w:t>at 25°C. Crucially, the in situ generated LiF/Li‐Ca interphase suppresses both residual solvent decomposition and dendrite formation, achieving stable cycling in lithium symmetric cells for nearly 1600 h and high‐capacity retention in full cells with LiFePO</w:t>
      </w:r>
      <w:r>
        <w:rPr>
          <w:vertAlign w:val="subscript"/>
        </w:rPr>
        <w:t>4</w:t>
      </w:r>
      <w:r>
        <w:t>or NCM811 cathodes over 1000 cycles. The outstanding thermal stability (melting point: 1418°C) of CaF</w:t>
      </w:r>
      <w:r>
        <w:rPr>
          <w:vertAlign w:val="subscript"/>
        </w:rPr>
        <w:t>2</w:t>
      </w:r>
      <w:r>
        <w:t>further boosts the inherent safety of pouch cells under mechanical and thermal abuse conditions. This single‐component filler strategy effectively addresses multiple performance bottlenecks in polymer electrolytes, offering a scalable and cost‐effective pathway for practical solid‐state batteries.</w:t>
      </w:r>
    </w:p>
    <w:p>
      <w:pPr>
        <w:spacing w:before="120" w:after="120"/>
      </w:pPr>
      <w:r>
        <w:rPr>
          <w:sz w:val="18"/>
        </w:rPr>
        <w:t>——————————————————————————————————————————————————————————————————————</w:t>
      </w:r>
    </w:p>
    <w:p>
      <w:pPr>
        <w:spacing w:before="160" w:after="40" w:line="240" w:lineRule="auto"/>
      </w:pPr>
      <w:r>
        <w:rPr>
          <w:b/>
        </w:rPr>
        <w:t xml:space="preserve">[5] </w:t>
      </w:r>
      <w:hyperlink r:id="rId117">
        <w:r>
          <w:rPr>
            <w:color w:val="1155CC"/>
            <w:u w:val="single"/>
          </w:rPr>
          <w:t>协同静态和动态界面调节实现稳健的锌电池</w:t>
        </w:r>
      </w:hyperlink>
    </w:p>
    <w:p>
      <w:pPr>
        <w:spacing w:before="0" w:after="80"/>
      </w:pPr>
      <w:r>
        <w:rPr>
          <w:i/>
          <w:sz w:val="20"/>
        </w:rPr>
        <w:t>EN: Synergistic Static and Dynamic Interfacial Regulation Toward Robust Zinc Batteries</w:t>
      </w:r>
    </w:p>
    <w:p>
      <w:pPr>
        <w:spacing w:before="0" w:after="120"/>
      </w:pPr>
      <w:r>
        <w:rPr>
          <w:b/>
        </w:rPr>
        <w:t xml:space="preserve">Source: </w:t>
      </w:r>
      <w:r>
        <w:t>Wiley: Advanced Materials: Table of Contents</w:t>
      </w:r>
      <w:r>
        <w:t xml:space="preserve">    </w:t>
      </w:r>
      <w:r>
        <w:rPr>
          <w:b/>
        </w:rPr>
        <w:t xml:space="preserve">Pub date: </w:t>
      </w:r>
      <w:r>
        <w:t>2026-07-17 10:07:00+00:00</w:t>
      </w:r>
      <w:r>
        <w:t xml:space="preserve">    </w:t>
      </w:r>
      <w:r>
        <w:rPr>
          <w:b/>
        </w:rPr>
        <w:t xml:space="preserve">DOI: </w:t>
      </w:r>
      <w:hyperlink r:id="rId118">
        <w:r>
          <w:rPr>
            <w:color w:val="1155CC"/>
            <w:u w:val="single"/>
          </w:rPr>
          <w:t>10.1002/adma.74109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Zn）金属电池（AZMB）有望用于可持续能源存储，但其发展受到富含水和无序双电层（EDL）引起的界面不稳定性的严重影响。在此，我们建立了一种合理的筛选策略，将密度泛函理论与分子动力学模拟相结合，以确定能够通过优化的界面亲和力和传输动力学重塑 EDL 结构的阳离子调节剂（有机和无机）。结果表明，1-乙基-3-甲基咪唑鎓表现出很强的界面亲和力，能够形成疏水屏蔽层，抑制寄生反应，表现出“静态钝化”效应。相比之下，钠离子作为电场响应物种，通过均匀化 Zn 来提供“动态调节”</w:t>
      </w:r>
      <w:r>
        <w:t xml:space="preserve"> </w:t>
      </w:r>
      <w:r>
        <w:t>2+</w:t>
      </w:r>
      <w:r>
        <w:t xml:space="preserve"> </w:t>
      </w:r>
      <w:r>
        <w:t>通量并降低去溶剂化能垒。因此，这种双阳离子策略构建了贫水且有序的EDL，使锌阳极能够稳定运行超过5000小时，库仑效率高达99.73%。最终，在这些机制见解的指导下，进一步开发了机器学习框架，以实现预测性和可扩展的附加筛选。</w:t>
      </w:r>
    </w:p>
    <w:p>
      <w:pPr>
        <w:spacing w:before="0" w:after="200" w:lineRule="auto" w:line="276"/>
      </w:pPr>
      <w:r>
        <w:rPr>
          <w:b/>
        </w:rPr>
        <w:t xml:space="preserve">Abstract (EN): </w:t>
      </w:r>
      <w:r>
        <w:t>Aqueous zinc (Zn) metal batteries (AZMBs) are promising for sustainable energy storage, yet their development is severely compromised by the interfacial instability arising from a water‐rich and disordered electric double layer (EDL). Herein, we establish a rational screening strategy that combines density functional theory with molecular dynamics simulations to identify cationic regulators (both organic and inorganic) capable of reshaping the EDL structure through optimized interfacial affinity and transport kinetics. The results reveal that 1‐ethyl‐3‐methylimidazolium exhibits strong interfacial affinity, which enables the formation of a hydrophobic shielding layer that suppresses parasitic reactions, demonstrating a “static passivation” effect. In contrast, sodium ion, as electric field‐responsive species, provides “dynamic regulation” by homogenizing Zn</w:t>
      </w:r>
      <w:r>
        <w:t xml:space="preserve"> </w:t>
      </w:r>
      <w:r>
        <w:t>2+</w:t>
      </w:r>
      <w:r>
        <w:t xml:space="preserve"> </w:t>
      </w:r>
      <w:r>
        <w:t>flux and lowering the desolvation energy barrier. Consequently, this dual‐cation strategy constructs a water‐poor and ordered EDL, enabling Zn anodes to operate stably for over 5000 h with a high Coulombic efficiency of 99.73%. Ultimately, guided by these mechanistic insights, a machine learning framework is further developed to enable predictive and scalable additive screening.</w:t>
      </w:r>
    </w:p>
    <w:p>
      <w:pPr>
        <w:spacing w:before="120" w:after="120"/>
      </w:pPr>
      <w:r>
        <w:rPr>
          <w:sz w:val="18"/>
        </w:rPr>
        <w:t>——————————————————————————————————————————————————————————————————————</w:t>
      </w:r>
    </w:p>
    <w:p>
      <w:pPr>
        <w:spacing w:before="160" w:after="40" w:line="240" w:lineRule="auto"/>
      </w:pPr>
      <w:r>
        <w:rPr>
          <w:b/>
        </w:rPr>
        <w:t xml:space="preserve">[6] </w:t>
      </w:r>
      <w:hyperlink r:id="rId119">
        <w:r>
          <w:rPr>
            <w:color w:val="1155CC"/>
            <w:u w:val="single"/>
          </w:rPr>
          <w:t>受细胞膜启发的共轭微孔热固性界面，用于高倍率和耐用的硅阳极</w:t>
        </w:r>
      </w:hyperlink>
    </w:p>
    <w:p>
      <w:pPr>
        <w:spacing w:before="0" w:after="80"/>
      </w:pPr>
      <w:r>
        <w:rPr>
          <w:i/>
          <w:sz w:val="20"/>
        </w:rPr>
        <w:t>EN: Cell‐Membrane‐Inspired Conjugated Microporous Thermoset Interface for High‐Rate and Durable Silicon Anodes</w:t>
      </w:r>
    </w:p>
    <w:p>
      <w:pPr>
        <w:spacing w:before="0" w:after="120"/>
      </w:pPr>
      <w:r>
        <w:rPr>
          <w:b/>
        </w:rPr>
        <w:t xml:space="preserve">Source: </w:t>
      </w:r>
      <w:r>
        <w:t>Wiley: Advanced Materials: Table of Contents</w:t>
      </w:r>
      <w:r>
        <w:t xml:space="preserve">    </w:t>
      </w:r>
      <w:r>
        <w:rPr>
          <w:b/>
        </w:rPr>
        <w:t xml:space="preserve">Pub date: </w:t>
      </w:r>
      <w:r>
        <w:t>2026-07-18 11:44:57+00:00</w:t>
      </w:r>
      <w:r>
        <w:t xml:space="preserve">    </w:t>
      </w:r>
      <w:r>
        <w:rPr>
          <w:b/>
        </w:rPr>
        <w:t xml:space="preserve">DOI: </w:t>
      </w:r>
      <w:hyperlink r:id="rId120">
        <w:r>
          <w:rPr>
            <w:color w:val="1155CC"/>
            <w:u w:val="single"/>
          </w:rPr>
          <w:t>10.1002/adma.74175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硅（Si）因其超高的理论容量、丰度和良好的工作潜力而成为下一代锂离子电池的有前途的负极材料。然而，其广泛应用受到严重的体积膨胀、缓慢的锂离子传输和不稳定的固体电解质界面（SEI）的限制。受生物细胞膜多功能结构的启发，我们报告了一种简便且可扩展的策略，通过在硅颗粒上原位形成共轭微孔热固性（CMT）涂层来构建仿生保护界面。该过程涉及分子前体与硅的简单手工混合，然后进行一步热固处理，包括顺序升华、熔化、脱溴和聚合，无需后处理。由此产生的 CMT 界面为选择性 Li 提供微孔（∼0.5 nm）</w:t>
      </w:r>
      <w:r>
        <w:t xml:space="preserve"> </w:t>
      </w:r>
      <w:r>
        <w:t>+</w:t>
      </w:r>
      <w:r>
        <w:t xml:space="preserve"> </w:t>
      </w:r>
      <w:r>
        <w:t>运输，同时排除电解质和阴离子，共价交联但有弹性的网络以适应机械应变，以及定制的界面化学，诱导富含LiBr的SEI以增强Li</w:t>
      </w:r>
      <w:r>
        <w:t xml:space="preserve"> </w:t>
      </w:r>
      <w:r>
        <w:t>+</w:t>
      </w:r>
      <w:r>
        <w:t xml:space="preserve"> </w:t>
      </w:r>
      <w:r>
        <w:t>运输动力学。因此，工程化的 Si@CMT 负极实现了 3130.9 mAh g 的高容量</w:t>
      </w:r>
      <w:r>
        <w:t xml:space="preserve"> </w:t>
      </w:r>
      <w:r>
        <w:t>−1</w:t>
      </w:r>
      <w:r>
        <w:t xml:space="preserve"> </w:t>
      </w:r>
      <w:r>
        <w:t>在 0.1 C 时，保持 1811.8 mAh g</w:t>
      </w:r>
      <w:r>
        <w:t xml:space="preserve"> </w:t>
      </w:r>
      <w:r>
        <w:t>−1</w:t>
      </w:r>
      <w:r>
        <w:t xml:space="preserve"> </w:t>
      </w:r>
      <w:r>
        <w:t>在 3 C 时，提供 1838.8 mAh g</w:t>
      </w:r>
      <w:r>
        <w:t xml:space="preserve"> </w:t>
      </w:r>
      <w:r>
        <w:t>−1</w:t>
      </w:r>
      <w:r>
        <w:t xml:space="preserve"> </w:t>
      </w:r>
      <w:r>
        <w:t>在 0.2 C 下经过 250 个循环后。这种实用且可推广的集成</w:t>
      </w:r>
    </w:p>
    <w:p>
      <w:pPr>
        <w:spacing w:before="0" w:after="200" w:lineRule="auto" w:line="276"/>
      </w:pPr>
      <w:r>
        <w:rPr>
          <w:b/>
        </w:rPr>
        <w:t xml:space="preserve">Abstract (EN): </w:t>
      </w:r>
      <w:r>
        <w:t>Silicon (Si) is a promising anode material for next‐generation lithium‐ion batteries due to its ultrahigh theoretical capacity, abundance, and favorable operating potential. However, its widespread application is limited by severe volume expansion, sluggish lithium‐ion transport, and unstable solid electrolyte interphase (SEI). Inspired by the multifunctional architecture of biological cell membranes, we report a facile and scalable strategy to construct a bio‐inspired protective interface via in situ formation of a conjugated microporous thermoset (CMT) coating on Si particles. This process involves simple hand‐mixing of a molecular precursor with Si, followed by a one‐step thermosetting treatment featuring sequential sublimation, melting, debromination, and polymerization, without the need for post‐processing. The resulting CMT interface offers micropores (∼0.5 nm) for selective Li</w:t>
      </w:r>
      <w:r>
        <w:t xml:space="preserve"> </w:t>
      </w:r>
      <w:r>
        <w:t>+</w:t>
      </w:r>
      <w:r>
        <w:t xml:space="preserve"> </w:t>
      </w:r>
      <w:r>
        <w:t>transport while excluding electrolyte and anions, a covalently crosslinked yet resilient network to accommodate mechanical strain, and tailored interfacial chemistry that induces a LiBr‐rich SEI to enhance Li</w:t>
      </w:r>
      <w:r>
        <w:t xml:space="preserve"> </w:t>
      </w:r>
      <w:r>
        <w:t>+</w:t>
      </w:r>
      <w:r>
        <w:t xml:space="preserve"> </w:t>
      </w:r>
      <w:r>
        <w:t>transport kinetics. As a result, the engineered Si@CMT anode achieves a high capacity of 3130.9 mAh g</w:t>
      </w:r>
      <w:r>
        <w:t xml:space="preserve"> </w:t>
      </w:r>
      <w:r>
        <w:t>−1</w:t>
      </w:r>
      <w:r>
        <w:t xml:space="preserve"> </w:t>
      </w:r>
      <w:r>
        <w:t>at 0.1 C, maintains 1811.8 mAh g</w:t>
      </w:r>
      <w:r>
        <w:t xml:space="preserve"> </w:t>
      </w:r>
      <w:r>
        <w:t>−1</w:t>
      </w:r>
      <w:r>
        <w:t xml:space="preserve"> </w:t>
      </w:r>
      <w:r>
        <w:t>at 3 C, and delivers 1838.8 mAh g</w:t>
      </w:r>
      <w:r>
        <w:t xml:space="preserve"> </w:t>
      </w:r>
      <w:r>
        <w:t>−1</w:t>
      </w:r>
      <w:r>
        <w:t xml:space="preserve"> </w:t>
      </w:r>
      <w:r>
        <w:t>after 250 cycles at 0.2 C. This practical and generalizable interfacial design offers a promising route toward scalable stabilization of high‐capacity anodes.</w:t>
      </w:r>
    </w:p>
    <w:p>
      <w:pPr>
        <w:spacing w:before="120" w:after="120"/>
      </w:pPr>
      <w:r>
        <w:rPr>
          <w:sz w:val="18"/>
        </w:rPr>
        <w:t>——————————————————————————————————————————————————————————————————————</w:t>
      </w:r>
    </w:p>
    <w:p>
      <w:pPr>
        <w:spacing w:before="160" w:after="40" w:line="240" w:lineRule="auto"/>
      </w:pPr>
      <w:r>
        <w:rPr>
          <w:b/>
        </w:rPr>
        <w:t xml:space="preserve">[7] </w:t>
      </w:r>
      <w:hyperlink r:id="rId79">
        <w:r>
          <w:rPr>
            <w:color w:val="1155CC"/>
            <w:u w:val="single"/>
          </w:rPr>
          <w:t>氯化物桥重塑双电层可实现高性能水系铝离子电池的定向沉积</w:t>
        </w:r>
      </w:hyperlink>
    </w:p>
    <w:p>
      <w:pPr>
        <w:spacing w:before="0" w:after="80"/>
      </w:pPr>
      <w:r>
        <w:rPr>
          <w:i/>
          <w:sz w:val="20"/>
        </w:rPr>
        <w:t>EN: Chloride‐Bridge Reshaped Electric Double Layer Enables Oriented Deposition for High‐Performance Aqueous Aluminum Ion Batteries</w:t>
      </w:r>
    </w:p>
    <w:p>
      <w:pPr>
        <w:spacing w:before="0" w:after="120"/>
      </w:pPr>
      <w:r>
        <w:rPr>
          <w:b/>
        </w:rPr>
        <w:t xml:space="preserve">Source: </w:t>
      </w:r>
      <w:r>
        <w:t>Wiley: Advanced Materials: Table of Contents</w:t>
      </w:r>
      <w:r>
        <w:t xml:space="preserve">    </w:t>
      </w:r>
      <w:r>
        <w:rPr>
          <w:b/>
        </w:rPr>
        <w:t xml:space="preserve">Pub date: </w:t>
      </w:r>
      <w:r>
        <w:t>2026-07-18 12:04:16+00:00</w:t>
      </w:r>
      <w:r>
        <w:t xml:space="preserve">    </w:t>
      </w:r>
      <w:r>
        <w:rPr>
          <w:b/>
        </w:rPr>
        <w:t xml:space="preserve">DOI: </w:t>
      </w:r>
      <w:hyperlink r:id="rId80">
        <w:r>
          <w:rPr>
            <w:color w:val="1155CC"/>
            <w:u w:val="single"/>
          </w:rPr>
          <w:t>10.1002/adma.74195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水性铝离子电池（AAIB）已成为大规模储能的有希望的候选者。然而，Al的强溶剂化</w:t>
      </w:r>
      <w:r>
        <w:t xml:space="preserve"> </w:t>
      </w:r>
      <w:r>
        <w:t>3+</w:t>
      </w:r>
      <w:r>
        <w:t xml:space="preserve"> </w:t>
      </w:r>
      <w:r>
        <w:t>离子和钝化氧化物层的形成阻碍了界面电荷转移动力学，导致长时间循环过程中性能逐渐下降。在此，提出了一种氯桥策略，采用三氯乙醇（TCE）作为添加剂，在电解质/电极界面自发自组装，形成富含氯桥的分子层。由此产生的氯桥框架重组双电层（EDL），加速界面电荷转移动力学，并促进均匀的铝</w:t>
      </w:r>
      <w:r>
        <w:t xml:space="preserve"> </w:t>
      </w:r>
      <w:r>
        <w:t>3+</w:t>
      </w:r>
      <w:r>
        <w:t xml:space="preserve"> </w:t>
      </w:r>
      <w:r>
        <w:t>具有优选（111）晶体取向的沉积。定制的界面可在低极化下维持高度可逆的铝沉积/剥离超过 800 小时，并将 FeCoPBA 全电池寿命从 OTF 电解质中的不到 50 次循环提高到 100 mA g-1 时的 150 次</w:t>
      </w:r>
      <w:r>
        <w:t xml:space="preserve"> </w:t>
      </w:r>
      <w:r>
        <w:t>−1</w:t>
      </w:r>
      <w:r>
        <w:t xml:space="preserve"> </w:t>
      </w:r>
      <w:r>
        <w:t>200 mA g 下 300 个循环</w:t>
      </w:r>
      <w:r>
        <w:t xml:space="preserve"> </w:t>
      </w:r>
      <w:r>
        <w:t>−1</w:t>
      </w:r>
      <w:r>
        <w:t xml:space="preserve"> </w:t>
      </w:r>
      <w:r>
        <w:t>。此外，PANI 正极可提供 116 mAh g</w:t>
      </w:r>
      <w:r>
        <w:t xml:space="preserve"> </w:t>
      </w:r>
      <w:r>
        <w:t>−1</w:t>
      </w:r>
      <w:r>
        <w:t xml:space="preserve"> </w:t>
      </w:r>
      <w:r>
        <w:t>在 100 mA g 下进行 200 个循环后</w:t>
      </w:r>
      <w:r>
        <w:t xml:space="preserve"> </w:t>
      </w:r>
      <w:r>
        <w:t>−1</w:t>
      </w:r>
      <w:r>
        <w:t xml:space="preserve"> </w:t>
      </w:r>
      <w:r>
        <w:t>在 200 mA g 电流下超过 350 个周期保持稳定</w:t>
      </w:r>
      <w:r>
        <w:t xml:space="preserve"> </w:t>
      </w:r>
      <w:r>
        <w:t>−1</w:t>
      </w:r>
      <w:r>
        <w:t xml:space="preserve"> </w:t>
      </w:r>
      <w:r>
        <w:t>，而 OTF 电解质仅保留 46 mAh g</w:t>
      </w:r>
      <w:r>
        <w:t xml:space="preserve"> </w:t>
      </w:r>
      <w:r>
        <w:t>−1</w:t>
      </w:r>
      <w:r>
        <w:t xml:space="preserve"> </w:t>
      </w:r>
      <w:r>
        <w:t>200 个周期后 t</w:t>
      </w:r>
    </w:p>
    <w:p>
      <w:pPr>
        <w:spacing w:before="0" w:after="200" w:lineRule="auto" w:line="276"/>
      </w:pPr>
      <w:r>
        <w:rPr>
          <w:b/>
        </w:rPr>
        <w:t xml:space="preserve">Abstract (EN): </w:t>
      </w:r>
      <w:r>
        <w:t>Aqueous aluminum‐ion batteries (AAIBs) have emerged as a promising candidate for large‐scale energy storage. However, the strong solvation of Al</w:t>
      </w:r>
      <w:r>
        <w:t xml:space="preserve"> </w:t>
      </w:r>
      <w:r>
        <w:t>3+</w:t>
      </w:r>
      <w:r>
        <w:t xml:space="preserve"> </w:t>
      </w:r>
      <w:r>
        <w:t>ions and the formation of passivating oxide layers impede interfacial charge‐transfer kinetics, resulting in progressive performance degradation during prolonged cycling. Herein, a chloride‐bridge strategy is proposed by employing trichloroethanol (TCE) as an additive that spontaneously self‐assembles at the electrolyte/electrode interface to form a chloride‐bridge‐rich molecular layer. The resulting chloride‐bridge framework reorganizes the electric double layer (EDL), accelerates interfacial charge‐transfer kinetics, and promotes uniform Al</w:t>
      </w:r>
      <w:r>
        <w:t xml:space="preserve"> </w:t>
      </w:r>
      <w:r>
        <w:t>3+</w:t>
      </w:r>
      <w:r>
        <w:t xml:space="preserve"> </w:t>
      </w:r>
      <w:r>
        <w:t>deposition with a preferred (111) crystallographic orientation. The tailored interface sustains highly reversible Al deposition/stripping for over 800 h with low polarization and enhances the FeCoPBA full‐cell lifetime from fewer than 50 cycles in the OTF electrolyte to 150 at 100 mA g</w:t>
      </w:r>
      <w:r>
        <w:t xml:space="preserve"> </w:t>
      </w:r>
      <w:r>
        <w:t>−1</w:t>
      </w:r>
      <w:r>
        <w:t xml:space="preserve"> </w:t>
      </w:r>
      <w:r>
        <w:t>and 300 cycles at 200 mA g</w:t>
      </w:r>
      <w:r>
        <w:t xml:space="preserve"> </w:t>
      </w:r>
      <w:r>
        <w:t>−1</w:t>
      </w:r>
      <w:r>
        <w:t xml:space="preserve"> </w:t>
      </w:r>
      <w:r>
        <w:t>. Furthermore, the PANI cathode delivers 116 mAh g</w:t>
      </w:r>
      <w:r>
        <w:t xml:space="preserve"> </w:t>
      </w:r>
      <w:r>
        <w:t>−1</w:t>
      </w:r>
      <w:r>
        <w:t xml:space="preserve"> </w:t>
      </w:r>
      <w:r>
        <w:t>after 200 cycles at 100 mA g</w:t>
      </w:r>
      <w:r>
        <w:t xml:space="preserve"> </w:t>
      </w:r>
      <w:r>
        <w:t>−1</w:t>
      </w:r>
      <w:r>
        <w:t xml:space="preserve"> </w:t>
      </w:r>
      <w:r>
        <w:t>and remains stable over 350 cycles at 200 mA g</w:t>
      </w:r>
      <w:r>
        <w:t xml:space="preserve"> </w:t>
      </w:r>
      <w:r>
        <w:t>−1</w:t>
      </w:r>
      <w:r>
        <w:t xml:space="preserve"> </w:t>
      </w:r>
      <w:r>
        <w:t>, whereas the OTF electrolyte retains only 46 mAh g</w:t>
      </w:r>
      <w:r>
        <w:t xml:space="preserve"> </w:t>
      </w:r>
      <w:r>
        <w:t>−1</w:t>
      </w:r>
      <w:r>
        <w:t xml:space="preserve"> </w:t>
      </w:r>
      <w:r>
        <w:t>after 200 cycles at the same current rate. This work establishes a chloride‐bridge‐mediated interfacial engineering strategy for accelerating interfacial charge‐transfer kinetics and enabling durable AAIBs.</w:t>
      </w:r>
    </w:p>
    <w:p>
      <w:pPr>
        <w:spacing w:before="120" w:after="120"/>
      </w:pPr>
      <w:r>
        <w:rPr>
          <w:sz w:val="18"/>
        </w:rPr>
        <w:t>——————————————————————————————————————————————————————————————————————</w:t>
      </w:r>
    </w:p>
    <w:p>
      <w:pPr>
        <w:spacing w:before="160" w:after="40" w:line="240" w:lineRule="auto"/>
      </w:pPr>
      <w:r>
        <w:rPr>
          <w:b/>
        </w:rPr>
        <w:t xml:space="preserve">[8] </w:t>
      </w:r>
      <w:hyperlink r:id="rId121">
        <w:r>
          <w:rPr>
            <w:color w:val="1155CC"/>
            <w:u w:val="single"/>
          </w:rPr>
          <w:t>用于无枝晶锌离子混合超级电容器的生物质酸协同调节水凝胶电解质和电极保护层</w:t>
        </w:r>
      </w:hyperlink>
    </w:p>
    <w:p>
      <w:pPr>
        <w:spacing w:before="0" w:after="80"/>
      </w:pPr>
      <w:r>
        <w:rPr>
          <w:i/>
          <w:sz w:val="20"/>
        </w:rPr>
        <w:t>EN: Biomass Acid Synergistically Regulated Hydrogel Electrolyte and Electrode-Protective Layer for Dendrite-Free Zinc-Ion Hybrid Supercapacitors</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22">
        <w:r>
          <w:rPr>
            <w:color w:val="1155CC"/>
            <w:u w:val="single"/>
          </w:rPr>
          <w:t>10.1021/acsami.6c06949</w:t>
        </w:r>
      </w:hyperlink>
    </w:p>
    <w:p>
      <w:pPr>
        <w:spacing w:before="0" w:after="120"/>
      </w:pPr>
      <w:r>
        <w:rPr>
          <w:b/>
        </w:rPr>
        <w:t xml:space="preserve">Notes: </w:t>
      </w:r>
      <w:r>
        <w:t>abstract_source=pubmed</w:t>
      </w:r>
    </w:p>
    <w:p>
      <w:pPr>
        <w:spacing w:before="0" w:after="80" w:lineRule="auto" w:line="276"/>
      </w:pPr>
      <w:r>
        <w:rPr>
          <w:b/>
        </w:rPr>
        <w:t xml:space="preserve">摘要（ZH）: </w:t>
      </w:r>
      <w:r>
        <w:t>由于经济可行性、环境友好性和安全性，锌离子混合超级电容器在储能领域具有广阔的前景。然而，它们的应用受到锌枝晶、腐蚀和析氢等问题的限制。在此，生物质酸苹果酸（MA）被用作水凝胶电解质添加剂和酸蚀刻剂。通过同时优化电解质成分并通过蚀刻锌阳极诱导人工固体电解质中间相（SEI）层的形成，显着增强了锌阳极的稳定性。 MA修饰的水凝胶电解质调节Zn2+溶剂化结构并降低Zn2+去溶剂化能，将Zn2+迁移数从0.303增加到0.598。此外，MA-Zn 人造 SEI 层将锌阳极与水隔离，最大限度地减少寄生反应并使电场均匀化。基于双重调节机制，Zn//Zn对称电池中锌阳极的寿命在10 mA cm-2下从82小时延长至900小时以上。此外，组装的锌离子混合超级电容器在5000次循环后表现出均匀光滑的锌沉积层，电容保持率为87.8%。此外，由于MA改性水凝胶电解质表现出优异的机械柔韧性和对电极的强附着力，超级电容器可以在弯曲和压缩等多种机械应力下可靠运行。协调调节策略为增强锌储能装置的循环稳定性提供了一种有前途的解决方案。</w:t>
      </w:r>
    </w:p>
    <w:p>
      <w:pPr>
        <w:spacing w:before="0" w:after="200" w:lineRule="auto" w:line="276"/>
      </w:pPr>
      <w:r>
        <w:rPr>
          <w:b/>
        </w:rPr>
        <w:t xml:space="preserve">Abstract (EN): </w:t>
      </w:r>
      <w:r>
        <w:t>Zinc-ion hybrid supercapacitors hold great promise for energy storage due to economic viability, environmental friendliness, and safety. However, their application is restricted by issues such as Zn dendrites, corrosion, and hydrogen evolution. Herein, a biomass acid, malic acid (MA), was used as both a hydrogel electrolyte additive and an acid etchant. By simultaneously optimizing the electrolyte component and inducing the formation of an artificial solid electrolyte interphase (SEI) layer via etching the Zn anode, significantly enhancing the stability of the Zn anode. The MA-modified hydrogel electrolyte regulates Zn2+ solvation structure and reduces Zn2+ desolvation energy, increasing the Zn2+ transference number from 0.303 to 0.598. In addition, the MA-Zn artificial SEI layer isolates the Zn anode from water, minimizing parasitic reactions and homogenizing the electric field. Based on the dual-regulation mechanism, the lifespan of a Zn anode in the Zn//Zn symmetric cell is prolonged from 82 h to over 900 h at 10 mA cm-2. Besides, the assembled zinc-ion hybrid supercapacitor exhibits a homogeneous and smooth Zn deposition layer after 5000 cycles with a capacitance retention of 87.8%. Furthermore, because the MA-modified hydrogel electrolyte demonstrates excellent mechanical flexibility and strong adhesion to the electrodes, the supercapacitor could operate reliably under multiple mechanical stresses such as bending and compression. The coordinated regulation strategy provides a promising solution for enhancing the cycling stability of zinc energy storage devices.</w:t>
      </w:r>
    </w:p>
    <w:p>
      <w:pPr>
        <w:spacing w:before="120" w:after="120"/>
      </w:pPr>
      <w:r>
        <w:rPr>
          <w:sz w:val="18"/>
        </w:rPr>
        <w:t>——————————————————————————————————————————————————————————————————————</w:t>
      </w:r>
    </w:p>
    <w:p>
      <w:pPr>
        <w:spacing w:before="160" w:after="40" w:line="240" w:lineRule="auto"/>
      </w:pPr>
      <w:r>
        <w:rPr>
          <w:b/>
        </w:rPr>
        <w:t xml:space="preserve">[9] </w:t>
      </w:r>
      <w:hyperlink r:id="rId123">
        <w:r>
          <w:rPr>
            <w:color w:val="1155CC"/>
            <w:u w:val="single"/>
          </w:rPr>
          <w:t>离散微区键合粘合剂可在锂离子电池中实现机械坚固的微米硅阳极</w:t>
        </w:r>
      </w:hyperlink>
    </w:p>
    <w:p>
      <w:pPr>
        <w:spacing w:before="0" w:after="80"/>
      </w:pPr>
      <w:r>
        <w:rPr>
          <w:i/>
          <w:sz w:val="20"/>
        </w:rPr>
        <w:t>EN: Discrete Microdomain‐Bonded Binder Enables Mechanically Robust Micron‐Silicon Anodes in Lithium‐Ion Batteries</w:t>
      </w:r>
    </w:p>
    <w:p>
      <w:pPr>
        <w:spacing w:before="0" w:after="120"/>
      </w:pPr>
      <w:r>
        <w:rPr>
          <w:b/>
        </w:rPr>
        <w:t xml:space="preserve">Source: </w:t>
      </w:r>
      <w:r>
        <w:t>Wiley: Advanced Materials: Table of Contents</w:t>
      </w:r>
      <w:r>
        <w:t xml:space="preserve">    </w:t>
      </w:r>
      <w:r>
        <w:rPr>
          <w:b/>
        </w:rPr>
        <w:t xml:space="preserve">Pub date: </w:t>
      </w:r>
      <w:r>
        <w:t>2026-07-20 11:08:13+00:00</w:t>
      </w:r>
      <w:r>
        <w:t xml:space="preserve">    </w:t>
      </w:r>
      <w:r>
        <w:rPr>
          <w:b/>
        </w:rPr>
        <w:t xml:space="preserve">DOI: </w:t>
      </w:r>
      <w:hyperlink r:id="rId124">
        <w:r>
          <w:rPr>
            <w:color w:val="1155CC"/>
            <w:u w:val="single"/>
          </w:rPr>
          <w:t>10.1002/adma.74188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微米硅（μSi）由于其生产成本低、振实密度高和出色的理论比容量而成为一种有前途的锂离子电池（LIB）负极材料。然而，其实际应用受到循环过程中超过300%的体积膨胀的严重限制。因此，开发先进的功能粘合剂对于克服这一瓶颈至关重要，几乎所有策略都依赖于通过聚合物或原位交联/聚合粘合剂构建连续的内部键合网络。在此，提出了一种新颖的键合范例，即离散微域键合（DMB），以解决μSi阳极的巨大体积膨胀问题。在该系统中，离散分布的短链粘合剂分子能够通过界面氢键在微域水平上精确锚定μSi颗粒。通过利用微域介导的动态适应机制来适应巨大的体积变化，μSi 颗粒在整个循环过程中保持良好的电接触，确保强大的机械耐受性和延长的使用寿命。因此，与 DMB 粘合剂集成的 µSi 负极表现出高达 92.5% 的初始库仑效率 (ICE) 和 2517.4 mAh g 的非凡容量</w:t>
      </w:r>
      <w:r>
        <w:t xml:space="preserve"> </w:t>
      </w:r>
      <w:r>
        <w:t>−1</w:t>
      </w:r>
      <w:r>
        <w:t xml:space="preserve"> </w:t>
      </w:r>
      <w:r>
        <w:t>0.5 A g 下 100 次循环后保留率为 98.2%</w:t>
      </w:r>
      <w:r>
        <w:t xml:space="preserve"> </w:t>
      </w:r>
      <w:r>
        <w:t>−1</w:t>
      </w:r>
      <w:r>
        <w:t xml:space="preserve"> </w:t>
      </w:r>
      <w:r>
        <w:t>。这项工作将DMB范式确立为稳定高容量μSi阳极的有效策略，为开发耐用和高性能LIB技术提供了途径</w:t>
      </w:r>
    </w:p>
    <w:p>
      <w:pPr>
        <w:spacing w:before="0" w:after="200" w:lineRule="auto" w:line="276"/>
      </w:pPr>
      <w:r>
        <w:rPr>
          <w:b/>
        </w:rPr>
        <w:t xml:space="preserve">Abstract (EN): </w:t>
      </w:r>
      <w:r>
        <w:t>Micron‐silicon (µSi) is a promising anode material for lithium‐ion batteries (LIBs) due to its low production cost, high tap density, and exceptional theoretical specific capacity. However, its practical application is severely limited by over 300% volume expansion during cycling. Developing advanced functional binders is therefore crucial to overcoming this bottleneck, where nearly all strategies rely on constructing continuous internal bonding networks via polymers or in‐situ crosslinked/polymerized binders. Herein, a novel bonding paradigm, discrete microdomain bonding (DMB), was proposed to tackle the huge volume expansion of µSi anodes. In this system, discretely distributed short‐chain binder molecules enable precise anchoring of µSi particles at the microdomain level through interfacial hydrogen bonds. By exploiting microdomain‐mediated dynamic adaptation mechanisms to accommodate substantial volume changes, µSi particles maintain excellent electrical contact throughout cycling, ensuring robust mechanical tolerance and extended lifespan. Consequently, µSi anodes integrated with the DMB binder exhibit a strikingly high initial coulombic efficiency (ICE) of 92.5% and a remarkable capacity of 2517.4 mAh g</w:t>
      </w:r>
      <w:r>
        <w:t xml:space="preserve"> </w:t>
      </w:r>
      <w:r>
        <w:t>−1</w:t>
      </w:r>
      <w:r>
        <w:t xml:space="preserve"> </w:t>
      </w:r>
      <w:r>
        <w:t>with 98.2% retention after 100 cycles at 0.5 A g</w:t>
      </w:r>
      <w:r>
        <w:t xml:space="preserve"> </w:t>
      </w:r>
      <w:r>
        <w:t>−1</w:t>
      </w:r>
      <w:r>
        <w:t xml:space="preserve"> </w:t>
      </w:r>
      <w:r>
        <w:t>. This work establishes the DMB paradigm as an effective strategy for stabilizing high‐capacity µSi anodes, providing a pathway for the development of durable and high‐performance LIB technologies.</w:t>
      </w:r>
    </w:p>
    <w:p>
      <w:pPr>
        <w:spacing w:before="120" w:after="120"/>
      </w:pPr>
      <w:r>
        <w:rPr>
          <w:sz w:val="18"/>
        </w:rPr>
        <w:t>——————————————————————————————————————————————————————————————————————</w:t>
      </w:r>
    </w:p>
    <w:p>
      <w:pPr>
        <w:spacing w:before="160" w:after="40" w:line="240" w:lineRule="auto"/>
      </w:pPr>
      <w:r>
        <w:rPr>
          <w:b/>
        </w:rPr>
        <w:t xml:space="preserve">[10] </w:t>
      </w:r>
      <w:hyperlink r:id="rId92">
        <w:r>
          <w:rPr>
            <w:color w:val="1155CC"/>
            <w:u w:val="single"/>
          </w:rPr>
          <w:t>对“通过静电排斥调节激活无序岩盐的 1-TM 通道以增强锂存储”的修正</w:t>
        </w:r>
      </w:hyperlink>
    </w:p>
    <w:p>
      <w:pPr>
        <w:spacing w:before="0" w:after="80"/>
      </w:pPr>
      <w:r>
        <w:rPr>
          <w:i/>
          <w:sz w:val="20"/>
        </w:rPr>
        <w:t>EN: Correction to “Activate 1‐TM Channel of Disordered Rock Salts via Electrostatic Repulsion Regulation for Enhanced Lithium Storage”</w:t>
      </w:r>
    </w:p>
    <w:p>
      <w:pPr>
        <w:spacing w:before="0" w:after="120"/>
      </w:pPr>
      <w:r>
        <w:rPr>
          <w:b/>
        </w:rPr>
        <w:t xml:space="preserve">Source: </w:t>
      </w:r>
      <w:r>
        <w:t>Wiley: Angewandte Chemie International Edition: Table of Contents</w:t>
      </w:r>
      <w:r>
        <w:t xml:space="preserve">    </w:t>
      </w:r>
      <w:r>
        <w:rPr>
          <w:b/>
        </w:rPr>
        <w:t xml:space="preserve">Pub date: </w:t>
      </w:r>
      <w:r>
        <w:t>2026-07-21 12:00:09+00:00</w:t>
      </w:r>
      <w:r>
        <w:t xml:space="preserve">    </w:t>
      </w:r>
      <w:r>
        <w:rPr>
          <w:b/>
        </w:rPr>
        <w:t xml:space="preserve">DOI: </w:t>
      </w:r>
      <w:hyperlink r:id="rId93">
        <w:r>
          <w:rPr>
            <w:color w:val="1155CC"/>
            <w:u w:val="single"/>
          </w:rPr>
          <w:t>10.1002/anie.7326145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94">
        <w:r>
          <w:rPr>
            <w:color w:val="1155CC"/>
            <w:u w:val="single"/>
          </w:rPr>
          <w:t>阐明实用的下一代高能量密度锂离子电池热安全问题的根源</w:t>
        </w:r>
      </w:hyperlink>
    </w:p>
    <w:p>
      <w:pPr>
        <w:spacing w:before="0" w:after="80"/>
      </w:pPr>
      <w:r>
        <w:rPr>
          <w:i/>
          <w:sz w:val="20"/>
        </w:rPr>
        <w:t>EN: Elucidating the Origin of Intensified Thermal Safety Concerns of Practical Next‐Generation High‐Energy‐Density Li‐Ion Batteries</w:t>
      </w:r>
    </w:p>
    <w:p>
      <w:pPr>
        <w:spacing w:before="0" w:after="120"/>
      </w:pPr>
      <w:r>
        <w:rPr>
          <w:b/>
        </w:rPr>
        <w:t xml:space="preserve">Source: </w:t>
      </w:r>
      <w:r>
        <w:t>Wiley: Angewandte Chemie International Edition: Table of Contents</w:t>
      </w:r>
      <w:r>
        <w:t xml:space="preserve">    </w:t>
      </w:r>
      <w:r>
        <w:rPr>
          <w:b/>
        </w:rPr>
        <w:t xml:space="preserve">Pub date: </w:t>
      </w:r>
      <w:r>
        <w:t>2026-07-21 12:06:02+00:00</w:t>
      </w:r>
      <w:r>
        <w:t xml:space="preserve">    </w:t>
      </w:r>
      <w:r>
        <w:rPr>
          <w:b/>
        </w:rPr>
        <w:t xml:space="preserve">DOI: </w:t>
      </w:r>
      <w:hyperlink r:id="rId95">
        <w:r>
          <w:rPr>
            <w:color w:val="1155CC"/>
            <w:u w:val="single"/>
          </w:rPr>
          <w:t>10.1002/anie.5057887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比能电池系统对于为重型无人机（UAV）和电动垂直起降（eVTOL）飞机提供动力至关重要，被视为低空经济发展的关键推动力。然而，它们的商业化仍然受到重大热安全问题的阻碍。在这项工作中，我们使用超高富镍层状氧化物阴极（Ni占96%）与混合Si@C阳极配对作为模型系统，系统地研究了实时气体析出行为，并阐明了阴极/阳极电极气体产生的潜在机制，以及它们在热失控过程中的串扰反应。结果表明 Si@C 阳极有严重的气体排放，其中 H</w:t>
      </w:r>
      <w:r>
        <w:rPr>
          <w:vertAlign w:val="subscript"/>
        </w:rPr>
        <w:t>2</w:t>
      </w:r>
      <w:r>
        <w:t>占释放气体总量的71.12%（质量比）。同时，Ni96阴极释放活性氧（O</w:t>
      </w:r>
      <w:r>
        <w:t xml:space="preserve"> </w:t>
      </w:r>
      <w:r>
        <w:t>n−</w:t>
      </w:r>
      <w:r>
        <w:t>/O</w:t>
      </w:r>
      <w:r>
        <w:rPr>
          <w:vertAlign w:val="subscript"/>
        </w:rPr>
        <w:t>2</w:t>
      </w:r>
      <w:r>
        <w:t>）在高温（例如220°C）下，与Si@C阳极和电解质产生的还原气体发生反应，从而引发热失控。此外，采用专门定制的低氢（low-H）电解质来有效抑制H</w:t>
      </w:r>
      <w:r>
        <w:rPr>
          <w:vertAlign w:val="subscript"/>
        </w:rPr>
        <w:t>2</w:t>
      </w:r>
      <w:r>
        <w:t>进化，从而提高高比能量电池系统的安全性。这些对气体析出机制的见解为电池材料的针对性设计和实际安全标准的制定提供了基础。</w:t>
      </w:r>
    </w:p>
    <w:p>
      <w:pPr>
        <w:spacing w:before="0" w:after="200" w:lineRule="auto" w:line="276"/>
      </w:pPr>
      <w:r>
        <w:rPr>
          <w:b/>
        </w:rPr>
        <w:t xml:space="preserve">Abstract (EN): </w:t>
      </w:r>
      <w:r>
        <w:t>High‐specific‐energy battery systems, crucial for powering heavy‐lift unmanned aerial vehicles (UAVs) and electric vertical take‐off and landing (eVTOL) aircraft, are regarded as key enablers for the development of the low‐altitude economy. However, their commercialization remains hindered by significant thermal safety concerns. In this work, using an ultrahigh Ni‐rich layered oxide cathode (Ni accounts for 96%) paired with a mixed Si@C anode as a model system, we systematically investigate real‐time gas evolution behavior and elucidate the underlying mechanisms of gas generation at both cathode/anode electrodes, along with their crosstalk reactions during thermal runaway. The results reveal severe gas emission from the Si@C anode, with H</w:t>
      </w:r>
      <w:r>
        <w:rPr>
          <w:vertAlign w:val="subscript"/>
        </w:rPr>
        <w:t>2</w:t>
      </w:r>
      <w:r>
        <w:t>constituting 71.12% (mass ratio) of the total gas released. Meanwhile, the Ni96 cathode releases active oxygen species (O</w:t>
      </w:r>
      <w:r>
        <w:t xml:space="preserve"> </w:t>
      </w:r>
      <w:r>
        <w:t>n−</w:t>
      </w:r>
      <w:r>
        <w:t>/O</w:t>
      </w:r>
      <w:r>
        <w:rPr>
          <w:vertAlign w:val="subscript"/>
        </w:rPr>
        <w:t>2</w:t>
      </w:r>
      <w:r>
        <w:t>) at elevated temperatures (e.g., 220°C), which react with reducing gases generated from the Si@C anode and electrolyte, thereby triggering the onset of thermal runaway. Furthermore, a specially tailored low‐hydrogen (low‐H) electrolyte is employed to effectively suppress H</w:t>
      </w:r>
      <w:r>
        <w:rPr>
          <w:vertAlign w:val="subscript"/>
        </w:rPr>
        <w:t>2</w:t>
      </w:r>
      <w:r>
        <w:t>evolution, thereby enhancing the safety of high specific energy battery systems. These insights into gas evolution mechanisms provide a foundation for the targeted design of battery materials and the formulation of practical safety strategies for the low‐altitude sector.</w:t>
      </w:r>
    </w:p>
    <w:p>
      <w:pPr>
        <w:spacing w:before="120" w:after="120"/>
      </w:pPr>
      <w:r>
        <w:rPr>
          <w:sz w:val="18"/>
        </w:rPr>
        <w:t>——————————————————————————————————————————————————————————————————————</w:t>
      </w:r>
    </w:p>
    <w:p>
      <w:pPr>
        <w:spacing w:before="160" w:after="40" w:line="240" w:lineRule="auto"/>
      </w:pPr>
      <w:r>
        <w:rPr>
          <w:b/>
        </w:rPr>
        <w:t xml:space="preserve">[12] </w:t>
      </w:r>
      <w:hyperlink r:id="rId96">
        <w:r>
          <w:rPr>
            <w:color w:val="1155CC"/>
            <w:u w:val="single"/>
          </w:rPr>
          <w:t>实现低温钠储存的同分异构共价有机框架设计</w:t>
        </w:r>
      </w:hyperlink>
    </w:p>
    <w:p>
      <w:pPr>
        <w:spacing w:before="0" w:after="80"/>
      </w:pPr>
      <w:r>
        <w:rPr>
          <w:i/>
          <w:sz w:val="20"/>
        </w:rPr>
        <w:t>EN: Design of Isomeric Covalent Organic Frameworks for Realizing Low‐Temperature Sodium Storage</w:t>
      </w:r>
    </w:p>
    <w:p>
      <w:pPr>
        <w:spacing w:before="0" w:after="120"/>
      </w:pPr>
      <w:r>
        <w:rPr>
          <w:b/>
        </w:rPr>
        <w:t xml:space="preserve">Source: </w:t>
      </w:r>
      <w:r>
        <w:t>Wiley: Angewandte Chemie International Edition: Table of Contents</w:t>
      </w:r>
      <w:r>
        <w:t xml:space="preserve">    </w:t>
      </w:r>
      <w:r>
        <w:rPr>
          <w:b/>
        </w:rPr>
        <w:t xml:space="preserve">Pub date: </w:t>
      </w:r>
      <w:r>
        <w:t>2026-07-21 12:25:59+00:00</w:t>
      </w:r>
      <w:r>
        <w:t xml:space="preserve">    </w:t>
      </w:r>
      <w:r>
        <w:rPr>
          <w:b/>
        </w:rPr>
        <w:t xml:space="preserve">DOI: </w:t>
      </w:r>
      <w:hyperlink r:id="rId97">
        <w:r>
          <w:rPr>
            <w:color w:val="1155CC"/>
            <w:u w:val="single"/>
          </w:rPr>
          <w:t>10.1002/anie.6384515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低温钠离子电池（SIB）对于极端环境下的能量存储至关重要，然而，由于缓慢的离子扩散和晶格收缩，反应动力学缓慢，严重阻碍了这种电池的发展。在此，我们报告了基于蒽醌的共价有机框架（TPAQ-COF）的异构体设计策略，通过调节羰基的空间排列来优化钠储存。通过将TPAQ-COF与相邻的羰基配位位点（异构体TPAQ-COF、i-TPAQ-COF）进行设计，我们成功地利用协同螯合效应促进钠离子在低温下的储存。因此，i-TPAQ-COF 表现出 153 mAh g 的优异可逆容量</w:t>
      </w:r>
      <w:r>
        <w:t xml:space="preserve"> </w:t>
      </w:r>
      <w:r>
        <w:t>-</w:t>
      </w:r>
      <w:r>
        <w:rPr>
          <w:vertAlign w:val="subscript"/>
        </w:rPr>
        <w:t>1</w:t>
      </w:r>
      <w:r>
        <w:t>0.1 A g 时</w:t>
      </w:r>
      <w:r>
        <w:t xml:space="preserve"> </w:t>
      </w:r>
      <w:r>
        <w:t>-</w:t>
      </w:r>
      <w:r>
        <w:rPr>
          <w:vertAlign w:val="subscript"/>
        </w:rPr>
        <w:t>1</w:t>
      </w:r>
      <w:r>
        <w:t>以及出色的长期循环稳定性（在 2 A g 下循环 5000 次后保留 95%）</w:t>
      </w:r>
      <w:r>
        <w:t xml:space="preserve"> </w:t>
      </w:r>
      <w:r>
        <w:t>-</w:t>
      </w:r>
      <w:r>
        <w:rPr>
          <w:vertAlign w:val="subscript"/>
        </w:rPr>
        <w:t>1</w:t>
      </w:r>
      <w:r>
        <w:t>）在环境条件下。更重要的是，i-TPAQ-COF 表现出卓越的低温弹性，可提供 124 mAh g</w:t>
      </w:r>
      <w:r>
        <w:t xml:space="preserve"> </w:t>
      </w:r>
      <w:r>
        <w:t>-</w:t>
      </w:r>
      <w:r>
        <w:rPr>
          <w:vertAlign w:val="subscript"/>
        </w:rPr>
        <w:t>1</w:t>
      </w:r>
      <w:r>
        <w:t>在‐30°C 下（代表室温下容量的 82%），200 次循环后的衰减可以忽略不计，并保留了 75% 的室温容量（114 mAh g</w:t>
      </w:r>
      <w:r>
        <w:t xml:space="preserve"> </w:t>
      </w:r>
      <w:r>
        <w:t>-</w:t>
      </w:r>
      <w:r>
        <w:rPr>
          <w:vertAlign w:val="subscript"/>
        </w:rPr>
        <w:t>1</w:t>
      </w:r>
      <w:r>
        <w:t>）即使在‐40°C 下也是如此。分子动力学（MD）模拟和密度泛函理论（DFT）计算表明，ad</w:t>
      </w:r>
    </w:p>
    <w:p>
      <w:pPr>
        <w:spacing w:before="0" w:after="200" w:lineRule="auto" w:line="276"/>
      </w:pPr>
      <w:r>
        <w:rPr>
          <w:b/>
        </w:rPr>
        <w:t xml:space="preserve">Abstract (EN): </w:t>
      </w:r>
      <w:r>
        <w:t>High‐performance low‐temperature sodium‐ion batteries (SIBs) are essential for energy storage in extreme environments, which, however, is severely hindered by the sluggish reaction kinetics due to the slow ionic diffusion and lattice shrink. Herein, we report an isomeric design strategy for anthraquinone‐based covalent organic frameworks (TPAQ‐COF) to optimize sodium storage by regulating the spatial arrangement of carbonyl groups. By engineering TPAQ‐COF with adjacent carbonyl coordination sites (isomeric TPAQ‐COF, i‐TPAQ‐COF), we successfully leverage a synergistic chelation effect to facilitate sodium ion storage at low temperature. As a result, i‐TPAQ‐COF exhibits a superior reversible capacity of 153 mAh g</w:t>
      </w:r>
      <w:r>
        <w:t xml:space="preserve"> </w:t>
      </w:r>
      <w:r>
        <w:t>−</w:t>
      </w:r>
      <w:r>
        <w:rPr>
          <w:vertAlign w:val="subscript"/>
        </w:rPr>
        <w:t>1</w:t>
      </w:r>
      <w:r>
        <w:t>at 0.1 A g</w:t>
      </w:r>
      <w:r>
        <w:t xml:space="preserve"> </w:t>
      </w:r>
      <w:r>
        <w:t>−</w:t>
      </w:r>
      <w:r>
        <w:rPr>
          <w:vertAlign w:val="subscript"/>
        </w:rPr>
        <w:t>1</w:t>
      </w:r>
      <w:r>
        <w:t>and an outstanding long‐term cycling stability (95% retention after 5000 cycles at 2 A g</w:t>
      </w:r>
      <w:r>
        <w:t xml:space="preserve"> </w:t>
      </w:r>
      <w:r>
        <w:t>−</w:t>
      </w:r>
      <w:r>
        <w:rPr>
          <w:vertAlign w:val="subscript"/>
        </w:rPr>
        <w:t>1</w:t>
      </w:r>
      <w:r>
        <w:t>) under ambient conditions. More importantly, the i‐TPAQ‐COF demonstrates remarkable low‐temperature resilience, delivering 124 mAh g</w:t>
      </w:r>
      <w:r>
        <w:t xml:space="preserve"> </w:t>
      </w:r>
      <w:r>
        <w:t>−</w:t>
      </w:r>
      <w:r>
        <w:rPr>
          <w:vertAlign w:val="subscript"/>
        </w:rPr>
        <w:t>1</w:t>
      </w:r>
      <w:r>
        <w:t>at ‐30°C (representing 82% of capacity at room‐temperature) with negligible decay over 200 cycles, and retaining 75% of room‐temperature capacity (114 mAh g</w:t>
      </w:r>
      <w:r>
        <w:t xml:space="preserve"> </w:t>
      </w:r>
      <w:r>
        <w:t>−</w:t>
      </w:r>
      <w:r>
        <w:rPr>
          <w:vertAlign w:val="subscript"/>
        </w:rPr>
        <w:t>1</w:t>
      </w:r>
      <w:r>
        <w:t>) even at ‐40°C. Molecular dynamics (MD) simulations and density functional theory (DFT) calculations reveal that the adjacent carbonyl groups in i‐TPAQ‐COF exhibit a synergistic chelation effect, which not only elevates the discharge voltage, facilitates the capture of sodium ions but also effectively promotes ion transport.</w:t>
      </w:r>
    </w:p>
    <w:p>
      <w:pPr>
        <w:spacing w:before="120" w:after="120"/>
      </w:pPr>
      <w:r>
        <w:rPr>
          <w:sz w:val="18"/>
        </w:rPr>
        <w:t>——————————————————————————————————————————————————————————————————————</w:t>
      </w:r>
    </w:p>
    <w:p>
      <w:pPr>
        <w:spacing w:before="160" w:after="40" w:line="240" w:lineRule="auto"/>
      </w:pPr>
      <w:r>
        <w:rPr>
          <w:b/>
        </w:rPr>
        <w:t xml:space="preserve">[13] </w:t>
      </w:r>
      <w:hyperlink r:id="rId100">
        <w:r>
          <w:rPr>
            <w:color w:val="1155CC"/>
            <w:u w:val="single"/>
          </w:rPr>
          <w:t>水性锌离子电池中按需和双边界面形成的仿生酶原激活策略</w:t>
        </w:r>
      </w:hyperlink>
    </w:p>
    <w:p>
      <w:pPr>
        <w:spacing w:before="0" w:after="80"/>
      </w:pPr>
      <w:r>
        <w:rPr>
          <w:i/>
          <w:sz w:val="20"/>
        </w:rPr>
        <w:t>EN: Bio‐Inspired Zymogen‐Activation Strategy for On‐Demand and Bilateral Interphase Formation in Aqueous Zinc‐Ion Batteries</w:t>
      </w:r>
    </w:p>
    <w:p>
      <w:pPr>
        <w:spacing w:before="0" w:after="120"/>
      </w:pPr>
      <w:r>
        <w:rPr>
          <w:b/>
        </w:rPr>
        <w:t xml:space="preserve">Source: </w:t>
      </w:r>
      <w:r>
        <w:t>Wiley: Angewandte Chemie International Edition: Table of Contents</w:t>
      </w:r>
      <w:r>
        <w:t xml:space="preserve">    </w:t>
      </w:r>
      <w:r>
        <w:rPr>
          <w:b/>
        </w:rPr>
        <w:t xml:space="preserve">Pub date: </w:t>
      </w:r>
      <w:r>
        <w:t>2026-07-22 05:24:50+00:00</w:t>
      </w:r>
      <w:r>
        <w:t xml:space="preserve">    </w:t>
      </w:r>
      <w:r>
        <w:rPr>
          <w:b/>
        </w:rPr>
        <w:t xml:space="preserve">DOI: </w:t>
      </w:r>
      <w:hyperlink r:id="rId101">
        <w:r>
          <w:rPr>
            <w:color w:val="1155CC"/>
            <w:u w:val="single"/>
          </w:rPr>
          <w:t>10.1002/anie.5322811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水系锌离子电池（AZIB）在成本和安全性方面具有明显的优势，但锌阳极和MnO的双边界面失效</w:t>
      </w:r>
      <w:r>
        <w:rPr>
          <w:vertAlign w:val="subscript"/>
        </w:rPr>
        <w:t>2</w:t>
      </w:r>
      <w:r>
        <w:t>阴极限制了它们的实际应用。受酶原到酶激活的启发，这项工作提出了一种仿生智能电解质添加剂策略，可以对两个电极提供按需保护。该策略采用惰性添加剂 1,4-丁烷磺内酯 (BS)，它优先吸附在电极表面上。当水侵蚀和局部 pH 值升高时，BS 可以被激活，生成开环衍生物 (OBS)，以促进有机-无机复合成分的双边保护性界面相的原位构建。同时，它优化了 Zn</w:t>
      </w:r>
      <w:r>
        <w:t xml:space="preserve"> </w:t>
      </w:r>
      <w:r>
        <w:t>2+</w:t>
      </w:r>
      <w:r>
        <w:t xml:space="preserve"> </w:t>
      </w:r>
      <w:r>
        <w:t>溶剂化结构以降低去溶剂化能垒。残留BS进一步困住SO</w:t>
      </w:r>
      <w:r>
        <w:rPr>
          <w:vertAlign w:val="subscript"/>
        </w:rPr>
        <w:t>4</w:t>
      </w:r>
      <w:r>
        <w:t>2−</w:t>
      </w:r>
      <w:r>
        <w:t>和H</w:t>
      </w:r>
      <w:r>
        <w:rPr>
          <w:vertAlign w:val="subscript"/>
        </w:rPr>
        <w:t>2</w:t>
      </w:r>
      <w:r>
        <w:t>O 并维持 OBS 形成以防止界面碱化。因此，BS 改性的 Zn//Zn 电池的使用寿命超过 4000 小时，Zn//Cu 电池实现了 97.62% 的超高初始库仑效率。锌//氧化锰</w:t>
      </w:r>
      <w:r>
        <w:rPr>
          <w:vertAlign w:val="subscript"/>
        </w:rPr>
        <w:t>2</w:t>
      </w:r>
      <w:r>
        <w:t>0.2 A g-1 循环 100 次后，全电池容量保持率分别为 92.7% 和 80.5%</w:t>
      </w:r>
      <w:r>
        <w:t xml:space="preserve"> </w:t>
      </w:r>
      <w:r>
        <w:t>−1</w:t>
      </w:r>
      <w:r>
        <w:t xml:space="preserve"> </w:t>
      </w:r>
      <w:r>
        <w:t>6 A g 下 8000 次循环</w:t>
      </w:r>
      <w:r>
        <w:t xml:space="preserve"> </w:t>
      </w:r>
      <w:r>
        <w:t>−1</w:t>
      </w:r>
      <w:r>
        <w:t xml:space="preserve"> </w:t>
      </w:r>
      <w:r>
        <w:t>，分别。这样的策略不仅能够实现</w:t>
      </w:r>
    </w:p>
    <w:p>
      <w:pPr>
        <w:spacing w:before="0" w:after="200" w:lineRule="auto" w:line="276"/>
      </w:pPr>
      <w:r>
        <w:rPr>
          <w:b/>
        </w:rPr>
        <w:t xml:space="preserve">Abstract (EN): </w:t>
      </w:r>
      <w:r>
        <w:t>Aqueous zinc‐ion batteries (AZIBs) possess distinct benefits in cost and safety, but bilateral interfacial failures on Zn anodes and MnO</w:t>
      </w:r>
      <w:r>
        <w:rPr>
          <w:vertAlign w:val="subscript"/>
        </w:rPr>
        <w:t>2</w:t>
      </w:r>
      <w:r>
        <w:t>cathodes constrain their practical applications. Inspired by zymogen‐to‐enzyme activation, this work proposes a biomimetic, intelligent electrolyte additive strategy that enables on‐demand protection on both electrodes. This strategy employs an inert additive, 1,4‐butane sultone (BS), which preferentially adsorbs on the electrode surfaces. Upon water attack and localized pH increase, BS can be activated, generating open‐ring derivatives (OBS) to facilitate the in situ construction of bilateral protective interphases with organic–inorganic composite components. Concurrently, it optimizes Zn</w:t>
      </w:r>
      <w:r>
        <w:t xml:space="preserve"> </w:t>
      </w:r>
      <w:r>
        <w:t>2+</w:t>
      </w:r>
      <w:r>
        <w:t xml:space="preserve"> </w:t>
      </w:r>
      <w:r>
        <w:t>solvation structures to lower the desolvation energy barrier. Residual BS further traps SO</w:t>
      </w:r>
      <w:r>
        <w:rPr>
          <w:vertAlign w:val="subscript"/>
        </w:rPr>
        <w:t>4</w:t>
      </w:r>
      <w:r>
        <w:t>2−</w:t>
      </w:r>
      <w:r>
        <w:t>and H</w:t>
      </w:r>
      <w:r>
        <w:rPr>
          <w:vertAlign w:val="subscript"/>
        </w:rPr>
        <w:t>2</w:t>
      </w:r>
      <w:r>
        <w:t>O and sustains the OBS formation for preventing interfacial alkalization. Consequently, the BS‐modified Zn//Zn cell delivers a lifespan exceeding 4000 h, and the Zn//Cu cell attains an ultrahigh initial Coulombic efficiency of 97.62%. Zn//MnO</w:t>
      </w:r>
      <w:r>
        <w:rPr>
          <w:vertAlign w:val="subscript"/>
        </w:rPr>
        <w:t>2</w:t>
      </w:r>
      <w:r>
        <w:t>full cells maintain capacity retention of 92.7% and 80.5% after 100 cycles at 0.2 A g</w:t>
      </w:r>
      <w:r>
        <w:t xml:space="preserve"> </w:t>
      </w:r>
      <w:r>
        <w:t>−1</w:t>
      </w:r>
      <w:r>
        <w:t xml:space="preserve"> </w:t>
      </w:r>
      <w:r>
        <w:t>and 8000 cycles at 6 A g</w:t>
      </w:r>
      <w:r>
        <w:t xml:space="preserve"> </w:t>
      </w:r>
      <w:r>
        <w:t>−1</w:t>
      </w:r>
      <w:r>
        <w:t xml:space="preserve"> </w:t>
      </w:r>
      <w:r>
        <w:t>, respectively. Such a strategy not only delivers a high‐performance electrolyte additive for AZIBs but also offers biomimetic inspiration for the development of electrolytes in other metal‐based battery systems.</w:t>
      </w:r>
    </w:p>
    <w:p>
      <w:pPr>
        <w:spacing w:before="120" w:after="120"/>
      </w:pPr>
      <w:r>
        <w:rPr>
          <w:sz w:val="18"/>
        </w:rPr>
        <w:t>——————————————————————————————————————————————————————————————————————</w:t>
      </w:r>
    </w:p>
    <w:p>
      <w:pPr>
        <w:spacing w:before="160" w:after="40" w:line="240" w:lineRule="auto"/>
      </w:pPr>
      <w:r>
        <w:rPr>
          <w:b/>
        </w:rPr>
        <w:t xml:space="preserve">[14] </w:t>
      </w:r>
      <w:hyperlink r:id="rId125">
        <w:r>
          <w:rPr>
            <w:color w:val="1155CC"/>
            <w:u w:val="single"/>
          </w:rPr>
          <w:t>用于高耐用性和低膨胀锂离子电池的原子精密工程硅碳复合材料</w:t>
        </w:r>
      </w:hyperlink>
    </w:p>
    <w:p>
      <w:pPr>
        <w:spacing w:before="0" w:after="80"/>
      </w:pPr>
      <w:r>
        <w:rPr>
          <w:i/>
          <w:sz w:val="20"/>
        </w:rPr>
        <w:t>EN: Atomic Precision Engineered Silicon‐Carbon Composites for High‐Durability and Low‐Swelling Lithium‐Ion Batteries</w:t>
      </w:r>
    </w:p>
    <w:p>
      <w:pPr>
        <w:spacing w:before="0" w:after="120"/>
      </w:pPr>
      <w:r>
        <w:rPr>
          <w:b/>
        </w:rPr>
        <w:t xml:space="preserve">Source: </w:t>
      </w:r>
      <w:r>
        <w:t>Wiley: Advanced Energy Materials: Table of Contents</w:t>
      </w:r>
      <w:r>
        <w:t xml:space="preserve">    </w:t>
      </w:r>
      <w:r>
        <w:rPr>
          <w:b/>
        </w:rPr>
        <w:t xml:space="preserve">Pub date: </w:t>
      </w:r>
      <w:r>
        <w:t>2026-07-22 06:21:16+00:00</w:t>
      </w:r>
      <w:r>
        <w:t xml:space="preserve">    </w:t>
      </w:r>
      <w:r>
        <w:rPr>
          <w:b/>
        </w:rPr>
        <w:t xml:space="preserve">DOI: </w:t>
      </w:r>
      <w:hyperlink r:id="rId126">
        <w:r>
          <w:rPr>
            <w:color w:val="1155CC"/>
            <w:u w:val="single"/>
          </w:rPr>
          <w:t>10.1002/aenm.71319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硅阳极在高能锂离子电池中的应用受到循环过程中体积大幅膨胀的限制。在此，我们报告了一种硅限制的多孔碳复合阳极的可扩展合成策略，以减轻这一限制。通过工业规模的工艺，我们实现了硅的原子级限制，以化学方式将单个原子和纳米团簇（低于 1.0 nm）固定在坚固的碳主体的微孔结构中。这种工程结构利用预先保留的内部空隙空间来适应锂化引起的膨胀，相对于传统材料显着减轻宏观电极膨胀。当集成到 2 Ah P-Si/C-Gr||NCM811 软包电池中时，所得电池在 1000 次循环后具有 81.2% 的高容量保留率，且电池膨胀仅为 11.5%。此外，工业生产分析证实了高一致性和成本竞争力，建立了一条将基本原子级材料设计与高性能硅阳极的商业要求（100公斤/批次）联系起来的可行途径。</w:t>
      </w:r>
    </w:p>
    <w:p>
      <w:pPr>
        <w:spacing w:before="0" w:after="200" w:lineRule="auto" w:line="276"/>
      </w:pPr>
      <w:r>
        <w:rPr>
          <w:b/>
        </w:rPr>
        <w:t xml:space="preserve">Abstract (EN): </w:t>
      </w:r>
      <w:r>
        <w:t>The deployment of silicon anodes in high‐energy lithium‐ion batteries is restricted by substantial volume expansion during cycling. Herein, we report a scalable synthetic strategy for a silicon‐confined porous carbon composite anode to mitigate this limitation. Through an industrial‐scale process, we achieved the atomic‐level confinement of silicon, chemically anchoring single atoms and nanoclusters (below 1.0 nm) within the microporous architecture of a robust carbon host. This engineered structure utilizes pre‐reserved internal void space to accommodate lithiation‐induced expansion, significantly mitigating macroscopic electrode swelling relative to conventional materials. When integrated into 2 Ah P‐Si/C‐Gr||NCM811 pouch cells, the resulting cells deliver a high capacity retention of 81.2% after 1000 cycles with only 11.5% cell swelling. Furthermore, industrial production analysis confirms high consistency and cost‐competitiveness, establishing a viable pathway linking fundamental atomic‐level materials design with commercial requirements (100 kg/batch) for high‐performance silicon anodes.</w:t>
      </w:r>
    </w:p>
    <w:p>
      <w:pPr>
        <w:spacing w:before="120" w:after="120"/>
      </w:pPr>
      <w:r>
        <w:rPr>
          <w:sz w:val="18"/>
        </w:rPr>
        <w:t>——————————————————————————————————————————————————————————————————————</w:t>
      </w:r>
    </w:p>
    <w:p>
      <w:pPr>
        <w:spacing w:before="160" w:after="40" w:line="240" w:lineRule="auto"/>
      </w:pPr>
      <w:r>
        <w:rPr>
          <w:b/>
        </w:rPr>
        <w:t xml:space="preserve">[15] </w:t>
      </w:r>
      <w:hyperlink r:id="rId127">
        <w:r>
          <w:rPr>
            <w:color w:val="1155CC"/>
            <w:u w:val="single"/>
          </w:rPr>
          <w:t>基于硫化物电解质的双重热稳定性，实现高度安全和耐用的全固态锂金属电池</w:t>
        </w:r>
      </w:hyperlink>
    </w:p>
    <w:p>
      <w:pPr>
        <w:spacing w:before="0" w:after="80"/>
      </w:pPr>
      <w:r>
        <w:rPr>
          <w:i/>
          <w:sz w:val="20"/>
        </w:rPr>
        <w:t>EN: Dual Thermal Stabilization Toward Highly Safe and Durable All‐Solid‐State Lithium Metal Batteries Based on Sulfide Electrolytes</w:t>
      </w:r>
    </w:p>
    <w:p>
      <w:pPr>
        <w:spacing w:before="0" w:after="120"/>
      </w:pPr>
      <w:r>
        <w:rPr>
          <w:b/>
        </w:rPr>
        <w:t xml:space="preserve">Source: </w:t>
      </w:r>
      <w:r>
        <w:t>Wiley: Angewandte Chemie International Edition: Table of Contents</w:t>
      </w:r>
      <w:r>
        <w:t xml:space="preserve">    </w:t>
      </w:r>
      <w:r>
        <w:rPr>
          <w:b/>
        </w:rPr>
        <w:t xml:space="preserve">Pub date: </w:t>
      </w:r>
      <w:r>
        <w:t>2026-07-22 06:26:59+00:00</w:t>
      </w:r>
      <w:r>
        <w:t xml:space="preserve">    </w:t>
      </w:r>
      <w:r>
        <w:rPr>
          <w:b/>
        </w:rPr>
        <w:t xml:space="preserve">DOI: </w:t>
      </w:r>
      <w:hyperlink r:id="rId128">
        <w:r>
          <w:rPr>
            <w:color w:val="1155CC"/>
            <w:u w:val="single"/>
          </w:rPr>
          <w:t>10.1002/anie.1775824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硫化物电解质的全固态锂（Li）金属电池（ASSLMB）的实际部署受到滥用条件下热电化学耦合故障和安全问题的限制。在这里，双重热稳定策略被确定并合理化为解决上述问题的最佳选择。引入氟化石墨烯（FG）中间层可以有效增强散热并偏转 ASSLMB 内的锂枝晶传播，而富含氧空位的氧化铜（CuO）</w:t>
      </w:r>
      <w:r>
        <w:t xml:space="preserve"> </w:t>
      </w:r>
      <w:r>
        <w:t>1−x</w:t>
      </w:r>
      <w:r>
        <w:t xml:space="preserve"> </w:t>
      </w:r>
      <w:r>
        <w:t>）添加剂用于有效捕获带电阴极释放的活性氧，从而减轻电解质氧化。作为示范模型，修改后的 Li</w:t>
      </w:r>
      <w:r>
        <w:rPr>
          <w:vertAlign w:val="subscript"/>
        </w:rPr>
        <w:t>6</w:t>
      </w:r>
      <w:r>
        <w:t>聚苯乙烯</w:t>
      </w:r>
      <w:r>
        <w:rPr>
          <w:vertAlign w:val="subscript"/>
        </w:rPr>
        <w:t>5</w:t>
      </w:r>
      <w:r>
        <w:t>基于Cl (LPSC)的全电池在1 C下实现了超过2000次循环的稳定循环，容量保持率为96%，即使在90°C下也能很好地保持室温容量。对软包电池的加速量热 (ARC) 测试进一步证明热稳定性增强。这种双热稳定范例可以扩展到硫化物/氯化氧化物双层电解质系统。</w:t>
      </w:r>
    </w:p>
    <w:p>
      <w:pPr>
        <w:spacing w:before="0" w:after="200" w:lineRule="auto" w:line="276"/>
      </w:pPr>
      <w:r>
        <w:rPr>
          <w:b/>
        </w:rPr>
        <w:t xml:space="preserve">Abstract (EN): </w:t>
      </w:r>
      <w:r>
        <w:t>The practical deployment of all‐solid‐state lithium (Li) metal batteries (ASSLMBs) based on sulfide electrolytes is constrained by the thermal–electrochemical coupled failure and safety issues under abusive conditions. Here, a dual thermal‐stabilization strategy is identified and rationalized as the optimal choice to tailor above issues. A fluorinated graphene (FG)‐interlayer is introduced to effectively enhance heat dissipation and deflect Li dendrite propagation inside the ASSLMBs, while an oxygen‐vacancy‐rich copper oxide (CuO</w:t>
      </w:r>
      <w:r>
        <w:t xml:space="preserve"> </w:t>
      </w:r>
      <w:r>
        <w:t>1−x</w:t>
      </w:r>
      <w:r>
        <w:t xml:space="preserve"> </w:t>
      </w:r>
      <w:r>
        <w:t>) additive is applied to efficiently capture reactive oxygen species released from charged cathodes and thus mitigate the electrolyte oxidation. As a demonstration model, the as‐modified Li</w:t>
      </w:r>
      <w:r>
        <w:rPr>
          <w:vertAlign w:val="subscript"/>
        </w:rPr>
        <w:t>6</w:t>
      </w:r>
      <w:r>
        <w:t>PS</w:t>
      </w:r>
      <w:r>
        <w:rPr>
          <w:vertAlign w:val="subscript"/>
        </w:rPr>
        <w:t>5</w:t>
      </w:r>
      <w:r>
        <w:t>Cl (LPSC)‐based full cells achieve stable cycling over 2000 cycles at 1 C with 96% capacity retention, and well retain the room‐temperature capacity even at 90°C. Accelerated rate calorimetry (ARC) tests on pouch cells further demonstrate enhanced thermal stability. This dual‐thermal‐stabilization paradigm can be extended to sulfide/chlorinated oxide bilayer electrolyte systems.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72">
        <w:r>
          <w:rPr>
            <w:color w:val="1155CC"/>
            <w:u w:val="single"/>
          </w:rPr>
          <w:t>动态离子对网络实现选择性锂离子传输，实现稳定高效的固态锂硫电池</w:t>
        </w:r>
      </w:hyperlink>
    </w:p>
    <w:p>
      <w:pPr>
        <w:spacing w:before="0" w:after="80"/>
      </w:pPr>
      <w:r>
        <w:rPr>
          <w:i/>
          <w:sz w:val="20"/>
        </w:rPr>
        <w:t>EN: Dynamic Ion‐Pair Networks Enable Selective Li+ Transport for Stable and Efficient Solid‐State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2026-07-17 05:26:41+00:00</w:t>
      </w:r>
      <w:r>
        <w:t xml:space="preserve">    </w:t>
      </w:r>
      <w:r>
        <w:rPr>
          <w:b/>
        </w:rPr>
        <w:t xml:space="preserve">DOI: </w:t>
      </w:r>
      <w:hyperlink r:id="rId73">
        <w:r>
          <w:rPr>
            <w:color w:val="1155CC"/>
            <w:u w:val="single"/>
          </w:rPr>
          <w:t>10.1002/anie.4252910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固态锂硫（Li-S）电池本质上受到持久性Li的限制</w:t>
      </w:r>
      <w:r>
        <w:t xml:space="preserve"> </w:t>
      </w:r>
      <w:r>
        <w:t>+</w:t>
      </w:r>
      <w:r>
        <w:t xml:space="preserve"> </w:t>
      </w:r>
      <w:r>
        <w:t>‐聚合物电解质中的阴离子配位，与Li偶联</w:t>
      </w:r>
      <w:r>
        <w:t xml:space="preserve"> </w:t>
      </w:r>
      <w:r>
        <w:t>+</w:t>
      </w:r>
      <w:r>
        <w:t xml:space="preserve"> </w:t>
      </w:r>
      <w:r>
        <w:t>迁移到阴离子运动并限制界面稳定性和硫氧化还原动力学。在这里，我们表明，将离子液体修饰的 ZIF-67 (IL@ZIF-67) 纳入聚合物固体电解质中，可以实现离子配位的有意重组和 Li 的重新配置。</w:t>
      </w:r>
      <w:r>
        <w:t xml:space="preserve"> </w:t>
      </w:r>
      <w:r>
        <w:t>+</w:t>
      </w:r>
      <w:r>
        <w:t xml:space="preserve"> </w:t>
      </w:r>
      <w:r>
        <w:t>分子水平上的运输途径。 ZIF-67 位点优先锚定 TFSI</w:t>
      </w:r>
      <w:r>
        <w:t xml:space="preserve"> </w:t>
      </w:r>
      <w:r>
        <w:t>-</w:t>
      </w:r>
      <w:r>
        <w:t>，而受限的离子液体域重塑了Li</w:t>
      </w:r>
      <w:r>
        <w:t xml:space="preserve"> </w:t>
      </w:r>
      <w:r>
        <w:t>+</w:t>
      </w:r>
      <w:r>
        <w:t xml:space="preserve"> </w:t>
      </w:r>
      <w:r>
        <w:t>配位，建立弱锂的动态离子对网络</w:t>
      </w:r>
      <w:r>
        <w:t xml:space="preserve"> </w:t>
      </w:r>
      <w:r>
        <w:t>+</w:t>
      </w:r>
      <w:r>
        <w:t xml:space="preserve"> </w:t>
      </w:r>
      <w:r>
        <w:t>‐阴离子耦合和空间限制的阴离子。这种协调重组解耦了远程 Li</w:t>
      </w:r>
      <w:r>
        <w:t xml:space="preserve"> </w:t>
      </w:r>
      <w:r>
        <w:t>+</w:t>
      </w:r>
      <w:r>
        <w:t xml:space="preserve"> </w:t>
      </w:r>
      <w:r>
        <w:t>阴离子迁移的运输，降低Li</w:t>
      </w:r>
      <w:r>
        <w:t xml:space="preserve"> </w:t>
      </w:r>
      <w:r>
        <w:t>+</w:t>
      </w:r>
      <w:r>
        <w:t xml:space="preserve"> </w:t>
      </w:r>
      <w:r>
        <w:t>迁移能垒，并使Li均质化</w:t>
      </w:r>
      <w:r>
        <w:t xml:space="preserve"> </w:t>
      </w:r>
      <w:r>
        <w:t>+</w:t>
      </w:r>
      <w:r>
        <w:t xml:space="preserve"> </w:t>
      </w:r>
      <w:r>
        <w:t>穿过电解质的通量。因此，稳定的LiF/Li</w:t>
      </w:r>
      <w:r>
        <w:rPr>
          <w:vertAlign w:val="subscript"/>
        </w:rPr>
        <w:t>2</w:t>
      </w:r>
      <w:r>
        <w:t>富硫固体电解质界面在锂金属界面形成，而连续的锂</w:t>
      </w:r>
      <w:r>
        <w:t xml:space="preserve"> </w:t>
      </w:r>
      <w:r>
        <w:t>+</w:t>
      </w:r>
      <w:r>
        <w:t xml:space="preserve"> </w:t>
      </w:r>
      <w:r>
        <w:t>供应减轻固-固界面极化并加速可逆S─C/S─S键转换</w:t>
      </w:r>
    </w:p>
    <w:p>
      <w:pPr>
        <w:spacing w:before="0" w:after="200" w:lineRule="auto" w:line="276"/>
      </w:pPr>
      <w:r>
        <w:rPr>
          <w:b/>
        </w:rPr>
        <w:t xml:space="preserve">Abstract (EN): </w:t>
      </w:r>
      <w:r>
        <w:t>Solid‐state lithium‐sulfur (Li‐S) batteries are intrinsically constrained by persistent Li</w:t>
      </w:r>
      <w:r>
        <w:t xml:space="preserve"> </w:t>
      </w:r>
      <w:r>
        <w:t>+</w:t>
      </w:r>
      <w:r>
        <w:t xml:space="preserve"> </w:t>
      </w:r>
      <w:r>
        <w:t>‐anion coordination in polymer electrolytes, which couples Li</w:t>
      </w:r>
      <w:r>
        <w:t xml:space="preserve"> </w:t>
      </w:r>
      <w:r>
        <w:t>+</w:t>
      </w:r>
      <w:r>
        <w:t xml:space="preserve"> </w:t>
      </w:r>
      <w:r>
        <w:t>migration to anion motion and limits both interfacial stability and sulfur redox kinetics. Here, we show that incorporating an ionic liquid modified ZIF‐67 (IL@ZIF‐67) into a polymer solid electrolyte enables deliberate reorganization of ion coordination and reconfiguration of Li</w:t>
      </w:r>
      <w:r>
        <w:t xml:space="preserve"> </w:t>
      </w:r>
      <w:r>
        <w:t>+</w:t>
      </w:r>
      <w:r>
        <w:t xml:space="preserve"> </w:t>
      </w:r>
      <w:r>
        <w:t>transport pathways at the molecular level. ZIF‐67 sites preferentially anchor TFSI</w:t>
      </w:r>
      <w:r>
        <w:t xml:space="preserve"> </w:t>
      </w:r>
      <w:r>
        <w:t>−</w:t>
      </w:r>
      <w:r>
        <w:t>, while confined ionic liquid domains reshape Li</w:t>
      </w:r>
      <w:r>
        <w:t xml:space="preserve"> </w:t>
      </w:r>
      <w:r>
        <w:t>+</w:t>
      </w:r>
      <w:r>
        <w:t xml:space="preserve"> </w:t>
      </w:r>
      <w:r>
        <w:t>coordination, establishing a dynamic ion‐pair network with weakened Li</w:t>
      </w:r>
      <w:r>
        <w:t xml:space="preserve"> </w:t>
      </w:r>
      <w:r>
        <w:t>+</w:t>
      </w:r>
      <w:r>
        <w:t xml:space="preserve"> </w:t>
      </w:r>
      <w:r>
        <w:t>‐anion coupling and spatially restricted anions. This coordination reorganization decouples long‐range Li</w:t>
      </w:r>
      <w:r>
        <w:t xml:space="preserve"> </w:t>
      </w:r>
      <w:r>
        <w:t>+</w:t>
      </w:r>
      <w:r>
        <w:t xml:space="preserve"> </w:t>
      </w:r>
      <w:r>
        <w:t>transport from anion migration, lowers the Li</w:t>
      </w:r>
      <w:r>
        <w:t xml:space="preserve"> </w:t>
      </w:r>
      <w:r>
        <w:t>+</w:t>
      </w:r>
      <w:r>
        <w:t xml:space="preserve"> </w:t>
      </w:r>
      <w:r>
        <w:t>migration energy barrier, and homogenizes Li</w:t>
      </w:r>
      <w:r>
        <w:t xml:space="preserve"> </w:t>
      </w:r>
      <w:r>
        <w:t>+</w:t>
      </w:r>
      <w:r>
        <w:t xml:space="preserve"> </w:t>
      </w:r>
      <w:r>
        <w:t>flux across the electrolyte. Consequently, a stable LiF/Li</w:t>
      </w:r>
      <w:r>
        <w:rPr>
          <w:vertAlign w:val="subscript"/>
        </w:rPr>
        <w:t>2</w:t>
      </w:r>
      <w:r>
        <w:t>S‐rich solid electrolyte interphase forms at the lithium metal interface, while continuous Li</w:t>
      </w:r>
      <w:r>
        <w:t xml:space="preserve"> </w:t>
      </w:r>
      <w:r>
        <w:t>+</w:t>
      </w:r>
      <w:r>
        <w:t xml:space="preserve"> </w:t>
      </w:r>
      <w:r>
        <w:t>supply mitigates solid‐solid interfacial polarization and accelerates reversible S─C/S─S bond conversion and Li</w:t>
      </w:r>
      <w:r>
        <w:rPr>
          <w:vertAlign w:val="subscript"/>
        </w:rPr>
        <w:t>2</w:t>
      </w:r>
      <w:r>
        <w:t>S nucleation/decomposition kinetics in SPAN cathodes. As a result, the solid‐state Li‐S batteries deliver a high reversible capacity of 1004.97 mAh g</w:t>
      </w:r>
      <w:r>
        <w:t xml:space="preserve"> </w:t>
      </w:r>
      <w:r>
        <w:t>−1</w:t>
      </w:r>
      <w:r>
        <w:t xml:space="preserve"> </w:t>
      </w:r>
      <w:r>
        <w:t>after 150 cycles at 0.2 C, prolonged cycling stability over 500 cycles at 1 C with a decay rate of ∼0.06% per cycle, highlighting ion‐pair regulation via ionic‐liquid‐engineered MOF fillers as an effective pathway toward high‐performance solid‐state Li‐S batteries.</w:t>
      </w:r>
    </w:p>
    <w:p>
      <w:pPr>
        <w:spacing w:before="120" w:after="120"/>
      </w:pPr>
      <w:r>
        <w:rPr>
          <w:sz w:val="18"/>
        </w:rPr>
        <w:t>——————————————————————————————————————————————————————————————————————</w:t>
      </w:r>
    </w:p>
    <w:p>
      <w:pPr>
        <w:spacing w:before="160" w:after="40" w:line="240" w:lineRule="auto"/>
      </w:pPr>
      <w:r>
        <w:rPr>
          <w:b/>
        </w:rPr>
        <w:t xml:space="preserve">[2] </w:t>
      </w:r>
      <w:hyperlink r:id="rId74">
        <w:r>
          <w:rPr>
            <w:color w:val="1155CC"/>
            <w:u w:val="single"/>
          </w:rPr>
          <w:t>盐聚合物电解质的多用途集成填料设计可实现长寿命、安全的固态锂电池</w:t>
        </w:r>
      </w:hyperlink>
    </w:p>
    <w:p>
      <w:pPr>
        <w:spacing w:before="0" w:after="80"/>
      </w:pPr>
      <w:r>
        <w:rPr>
          <w:i/>
          <w:sz w:val="20"/>
        </w:rPr>
        <w:t>EN: Multirole Integrated Filler Design for Polymer‐in‐Salt Electrolytes Enables Long‐Life, Safe 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2026-07-17 05:34:48+00:00</w:t>
      </w:r>
      <w:r>
        <w:t xml:space="preserve">    </w:t>
      </w:r>
      <w:r>
        <w:rPr>
          <w:b/>
        </w:rPr>
        <w:t xml:space="preserve">DOI: </w:t>
      </w:r>
      <w:hyperlink r:id="rId75">
        <w:r>
          <w:rPr>
            <w:color w:val="1155CC"/>
            <w:u w:val="single"/>
          </w:rPr>
          <w:t>10.1002/anie.4049895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盐聚合物（PIS）电解质策略广泛应用于固态锂电池中，通过离子传输调节和界面化学调节来稳定界面，但其应用仍然受到残留溶剂和固有离子电导率-力学权衡引起的界面降解的困扰。在这里，我们提出了一种多用途集成填料设计，通过缺陷化学和界面工程同时解决这些限制。氟化钙</w:t>
      </w:r>
      <w:r>
        <w:rPr>
          <w:vertAlign w:val="subscript"/>
        </w:rPr>
        <w:t>2</w:t>
      </w:r>
      <w:r>
        <w:t>作为代表性案例，填料通过氟空位缺陷协同促进盐解离和离子传导位点的产生，同时通过氢键相互作用和高体积模量增强聚合物基体。这使得卷对卷可扩展制造超薄（约 8 µm）PIS 膜具有 3.32 × 10 的卓越离子电导率</w:t>
      </w:r>
      <w:r>
        <w:t xml:space="preserve"> </w:t>
      </w:r>
      <w:r>
        <w:t>−4</w:t>
      </w:r>
      <w:r>
        <w:t xml:space="preserve"> </w:t>
      </w:r>
      <w:r>
        <w:t>厘米</w:t>
      </w:r>
      <w:r>
        <w:t xml:space="preserve"> </w:t>
      </w:r>
      <w:r>
        <w:t>−1</w:t>
      </w:r>
      <w:r>
        <w:t xml:space="preserve"> </w:t>
      </w:r>
      <w:r>
        <w:t>25°C 时。至关重要的是，原位生成的 LiF/Li-Ca 界面抑制了残留溶剂分解和枝晶形成，实现了锂对称电池近 1600 小时的稳定循环，并在 LiFePO 全电池中实现了高容量保留</w:t>
      </w:r>
      <w:r>
        <w:rPr>
          <w:vertAlign w:val="subscript"/>
        </w:rPr>
        <w:t>4</w:t>
      </w:r>
      <w:r>
        <w:t>或 NCM811 阴极超过 1000 次循环。 CaF 出色的热稳定性（熔点：1418°C）</w:t>
      </w:r>
      <w:r>
        <w:rPr>
          <w:vertAlign w:val="subscript"/>
        </w:rPr>
        <w:t>2</w:t>
      </w:r>
      <w:r>
        <w:t>进一步提高了软包电池在机械和热滥用条件下的固有安全性。这斯</w:t>
      </w:r>
    </w:p>
    <w:p>
      <w:pPr>
        <w:spacing w:before="0" w:after="200" w:lineRule="auto" w:line="276"/>
      </w:pPr>
      <w:r>
        <w:rPr>
          <w:b/>
        </w:rPr>
        <w:t xml:space="preserve">Abstract (EN): </w:t>
      </w:r>
      <w:r>
        <w:t>Although polymer‐in‐salt (PIS) electrolyte strategy is widely employed in solid‐state lithium batteries for interface stabilization through ion transport modulation and interphase chemistry tailoring, its application remains plagued by interfacial degradation induced by residual solvent and inherent ionic conductivity‐mechanics trade‐off. Herein, we propose a multirole integrated filler design to simultaneously address these limitations through defect chemistry and interface engineering. CaF</w:t>
      </w:r>
      <w:r>
        <w:rPr>
          <w:vertAlign w:val="subscript"/>
        </w:rPr>
        <w:t>2</w:t>
      </w:r>
      <w:r>
        <w:t>filler, as a representative case, synergistically promotes salt dissociation and ion‐conducting sites generation through fluorine vacancy defects while reinforcing the polymer matrix via hydrogen bonding interactions and high bulk modulus. This enables roll‐to‐roll scalable fabrication of ultra‐thin (ca. 8 µm) PIS membrane with exceptional ionic conductivity of 3.32 × 10</w:t>
      </w:r>
      <w:r>
        <w:t xml:space="preserve"> </w:t>
      </w:r>
      <w:r>
        <w:t>−4</w:t>
      </w:r>
      <w:r>
        <w:t xml:space="preserve"> </w:t>
      </w:r>
      <w:r>
        <w:t>S cm</w:t>
      </w:r>
      <w:r>
        <w:t xml:space="preserve"> </w:t>
      </w:r>
      <w:r>
        <w:t>−1</w:t>
      </w:r>
      <w:r>
        <w:t xml:space="preserve"> </w:t>
      </w:r>
      <w:r>
        <w:t>at 25°C. Crucially, the in situ generated LiF/Li‐Ca interphase suppresses both residual solvent decomposition and dendrite formation, achieving stable cycling in lithium symmetric cells for nearly 1600 h and high‐capacity retention in full cells with LiFePO</w:t>
      </w:r>
      <w:r>
        <w:rPr>
          <w:vertAlign w:val="subscript"/>
        </w:rPr>
        <w:t>4</w:t>
      </w:r>
      <w:r>
        <w:t>or NCM811 cathodes over 1000 cycles. The outstanding thermal stability (melting point: 1418°C) of CaF</w:t>
      </w:r>
      <w:r>
        <w:rPr>
          <w:vertAlign w:val="subscript"/>
        </w:rPr>
        <w:t>2</w:t>
      </w:r>
      <w:r>
        <w:t>further boosts the inherent safety of pouch cells under mechanical and thermal abuse conditions. This single‐component filler strategy effectively addresses multiple performance bottlenecks in polymer electrolytes, offering a scalable and cost‐effective pathway for practical solid‐state batteries.</w:t>
      </w:r>
    </w:p>
    <w:p>
      <w:pPr>
        <w:spacing w:before="120" w:after="120"/>
      </w:pPr>
      <w:r>
        <w:rPr>
          <w:sz w:val="18"/>
        </w:rPr>
        <w:t>——————————————————————————————————————————————————————————————————————</w:t>
      </w:r>
    </w:p>
    <w:p>
      <w:pPr>
        <w:spacing w:before="160" w:after="40" w:line="240" w:lineRule="auto"/>
      </w:pPr>
      <w:r>
        <w:rPr>
          <w:b/>
        </w:rPr>
        <w:t xml:space="preserve">[3] </w:t>
      </w:r>
      <w:hyperlink r:id="rId129">
        <w:r>
          <w:rPr>
            <w:color w:val="1155CC"/>
            <w:u w:val="single"/>
          </w:rPr>
          <w:t>减弱离子传输各向异性激活 Li2ZrCl6 中的超离子传导</w:t>
        </w:r>
      </w:hyperlink>
    </w:p>
    <w:p>
      <w:pPr>
        <w:spacing w:before="0" w:after="80"/>
      </w:pPr>
      <w:r>
        <w:rPr>
          <w:i/>
          <w:sz w:val="20"/>
        </w:rPr>
        <w:t>EN: Weakening Ion Transport Anisotropy Activates Superionic Conduction in Li2ZrCl6</w:t>
      </w:r>
    </w:p>
    <w:p>
      <w:pPr>
        <w:spacing w:before="0" w:after="120"/>
      </w:pPr>
      <w:r>
        <w:rPr>
          <w:b/>
        </w:rPr>
        <w:t xml:space="preserve">Source: </w:t>
      </w:r>
      <w:r>
        <w:t>Wiley: Advanced Energy Materials: Table of Contents</w:t>
      </w:r>
      <w:r>
        <w:t xml:space="preserve">    </w:t>
      </w:r>
      <w:r>
        <w:rPr>
          <w:b/>
        </w:rPr>
        <w:t xml:space="preserve">Pub date: </w:t>
      </w:r>
      <w:r>
        <w:t>2026-07-17 10:02:38+00:00</w:t>
      </w:r>
      <w:r>
        <w:t xml:space="preserve">    </w:t>
      </w:r>
      <w:r>
        <w:rPr>
          <w:b/>
        </w:rPr>
        <w:t xml:space="preserve">DOI: </w:t>
      </w:r>
      <w:hyperlink r:id="rId130">
        <w:r>
          <w:rPr>
            <w:color w:val="1155CC"/>
            <w:u w:val="single"/>
          </w:rPr>
          <w:t>10.1002/aenm.71308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卤化物固态电解质（SSE）对于全固态电池（ASSB）很有前景，但往往受到同时实现足够的离子电导率和成本效益的挑战的限制。在此，我们证明弱化离子输运各向异性是在低成本锂中实现超离子传导的有效途径</w:t>
      </w:r>
      <w:r>
        <w:rPr>
          <w:vertAlign w:val="subscript"/>
        </w:rPr>
        <w:t>2</w:t>
      </w:r>
      <w:r>
        <w:t>氯化锆</w:t>
      </w:r>
      <w:r>
        <w:rPr>
          <w:vertAlign w:val="subscript"/>
        </w:rPr>
        <w:t>6</w:t>
      </w:r>
      <w:r>
        <w:t>通过使用 InF 的阴离子-阳离子共掺杂策略</w:t>
      </w:r>
      <w:r>
        <w:rPr>
          <w:vertAlign w:val="subscript"/>
        </w:rPr>
        <w:t>3</w:t>
      </w:r>
      <w:r>
        <w:t>。机理分析表明，适度的共掺杂会降低锂离子传输的固有各向异性，从而促进更快的长程扩散，而过度掺杂会在单斜晶格中引入局部迁移瓶颈，导致离子电导率降低。优化后的李</w:t>
      </w:r>
      <w:r>
        <w:t xml:space="preserve"> </w:t>
      </w:r>
      <w:r>
        <w:t>2.1</w:t>
      </w:r>
      <w:r>
        <w:t xml:space="preserve"> </w:t>
      </w:r>
      <w:r>
        <w:t>锆</w:t>
      </w:r>
      <w:r>
        <w:t xml:space="preserve"> </w:t>
      </w:r>
      <w:r>
        <w:t>0.9</w:t>
      </w:r>
      <w:r>
        <w:t xml:space="preserve"> </w:t>
      </w:r>
      <w:r>
        <w:t>在</w:t>
      </w:r>
      <w:r>
        <w:t xml:space="preserve"> </w:t>
      </w:r>
      <w:r>
        <w:t>0.1</w:t>
      </w:r>
      <w:r>
        <w:t xml:space="preserve"> </w:t>
      </w:r>
      <w:r>
        <w:t>氯</w:t>
      </w:r>
      <w:r>
        <w:t xml:space="preserve"> </w:t>
      </w:r>
      <w:r>
        <w:t>5.7</w:t>
      </w:r>
      <w:r>
        <w:t xml:space="preserve"> </w:t>
      </w:r>
      <w:r>
        <w:t>F</w:t>
      </w:r>
      <w:r>
        <w:t xml:space="preserve"> </w:t>
      </w:r>
      <w:r>
        <w:t>0.3</w:t>
      </w:r>
      <w:r>
        <w:t xml:space="preserve"> </w:t>
      </w:r>
      <w:r>
        <w:t>表现出1.03×10的高离子电导率</w:t>
      </w:r>
      <w:r>
        <w:t xml:space="preserve"> </w:t>
      </w:r>
      <w:r>
        <w:t>−3</w:t>
      </w:r>
      <w:r>
        <w:t xml:space="preserve"> </w:t>
      </w:r>
      <w:r>
        <w:t>厘米</w:t>
      </w:r>
      <w:r>
        <w:t xml:space="preserve"> </w:t>
      </w:r>
      <w:r>
        <w:t>−1</w:t>
      </w:r>
      <w:r>
        <w:t xml:space="preserve"> </w:t>
      </w:r>
      <w:r>
        <w:t>具有 0.357 eV 的低活化能。因此，使用这种优化的卤化物 SSE 的 ASSB 具有高可逆容量、优异的倍率性能和长期稳定性，在 1 C 下 500 次循环后仍保持 92.5% 的容量，并在 4 C 下稳定运行超过 2500 次循环。此外，增强的离子电导率使其能够稳定运行。</w:t>
      </w:r>
    </w:p>
    <w:p>
      <w:pPr>
        <w:spacing w:before="0" w:after="200" w:lineRule="auto" w:line="276"/>
      </w:pPr>
      <w:r>
        <w:rPr>
          <w:b/>
        </w:rPr>
        <w:t xml:space="preserve">Abstract (EN): </w:t>
      </w:r>
      <w:r>
        <w:t>Halide solid‐state electrolytes (SSEs) are promising for all‐solid‐state batteries (ASSBs) but are often limited by the challenge of simultaneously achieving sufficient ionic conductivity and cost‐effectiveness. Herein, we demonstrate that weakening ion transport anisotropy is an effective route to achieve superionic conduction in low‐cost Li</w:t>
      </w:r>
      <w:r>
        <w:rPr>
          <w:vertAlign w:val="subscript"/>
        </w:rPr>
        <w:t>2</w:t>
      </w:r>
      <w:r>
        <w:t>ZrCl</w:t>
      </w:r>
      <w:r>
        <w:rPr>
          <w:vertAlign w:val="subscript"/>
        </w:rPr>
        <w:t>6</w:t>
      </w:r>
      <w:r>
        <w:t>through an anion‐cation co‐doping strategy using InF</w:t>
      </w:r>
      <w:r>
        <w:rPr>
          <w:vertAlign w:val="subscript"/>
        </w:rPr>
        <w:t>3</w:t>
      </w:r>
      <w:r>
        <w:t>. Mechanistic analysis reveals that moderate co‐doping reduces the intrinsic anisotropy of Li‐ion transport, thereby facilitating faster long‐range diffusion, whereas excessive doping introduces localized migration bottlenecks in the monoclinic lattice, leading to diminished ionic conductivity. The optimized Li</w:t>
      </w:r>
      <w:r>
        <w:t xml:space="preserve"> </w:t>
      </w:r>
      <w:r>
        <w:t>2.1</w:t>
      </w:r>
      <w:r>
        <w:t xml:space="preserve"> </w:t>
      </w:r>
      <w:r>
        <w:t>Zr</w:t>
      </w:r>
      <w:r>
        <w:t xml:space="preserve"> </w:t>
      </w:r>
      <w:r>
        <w:t>0.9</w:t>
      </w:r>
      <w:r>
        <w:t xml:space="preserve"> </w:t>
      </w:r>
      <w:r>
        <w:t>In</w:t>
      </w:r>
      <w:r>
        <w:t xml:space="preserve"> </w:t>
      </w:r>
      <w:r>
        <w:t>0.1</w:t>
      </w:r>
      <w:r>
        <w:t xml:space="preserve"> </w:t>
      </w:r>
      <w:r>
        <w:t>Cl</w:t>
      </w:r>
      <w:r>
        <w:t xml:space="preserve"> </w:t>
      </w:r>
      <w:r>
        <w:t>5.7</w:t>
      </w:r>
      <w:r>
        <w:t xml:space="preserve"> </w:t>
      </w:r>
      <w:r>
        <w:t>F</w:t>
      </w:r>
      <w:r>
        <w:t xml:space="preserve"> </w:t>
      </w:r>
      <w:r>
        <w:t>0.3</w:t>
      </w:r>
      <w:r>
        <w:t xml:space="preserve"> </w:t>
      </w:r>
      <w:r>
        <w:t>exhibits a high ionic conductivity of 1.03 × 10</w:t>
      </w:r>
      <w:r>
        <w:t xml:space="preserve"> </w:t>
      </w:r>
      <w:r>
        <w:t>−3</w:t>
      </w:r>
      <w:r>
        <w:t xml:space="preserve"> </w:t>
      </w:r>
      <w:r>
        <w:t>S cm</w:t>
      </w:r>
      <w:r>
        <w:t xml:space="preserve"> </w:t>
      </w:r>
      <w:r>
        <w:t>−1</w:t>
      </w:r>
      <w:r>
        <w:t xml:space="preserve"> </w:t>
      </w:r>
      <w:r>
        <w:t>with a low activation energy of 0.357 eV. As a result, the ASSBs using this optimized halide SSE deliver high reversible capacity, excellent rate capability, and long‐term stability, retaining 92.5% capacity after 500 cycles at 1 C and operating stably over 2500 cycles at 4 C. Moreover, the enhanced ionic conductivity enables stable operation at a high cathode loading of 31.2 mg cm</w:t>
      </w:r>
      <w:r>
        <w:t xml:space="preserve"> </w:t>
      </w:r>
      <w:r>
        <w:t>−2</w:t>
      </w:r>
      <w:r>
        <w:t xml:space="preserve"> </w:t>
      </w:r>
      <w:r>
        <w:t>. This work highlights weakening ionic transport anisotropy as an effective strategy for designing high‐performance halide SSEs.</w:t>
      </w:r>
    </w:p>
    <w:p>
      <w:pPr>
        <w:spacing w:before="120" w:after="120"/>
      </w:pPr>
      <w:r>
        <w:rPr>
          <w:sz w:val="18"/>
        </w:rPr>
        <w:t>——————————————————————————————————————————————————————————————————————</w:t>
      </w:r>
    </w:p>
    <w:p>
      <w:pPr>
        <w:spacing w:before="160" w:after="40" w:line="240" w:lineRule="auto"/>
      </w:pPr>
      <w:r>
        <w:rPr>
          <w:b/>
        </w:rPr>
        <w:t xml:space="preserve">[4] </w:t>
      </w:r>
      <w:hyperlink r:id="rId131">
        <w:r>
          <w:rPr>
            <w:color w:val="1155CC"/>
            <w:u w:val="single"/>
          </w:rPr>
          <w:t>用于固态锂金属电池的同时增强机械强度和离子电导率的氟化深共晶凝胶电解质</w:t>
        </w:r>
      </w:hyperlink>
    </w:p>
    <w:p>
      <w:pPr>
        <w:spacing w:before="0" w:after="80"/>
      </w:pPr>
      <w:r>
        <w:rPr>
          <w:i/>
          <w:sz w:val="20"/>
        </w:rPr>
        <w:t>EN: Fluorinated Deep Eutectic Gel Electrolytes with Simultaneously Enhanced Mechanical Strength and Ionic Conductivity for Solid‐State Lithium Metal Batteries</w:t>
      </w:r>
    </w:p>
    <w:p>
      <w:pPr>
        <w:spacing w:before="0" w:after="120"/>
      </w:pPr>
      <w:r>
        <w:rPr>
          <w:b/>
        </w:rPr>
        <w:t xml:space="preserve">Source: </w:t>
      </w:r>
      <w:r>
        <w:t>Wiley: Advanced Materials: Table of Contents</w:t>
      </w:r>
      <w:r>
        <w:t xml:space="preserve">    </w:t>
      </w:r>
      <w:r>
        <w:rPr>
          <w:b/>
        </w:rPr>
        <w:t xml:space="preserve">Pub date: </w:t>
      </w:r>
      <w:r>
        <w:t>2026-07-18 11:58:04+00:00</w:t>
      </w:r>
      <w:r>
        <w:t xml:space="preserve">    </w:t>
      </w:r>
      <w:r>
        <w:rPr>
          <w:b/>
        </w:rPr>
        <w:t xml:space="preserve">DOI: </w:t>
      </w:r>
      <w:hyperlink r:id="rId132">
        <w:r>
          <w:rPr>
            <w:color w:val="1155CC"/>
            <w:u w:val="single"/>
          </w:rPr>
          <w:t>10.1002/adma.74180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锂金属电池的凝胶聚合物电解质面临着机械强度和离子电导率之间固有的权衡。在此，我们提出了一种分子级策略，利用竞争性氢键相互作用在深共晶凝胶（DEG）电解质中自发生成纳米级相分离结构。通过丙烯酰胺和丙烯酰胺的一步原位共聚</w:t>
      </w:r>
      <w:r>
        <w:t xml:space="preserve"> </w:t>
      </w:r>
      <w:r>
        <w:t>氮,氮</w:t>
      </w:r>
      <w:r>
        <w:t xml:space="preserve"> </w:t>
      </w:r>
      <w:r>
        <w:t>三氟甲基官能化低共熔溶剂中的-二甲基丙烯酰胺，包含</w:t>
      </w:r>
      <w:r>
        <w:t xml:space="preserve"> </w:t>
      </w:r>
      <w:r>
        <w:t>氮</w:t>
      </w:r>
      <w:r>
        <w:t xml:space="preserve"> </w:t>
      </w:r>
      <w:r>
        <w:t>‐甲基-2,2,2-三氟乙酰胺（TNMA）和双（三氟甲磺酰基）亚胺锂（LiTFSI）形成互穿网络，其中富含刚性聚丙烯酰胺的域增强了基质，而富含聚二甲基丙烯酰胺的通道促进了离子传输。在聚合物-聚合物和聚合物-溶剂氢键之间的竞争驱动下，所得DEG电解质实现了2.99 mS cm的优异离子电导率</w:t>
      </w:r>
      <w:r>
        <w:t xml:space="preserve"> </w:t>
      </w:r>
      <w:r>
        <w:t>−1</w:t>
      </w:r>
      <w:r>
        <w:t xml:space="preserve"> </w:t>
      </w:r>
      <w:r>
        <w:t>在 30°C 时，优异的 Li</w:t>
      </w:r>
      <w:r>
        <w:t xml:space="preserve"> </w:t>
      </w:r>
      <w:r>
        <w:t>+</w:t>
      </w:r>
      <w:r>
        <w:t xml:space="preserve"> </w:t>
      </w:r>
      <w:r>
        <w:t>迁移数为 0.78，拉伸强度高达 11.4 MPa，伸长率为 473%。同时，TNMA 与 TFSI 一起</w:t>
      </w:r>
      <w:r>
        <w:t xml:space="preserve"> </w:t>
      </w:r>
      <w:r>
        <w:t>-</w:t>
      </w:r>
      <w:r>
        <w:t>，调节李</w:t>
      </w:r>
      <w:r>
        <w:t xml:space="preserve"> </w:t>
      </w:r>
      <w:r>
        <w:t>+</w:t>
      </w:r>
      <w:r>
        <w:t xml:space="preserve"> </w:t>
      </w:r>
      <w:r>
        <w:t>溶剂化结构和界面化学，通过氟化溶剂和阴离子涉及的界面反应促进富含LiF的界面相的形成。结果</w:t>
      </w:r>
    </w:p>
    <w:p>
      <w:pPr>
        <w:spacing w:before="0" w:after="200" w:lineRule="auto" w:line="276"/>
      </w:pPr>
      <w:r>
        <w:rPr>
          <w:b/>
        </w:rPr>
        <w:t xml:space="preserve">Abstract (EN): </w:t>
      </w:r>
      <w:r>
        <w:t>Gel polymer electrolytes for lithium‐metal batteries face an inherent trade‐off between mechanical strength and ionic conductivity. Herein, we present a molecular‐level strategy that harnesses competitive hydrogen‐bonding interactions to spontaneously generate a nanoscale phase‐separated architecture in the deep eutectic gel (DEG) electrolyte. Through one‐step in‐situ copolymerization of acrylamide and</w:t>
      </w:r>
      <w:r>
        <w:t xml:space="preserve"> </w:t>
      </w:r>
      <w:r>
        <w:t>N,N</w:t>
      </w:r>
      <w:r>
        <w:t xml:space="preserve"> </w:t>
      </w:r>
      <w:r>
        <w:t>‐dimethylacrylamide within a trifluoromethyl‐functionalized deep eutectic solvent comprising</w:t>
      </w:r>
      <w:r>
        <w:t xml:space="preserve"> </w:t>
      </w:r>
      <w:r>
        <w:t>N</w:t>
      </w:r>
      <w:r>
        <w:t xml:space="preserve"> </w:t>
      </w:r>
      <w:r>
        <w:t>‐methyl‐2,2,2‐trifluoroacetamide (TNMA) and lithium bis(trifluoromethanesulfonyl)imide (LiTFSI), an interpenetrating network is formed, in which rigid polyacrylamide‐rich domains reinforce the matrix while polydimethylacrylamide‐rich channels facilitate ion transport. Driven by the competition between polymer–polymer and polymer–solvent hydrogen bonds, the resulting DEG electrolyte achieves an exceptional ionic conductivity of 2.99 mS cm</w:t>
      </w:r>
      <w:r>
        <w:t xml:space="preserve"> </w:t>
      </w:r>
      <w:r>
        <w:t>−1</w:t>
      </w:r>
      <w:r>
        <w:t xml:space="preserve"> </w:t>
      </w:r>
      <w:r>
        <w:t>at 30°C, an excellent Li</w:t>
      </w:r>
      <w:r>
        <w:t xml:space="preserve"> </w:t>
      </w:r>
      <w:r>
        <w:t>+</w:t>
      </w:r>
      <w:r>
        <w:t xml:space="preserve"> </w:t>
      </w:r>
      <w:r>
        <w:t>transference number of 0.78, and a remarkable tensile strength of 11.4 MPa with 473% elongation. Meanwhile, TNMA, together with TFSI</w:t>
      </w:r>
      <w:r>
        <w:t xml:space="preserve"> </w:t>
      </w:r>
      <w:r>
        <w:t>−</w:t>
      </w:r>
      <w:r>
        <w:t>, regulates the Li</w:t>
      </w:r>
      <w:r>
        <w:t xml:space="preserve"> </w:t>
      </w:r>
      <w:r>
        <w:t>+</w:t>
      </w:r>
      <w:r>
        <w:t xml:space="preserve"> </w:t>
      </w:r>
      <w:r>
        <w:t>solvation structure and interfacial chemistry, promoting the formation of a LiF‐rich interphase through fluorinated‐solvent‐ and anion‐involved interfacial reactions. The resulting Li||Li symmetric cells operate for over 3500 hours (0.1 mA cm</w:t>
      </w:r>
      <w:r>
        <w:t xml:space="preserve"> </w:t>
      </w:r>
      <w:r>
        <w:t>−2</w:t>
      </w:r>
      <w:r>
        <w:t xml:space="preserve"> </w:t>
      </w:r>
      <w:r>
        <w:t>), and Li|DEG|NCM811 cells retain 77.5% capacity after 400 cycles at 2 C. This work establishes competitive molecular interactions as a design principle for next‐generation gel polymer electrolytes.</w:t>
      </w:r>
    </w:p>
    <w:p>
      <w:pPr>
        <w:spacing w:before="120" w:after="120"/>
      </w:pPr>
      <w:r>
        <w:rPr>
          <w:sz w:val="18"/>
        </w:rPr>
        <w:t>——————————————————————————————————————————————————————————————————————</w:t>
      </w:r>
    </w:p>
    <w:p>
      <w:pPr>
        <w:spacing w:before="160" w:after="40" w:line="240" w:lineRule="auto"/>
      </w:pPr>
      <w:r>
        <w:rPr>
          <w:b/>
        </w:rPr>
        <w:t xml:space="preserve">[5] </w:t>
      </w:r>
      <w:hyperlink r:id="rId133">
        <w:r>
          <w:rPr>
            <w:color w:val="1155CC"/>
            <w:u w:val="single"/>
          </w:rPr>
          <w:t>基于双描述符的超宽温锂金属电池（−105°C 至 70°C）无氟溶剂</w:t>
        </w:r>
      </w:hyperlink>
    </w:p>
    <w:p>
      <w:pPr>
        <w:spacing w:before="0" w:after="80"/>
      </w:pPr>
      <w:r>
        <w:rPr>
          <w:i/>
          <w:sz w:val="20"/>
        </w:rPr>
        <w:t>EN: A Fluorine‐Free Solvent Based on Dual Descriptors for Ultrawide‐Temperature Lithium Metal Batteries (−105°C to 70°C)</w:t>
      </w:r>
    </w:p>
    <w:p>
      <w:pPr>
        <w:spacing w:before="0" w:after="120"/>
      </w:pPr>
      <w:r>
        <w:rPr>
          <w:b/>
        </w:rPr>
        <w:t xml:space="preserve">Source: </w:t>
      </w:r>
      <w:r>
        <w:t>Wiley: Advanced Materials: Table of Contents</w:t>
      </w:r>
      <w:r>
        <w:t xml:space="preserve">    </w:t>
      </w:r>
      <w:r>
        <w:rPr>
          <w:b/>
        </w:rPr>
        <w:t xml:space="preserve">Pub date: </w:t>
      </w:r>
      <w:r>
        <w:t>2026-07-18 11:59:51+00:00</w:t>
      </w:r>
      <w:r>
        <w:t xml:space="preserve">    </w:t>
      </w:r>
      <w:r>
        <w:rPr>
          <w:b/>
        </w:rPr>
        <w:t xml:space="preserve">DOI: </w:t>
      </w:r>
      <w:hyperlink r:id="rId134">
        <w:r>
          <w:rPr>
            <w:color w:val="1155CC"/>
            <w:u w:val="single"/>
          </w:rPr>
          <w:t>10.1002/adma.74179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氟化溶剂由于其较宽的液相温度范围而广泛应用于锂金属电池（LMB）的电解质中。然而，它们的使用带来了重大挑战，包括高温下不良的界面寄生反应和低温下的锂盐沉淀。在这项研究中，我们提出了一种基于分子几何形状和电子密度分布协同优化的无氟电解质设计策略。定制的溶剂乙酸 2-乙基丁酯 (2EA) 在调节分子间相互作用和 Li</w:t>
      </w:r>
      <w:r>
        <w:t xml:space="preserve"> </w:t>
      </w:r>
      <w:r>
        <w:t>+</w:t>
      </w:r>
      <w:r>
        <w:t xml:space="preserve"> </w:t>
      </w:r>
      <w:r>
        <w:t>协调。 2-乙基丁基在发挥给电子诱导效应的同时引入了显着的空间位阻，从而有效削弱了羰基氧与Li之间的结合亲和力</w:t>
      </w:r>
      <w:r>
        <w:t xml:space="preserve"> </w:t>
      </w:r>
      <w:r>
        <w:t>+</w:t>
      </w:r>
      <w:r>
        <w:t xml:space="preserve"> </w:t>
      </w:r>
      <w:r>
        <w:t>。同时，空间位阻抑制低温下溶剂分子的分子间相互作用，导致超低熔点（低于-100°C）。此外，协同的空间和电子效应将溶剂化结构重组为阴离子主导的构型，从而促进Li</w:t>
      </w:r>
      <w:r>
        <w:t xml:space="preserve"> </w:t>
      </w:r>
      <w:r>
        <w:t>+</w:t>
      </w:r>
      <w:r>
        <w:t xml:space="preserve"> </w:t>
      </w:r>
      <w:r>
        <w:t>去溶剂化并促进形成坚固的、富含无机物的界面。因此，基于 2EA 的电解质能够实现高电压 Li||LiCoO</w:t>
      </w:r>
      <w:r>
        <w:rPr>
          <w:vertAlign w:val="subscript"/>
        </w:rPr>
        <w:t>2</w:t>
      </w:r>
      <w:r>
        <w:t>电池实现卓越的循环稳定性（25°C 下 1500 次循环后容量保持率为 80%），显着提高</w:t>
      </w:r>
    </w:p>
    <w:p>
      <w:pPr>
        <w:spacing w:before="0" w:after="200" w:lineRule="auto" w:line="276"/>
      </w:pPr>
      <w:r>
        <w:rPr>
          <w:b/>
        </w:rPr>
        <w:t xml:space="preserve">Abstract (EN): </w:t>
      </w:r>
      <w:r>
        <w:t>Fluorinated solvents are widely employed in electrolytes for lithium metal batteries (LMBs) due to their broad liquid‐phase temperature range. However, their use entails significant challenges, including undesirable interfacial parasitic reactions at elevated temperatures and lithium‐salt precipitation at low temperatures. In this study, we propose a fluorine‐free electrolyte design strategy based on synergistic optimization of molecular geometry and electron density distribution. The tailored solvent, 2‐ethylbutyl acetate (2EA), plays a critical role in modulating intermolecular interactions and Li</w:t>
      </w:r>
      <w:r>
        <w:t xml:space="preserve"> </w:t>
      </w:r>
      <w:r>
        <w:t>+</w:t>
      </w:r>
      <w:r>
        <w:t xml:space="preserve"> </w:t>
      </w:r>
      <w:r>
        <w:t>coordination. The 2‐ethylbutyl group introduces substantial steric hindrance while exerting electron‐donating inductive effects, thereby effectively weakening the binding affinity between carbonyl oxygen and Li</w:t>
      </w:r>
      <w:r>
        <w:t xml:space="preserve"> </w:t>
      </w:r>
      <w:r>
        <w:t>+</w:t>
      </w:r>
      <w:r>
        <w:t xml:space="preserve"> </w:t>
      </w:r>
      <w:r>
        <w:t>. Concurrently, steric hindrance inhibits intermolecular interaction of solvent molecules at cryogenic temperatures, resulting in an ultra‐low melting point (below −100°C). Furthermore, the synergistic steric and electronic effects reorganize the solvation structure into an anion‐dominated configuration, facilitating Li</w:t>
      </w:r>
      <w:r>
        <w:t xml:space="preserve"> </w:t>
      </w:r>
      <w:r>
        <w:t>+</w:t>
      </w:r>
      <w:r>
        <w:t xml:space="preserve"> </w:t>
      </w:r>
      <w:r>
        <w:t>desolvation and promoting a robust, inorganic‐rich interphase. As a result, the 2EA‐based electrolyte enables high‐voltage Li||LiCoO</w:t>
      </w:r>
      <w:r>
        <w:rPr>
          <w:vertAlign w:val="subscript"/>
        </w:rPr>
        <w:t>2</w:t>
      </w:r>
      <w:r>
        <w:t>cells to achieve exceptional cycling stability (80% capacity retention after 1500 cycles at 25°C), remarkable rate capability (90% capacity retention at 10°C), and stable operation over an ultrawide temperature range from −60°C to 70°C.</w:t>
      </w:r>
    </w:p>
    <w:p>
      <w:pPr>
        <w:spacing w:before="120" w:after="120"/>
      </w:pPr>
      <w:r>
        <w:rPr>
          <w:sz w:val="18"/>
        </w:rPr>
        <w:t>——————————————————————————————————————————————————————————————————————</w:t>
      </w:r>
    </w:p>
    <w:p>
      <w:pPr>
        <w:spacing w:before="160" w:after="40" w:line="240" w:lineRule="auto"/>
      </w:pPr>
      <w:r>
        <w:rPr>
          <w:b/>
        </w:rPr>
        <w:t xml:space="preserve">[6] </w:t>
      </w:r>
      <w:hyperlink r:id="rId79">
        <w:r>
          <w:rPr>
            <w:color w:val="1155CC"/>
            <w:u w:val="single"/>
          </w:rPr>
          <w:t>氯化物桥重塑双电层可实现高性能水系铝离子电池的定向沉积</w:t>
        </w:r>
      </w:hyperlink>
    </w:p>
    <w:p>
      <w:pPr>
        <w:spacing w:before="0" w:after="80"/>
      </w:pPr>
      <w:r>
        <w:rPr>
          <w:i/>
          <w:sz w:val="20"/>
        </w:rPr>
        <w:t>EN: Chloride‐Bridge Reshaped Electric Double Layer Enables Oriented Deposition for High‐Performance Aqueous Aluminum Ion Batteries</w:t>
      </w:r>
    </w:p>
    <w:p>
      <w:pPr>
        <w:spacing w:before="0" w:after="120"/>
      </w:pPr>
      <w:r>
        <w:rPr>
          <w:b/>
        </w:rPr>
        <w:t xml:space="preserve">Source: </w:t>
      </w:r>
      <w:r>
        <w:t>Wiley: Advanced Materials: Table of Contents</w:t>
      </w:r>
      <w:r>
        <w:t xml:space="preserve">    </w:t>
      </w:r>
      <w:r>
        <w:rPr>
          <w:b/>
        </w:rPr>
        <w:t xml:space="preserve">Pub date: </w:t>
      </w:r>
      <w:r>
        <w:t>2026-07-18 12:04:16+00:00</w:t>
      </w:r>
      <w:r>
        <w:t xml:space="preserve">    </w:t>
      </w:r>
      <w:r>
        <w:rPr>
          <w:b/>
        </w:rPr>
        <w:t xml:space="preserve">DOI: </w:t>
      </w:r>
      <w:hyperlink r:id="rId80">
        <w:r>
          <w:rPr>
            <w:color w:val="1155CC"/>
            <w:u w:val="single"/>
          </w:rPr>
          <w:t>10.1002/adma.74195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水性铝离子电池（AAIB）已成为大规模储能的有希望的候选者。然而，Al的强溶剂化</w:t>
      </w:r>
      <w:r>
        <w:t xml:space="preserve"> </w:t>
      </w:r>
      <w:r>
        <w:t>3+</w:t>
      </w:r>
      <w:r>
        <w:t xml:space="preserve"> </w:t>
      </w:r>
      <w:r>
        <w:t>离子和钝化氧化物层的形成阻碍了界面电荷转移动力学，导致长时间循环过程中性能逐渐下降。在此，提出了一种氯桥策略，采用三氯乙醇（TCE）作为添加剂，在电解质/电极界面自发自组装，形成富含氯桥的分子层。由此产生的氯桥框架重组双电层（EDL），加速界面电荷转移动力学，并促进均匀的铝</w:t>
      </w:r>
      <w:r>
        <w:t xml:space="preserve"> </w:t>
      </w:r>
      <w:r>
        <w:t>3+</w:t>
      </w:r>
      <w:r>
        <w:t xml:space="preserve"> </w:t>
      </w:r>
      <w:r>
        <w:t>具有优选（111）晶体取向的沉积。定制的界面可在低极化下维持高度可逆的铝沉积/剥离超过 800 小时，并将 FeCoPBA 全电池寿命从 OTF 电解质中的不到 50 次循环提高到 100 mA g-1 时的 150 次</w:t>
      </w:r>
      <w:r>
        <w:t xml:space="preserve"> </w:t>
      </w:r>
      <w:r>
        <w:t>−1</w:t>
      </w:r>
      <w:r>
        <w:t xml:space="preserve"> </w:t>
      </w:r>
      <w:r>
        <w:t>200 mA g 下 300 个循环</w:t>
      </w:r>
      <w:r>
        <w:t xml:space="preserve"> </w:t>
      </w:r>
      <w:r>
        <w:t>−1</w:t>
      </w:r>
      <w:r>
        <w:t xml:space="preserve"> </w:t>
      </w:r>
      <w:r>
        <w:t>。此外，PANI 正极可提供 116 mAh g</w:t>
      </w:r>
      <w:r>
        <w:t xml:space="preserve"> </w:t>
      </w:r>
      <w:r>
        <w:t>−1</w:t>
      </w:r>
      <w:r>
        <w:t xml:space="preserve"> </w:t>
      </w:r>
      <w:r>
        <w:t>在 100 mA g 下进行 200 个循环后</w:t>
      </w:r>
      <w:r>
        <w:t xml:space="preserve"> </w:t>
      </w:r>
      <w:r>
        <w:t>−1</w:t>
      </w:r>
      <w:r>
        <w:t xml:space="preserve"> </w:t>
      </w:r>
      <w:r>
        <w:t>在 200 mA g 电流下超过 350 个周期保持稳定</w:t>
      </w:r>
      <w:r>
        <w:t xml:space="preserve"> </w:t>
      </w:r>
      <w:r>
        <w:t>−1</w:t>
      </w:r>
      <w:r>
        <w:t xml:space="preserve"> </w:t>
      </w:r>
      <w:r>
        <w:t>，而 OTF 电解质仅保留 46 mAh g</w:t>
      </w:r>
      <w:r>
        <w:t xml:space="preserve"> </w:t>
      </w:r>
      <w:r>
        <w:t>−1</w:t>
      </w:r>
      <w:r>
        <w:t xml:space="preserve"> </w:t>
      </w:r>
      <w:r>
        <w:t>200 个周期后 t</w:t>
      </w:r>
    </w:p>
    <w:p>
      <w:pPr>
        <w:spacing w:before="0" w:after="200" w:lineRule="auto" w:line="276"/>
      </w:pPr>
      <w:r>
        <w:rPr>
          <w:b/>
        </w:rPr>
        <w:t xml:space="preserve">Abstract (EN): </w:t>
      </w:r>
      <w:r>
        <w:t>Aqueous aluminum‐ion batteries (AAIBs) have emerged as a promising candidate for large‐scale energy storage. However, the strong solvation of Al</w:t>
      </w:r>
      <w:r>
        <w:t xml:space="preserve"> </w:t>
      </w:r>
      <w:r>
        <w:t>3+</w:t>
      </w:r>
      <w:r>
        <w:t xml:space="preserve"> </w:t>
      </w:r>
      <w:r>
        <w:t>ions and the formation of passivating oxide layers impede interfacial charge‐transfer kinetics, resulting in progressive performance degradation during prolonged cycling. Herein, a chloride‐bridge strategy is proposed by employing trichloroethanol (TCE) as an additive that spontaneously self‐assembles at the electrolyte/electrode interface to form a chloride‐bridge‐rich molecular layer. The resulting chloride‐bridge framework reorganizes the electric double layer (EDL), accelerates interfacial charge‐transfer kinetics, and promotes uniform Al</w:t>
      </w:r>
      <w:r>
        <w:t xml:space="preserve"> </w:t>
      </w:r>
      <w:r>
        <w:t>3+</w:t>
      </w:r>
      <w:r>
        <w:t xml:space="preserve"> </w:t>
      </w:r>
      <w:r>
        <w:t>deposition with a preferred (111) crystallographic orientation. The tailored interface sustains highly reversible Al deposition/stripping for over 800 h with low polarization and enhances the FeCoPBA full‐cell lifetime from fewer than 50 cycles in the OTF electrolyte to 150 at 100 mA g</w:t>
      </w:r>
      <w:r>
        <w:t xml:space="preserve"> </w:t>
      </w:r>
      <w:r>
        <w:t>−1</w:t>
      </w:r>
      <w:r>
        <w:t xml:space="preserve"> </w:t>
      </w:r>
      <w:r>
        <w:t>and 300 cycles at 200 mA g</w:t>
      </w:r>
      <w:r>
        <w:t xml:space="preserve"> </w:t>
      </w:r>
      <w:r>
        <w:t>−1</w:t>
      </w:r>
      <w:r>
        <w:t xml:space="preserve"> </w:t>
      </w:r>
      <w:r>
        <w:t>. Furthermore, the PANI cathode delivers 116 mAh g</w:t>
      </w:r>
      <w:r>
        <w:t xml:space="preserve"> </w:t>
      </w:r>
      <w:r>
        <w:t>−1</w:t>
      </w:r>
      <w:r>
        <w:t xml:space="preserve"> </w:t>
      </w:r>
      <w:r>
        <w:t>after 200 cycles at 100 mA g</w:t>
      </w:r>
      <w:r>
        <w:t xml:space="preserve"> </w:t>
      </w:r>
      <w:r>
        <w:t>−1</w:t>
      </w:r>
      <w:r>
        <w:t xml:space="preserve"> </w:t>
      </w:r>
      <w:r>
        <w:t>and remains stable over 350 cycles at 200 mA g</w:t>
      </w:r>
      <w:r>
        <w:t xml:space="preserve"> </w:t>
      </w:r>
      <w:r>
        <w:t>−1</w:t>
      </w:r>
      <w:r>
        <w:t xml:space="preserve"> </w:t>
      </w:r>
      <w:r>
        <w:t>, whereas the OTF electrolyte retains only 46 mAh g</w:t>
      </w:r>
      <w:r>
        <w:t xml:space="preserve"> </w:t>
      </w:r>
      <w:r>
        <w:t>−1</w:t>
      </w:r>
      <w:r>
        <w:t xml:space="preserve"> </w:t>
      </w:r>
      <w:r>
        <w:t>after 200 cycles at the same current rate. This work establishes a chloride‐bridge‐mediated interfacial engineering strategy for accelerating interfacial charge‐transfer kinetics and enabling durable AAIBs.</w:t>
      </w:r>
    </w:p>
    <w:p>
      <w:pPr>
        <w:spacing w:before="120" w:after="120"/>
      </w:pPr>
      <w:r>
        <w:rPr>
          <w:sz w:val="18"/>
        </w:rPr>
        <w:t>——————————————————————————————————————————————————————————————————————</w:t>
      </w:r>
    </w:p>
    <w:p>
      <w:pPr>
        <w:spacing w:before="160" w:after="40" w:line="240" w:lineRule="auto"/>
      </w:pPr>
      <w:r>
        <w:rPr>
          <w:b/>
        </w:rPr>
        <w:t xml:space="preserve">[7] </w:t>
      </w:r>
      <w:hyperlink r:id="rId135">
        <w:r>
          <w:rPr>
            <w:color w:val="1155CC"/>
            <w:u w:val="single"/>
          </w:rPr>
          <w:t>用于单锂离子传导的金属氧化物簇表面封闭水</w:t>
        </w:r>
      </w:hyperlink>
    </w:p>
    <w:p>
      <w:pPr>
        <w:spacing w:before="0" w:after="80"/>
      </w:pPr>
      <w:r>
        <w:rPr>
          <w:i/>
          <w:sz w:val="20"/>
        </w:rPr>
        <w:t>EN: Surface Confined Water by Metal Oxide Cluster for Single Lithium-Ion Conduction</w:t>
      </w:r>
    </w:p>
    <w:p>
      <w:pPr>
        <w:spacing w:before="0" w:after="120"/>
      </w:pPr>
      <w:r>
        <w:rPr>
          <w:b/>
        </w:rPr>
        <w:t xml:space="preserve">Source: </w:t>
      </w:r>
      <w:r>
        <w:t>ACS Energy Letters: Latest Articles (ACS Publications)</w:t>
      </w:r>
      <w:r>
        <w:t xml:space="preserve">    </w:t>
      </w:r>
      <w:r>
        <w:rPr>
          <w:b/>
        </w:rPr>
        <w:t xml:space="preserve">Pub date: </w:t>
      </w:r>
      <w:r>
        <w:t>2026-07-19 00:00:00+00:00</w:t>
      </w:r>
      <w:r>
        <w:t xml:space="preserve">    </w:t>
      </w:r>
      <w:r>
        <w:rPr>
          <w:b/>
        </w:rPr>
        <w:t xml:space="preserve">DOI: </w:t>
      </w:r>
      <w:hyperlink r:id="rId136">
        <w:r>
          <w:rPr>
            <w:color w:val="1155CC"/>
            <w:u w:val="single"/>
          </w:rPr>
          <w:t>10.1021/acsenergylett.6c01097</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部分链接已复制！盐包水电解质 (WiSE) 的创新拓宽了电化学稳定性窗口 (ESW)，同时保持高离子电导率。然而，所需的高锂盐浓度会导致高成本和器件制造复杂性，并且低Li+迁移数限制了长期稳定性。在这里，我们报道亚纳米阴离子金属氧化物簇（SiW 12 O 40 4–）能够在低盐WiSE（~1 wt% Li负载）中实现单Li+传导，并在低至–80°C的温度下具有强大的防冻性能。表面纳米限制破坏了水的氢键网络，加速了局部水弛豫动力学，以实现高离子电导率（30°C 时为 0.08 S cm-1），同时阻碍水扩散性，将 ESW 扩大到 2.2 V。阴离子簇形成固定阴离子的刚性框架，产生 0.92 的高 Li+ 迁移数。这项工作建立了一个经济且高性能的单离子 WiSE 平台，并通过弛豫动力学提供了对结构-性质关系的分子理解。 ACS 出版物 © 2026 美国化学会</w:t>
      </w:r>
    </w:p>
    <w:p>
      <w:pPr>
        <w:spacing w:before="0" w:after="200" w:lineRule="auto" w:line="276"/>
      </w:pPr>
      <w:r>
        <w:rPr>
          <w:b/>
        </w:rPr>
        <w:t xml:space="preserve">Abstract (EN): </w:t>
      </w:r>
      <w:r>
        <w:t>Click to copy section link Section link copied! The innovation of water-in-salt electrolytes (WiSEs) broadens the electrochemical stability window (ESW) while preserving high ionic conductivity. However, the required high Li-salt concentrations incur high cost and device fabrication complexity, and the low Li+ transference number limits long-term stability. Here, we report that sub-nm anionic metal oxide clusters (SiW 12 O 40 4–) enable single Li+ conduction in a low-salt WiSE (∼1 wt % Li loading) with robust antifreeze properties down to –80 °C. Surface nanoconfinement disrupts the hydrogen-bond network of water, accelerating local water relaxation dynamics to achieve high ionic conductivity (0.08 S cm–1 at 30 °C) while hindering water diffusivity to widen ESW to 2.2 V. The anionic clusters form a rigid framework that immobilizes anions, yielding a high Li+ transference number of 0.92. This work establishes an economical and high-performance single-ion WiSE platform and provides a molecular understanding of the structure–property relationship via relaxation dynamics. ACS Publications © 2026 American Chemical Society</w:t>
      </w:r>
    </w:p>
    <w:p>
      <w:pPr>
        <w:spacing w:before="120" w:after="120"/>
      </w:pPr>
      <w:r>
        <w:rPr>
          <w:sz w:val="18"/>
        </w:rPr>
        <w:t>——————————————————————————————————————————————————————————————————————</w:t>
      </w:r>
    </w:p>
    <w:p>
      <w:pPr>
        <w:spacing w:before="160" w:after="40" w:line="240" w:lineRule="auto"/>
      </w:pPr>
      <w:r>
        <w:rPr>
          <w:b/>
        </w:rPr>
        <w:t xml:space="preserve">[8] </w:t>
      </w:r>
      <w:hyperlink r:id="rId137">
        <w:r>
          <w:rPr>
            <w:color w:val="1155CC"/>
            <w:u w:val="single"/>
          </w:rPr>
          <w:t>环状 P3O93 – 三聚体：钠固态电池中非晶超离子导体的网络形成剂</w:t>
        </w:r>
      </w:hyperlink>
    </w:p>
    <w:p>
      <w:pPr>
        <w:spacing w:before="0" w:after="80"/>
      </w:pPr>
      <w:r>
        <w:rPr>
          <w:i/>
          <w:sz w:val="20"/>
        </w:rPr>
        <w:t>EN: Cyclic P3O93– Trimer: A Network Former for Amorphous Superionic Conductors in Sodium 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2026-07-19 10:28:06+00:00</w:t>
      </w:r>
      <w:r>
        <w:t xml:space="preserve">    </w:t>
      </w:r>
      <w:r>
        <w:rPr>
          <w:b/>
        </w:rPr>
        <w:t xml:space="preserve">DOI: </w:t>
      </w:r>
      <w:hyperlink r:id="rId138">
        <w:r>
          <w:rPr>
            <w:color w:val="1155CC"/>
            <w:u w:val="single"/>
          </w:rPr>
          <w:t>10.1002/anie.4295699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实现结合快速Na的固态电解质（SSE）</w:t>
      </w:r>
      <w:r>
        <w:t xml:space="preserve"> </w:t>
      </w:r>
      <w:r>
        <w:t>+</w:t>
      </w:r>
      <w:r>
        <w:t xml:space="preserve"> </w:t>
      </w:r>
      <w:r>
        <w:t>导电性、高电压稳定性和可变形性对于全固态钠离子电池（ASSNIB）来说仍然是一个艰巨的挑战。在这里，我们引入了环状三偏磷酸阴离子（P</w:t>
      </w:r>
      <w:r>
        <w:rPr>
          <w:vertAlign w:val="subscript"/>
        </w:rPr>
        <w:t>3</w:t>
      </w:r>
      <w:r>
        <w:t>氧</w:t>
      </w:r>
      <w:r>
        <w:rPr>
          <w:vertAlign w:val="subscript"/>
        </w:rPr>
        <w:t>9</w:t>
      </w:r>
      <w:r>
        <w:t>3–</w:t>
      </w:r>
      <w:r>
        <w:t xml:space="preserve"> </w:t>
      </w:r>
      <w:r>
        <w:t>）作为一个变革性的网络形成单元，通过简单的机械化学合成构建一个新的非晶态卤氧化物SSE家族。 P独特的九氧供体结构</w:t>
      </w:r>
      <w:r>
        <w:rPr>
          <w:vertAlign w:val="subscript"/>
        </w:rPr>
        <w:t>3</w:t>
      </w:r>
      <w:r>
        <w:t>氧</w:t>
      </w:r>
      <w:r>
        <w:rPr>
          <w:vertAlign w:val="subscript"/>
        </w:rPr>
        <w:t>9</w:t>
      </w:r>
      <w:r>
        <w:t>3–</w:t>
      </w:r>
      <w:r>
        <w:t xml:space="preserve"> </w:t>
      </w:r>
      <w:r>
        <w:t>能够与金属氯化物进行稳健的三维配位（</w:t>
      </w:r>
      <w:r>
        <w:t xml:space="preserve"> </w:t>
      </w:r>
      <w:r>
        <w:t>中号</w:t>
      </w:r>
      <w:r>
        <w:t xml:space="preserve"> </w:t>
      </w:r>
      <w:r>
        <w:t>氯</w:t>
      </w:r>
      <w:r>
        <w:t xml:space="preserve"> </w:t>
      </w:r>
      <w:r>
        <w:t>n</w:t>
      </w:r>
      <w:r>
        <w:t xml:space="preserve"> </w:t>
      </w:r>
      <w:r>
        <w:t>,</w:t>
      </w:r>
      <w:r>
        <w:t xml:space="preserve"> </w:t>
      </w:r>
      <w:r>
        <w:t>中号</w:t>
      </w:r>
      <w:r>
        <w:t xml:space="preserve"> </w:t>
      </w:r>
      <w:r>
        <w:t>= Zr、Ta、Hf、Nb、Al)，形成刚性但无序的框架，其中孤立的 Cl</w:t>
      </w:r>
      <w:r>
        <w:t xml:space="preserve"> </w:t>
      </w:r>
      <w:r>
        <w:t>–</w:t>
      </w:r>
      <w:r>
        <w:t xml:space="preserve"> </w:t>
      </w:r>
      <w:r>
        <w:t>阴离子被战略性地释放。这种独特的结构实现了动态阴离子辅助运输机制：P</w:t>
      </w:r>
      <w:r>
        <w:rPr>
          <w:vertAlign w:val="subscript"/>
        </w:rPr>
        <w:t>3</w:t>
      </w:r>
      <w:r>
        <w:t>氧</w:t>
      </w:r>
      <w:r>
        <w:rPr>
          <w:vertAlign w:val="subscript"/>
        </w:rPr>
        <w:t>9</w:t>
      </w:r>
      <w:r>
        <w:t>3–</w:t>
      </w:r>
      <w:r>
        <w:t xml:space="preserve"> </w:t>
      </w:r>
      <w:r>
        <w:t>‑桥接网络提供稳定的传导通道，而移动Cl</w:t>
      </w:r>
      <w:r>
        <w:t xml:space="preserve"> </w:t>
      </w:r>
      <w:r>
        <w:t>–</w:t>
      </w:r>
      <w:r>
        <w:t xml:space="preserve"> </w:t>
      </w:r>
      <w:r>
        <w:t>阴离子动态辅助Na</w:t>
      </w:r>
      <w:r>
        <w:t xml:space="preserve"> </w:t>
      </w:r>
      <w:r>
        <w:t>+</w:t>
      </w:r>
      <w:r>
        <w:t xml:space="preserve"> </w:t>
      </w:r>
      <w:r>
        <w:t>通过减轻空间和静电势垒来进行跳跃</w:t>
      </w:r>
    </w:p>
    <w:p>
      <w:pPr>
        <w:spacing w:before="0" w:after="200" w:lineRule="auto" w:line="276"/>
      </w:pPr>
      <w:r>
        <w:rPr>
          <w:b/>
        </w:rPr>
        <w:t xml:space="preserve">Abstract (EN): </w:t>
      </w:r>
      <w:r>
        <w:t>Achieving solid‐state electrolytes (SSEs) that combine fast Na</w:t>
      </w:r>
      <w:r>
        <w:t xml:space="preserve"> </w:t>
      </w:r>
      <w:r>
        <w:t>+</w:t>
      </w:r>
      <w:r>
        <w:t xml:space="preserve"> </w:t>
      </w:r>
      <w:r>
        <w:t>conduction, high‐voltage stability, and deformability remains a formidable challenge for all‐solid‐state sodium‐ion batteries (ASSNIBs). Here, we introduce a cyclic trimetaphosphate anion (P</w:t>
      </w:r>
      <w:r>
        <w:rPr>
          <w:vertAlign w:val="subscript"/>
        </w:rPr>
        <w:t>3</w:t>
      </w:r>
      <w:r>
        <w:t>O</w:t>
      </w:r>
      <w:r>
        <w:rPr>
          <w:vertAlign w:val="subscript"/>
        </w:rPr>
        <w:t>9</w:t>
      </w:r>
      <w:r>
        <w:t>3–</w:t>
      </w:r>
      <w:r>
        <w:t xml:space="preserve"> </w:t>
      </w:r>
      <w:r>
        <w:t>) as a transformative network‐forming unit to construct a new family of amorphous oxyhalide SSEs via facile mechanochemical synthesis. The unique nine‐oxygen‐donor architecture of P</w:t>
      </w:r>
      <w:r>
        <w:rPr>
          <w:vertAlign w:val="subscript"/>
        </w:rPr>
        <w:t>3</w:t>
      </w:r>
      <w:r>
        <w:t>O</w:t>
      </w:r>
      <w:r>
        <w:rPr>
          <w:vertAlign w:val="subscript"/>
        </w:rPr>
        <w:t>9</w:t>
      </w:r>
      <w:r>
        <w:t>3–</w:t>
      </w:r>
      <w:r>
        <w:t xml:space="preserve"> </w:t>
      </w:r>
      <w:r>
        <w:t>enables robust, three‐dimensional coordination with metal chlorides (</w:t>
      </w:r>
      <w:r>
        <w:t xml:space="preserve"> </w:t>
      </w:r>
      <w:r>
        <w:t>M</w:t>
      </w:r>
      <w:r>
        <w:t xml:space="preserve"> </w:t>
      </w:r>
      <w:r>
        <w:t>Cl</w:t>
      </w:r>
      <w:r>
        <w:t xml:space="preserve"> </w:t>
      </w:r>
      <w:r>
        <w:t>n</w:t>
      </w:r>
      <w:r>
        <w:t xml:space="preserve"> </w:t>
      </w:r>
      <w:r>
        <w:t>,</w:t>
      </w:r>
      <w:r>
        <w:t xml:space="preserve"> </w:t>
      </w:r>
      <w:r>
        <w:t>M</w:t>
      </w:r>
      <w:r>
        <w:t xml:space="preserve"> </w:t>
      </w:r>
      <w:r>
        <w:t>= Zr, Ta, Hf, Nb, Al), forming a rigid yet disordered framework where isolated Cl</w:t>
      </w:r>
      <w:r>
        <w:t xml:space="preserve"> </w:t>
      </w:r>
      <w:r>
        <w:t>–</w:t>
      </w:r>
      <w:r>
        <w:t xml:space="preserve"> </w:t>
      </w:r>
      <w:r>
        <w:t>anions are strategically liberated. This distinctive structure enables a dynamic anion‑assisted transport mechanism: the P</w:t>
      </w:r>
      <w:r>
        <w:rPr>
          <w:vertAlign w:val="subscript"/>
        </w:rPr>
        <w:t>3</w:t>
      </w:r>
      <w:r>
        <w:t>O</w:t>
      </w:r>
      <w:r>
        <w:rPr>
          <w:vertAlign w:val="subscript"/>
        </w:rPr>
        <w:t>9</w:t>
      </w:r>
      <w:r>
        <w:t>3–</w:t>
      </w:r>
      <w:r>
        <w:t xml:space="preserve"> </w:t>
      </w:r>
      <w:r>
        <w:t>‑bridged network provides stable conduction channels, while the mobile Cl</w:t>
      </w:r>
      <w:r>
        <w:t xml:space="preserve"> </w:t>
      </w:r>
      <w:r>
        <w:t>–</w:t>
      </w:r>
      <w:r>
        <w:t xml:space="preserve"> </w:t>
      </w:r>
      <w:r>
        <w:t>anions dynamically assist Na</w:t>
      </w:r>
      <w:r>
        <w:t xml:space="preserve"> </w:t>
      </w:r>
      <w:r>
        <w:t>+</w:t>
      </w:r>
      <w:r>
        <w:t xml:space="preserve"> </w:t>
      </w:r>
      <w:r>
        <w:t>hopping by mitigating steric and electrostatic barriers, collectively achieving an ultralow activation energy of 0.33 eV. The optimized electrolyte exhibits a high room‐temperature ionic conductivity of 0.80 mS·cm</w:t>
      </w:r>
      <w:r>
        <w:t xml:space="preserve"> </w:t>
      </w:r>
      <w:r>
        <w:t>−1</w:t>
      </w:r>
      <w:r>
        <w:t xml:space="preserve"> </w:t>
      </w:r>
      <w:r>
        <w:t>and a wide electrochemical window of 1.4–4.2 V. ASSNIBs assembled with a NaNi</w:t>
      </w:r>
      <w:r>
        <w:t xml:space="preserve"> </w:t>
      </w:r>
      <w:r>
        <w:t>0.33</w:t>
      </w:r>
      <w:r>
        <w:t xml:space="preserve"> </w:t>
      </w:r>
      <w:r>
        <w:t>Fe</w:t>
      </w:r>
      <w:r>
        <w:t xml:space="preserve"> </w:t>
      </w:r>
      <w:r>
        <w:t>0.33</w:t>
      </w:r>
      <w:r>
        <w:t xml:space="preserve"> </w:t>
      </w:r>
      <w:r>
        <w:t>Mn</w:t>
      </w:r>
      <w:r>
        <w:t xml:space="preserve"> </w:t>
      </w:r>
      <w:r>
        <w:t>0.33</w:t>
      </w:r>
      <w:r>
        <w:t xml:space="preserve"> </w:t>
      </w:r>
      <w:r>
        <w:t>O</w:t>
      </w:r>
      <w:r>
        <w:rPr>
          <w:vertAlign w:val="subscript"/>
        </w:rPr>
        <w:t>2</w:t>
      </w:r>
      <w:r>
        <w:t>cathode demonstrate stable cycling at 4.2 V, retaining 92% capacity after 300 cycles at 0.5C. This work pioneers the use of macrocyclic polyphosphates in SSEs, establishing a new design paradigm that simultaneously addresses ionic conductivity, stability, and interfacial compatibility.</w:t>
      </w:r>
    </w:p>
    <w:p>
      <w:pPr>
        <w:spacing w:before="120" w:after="120"/>
      </w:pPr>
      <w:r>
        <w:rPr>
          <w:sz w:val="18"/>
        </w:rPr>
        <w:t>——————————————————————————————————————————————————————————————————————</w:t>
      </w:r>
    </w:p>
    <w:p>
      <w:pPr>
        <w:spacing w:before="160" w:after="40" w:line="240" w:lineRule="auto"/>
      </w:pPr>
      <w:r>
        <w:rPr>
          <w:b/>
        </w:rPr>
        <w:t xml:space="preserve">[9] </w:t>
      </w:r>
      <w:hyperlink r:id="rId139">
        <w:r>
          <w:rPr>
            <w:color w:val="1155CC"/>
            <w:u w:val="single"/>
          </w:rPr>
          <w:t>使用 2-碘辛烷电解质添加剂回收非活性锂，实现两年使用寿命内的超稳定锂金属电池</w:t>
        </w:r>
      </w:hyperlink>
    </w:p>
    <w:p>
      <w:pPr>
        <w:spacing w:before="0" w:after="80"/>
      </w:pPr>
      <w:r>
        <w:rPr>
          <w:i/>
          <w:sz w:val="20"/>
        </w:rPr>
        <w:t>EN: Reclaiming Inactive Lithium with a 2-Iodooctane Electrolyte Additive for Ultrastable Lithium Metal Batteries over a Two-Year Lifespan</w:t>
      </w:r>
    </w:p>
    <w:p>
      <w:pPr>
        <w:spacing w:before="0" w:after="120"/>
      </w:pPr>
      <w:r>
        <w:rPr>
          <w:b/>
        </w:rPr>
        <w:t xml:space="preserve">Source: </w:t>
      </w:r>
      <w:r>
        <w:t>ACS Energy Letters: Latest Articles (ACS Publications)</w:t>
      </w:r>
      <w:r>
        <w:t xml:space="preserve">    </w:t>
      </w:r>
      <w:r>
        <w:rPr>
          <w:b/>
        </w:rPr>
        <w:t xml:space="preserve">Pub date: </w:t>
      </w:r>
      <w:r>
        <w:t>2026-07-20 00:00:00+00:00</w:t>
      </w:r>
      <w:r>
        <w:t xml:space="preserve">    </w:t>
      </w:r>
      <w:r>
        <w:rPr>
          <w:b/>
        </w:rPr>
        <w:t xml:space="preserve">DOI: </w:t>
      </w:r>
      <w:hyperlink r:id="rId140">
        <w:r>
          <w:rPr>
            <w:color w:val="1155CC"/>
            <w:u w:val="single"/>
          </w:rPr>
          <w:t>10.1021/acsenergylett.6c01456</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高能量密度锂金属电池能量衰减的主要原因是非活性锂的积累，包括锂枝晶生长引起的非活性金属锂和副反应产生的锂化合物，这降低了阳极利用率并阻碍了锂离子传输。因此，开发能够抑制锂枝晶生长并稳定界面结构的电解质添加剂至关重要。在这里，我们将2-碘辛烷引入电解质中，其在阳极发生反应并在阴极被氧化，生成I 3−/I− 氧化还原介质，将不活泼的Li 转化为Li 2 O 并回收Li 离子。由于回收了不活泼的锂，半电池表现出高达 99.03% 的库仑效率，同时抑制了锂枝晶的生长。因此，对称电池在 2 mA cm−2 下表现出三倍的稳定性，具有 730 天的超长寿命，而软包电池在 100 次循环后仍保留超过 88% 的容量，展现出巨大的商业应用潜力。 ACS 出版物 © 2026 美国化学会</w:t>
      </w:r>
    </w:p>
    <w:p>
      <w:pPr>
        <w:spacing w:before="0" w:after="200" w:lineRule="auto" w:line="276"/>
      </w:pPr>
      <w:r>
        <w:rPr>
          <w:b/>
        </w:rPr>
        <w:t xml:space="preserve">Abstract (EN): </w:t>
      </w:r>
      <w:r>
        <w:t>Click to copy section link Section link copied! A primary cause of the energy fading in high-energy-density lithium (Li) metal batteries is the accumulation of inactive Li, including inactive metallic Li caused by Li dendrite growth and Li compounds resulted from side reactions, which reduce anode utilization efficiency and hinder Li-ion transport. Therefore, it is crucial to develop electrolyte additives that can suppress Li dendrite growth and stabilize the interfacial structure. Here, we introduce 2-iodooctane into the electrolyte, which reacts at the anode and is oxidized at the cathode to generate the I 3−/I− redox mediator that converts inactive Li to Li 2 O and recovers Li ions. Owing to the recovered inactive Li, the half-cells exhibit a high Coulombic efficiency of 99.03% with restrained Li dendrite growth. Accordingly, the symmetric cells perform tripled stability with an ultralong lifespan of 730 days at 2 mA cm−2, while the pouch cells retain an over 88% capacity after 100 cycles, demonstrating substantial commercial application potential. ACS Publications © 2026 American Chemical Society</w:t>
      </w:r>
    </w:p>
    <w:p>
      <w:pPr>
        <w:spacing w:before="120" w:after="120"/>
      </w:pPr>
      <w:r>
        <w:rPr>
          <w:sz w:val="18"/>
        </w:rPr>
        <w:t>——————————————————————————————————————————————————————————————————————</w:t>
      </w:r>
    </w:p>
    <w:p>
      <w:pPr>
        <w:spacing w:before="160" w:after="40" w:line="240" w:lineRule="auto"/>
      </w:pPr>
      <w:r>
        <w:rPr>
          <w:b/>
        </w:rPr>
        <w:t xml:space="preserve">[10] </w:t>
      </w:r>
      <w:hyperlink r:id="rId141">
        <w:r>
          <w:rPr>
            <w:color w:val="1155CC"/>
            <w:u w:val="single"/>
          </w:rPr>
          <w:t>用于可持续钠离子全电池的具有阴离子增强溶剂化化学的无氟乙腈基电解质</w:t>
        </w:r>
      </w:hyperlink>
    </w:p>
    <w:p>
      <w:pPr>
        <w:spacing w:before="0" w:after="80"/>
      </w:pPr>
      <w:r>
        <w:rPr>
          <w:i/>
          <w:sz w:val="20"/>
        </w:rPr>
        <w:t>EN: Fluorine-free acetonitrile-based electrolytes with anion-reinforced solvation chemistry for sustainable sodium-ion full batteries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乙腈基电解质由于其高离子电导率和良好的抗氧化性而在钠离子电池中引起了广泛关注。然而，它们的实际应用受到不令人满意的抗还原能力的阻碍，导致与硬碳负极的兼容性差，从而导致容量快速下降。在这里，我们采用广泛使用的商业碳酸酯溶剂（碳酸甲乙酯）来调节无氟乙腈基电解质中的离子偶极相互作用。碳酸甲乙酯相对较弱的溶剂化能力有利于更多的阴离子参与内部溶剂化鞘，从而促进在较宽的温度范围内形成坚固的电极-电解质界面。这种稳定的界面有效地抑制了电解液的连续分解，显着提高了无氟乙腈基电解液与硬碳阳极之间的相容性。因此，优化后的电解质使硬碳||普鲁士蓝全电池能够在较宽的温度范围（25-100°C）内稳定运行，在55°C和1.0°C下循环600次后容量保持率为62.5%。值得注意的是，安时级硬碳||普鲁士蓝软包电池在25°C和55°C下均提供一致的电化学性能。这项研究阐明了共溶剂工程在增强无氟乙腈基电解质的还原稳定性方面的机制作用，并为其实际应用提供了可行的电解质设计策略</w:t>
      </w:r>
    </w:p>
    <w:p>
      <w:pPr>
        <w:spacing w:before="0" w:after="200" w:lineRule="auto" w:line="276"/>
      </w:pPr>
      <w:r>
        <w:rPr>
          <w:b/>
        </w:rPr>
        <w:t xml:space="preserve">Abstract (EN): </w:t>
      </w:r>
      <w:r>
        <w:t>Acetonitrile-based electrolytes have garnered significant attention for sodium-ion batteries due to their high ionic conductivity and favorable oxidation resistance. However, their practical implementation is hindered by an unsatisfactory anti-reduction ability, leading to poor compatibility with hard carbon anode and, consequently, rapid capacity degradation. Herein, we employ a widely used commercial carbonate ester solvent (ethyl methyl carbonate) to modulate the ion-dipole interactions in fluorine-free acetonitrile-based electrolytes. The relatively weak solvation ability of ethyl methyl carbonate facilitates more anions to participate the inner solvation sheath, thereby promoting the formation of robust electrode-electrolyte interface at a wide temperature range. This stabilized interface effectively suppresses continuous electrolyte decomposition, significantly improving the compatibility between fluorine-free acetonitrile-based electrolytes and hard carbon anodes. As a result, the optimized electrolyte enables stable operation of hard carbon ||Prussian blue full cells over a wide temperature range (25-100 °C), demonstrating a capacity retention of 62.5% after 600 cycles at 55 °C and 1.0 C. It is worth noting that Ampere-hour-level hard carbon ||Prussian blue pouch cells deliver consistent electrochemical performance at both 25 °C and 55 °C. This study elucidates the mechanistic role of cosolvent engineering in enhancing the reductive stability of fluorine-free acetonitrile-based electrolytes and provides a viable electrolyte design strategy for their practical implementation in sodium-ion batteries.</w:t>
      </w:r>
    </w:p>
    <w:p>
      <w:pPr>
        <w:spacing w:before="120" w:after="120"/>
      </w:pPr>
      <w:r>
        <w:rPr>
          <w:sz w:val="18"/>
        </w:rPr>
        <w:t>——————————————————————————————————————————————————————————————————————</w:t>
      </w:r>
    </w:p>
    <w:p>
      <w:pPr>
        <w:spacing w:before="160" w:after="40" w:line="240" w:lineRule="auto"/>
      </w:pPr>
      <w:r>
        <w:rPr>
          <w:b/>
        </w:rPr>
        <w:t xml:space="preserve">[11] </w:t>
      </w:r>
      <w:hyperlink r:id="rId121">
        <w:r>
          <w:rPr>
            <w:color w:val="1155CC"/>
            <w:u w:val="single"/>
          </w:rPr>
          <w:t>用于无枝晶锌离子混合超级电容器的生物质酸协同调节水凝胶电解质和电极保护层</w:t>
        </w:r>
      </w:hyperlink>
    </w:p>
    <w:p>
      <w:pPr>
        <w:spacing w:before="0" w:after="80"/>
      </w:pPr>
      <w:r>
        <w:rPr>
          <w:i/>
          <w:sz w:val="20"/>
        </w:rPr>
        <w:t>EN: Biomass Acid Synergistically Regulated Hydrogel Electrolyte and Electrode-Protective Layer for Dendrite-Free Zinc-Ion Hybrid Supercapacitors</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22">
        <w:r>
          <w:rPr>
            <w:color w:val="1155CC"/>
            <w:u w:val="single"/>
          </w:rPr>
          <w:t>10.1021/acsami.6c06949</w:t>
        </w:r>
      </w:hyperlink>
    </w:p>
    <w:p>
      <w:pPr>
        <w:spacing w:before="0" w:after="120"/>
      </w:pPr>
      <w:r>
        <w:rPr>
          <w:b/>
        </w:rPr>
        <w:t xml:space="preserve">Notes: </w:t>
      </w:r>
      <w:r>
        <w:t>abstract_source=pubmed</w:t>
      </w:r>
    </w:p>
    <w:p>
      <w:pPr>
        <w:spacing w:before="0" w:after="80" w:lineRule="auto" w:line="276"/>
      </w:pPr>
      <w:r>
        <w:rPr>
          <w:b/>
        </w:rPr>
        <w:t xml:space="preserve">摘要（ZH）: </w:t>
      </w:r>
      <w:r>
        <w:t>由于经济可行性、环境友好性和安全性，锌离子混合超级电容器在储能领域具有广阔的前景。然而，它们的应用受到锌枝晶、腐蚀和析氢等问题的限制。在此，生物质酸苹果酸（MA）被用作水凝胶电解质添加剂和酸蚀刻剂。通过同时优化电解质成分并通过蚀刻锌阳极诱导人工固体电解质中间相（SEI）层的形成，显着增强了锌阳极的稳定性。 MA修饰的水凝胶电解质调节Zn2+溶剂化结构并降低Zn2+去溶剂化能，将Zn2+迁移数从0.303增加到0.598。此外，MA-Zn 人造 SEI 层将锌阳极与水隔离，最大限度地减少寄生反应并使电场均匀化。基于双重调节机制，Zn//Zn对称电池中锌阳极的寿命在10 mA cm-2下从82小时延长至900小时以上。此外，组装的锌离子混合超级电容器在5000次循环后表现出均匀光滑的锌沉积层，电容保持率为87.8%。此外，由于MA改性水凝胶电解质表现出优异的机械柔韧性和对电极的强附着力，超级电容器可以在弯曲和压缩等多种机械应力下可靠运行。协调调节策略为增强锌储能装置的循环稳定性提供了一种有前途的解决方案。</w:t>
      </w:r>
    </w:p>
    <w:p>
      <w:pPr>
        <w:spacing w:before="0" w:after="200" w:lineRule="auto" w:line="276"/>
      </w:pPr>
      <w:r>
        <w:rPr>
          <w:b/>
        </w:rPr>
        <w:t xml:space="preserve">Abstract (EN): </w:t>
      </w:r>
      <w:r>
        <w:t>Zinc-ion hybrid supercapacitors hold great promise for energy storage due to economic viability, environmental friendliness, and safety. However, their application is restricted by issues such as Zn dendrites, corrosion, and hydrogen evolution. Herein, a biomass acid, malic acid (MA), was used as both a hydrogel electrolyte additive and an acid etchant. By simultaneously optimizing the electrolyte component and inducing the formation of an artificial solid electrolyte interphase (SEI) layer via etching the Zn anode, significantly enhancing the stability of the Zn anode. The MA-modified hydrogel electrolyte regulates Zn2+ solvation structure and reduces Zn2+ desolvation energy, increasing the Zn2+ transference number from 0.303 to 0.598. In addition, the MA-Zn artificial SEI layer isolates the Zn anode from water, minimizing parasitic reactions and homogenizing the electric field. Based on the dual-regulation mechanism, the lifespan of a Zn anode in the Zn//Zn symmetric cell is prolonged from 82 h to over 900 h at 10 mA cm-2. Besides, the assembled zinc-ion hybrid supercapacitor exhibits a homogeneous and smooth Zn deposition layer after 5000 cycles with a capacitance retention of 87.8%. Furthermore, because the MA-modified hydrogel electrolyte demonstrates excellent mechanical flexibility and strong adhesion to the electrodes, the supercapacitor could operate reliably under multiple mechanical stresses such as bending and compression. The coordinated regulation strategy provides a promising solution for enhancing the cycling stability of zinc energy storage devices.</w:t>
      </w:r>
    </w:p>
    <w:p>
      <w:pPr>
        <w:spacing w:before="120" w:after="120"/>
      </w:pPr>
      <w:r>
        <w:rPr>
          <w:sz w:val="18"/>
        </w:rPr>
        <w:t>——————————————————————————————————————————————————————————————————————</w:t>
      </w:r>
    </w:p>
    <w:p>
      <w:pPr>
        <w:spacing w:before="160" w:after="40" w:line="240" w:lineRule="auto"/>
      </w:pPr>
      <w:r>
        <w:rPr>
          <w:b/>
        </w:rPr>
        <w:t xml:space="preserve">[12] </w:t>
      </w:r>
      <w:hyperlink r:id="rId142">
        <w:r>
          <w:rPr>
            <w:color w:val="1155CC"/>
            <w:u w:val="single"/>
          </w:rPr>
          <w:t>通过共价有机骨架增强聚合物电解质工程离子迁移和界面化学用于快速充电钠固态电池</w:t>
        </w:r>
      </w:hyperlink>
    </w:p>
    <w:p>
      <w:pPr>
        <w:spacing w:before="0" w:after="80"/>
      </w:pPr>
      <w:r>
        <w:rPr>
          <w:i/>
          <w:sz w:val="20"/>
        </w:rPr>
        <w:t>EN: Engineering ion migration and interface chemistry via covalent organic framework-enhanced polymer electrolytes for fast-charging sodium solid-state batteries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固态钠电池为安全且经济高效的储能提供了一条有前景的途径，但其实际实施仍然受到将快速离子传输与稳定的电极-电解质界面耦合的困难的限制，特别是在快速充电和长循环条件下。在这里，我们报告了一种通过协同结构和化学调控开发的共价有机框架/聚（丙烯酸钠-共氟化乙烯）（COF/PNSE）复合电解质。对齐的纳米多孔 COF 提供连续的 Na⁺ 传输路径，同时机械增强 PNSE 基质，在 30 °C 下提供 1.2 mS cm−1 的离子电导率。这种集成电解质具有强大的钠金属兼容性，对称钠电池在 85 mV 低极化和 1.9 mA cm−2 临界电流密度下运行 6,750 小时就证明了这一点。娜 | |Na2/3Ni1/3Mn2/3O2 电池在 1 A g−1 下提供 82.5 mAh g−1，并在 100 mA g−1 下循环 1,000 次后保留 77.2% 的容量，同时在 4.2 V 下 180 次循环中保持 92.7% 的保留率，在 1 A g−1 下 2,000 次循环中保持 83.5% 的保留率。 Ah 级软包电池在 1 A 电流下循环 488 次后仍保留 87.3% 的容量。机理分析表明，COF 框架引导均匀的 Na 沉积并促进双梯度 NaF/Na2O 富集界面相，抑制枝晶生长并稳定两个电极。这些发现为未来固态钠电池的复合电解质设计提供了信息。</w:t>
      </w:r>
    </w:p>
    <w:p>
      <w:pPr>
        <w:spacing w:before="0" w:after="200" w:lineRule="auto" w:line="276"/>
      </w:pPr>
      <w:r>
        <w:rPr>
          <w:b/>
        </w:rPr>
        <w:t xml:space="preserve">Abstract (EN): </w:t>
      </w:r>
      <w:r>
        <w:t>Solid-state sodium batteries offer a promising route toward safe and cost-effective energy storage, yet their practical implementation remains limited by the difficulty of coupling fast ion transport with stable electrode–electrolyte interfaces, especially under fast-charging and long-cycling conditions. Here we report a covalent organic framework/poly(sodium acrylate-co-fluorinated ethylene) (COF/PNSE) composite electrolyte developed through synergistic structural and chemical regulation. The aligned nanoporous COF provides continuous Na⁺ transport pathways while mechanically reinforcing the PNSE matrix, delivering an ionic conductivity of 1.2 mS cm−1 at 30 °C. This integrated electrolyte enables robust Na metal compatibility, as demonstrated by symmetric Na cells operating for 6,750 h with low polarization of 85 mV and a critical current density of 1.9 mA cm−2. Na | |Na2/3Ni1/3Mn2/3O2 batteries deliver 82.5 mAh g−1 at 1 A g−1 and retain 77.2% capacity after 1,000 cycles at 100 mA g−1, while maintaining 92.7% retention at 4.2 V over 180 cycles and 83.5% retention at 1 A g−1 over 2,000 cycles. Ah-level pouch cells further retain 87.3% capacity after 488 cycles at 1 A. Mechanistic analyses reveal that the COF framework guides uniform Na deposition and promotes dual-gradient NaF/Na2O-rich interphases, suppressing dendrite growth and stabilizing both electrodes. These findings inform future composite electrolyte design for solid-state sodium batteries.</w:t>
      </w:r>
    </w:p>
    <w:p>
      <w:pPr>
        <w:spacing w:before="120" w:after="120"/>
      </w:pPr>
      <w:r>
        <w:rPr>
          <w:sz w:val="18"/>
        </w:rPr>
        <w:t>——————————————————————————————————————————————————————————————————————</w:t>
      </w:r>
    </w:p>
    <w:p>
      <w:pPr>
        <w:spacing w:before="160" w:after="40" w:line="240" w:lineRule="auto"/>
      </w:pPr>
      <w:r>
        <w:rPr>
          <w:b/>
        </w:rPr>
        <w:t xml:space="preserve">[13] </w:t>
      </w:r>
      <w:hyperlink r:id="rId143">
        <w:r>
          <w:rPr>
            <w:color w:val="1155CC"/>
            <w:u w:val="single"/>
          </w:rPr>
          <w:t>连接锂金属固态电池的大规模可制造性和纳米级界面化学</w:t>
        </w:r>
      </w:hyperlink>
    </w:p>
    <w:p>
      <w:pPr>
        <w:spacing w:before="0" w:after="80"/>
      </w:pPr>
      <w:r>
        <w:rPr>
          <w:i/>
          <w:sz w:val="20"/>
        </w:rPr>
        <w:t>EN: Bridging Large‐Scale Manufacturability and Nanoscale Interfacial Chemistry in Lithium Metal Solid‐State Batteries</w:t>
      </w:r>
    </w:p>
    <w:p>
      <w:pPr>
        <w:spacing w:before="0" w:after="120"/>
      </w:pPr>
      <w:r>
        <w:rPr>
          <w:b/>
        </w:rPr>
        <w:t xml:space="preserve">Source: </w:t>
      </w:r>
      <w:r>
        <w:t>Wiley: Advanced Materials: Table of Contents</w:t>
      </w:r>
      <w:r>
        <w:t xml:space="preserve">    </w:t>
      </w:r>
      <w:r>
        <w:rPr>
          <w:b/>
        </w:rPr>
        <w:t xml:space="preserve">Pub date: </w:t>
      </w:r>
      <w:r>
        <w:t>2026-07-20 11:02:19+00:00</w:t>
      </w:r>
      <w:r>
        <w:t xml:space="preserve">    </w:t>
      </w:r>
      <w:r>
        <w:rPr>
          <w:b/>
        </w:rPr>
        <w:t xml:space="preserve">DOI: </w:t>
      </w:r>
      <w:hyperlink r:id="rId144">
        <w:r>
          <w:rPr>
            <w:color w:val="1155CC"/>
            <w:u w:val="single"/>
          </w:rPr>
          <w:t>10.1002/adma.74194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解决锂金属全固态电池的界面不稳定性，人们采用了保护性中间层，但大多数依赖于与可规模化制造不兼容的涂层或贵金属添加剂。在这里，我们报告了一种基于纳米红磷的界面设计，该设计能够在与Li接触时实现自生化学润湿，自发形成Li</w:t>
      </w:r>
      <w:r>
        <w:rPr>
          <w:vertAlign w:val="subscript"/>
        </w:rPr>
        <w:t>3</w:t>
      </w:r>
      <w:r>
        <w:t>富磷中间相，称为自生化学湿中间层。该反应层通过原位化学转化来自我调节离子传输和界面粘附，产生均匀的锂离子通量和均匀分布的界面电流，从而实现高电流密度下稳定的电镀和剥离以及可靠的高速率固态循环。化学润湿机制本质上与卷对卷转移印刷兼容，并且能够在大面积电极上实现无缺陷层压。这种机械-电化学耦合调节为固态电极的可扩展制造奠定了基础，如 6 Ah 级软包电池所证明的那样。这些发现将纳米级界面反应性与宏观可加工性联系起来，并为高能、大型固态锂金属电池的实际实施迈出了一步。</w:t>
      </w:r>
    </w:p>
    <w:p>
      <w:pPr>
        <w:spacing w:before="0" w:after="200" w:lineRule="auto" w:line="276"/>
      </w:pPr>
      <w:r>
        <w:rPr>
          <w:b/>
        </w:rPr>
        <w:t xml:space="preserve">Abstract (EN): </w:t>
      </w:r>
      <w:r>
        <w:t>To address interfacial instability in Li metal all‐solid‐state batteries, protective interlayers have been adopted, yet most rely on coatings or noble metal additives incompatible with scalable manufacturing. Here, we report a nanosized red phosphorus–based interfacial design that enables autogenous chemo‐wetting upon contact with Li, spontaneously forming a Li</w:t>
      </w:r>
      <w:r>
        <w:rPr>
          <w:vertAlign w:val="subscript"/>
        </w:rPr>
        <w:t>3</w:t>
      </w:r>
      <w:r>
        <w:t>P‐rich interphase, referred to as the autogenous chemo‐wet interlayer. This reactive layer self‐regulates ionic transport and interfacial adhesion through in situ chemical conversion, producing uniform Li‐ion flux and well‐distributed interfacial current, thereby enabling stable plating and stripping at high current densities and reliable high‐rate solid‐state cycling. The chemo‐wetting mechanism is inherently compatible with roll‐to‐roll transfer printing and enables defect‐free lamination across large‐area electrodes. This coupled mechanical–electrochemical regulation underpins scalable fabrication of solid‐state electrodes, as demonstrated in 6 Ah‐class pouch cells. These discoveries bridge nanoscale interfacial reactivity with macroscale processability and present a step toward practical implementation toward high‐energy, large‐format solid‐state Li metal batteries.</w:t>
      </w:r>
    </w:p>
    <w:p>
      <w:pPr>
        <w:spacing w:before="120" w:after="120"/>
      </w:pPr>
      <w:r>
        <w:rPr>
          <w:sz w:val="18"/>
        </w:rPr>
        <w:t>——————————————————————————————————————————————————————————————————————</w:t>
      </w:r>
    </w:p>
    <w:p>
      <w:pPr>
        <w:spacing w:before="160" w:after="40" w:line="240" w:lineRule="auto"/>
      </w:pPr>
      <w:r>
        <w:rPr>
          <w:b/>
        </w:rPr>
        <w:t xml:space="preserve">[14] </w:t>
      </w:r>
      <w:hyperlink r:id="rId145">
        <w:r>
          <w:rPr>
            <w:color w:val="1155CC"/>
            <w:u w:val="single"/>
          </w:rPr>
          <w:t>通过多盐和丙酮-酯溶剂调节实现低温 LiCoO 2 ||石墨电池</w:t>
        </w:r>
      </w:hyperlink>
    </w:p>
    <w:p>
      <w:pPr>
        <w:spacing w:before="0" w:after="80"/>
      </w:pPr>
      <w:r>
        <w:rPr>
          <w:i/>
          <w:sz w:val="20"/>
        </w:rPr>
        <w:t>EN: Low-Temperature LiCoO 2 ||Graphite Batteries Enabled by Multi-Salt and Acetone–Ester Solvent Regulation</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46">
        <w:r>
          <w:rPr>
            <w:color w:val="1155CC"/>
            <w:u w:val="single"/>
          </w:rPr>
          <w:t>10.1021/acsami.6c11345</w:t>
        </w:r>
      </w:hyperlink>
    </w:p>
    <w:p>
      <w:pPr>
        <w:spacing w:before="0" w:after="120"/>
      </w:pPr>
      <w:r>
        <w:rPr>
          <w:b/>
        </w:rPr>
        <w:t xml:space="preserve">Notes: </w:t>
      </w:r>
      <w:r>
        <w:t>abstract_source=pubmed</w:t>
      </w:r>
    </w:p>
    <w:p>
      <w:pPr>
        <w:spacing w:before="0" w:after="80" w:lineRule="auto" w:line="276"/>
      </w:pPr>
      <w:r>
        <w:rPr>
          <w:b/>
        </w:rPr>
        <w:t xml:space="preserve">摘要（ZH）: </w:t>
      </w:r>
      <w:r>
        <w:t>锂离子电池在低温下的性能受到缓慢的去溶剂化动力学和不稳定的电极界面的严重限制。在此，我们开发了一种无氟化溶剂的低温电解质 FBN-442，由溶解在丙酮 (DMK)、乙酸甲酯 (MA) 和碳酸亚乙烯酯 (VC) 混合溶剂中的 1.0 m 盐 (LiFSI/LiODFB = 7:3) 和 0.15 m LiNO3 添加剂组成。在理论计算和综合实验分析的指导下，我们构建了定制的溶剂化结构，其中DMK促进盐解离，MA提供适度的Li+亲和力和低熔点，VC有助于有效的成膜。这种优化的溶剂化环境平衡了本体离子传输与界面电荷转移动力学，并驱动致密、富含无机物的界面层的形成。因此，石墨和LiCoO2电极表现出显着改善的低温和高倍率性能。电解质的有效性在软包电池中得到了进一步验证，即使在 -40 °C 下，软包电池仍保留 78% 的室温容量（30 °C 时为 0.85 Ah 与 1.1 Ah）。这些结果凸显了溶剂化结构调节在使高能锂离子电池在宽温度范围内可靠运行方面的关键作用。</w:t>
      </w:r>
    </w:p>
    <w:p>
      <w:pPr>
        <w:spacing w:before="0" w:after="200" w:lineRule="auto" w:line="276"/>
      </w:pPr>
      <w:r>
        <w:rPr>
          <w:b/>
        </w:rPr>
        <w:t xml:space="preserve">Abstract (EN): </w:t>
      </w:r>
      <w:r>
        <w:t>The performance of lithium-ion batteries at low temperatures is severely constrained by sluggish desolvation kinetics and unstable electrode interfaces. Here, we develop a fluorinated-solvent-free, low-temperature electrolyte, FBN-442, composed of 1.0 m salts (LiFSI/LiODFB = 7:3) and 0.15 m LiNO3 additive dissolved in a mixed solvent of acetone (DMK), methyl acetate (MA), and vinylene carbonate (VC). Guided by theoretical calculations and comprehensive experimental analyses, we construct a tailored solvation structure, in which DMK promotes salt dissociation, MA provides moderate Li+ affinity and a low melting point, and VC contributes effective film formation. This optimized solvation environment balances bulk ion transport with interfacial charge-transfer kinetics and drives the formation of dense, inorganic-rich interphase layers. As a result, graphite and LiCoO2 electrodes exhibit markedly improved low-temperature and high-rate performance. The effectiveness of the electrolyte is further validated in pouch cells, which retain 78% of their room-temperature capacity even at -40 °C (0.85 Ah vs 1.1 Ah at 30 °C). These results highlight the critical role of solvation-structure regulation in enabling high-energy lithium-ion batteries to operate reliably across wide temperature ranges.</w:t>
      </w:r>
    </w:p>
    <w:p>
      <w:pPr>
        <w:spacing w:before="120" w:after="120"/>
      </w:pPr>
      <w:r>
        <w:rPr>
          <w:sz w:val="18"/>
        </w:rPr>
        <w:t>——————————————————————————————————————————————————————————————————————</w:t>
      </w:r>
    </w:p>
    <w:p>
      <w:pPr>
        <w:spacing w:before="160" w:after="40" w:line="240" w:lineRule="auto"/>
      </w:pPr>
      <w:r>
        <w:rPr>
          <w:b/>
        </w:rPr>
        <w:t xml:space="preserve">[15] </w:t>
      </w:r>
      <w:hyperlink r:id="rId147">
        <w:r>
          <w:rPr>
            <w:color w:val="1155CC"/>
            <w:u w:val="single"/>
          </w:rPr>
          <w:t>锂金属电池的熵驱动电解质设计：利用氟化富勒烯纳米颗粒添加剂实现界面稳定性</w:t>
        </w:r>
      </w:hyperlink>
    </w:p>
    <w:p>
      <w:pPr>
        <w:spacing w:before="0" w:after="80"/>
      </w:pPr>
      <w:r>
        <w:rPr>
          <w:i/>
          <w:sz w:val="20"/>
        </w:rPr>
        <w:t>EN: Entropy‐Driven Electrolyte Design for Lithium Metal Batteries: Achieving Interfacial Stability With Fluorinated Fullerene Nanoparticle Additives</w:t>
      </w:r>
    </w:p>
    <w:p>
      <w:pPr>
        <w:spacing w:before="0" w:after="120"/>
      </w:pPr>
      <w:r>
        <w:rPr>
          <w:b/>
        </w:rPr>
        <w:t xml:space="preserve">Source: </w:t>
      </w:r>
      <w:r>
        <w:t>Wiley: Advanced Materials: Table of Contents</w:t>
      </w:r>
      <w:r>
        <w:t xml:space="preserve">    </w:t>
      </w:r>
      <w:r>
        <w:rPr>
          <w:b/>
        </w:rPr>
        <w:t xml:space="preserve">Pub date: </w:t>
      </w:r>
      <w:r>
        <w:t>2026-07-21 08:39:24+00:00</w:t>
      </w:r>
      <w:r>
        <w:t xml:space="preserve">    </w:t>
      </w:r>
      <w:r>
        <w:rPr>
          <w:b/>
        </w:rPr>
        <w:t xml:space="preserve">DOI: </w:t>
      </w:r>
      <w:hyperlink r:id="rId148">
        <w:r>
          <w:rPr>
            <w:color w:val="1155CC"/>
            <w:u w:val="single"/>
          </w:rPr>
          <w:t>10.1002/adma.74227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对于下一代高能量密度存储非常有吸引力，而LiFSI/DME等醚基电解质由于其低粘度、高离子电导率以及与锂金属良好的相容性而特别适合高倍率运行。然而，当前的电解质优化策略仍然主要依赖于调节本体溶剂化的小分子添加剂或初级锂</w:t>
      </w:r>
      <w:r>
        <w:t xml:space="preserve"> </w:t>
      </w:r>
      <w:r>
        <w:t>+</w:t>
      </w:r>
      <w:r>
        <w:t xml:space="preserve"> </w:t>
      </w:r>
      <w:r>
        <w:t>溶剂化鞘，而大分子添加剂对界面溶剂化环境的熵驱动调节在很大程度上仍未被探索。在此，氟化富勒烯C</w:t>
      </w:r>
      <w:r>
        <w:rPr>
          <w:vertAlign w:val="subscript"/>
        </w:rPr>
        <w:t>60</w:t>
      </w:r>
      <w:r>
        <w:t>F</w:t>
      </w:r>
      <w:r>
        <w:rPr>
          <w:vertAlign w:val="subscript"/>
        </w:rPr>
        <w:t>30</w:t>
      </w:r>
      <w:r>
        <w:t>(FF) 作为纳米颗粒添加剂引入，以创建动态无序界面，在不牺牲 Li 的情况下增强构型熵</w:t>
      </w:r>
      <w:r>
        <w:t xml:space="preserve"> </w:t>
      </w:r>
      <w:r>
        <w:t>+</w:t>
      </w:r>
      <w:r>
        <w:t xml:space="preserve"> </w:t>
      </w:r>
      <w:r>
        <w:t>扩散率，同时加速Li</w:t>
      </w:r>
      <w:r>
        <w:t xml:space="preserve"> </w:t>
      </w:r>
      <w:r>
        <w:t>+</w:t>
      </w:r>
      <w:r>
        <w:t xml:space="preserve"> </w:t>
      </w:r>
      <w:r>
        <w:t>去溶剂化和运输。同时，FF与FSI合作</w:t>
      </w:r>
      <w:r>
        <w:t xml:space="preserve"> </w:t>
      </w:r>
      <w:r>
        <w:t>-</w:t>
      </w:r>
      <w:r>
        <w:t>衍生物种来构建强大的富氟SEI，抑制枝晶生长和寄生反应。结果，Li||Li 对称电池稳定循环 1500 小时，而高负载 Li||LiFePO</w:t>
      </w:r>
      <w:r>
        <w:rPr>
          <w:vertAlign w:val="subscript"/>
        </w:rPr>
        <w:t>4</w:t>
      </w:r>
      <w:r>
        <w:t>电池在 2C 下循环 500 次后容量保留为 96.0%，在 10C 下循环 1000 次后容量保留为 95.9%。此外，软包电池和高负载Li||NCM811电池进一步验证了该技术的实际应用前景。</w:t>
      </w:r>
    </w:p>
    <w:p>
      <w:pPr>
        <w:spacing w:before="0" w:after="200" w:lineRule="auto" w:line="276"/>
      </w:pPr>
      <w:r>
        <w:rPr>
          <w:b/>
        </w:rPr>
        <w:t xml:space="preserve">Abstract (EN): </w:t>
      </w:r>
      <w:r>
        <w:t>Lithium metal batteries are highly attractive for next‐generation high‐energy‐density storage, and ether‐based electrolytes such as LiFSI/DME are particularly promising for high‐rate operation because of their low viscosity, high ionic conductivity, and favorable compatibility with Li metal. However, current electrolyte optimization strategies still rely mainly on small‐molecule additives that regulate bulk solvation or the primary Li</w:t>
      </w:r>
      <w:r>
        <w:t xml:space="preserve"> </w:t>
      </w:r>
      <w:r>
        <w:t>+</w:t>
      </w:r>
      <w:r>
        <w:t xml:space="preserve"> </w:t>
      </w:r>
      <w:r>
        <w:t>solvation sheath, whereas entropy‐driven modulation of the interfacial solvation environment by large molecular additives remains largely unexplored. Herein, fluorinated fullerene C</w:t>
      </w:r>
      <w:r>
        <w:rPr>
          <w:vertAlign w:val="subscript"/>
        </w:rPr>
        <w:t>60</w:t>
      </w:r>
      <w:r>
        <w:t>F</w:t>
      </w:r>
      <w:r>
        <w:rPr>
          <w:vertAlign w:val="subscript"/>
        </w:rPr>
        <w:t>30</w:t>
      </w:r>
      <w:r>
        <w:t>(FF) is introduced as a nanoparticle additive to create a dynamically disordered interface that enhances configurational entropy without sacrificing Li</w:t>
      </w:r>
      <w:r>
        <w:t xml:space="preserve"> </w:t>
      </w:r>
      <w:r>
        <w:t>+</w:t>
      </w:r>
      <w:r>
        <w:t xml:space="preserve"> </w:t>
      </w:r>
      <w:r>
        <w:t>diffusivity, while accelerating Li</w:t>
      </w:r>
      <w:r>
        <w:t xml:space="preserve"> </w:t>
      </w:r>
      <w:r>
        <w:t>+</w:t>
      </w:r>
      <w:r>
        <w:t xml:space="preserve"> </w:t>
      </w:r>
      <w:r>
        <w:t>desolvation and transport. Meanwhile, FF cooperates with FSI</w:t>
      </w:r>
      <w:r>
        <w:t xml:space="preserve"> </w:t>
      </w:r>
      <w:r>
        <w:t>−</w:t>
      </w:r>
      <w:r>
        <w:t>‐derived species to build a robust fluorine‐rich SEI, suppressing dendrite growth and parasitic reactions. As a result, Li||Li symmetric cells cycle stably for 1500 h, while high‐loading Li||LiFePO</w:t>
      </w:r>
      <w:r>
        <w:rPr>
          <w:vertAlign w:val="subscript"/>
        </w:rPr>
        <w:t>4</w:t>
      </w:r>
      <w:r>
        <w:t>cells retain 96.0% capacity after 500 cycles at 2C and 95.9% after 1000 cycles at 10C. Moreover, pouch cells and high‐loading Li||NCM811 cells further verify the practical promise of the FF‐enabled electrolyte for high‐rate, long‐cycling LMBs.</w:t>
      </w:r>
    </w:p>
    <w:p>
      <w:pPr>
        <w:spacing w:before="120" w:after="120"/>
      </w:pPr>
      <w:r>
        <w:rPr>
          <w:sz w:val="18"/>
        </w:rPr>
        <w:t>——————————————————————————————————————————————————————————————————————</w:t>
      </w:r>
    </w:p>
    <w:p>
      <w:pPr>
        <w:spacing w:before="160" w:after="40" w:line="240" w:lineRule="auto"/>
      </w:pPr>
      <w:r>
        <w:rPr>
          <w:b/>
        </w:rPr>
        <w:t xml:space="preserve">[16] </w:t>
      </w:r>
      <w:hyperlink r:id="rId149">
        <w:r>
          <w:rPr>
            <w:color w:val="1155CC"/>
            <w:u w:val="single"/>
          </w:rPr>
          <w:t>镧系元素轨道调制与熵增效应相结合，协同增强卤化物电解质中的界面稳定性和离子传输动力学</w:t>
        </w:r>
      </w:hyperlink>
    </w:p>
    <w:p>
      <w:pPr>
        <w:spacing w:before="0" w:after="80"/>
      </w:pPr>
      <w:r>
        <w:rPr>
          <w:i/>
          <w:sz w:val="20"/>
        </w:rPr>
        <w:t>EN: Lanthanide Orbital Modulation Coupled With Entropy Increase Effect for Synergistically Enhanced Interfacial Stability and Ion Transport Kinetics in Halide Electrolytes</w:t>
      </w:r>
    </w:p>
    <w:p>
      <w:pPr>
        <w:spacing w:before="0" w:after="120"/>
      </w:pPr>
      <w:r>
        <w:rPr>
          <w:b/>
        </w:rPr>
        <w:t xml:space="preserve">Source: </w:t>
      </w:r>
      <w:r>
        <w:t>Wiley: Advanced Materials: Table of Contents</w:t>
      </w:r>
      <w:r>
        <w:t xml:space="preserve">    </w:t>
      </w:r>
      <w:r>
        <w:rPr>
          <w:b/>
        </w:rPr>
        <w:t xml:space="preserve">Pub date: </w:t>
      </w:r>
      <w:r>
        <w:t>2026-07-21 08:47:19+00:00</w:t>
      </w:r>
      <w:r>
        <w:t xml:space="preserve">    </w:t>
      </w:r>
      <w:r>
        <w:rPr>
          <w:b/>
        </w:rPr>
        <w:t xml:space="preserve">DOI: </w:t>
      </w:r>
      <w:hyperlink r:id="rId150">
        <w:r>
          <w:rPr>
            <w:color w:val="1155CC"/>
            <w:u w:val="single"/>
          </w:rPr>
          <w:t>10.1002/adma.202523567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集高离子电导率和宽电化学窗口于一体的固态电解质（SSE）对全固态锂电池（ASSLB）构成了严峻的挑战。在此，我们提出了一种镧系元素的多阳离子混合策略，该策略将构型熵增加效应和电子结构调控引入到Li中</w:t>
      </w:r>
      <w:r>
        <w:rPr>
          <w:vertAlign w:val="subscript"/>
        </w:rPr>
        <w:t>3</w:t>
      </w:r>
      <w:r>
        <w:t>氯化钇</w:t>
      </w:r>
      <w:r>
        <w:rPr>
          <w:vertAlign w:val="subscript"/>
        </w:rPr>
        <w:t>6</w:t>
      </w:r>
      <w:r>
        <w:t>，实现离子传输和抗氧化性的同时增强。理论和实验相结合的分析证实，熵增驱动的局部结构畸变有效降低了Li的能垒</w:t>
      </w:r>
      <w:r>
        <w:t xml:space="preserve"> </w:t>
      </w:r>
      <w:r>
        <w:t>+</w:t>
      </w:r>
      <w:r>
        <w:t xml:space="preserve"> </w:t>
      </w:r>
      <w:r>
        <w:t>迁移和优化离子传输途径。同时，稀土元素独特的电子结构调控稳定了Cl的化学环境</w:t>
      </w:r>
      <w:r>
        <w:t xml:space="preserve"> </w:t>
      </w:r>
      <w:r>
        <w:t>-</w:t>
      </w:r>
      <w:r>
        <w:t>，显着提高本征抗氧化能力。采用这种优化电解质的全电池在 4.5 V 电压下表现出卓越的稳定性，在 1 倍电压下循环 800 次后容量保持率为 74.3%。</w:t>
      </w:r>
      <w:r>
        <w:t xml:space="preserve"> </w:t>
      </w:r>
      <w:r>
        <w:t>C</w:t>
      </w:r>
      <w:r>
        <w:t xml:space="preserve"> </w:t>
      </w:r>
      <w:r>
        <w:t>率。这项研究为通过熵增效应和电子结构设计设计先进的 SSE 提供了创新的见解。</w:t>
      </w:r>
    </w:p>
    <w:p>
      <w:pPr>
        <w:spacing w:before="0" w:after="200" w:lineRule="auto" w:line="276"/>
      </w:pPr>
      <w:r>
        <w:rPr>
          <w:b/>
        </w:rPr>
        <w:t xml:space="preserve">Abstract (EN): </w:t>
      </w:r>
      <w:r>
        <w:t>The development of solid‐state electrolytes (SSEs) integrating high ionic conductivity and a wide electrochemical window constitutes a critical challenge for all‐solid‐state lithium batteries (ASSLBs). Herein, we propose a multication mixing strategy of lanthanide elements, which introduces configurational entropy increase effect and electronic structure regulation into the Li</w:t>
      </w:r>
      <w:r>
        <w:rPr>
          <w:vertAlign w:val="subscript"/>
        </w:rPr>
        <w:t>3</w:t>
      </w:r>
      <w:r>
        <w:t>YCl</w:t>
      </w:r>
      <w:r>
        <w:rPr>
          <w:vertAlign w:val="subscript"/>
        </w:rPr>
        <w:t>6</w:t>
      </w:r>
      <w:r>
        <w:t>, achieving simultaneous enhancement of ion transport and oxidation resistance. Combined theoretical and experimental analyses verify that the entropy increase–driven local structural distortions effectively reduce the energy barrier for Li</w:t>
      </w:r>
      <w:r>
        <w:t xml:space="preserve"> </w:t>
      </w:r>
      <w:r>
        <w:t>+</w:t>
      </w:r>
      <w:r>
        <w:t xml:space="preserve"> </w:t>
      </w:r>
      <w:r>
        <w:t>migration and optimize ion‐transport pathways. Concurrently, the unique electronic structure regulation of rare earth elements stabilizes the chemical environment of Cl</w:t>
      </w:r>
      <w:r>
        <w:t xml:space="preserve"> </w:t>
      </w:r>
      <w:r>
        <w:t>−</w:t>
      </w:r>
      <w:r>
        <w:t>, significantly improving the intrinsic oxidation resistance. The full battery employing this optimized electrolyte demonstrates remarkable stability at 4.5 V, maintaining a capacity retention ratio of 74.3% after 800 cycles at 1</w:t>
      </w:r>
      <w:r>
        <w:t xml:space="preserve"> </w:t>
      </w:r>
      <w:r>
        <w:t>C</w:t>
      </w:r>
      <w:r>
        <w:t xml:space="preserve"> </w:t>
      </w:r>
      <w:r>
        <w:t>rate. This research provides innovative insights into designing advanced SSEs through entropy increase effect and electronic structure design.</w:t>
      </w:r>
    </w:p>
    <w:p>
      <w:pPr>
        <w:spacing w:before="120" w:after="120"/>
      </w:pPr>
      <w:r>
        <w:rPr>
          <w:sz w:val="18"/>
        </w:rPr>
        <w:t>——————————————————————————————————————————————————————————————————————</w:t>
      </w:r>
    </w:p>
    <w:p>
      <w:pPr>
        <w:spacing w:before="160" w:after="40" w:line="240" w:lineRule="auto"/>
      </w:pPr>
      <w:r>
        <w:rPr>
          <w:b/>
        </w:rPr>
        <w:t xml:space="preserve">[17] </w:t>
      </w:r>
      <w:hyperlink r:id="rId94">
        <w:r>
          <w:rPr>
            <w:color w:val="1155CC"/>
            <w:u w:val="single"/>
          </w:rPr>
          <w:t>阐明实用的下一代高能量密度锂离子电池热安全问题的根源</w:t>
        </w:r>
      </w:hyperlink>
    </w:p>
    <w:p>
      <w:pPr>
        <w:spacing w:before="0" w:after="80"/>
      </w:pPr>
      <w:r>
        <w:rPr>
          <w:i/>
          <w:sz w:val="20"/>
        </w:rPr>
        <w:t>EN: Elucidating the Origin of Intensified Thermal Safety Concerns of Practical Next‐Generation High‐Energy‐Density Li‐Ion Batteries</w:t>
      </w:r>
    </w:p>
    <w:p>
      <w:pPr>
        <w:spacing w:before="0" w:after="120"/>
      </w:pPr>
      <w:r>
        <w:rPr>
          <w:b/>
        </w:rPr>
        <w:t xml:space="preserve">Source: </w:t>
      </w:r>
      <w:r>
        <w:t>Wiley: Angewandte Chemie International Edition: Table of Contents</w:t>
      </w:r>
      <w:r>
        <w:t xml:space="preserve">    </w:t>
      </w:r>
      <w:r>
        <w:rPr>
          <w:b/>
        </w:rPr>
        <w:t xml:space="preserve">Pub date: </w:t>
      </w:r>
      <w:r>
        <w:t>2026-07-21 12:06:02+00:00</w:t>
      </w:r>
      <w:r>
        <w:t xml:space="preserve">    </w:t>
      </w:r>
      <w:r>
        <w:rPr>
          <w:b/>
        </w:rPr>
        <w:t xml:space="preserve">DOI: </w:t>
      </w:r>
      <w:hyperlink r:id="rId95">
        <w:r>
          <w:rPr>
            <w:color w:val="1155CC"/>
            <w:u w:val="single"/>
          </w:rPr>
          <w:t>10.1002/anie.5057887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比能电池系统对于为重型无人机（UAV）和电动垂直起降（eVTOL）飞机提供动力至关重要，被视为低空经济发展的关键推动力。然而，它们的商业化仍然受到重大热安全问题的阻碍。在这项工作中，我们使用超高富镍层状氧化物阴极（Ni占96%）与混合Si@C阳极配对作为模型系统，系统地研究了实时气体析出行为，并阐明了阴极/阳极电极气体产生的潜在机制，以及它们在热失控过程中的串扰反应。结果表明 Si@C 阳极有严重的气体排放，其中 H</w:t>
      </w:r>
      <w:r>
        <w:rPr>
          <w:vertAlign w:val="subscript"/>
        </w:rPr>
        <w:t>2</w:t>
      </w:r>
      <w:r>
        <w:t>占释放气体总量的71.12%（质量比）。同时，Ni96阴极释放活性氧（O</w:t>
      </w:r>
      <w:r>
        <w:t xml:space="preserve"> </w:t>
      </w:r>
      <w:r>
        <w:t>n−</w:t>
      </w:r>
      <w:r>
        <w:t>/O</w:t>
      </w:r>
      <w:r>
        <w:rPr>
          <w:vertAlign w:val="subscript"/>
        </w:rPr>
        <w:t>2</w:t>
      </w:r>
      <w:r>
        <w:t>）在高温（例如220°C）下，与Si@C阳极和电解质产生的还原气体发生反应，从而引发热失控。此外，采用专门定制的低氢（low-H）电解质来有效抑制H</w:t>
      </w:r>
      <w:r>
        <w:rPr>
          <w:vertAlign w:val="subscript"/>
        </w:rPr>
        <w:t>2</w:t>
      </w:r>
      <w:r>
        <w:t>进化，从而提高高比能量电池系统的安全性。这些对气体析出机制的见解为电池材料的针对性设计和实际安全标准的制定提供了基础。</w:t>
      </w:r>
    </w:p>
    <w:p>
      <w:pPr>
        <w:spacing w:before="0" w:after="200" w:lineRule="auto" w:line="276"/>
      </w:pPr>
      <w:r>
        <w:rPr>
          <w:b/>
        </w:rPr>
        <w:t xml:space="preserve">Abstract (EN): </w:t>
      </w:r>
      <w:r>
        <w:t>High‐specific‐energy battery systems, crucial for powering heavy‐lift unmanned aerial vehicles (UAVs) and electric vertical take‐off and landing (eVTOL) aircraft, are regarded as key enablers for the development of the low‐altitude economy. However, their commercialization remains hindered by significant thermal safety concerns. In this work, using an ultrahigh Ni‐rich layered oxide cathode (Ni accounts for 96%) paired with a mixed Si@C anode as a model system, we systematically investigate real‐time gas evolution behavior and elucidate the underlying mechanisms of gas generation at both cathode/anode electrodes, along with their crosstalk reactions during thermal runaway. The results reveal severe gas emission from the Si@C anode, with H</w:t>
      </w:r>
      <w:r>
        <w:rPr>
          <w:vertAlign w:val="subscript"/>
        </w:rPr>
        <w:t>2</w:t>
      </w:r>
      <w:r>
        <w:t>constituting 71.12% (mass ratio) of the total gas released. Meanwhile, the Ni96 cathode releases active oxygen species (O</w:t>
      </w:r>
      <w:r>
        <w:t xml:space="preserve"> </w:t>
      </w:r>
      <w:r>
        <w:t>n−</w:t>
      </w:r>
      <w:r>
        <w:t>/O</w:t>
      </w:r>
      <w:r>
        <w:rPr>
          <w:vertAlign w:val="subscript"/>
        </w:rPr>
        <w:t>2</w:t>
      </w:r>
      <w:r>
        <w:t>) at elevated temperatures (e.g., 220°C), which react with reducing gases generated from the Si@C anode and electrolyte, thereby triggering the onset of thermal runaway. Furthermore, a specially tailored low‐hydrogen (low‐H) electrolyte is employed to effectively suppress H</w:t>
      </w:r>
      <w:r>
        <w:rPr>
          <w:vertAlign w:val="subscript"/>
        </w:rPr>
        <w:t>2</w:t>
      </w:r>
      <w:r>
        <w:t>evolution, thereby enhancing the safety of high specific energy battery systems. These insights into gas evolution mechanisms provide a foundation for the targeted design of battery materials and the formulation of practical safety strategies for the low‐altitude sector.</w:t>
      </w:r>
    </w:p>
    <w:p>
      <w:pPr>
        <w:spacing w:before="120" w:after="120"/>
      </w:pPr>
      <w:r>
        <w:rPr>
          <w:sz w:val="18"/>
        </w:rPr>
        <w:t>——————————————————————————————————————————————————————————————————————</w:t>
      </w:r>
    </w:p>
    <w:p>
      <w:pPr>
        <w:spacing w:before="160" w:after="40" w:line="240" w:lineRule="auto"/>
      </w:pPr>
      <w:r>
        <w:rPr>
          <w:b/>
        </w:rPr>
        <w:t xml:space="preserve">[18] </w:t>
      </w:r>
      <w:hyperlink r:id="rId151">
        <w:r>
          <w:rPr>
            <w:color w:val="1155CC"/>
            <w:u w:val="single"/>
          </w:rPr>
          <w:t>对“在尖晶石型锂超离子导体中观察到的骨架短程有序”的修正</w:t>
        </w:r>
      </w:hyperlink>
    </w:p>
    <w:p>
      <w:pPr>
        <w:spacing w:before="0" w:after="80"/>
      </w:pPr>
      <w:r>
        <w:rPr>
          <w:i/>
          <w:sz w:val="20"/>
        </w:rPr>
        <w:t>EN: Correction to “Framework Short-Range Order Observed in a Spinel-Type Li Superionic Conductor”</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2">
        <w:r>
          <w:rPr>
            <w:color w:val="1155CC"/>
            <w:u w:val="single"/>
          </w:rPr>
          <w:t>10.1021/jacs.6c13273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153">
        <w:r>
          <w:rPr>
            <w:color w:val="1155CC"/>
            <w:u w:val="single"/>
          </w:rPr>
          <w:t>构建用于锌离子电池长循环稳定性的共竞争贫H 2 O缓冲层</w:t>
        </w:r>
      </w:hyperlink>
    </w:p>
    <w:p>
      <w:pPr>
        <w:spacing w:before="0" w:after="80"/>
      </w:pPr>
      <w:r>
        <w:rPr>
          <w:i/>
          <w:sz w:val="20"/>
        </w:rPr>
        <w:t>EN: Constructing a Coopetitive H 2 O-Poor Buffer Layer for Long-Cycle Stabilization of Zinc-Ion Batteries</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54">
        <w:r>
          <w:rPr>
            <w:color w:val="1155CC"/>
            <w:u w:val="single"/>
          </w:rPr>
          <w:t>10.1021/acsami.6c08538</w:t>
        </w:r>
      </w:hyperlink>
    </w:p>
    <w:p>
      <w:pPr>
        <w:spacing w:before="0" w:after="120"/>
      </w:pPr>
      <w:r>
        <w:rPr>
          <w:b/>
        </w:rPr>
        <w:t xml:space="preserve">Notes: </w:t>
      </w:r>
      <w:r>
        <w:t>abstract_source=pubmed</w:t>
      </w:r>
    </w:p>
    <w:p>
      <w:pPr>
        <w:spacing w:before="0" w:after="80" w:lineRule="auto" w:line="276"/>
      </w:pPr>
      <w:r>
        <w:rPr>
          <w:b/>
        </w:rPr>
        <w:t xml:space="preserve">摘要（ZH）: </w:t>
      </w:r>
      <w:r>
        <w:t>水系锌离子电池阳极面临腐蚀和析氢反应，导致锌阳极在镀层剥离过程中刺穿隔膜后生长枝晶并死亡。在这项工作中，羧化纤维素纳米纤维（CNF）被引入到 ZnSO4 电解质中。由于其固有的物理化学性质和高HOMO能级，CNF分子表现出很强的给电子能力并优先吸附在Zn表面。吸附的CNF分子动态占据界面活性位点，限制H2O分子与Zn阳极之间的直接接触，从而形成贫水双电层（EDL）缓冲层。这种基于吸附的界面调节层有效抑制析氢、腐蚀和枝晶生长。具体来说，吸附CNF分子的Zn负极具有较高的循环稳定性（在5 mA cm-2和1 mAh cm-2下超过3000小时）。 Zn||Cu半电池的库仑效率在4 C下循环1000次后保持在99.41%，Zn||ZnI2全电池在4 C循环2000次后容量保持率为96.8%。此外，使用1 M ZnSO4@10% CNF电解质的0.9 Ah Zn||ZnI2@Ti软包电池（具有10 × 10 cm AC薄膜） 500次循环后比容量仍保持56.9%，表现出良好的性能。</w:t>
      </w:r>
    </w:p>
    <w:p>
      <w:pPr>
        <w:spacing w:before="0" w:after="200" w:lineRule="auto" w:line="276"/>
      </w:pPr>
      <w:r>
        <w:rPr>
          <w:b/>
        </w:rPr>
        <w:t xml:space="preserve">Abstract (EN): </w:t>
      </w:r>
      <w:r>
        <w:t>Aqueous zinc-ion battery anodes face corrosion and the hydrogen evolution reaction, causing the Zn anode to grow dendrites and die after piercing the diaphragm during the plating-stripping process. In this work, Carboxylated Cellulose Nanofibers (CNF) were introduced into the ZnSO4 electrolyte. Owing to their inherent physicochemical properties and a high HOMO energy level, CNF molecules exhibit strong electron-donating capability and preferentially adsorb on the Zn surface. The adsorbed CNF molecules dynamically occupy interfacial active sites, limiting direct contact between H2O molecules and the Zn anode and thereby forming a H2O-poor electric double layer (EDL) buffer layer. This adsorption-based interfacial regulation layer effectively suppresses hydrogen evolution, corrosion, and dendrite growth. Specifically, Zn anodes adsorbed by CNF molecules have high cycling stability (more than 3000 h at 5 mA cm-2 and 1 mAh cm-2). The Coulombic efficiency of the Zn||Cu half-cell was maintained at 99.41% after 1000 cycles, and the capacity retention of the Zn||ZnI2 full-cell was 96.8% after 2000 cycles at 4 C. Moreover, the 0.9 Ah Zn||ZnI2@Ti pouch cell (with 10 × 10 cm AC films) using 1 M ZnSO4@10% CNF electrolyte retained 56.9% specific capacity after 500 cycles, showing favorable performance.</w:t>
      </w:r>
    </w:p>
    <w:p>
      <w:pPr>
        <w:spacing w:before="120" w:after="120"/>
      </w:pPr>
      <w:r>
        <w:rPr>
          <w:sz w:val="18"/>
        </w:rPr>
        <w:t>——————————————————————————————————————————————————————————————————————</w:t>
      </w:r>
    </w:p>
    <w:p>
      <w:pPr>
        <w:spacing w:before="160" w:after="40" w:line="240" w:lineRule="auto"/>
      </w:pPr>
      <w:r>
        <w:rPr>
          <w:b/>
        </w:rPr>
        <w:t xml:space="preserve">[20] </w:t>
      </w:r>
      <w:hyperlink r:id="rId100">
        <w:r>
          <w:rPr>
            <w:color w:val="1155CC"/>
            <w:u w:val="single"/>
          </w:rPr>
          <w:t>水性锌离子电池中按需和双边界面形成的仿生酶原激活策略</w:t>
        </w:r>
      </w:hyperlink>
    </w:p>
    <w:p>
      <w:pPr>
        <w:spacing w:before="0" w:after="80"/>
      </w:pPr>
      <w:r>
        <w:rPr>
          <w:i/>
          <w:sz w:val="20"/>
        </w:rPr>
        <w:t>EN: Bio‐Inspired Zymogen‐Activation Strategy for On‐Demand and Bilateral Interphase Formation in Aqueous Zinc‐Ion Batteries</w:t>
      </w:r>
    </w:p>
    <w:p>
      <w:pPr>
        <w:spacing w:before="0" w:after="120"/>
      </w:pPr>
      <w:r>
        <w:rPr>
          <w:b/>
        </w:rPr>
        <w:t xml:space="preserve">Source: </w:t>
      </w:r>
      <w:r>
        <w:t>Wiley: Angewandte Chemie International Edition: Table of Contents</w:t>
      </w:r>
      <w:r>
        <w:t xml:space="preserve">    </w:t>
      </w:r>
      <w:r>
        <w:rPr>
          <w:b/>
        </w:rPr>
        <w:t xml:space="preserve">Pub date: </w:t>
      </w:r>
      <w:r>
        <w:t>2026-07-22 05:24:50+00:00</w:t>
      </w:r>
      <w:r>
        <w:t xml:space="preserve">    </w:t>
      </w:r>
      <w:r>
        <w:rPr>
          <w:b/>
        </w:rPr>
        <w:t xml:space="preserve">DOI: </w:t>
      </w:r>
      <w:hyperlink r:id="rId101">
        <w:r>
          <w:rPr>
            <w:color w:val="1155CC"/>
            <w:u w:val="single"/>
          </w:rPr>
          <w:t>10.1002/anie.5322811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水系锌离子电池（AZIB）在成本和安全性方面具有明显的优势，但锌阳极和MnO的双边界面失效</w:t>
      </w:r>
      <w:r>
        <w:rPr>
          <w:vertAlign w:val="subscript"/>
        </w:rPr>
        <w:t>2</w:t>
      </w:r>
      <w:r>
        <w:t>阴极限制了它们的实际应用。受酶原到酶激活的启发，这项工作提出了一种仿生智能电解质添加剂策略，可以对两个电极提供按需保护。该策略采用惰性添加剂 1,4-丁烷磺内酯 (BS)，它优先吸附在电极表面上。当水侵蚀和局部 pH 值升高时，BS 可以被激活，生成开环衍生物 (OBS)，以促进有机-无机复合成分的双边保护性界面相的原位构建。同时，它优化了 Zn</w:t>
      </w:r>
      <w:r>
        <w:t xml:space="preserve"> </w:t>
      </w:r>
      <w:r>
        <w:t>2+</w:t>
      </w:r>
      <w:r>
        <w:t xml:space="preserve"> </w:t>
      </w:r>
      <w:r>
        <w:t>溶剂化结构以降低去溶剂化能垒。残留BS进一步困住SO</w:t>
      </w:r>
      <w:r>
        <w:rPr>
          <w:vertAlign w:val="subscript"/>
        </w:rPr>
        <w:t>4</w:t>
      </w:r>
      <w:r>
        <w:t>2−</w:t>
      </w:r>
      <w:r>
        <w:t>和H</w:t>
      </w:r>
      <w:r>
        <w:rPr>
          <w:vertAlign w:val="subscript"/>
        </w:rPr>
        <w:t>2</w:t>
      </w:r>
      <w:r>
        <w:t>O 并维持 OBS 形成以防止界面碱化。因此，BS 改性的 Zn//Zn 电池的使用寿命超过 4000 小时，Zn//Cu 电池实现了 97.62% 的超高初始库仑效率。锌//氧化锰</w:t>
      </w:r>
      <w:r>
        <w:rPr>
          <w:vertAlign w:val="subscript"/>
        </w:rPr>
        <w:t>2</w:t>
      </w:r>
      <w:r>
        <w:t>0.2 A g-1 循环 100 次后，全电池容量保持率分别为 92.7% 和 80.5%</w:t>
      </w:r>
      <w:r>
        <w:t xml:space="preserve"> </w:t>
      </w:r>
      <w:r>
        <w:t>−1</w:t>
      </w:r>
      <w:r>
        <w:t xml:space="preserve"> </w:t>
      </w:r>
      <w:r>
        <w:t>6 A g 下 8000 次循环</w:t>
      </w:r>
      <w:r>
        <w:t xml:space="preserve"> </w:t>
      </w:r>
      <w:r>
        <w:t>−1</w:t>
      </w:r>
      <w:r>
        <w:t xml:space="preserve"> </w:t>
      </w:r>
      <w:r>
        <w:t>，分别。这样的策略不仅能够实现</w:t>
      </w:r>
    </w:p>
    <w:p>
      <w:pPr>
        <w:spacing w:before="0" w:after="200" w:lineRule="auto" w:line="276"/>
      </w:pPr>
      <w:r>
        <w:rPr>
          <w:b/>
        </w:rPr>
        <w:t xml:space="preserve">Abstract (EN): </w:t>
      </w:r>
      <w:r>
        <w:t>Aqueous zinc‐ion batteries (AZIBs) possess distinct benefits in cost and safety, but bilateral interfacial failures on Zn anodes and MnO</w:t>
      </w:r>
      <w:r>
        <w:rPr>
          <w:vertAlign w:val="subscript"/>
        </w:rPr>
        <w:t>2</w:t>
      </w:r>
      <w:r>
        <w:t>cathodes constrain their practical applications. Inspired by zymogen‐to‐enzyme activation, this work proposes a biomimetic, intelligent electrolyte additive strategy that enables on‐demand protection on both electrodes. This strategy employs an inert additive, 1,4‐butane sultone (BS), which preferentially adsorbs on the electrode surfaces. Upon water attack and localized pH increase, BS can be activated, generating open‐ring derivatives (OBS) to facilitate the in situ construction of bilateral protective interphases with organic–inorganic composite components. Concurrently, it optimizes Zn</w:t>
      </w:r>
      <w:r>
        <w:t xml:space="preserve"> </w:t>
      </w:r>
      <w:r>
        <w:t>2+</w:t>
      </w:r>
      <w:r>
        <w:t xml:space="preserve"> </w:t>
      </w:r>
      <w:r>
        <w:t>solvation structures to lower the desolvation energy barrier. Residual BS further traps SO</w:t>
      </w:r>
      <w:r>
        <w:rPr>
          <w:vertAlign w:val="subscript"/>
        </w:rPr>
        <w:t>4</w:t>
      </w:r>
      <w:r>
        <w:t>2−</w:t>
      </w:r>
      <w:r>
        <w:t>and H</w:t>
      </w:r>
      <w:r>
        <w:rPr>
          <w:vertAlign w:val="subscript"/>
        </w:rPr>
        <w:t>2</w:t>
      </w:r>
      <w:r>
        <w:t>O and sustains the OBS formation for preventing interfacial alkalization. Consequently, the BS‐modified Zn//Zn cell delivers a lifespan exceeding 4000 h, and the Zn//Cu cell attains an ultrahigh initial Coulombic efficiency of 97.62%. Zn//MnO</w:t>
      </w:r>
      <w:r>
        <w:rPr>
          <w:vertAlign w:val="subscript"/>
        </w:rPr>
        <w:t>2</w:t>
      </w:r>
      <w:r>
        <w:t>full cells maintain capacity retention of 92.7% and 80.5% after 100 cycles at 0.2 A g</w:t>
      </w:r>
      <w:r>
        <w:t xml:space="preserve"> </w:t>
      </w:r>
      <w:r>
        <w:t>−1</w:t>
      </w:r>
      <w:r>
        <w:t xml:space="preserve"> </w:t>
      </w:r>
      <w:r>
        <w:t>and 8000 cycles at 6 A g</w:t>
      </w:r>
      <w:r>
        <w:t xml:space="preserve"> </w:t>
      </w:r>
      <w:r>
        <w:t>−1</w:t>
      </w:r>
      <w:r>
        <w:t xml:space="preserve"> </w:t>
      </w:r>
      <w:r>
        <w:t>, respectively. Such a strategy not only delivers a high‐performance electrolyte additive for AZIBs but also offers biomimetic inspiration for the development of electrolytes in other metal‐based battery systems.</w:t>
      </w:r>
    </w:p>
    <w:p>
      <w:pPr>
        <w:spacing w:before="120" w:after="120"/>
      </w:pPr>
      <w:r>
        <w:rPr>
          <w:sz w:val="18"/>
        </w:rPr>
        <w:t>——————————————————————————————————————————————————————————————————————</w:t>
      </w:r>
    </w:p>
    <w:p>
      <w:pPr>
        <w:spacing w:before="160" w:after="40" w:line="240" w:lineRule="auto"/>
      </w:pPr>
      <w:r>
        <w:rPr>
          <w:b/>
        </w:rPr>
        <w:t xml:space="preserve">[21] </w:t>
      </w:r>
      <w:hyperlink r:id="rId155">
        <w:r>
          <w:rPr>
            <w:color w:val="1155CC"/>
            <w:u w:val="single"/>
          </w:rPr>
          <w:t>低离子电子传输策略最大限度地减少电解质氧化，无需阴极改性即可实现稳定的全固态电池</w:t>
        </w:r>
      </w:hyperlink>
    </w:p>
    <w:p>
      <w:pPr>
        <w:spacing w:before="0" w:after="80"/>
      </w:pPr>
      <w:r>
        <w:rPr>
          <w:i/>
          <w:sz w:val="20"/>
        </w:rPr>
        <w:t>EN: Low‐Ion‐Electron Transport Strategy Minimizes Electrolyte Oxidation for Stable All‐Solid‐State Batteries Without Cathode Modification</w:t>
      </w:r>
    </w:p>
    <w:p>
      <w:pPr>
        <w:spacing w:before="0" w:after="120"/>
      </w:pPr>
      <w:r>
        <w:rPr>
          <w:b/>
        </w:rPr>
        <w:t xml:space="preserve">Source: </w:t>
      </w:r>
      <w:r>
        <w:t>Wiley: Advanced Energy Materials: Table of Contents</w:t>
      </w:r>
      <w:r>
        <w:t xml:space="preserve">    </w:t>
      </w:r>
      <w:r>
        <w:rPr>
          <w:b/>
        </w:rPr>
        <w:t xml:space="preserve">Pub date: </w:t>
      </w:r>
      <w:r>
        <w:t>2026-07-22 06:24:22+00:00</w:t>
      </w:r>
      <w:r>
        <w:t xml:space="preserve">    </w:t>
      </w:r>
      <w:r>
        <w:rPr>
          <w:b/>
        </w:rPr>
        <w:t xml:space="preserve">DOI: </w:t>
      </w:r>
      <w:hyperlink r:id="rId156">
        <w:r>
          <w:rPr>
            <w:color w:val="1155CC"/>
            <w:u w:val="single"/>
          </w:rPr>
          <w:t>10.1002/aenm.71323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硫化物固体电解质（例如Li</w:t>
      </w:r>
      <w:r>
        <w:rPr>
          <w:vertAlign w:val="subscript"/>
        </w:rPr>
        <w:t>6</w:t>
      </w:r>
      <w:r>
        <w:t>聚苯乙烯</w:t>
      </w:r>
      <w:r>
        <w:rPr>
          <w:vertAlign w:val="subscript"/>
        </w:rPr>
        <w:t>5</w:t>
      </w:r>
      <w:r>
        <w:t>Cl）对于高能全固态电池至关重要，但在高电压下会发生严重的氧化分解。在这里，我们发现这种降解是由离子电子耦合传输（IECT）机制控制的，该机制由碳界面处电子和离子传输路径的同时可用性决定。我们提出了一种以碳为目标的“低离子电子传输”（LIET）策略，通过在导电添加剂上设计一个N杂环共轭聚合物层。这种结构同时阻碍电子隧道穿过其共轭主链，并通过丰富的吡啶-氮位点锚定界面锂离子，从而解耦传输协同作用并冻结电解质降解动力学。因此，无需修改正极活性材料，该工程电池即可实现稳健的高倍率循环，在 5C 倍率下 2000 次循环后仍保持 99.4% 的容量保持率。该 LIET 原理展示了不同固体电解质和碳形态的广泛普适性，为稳定复合阴极建立了机制驱动的范例。</w:t>
      </w:r>
    </w:p>
    <w:p>
      <w:pPr>
        <w:spacing w:before="0" w:after="200" w:lineRule="auto" w:line="276"/>
      </w:pPr>
      <w:r>
        <w:rPr>
          <w:b/>
        </w:rPr>
        <w:t xml:space="preserve">Abstract (EN): </w:t>
      </w:r>
      <w:r>
        <w:t>Sulfide solid electrolytes (e.g., Li</w:t>
      </w:r>
      <w:r>
        <w:rPr>
          <w:vertAlign w:val="subscript"/>
        </w:rPr>
        <w:t>6</w:t>
      </w:r>
      <w:r>
        <w:t>PS</w:t>
      </w:r>
      <w:r>
        <w:rPr>
          <w:vertAlign w:val="subscript"/>
        </w:rPr>
        <w:t>5</w:t>
      </w:r>
      <w:r>
        <w:t>Cl) are pivotal for high‐energy all‐solid‐state batteries but suffer from severe oxidative decomposition at high voltages. Here, we identify that this degradation is governed by an Ion‐Electron Coupling Transport (IECT) mechanism, dictated by the simultaneous availability of electronic and ionic transport pathways at the carbon interface. We propose a carbon‐targeted “Low‐Ion‐Electron Transport” (LIET) strategy by engineering an N‐heterocyclic conjugated polymer layer on the conductive additive. This architecture simultaneously impedes electron tunneling through its conjugated backbone and anchors interfacial lithium ions via abundant pyridine‐nitrogen sites, decoupling the transport synergy and freezing the electrolyte degradation kinetics. Consequently, without requiring modification of the cathode active material, the engineered battery delivers robust high‐rate cycling, maintaining a 99.4% capacity retention over 2000 cycles at a 5C rate. Demonstrating broad universality across diverse solid electrolytes and carbon morphologies, this LIET principle establishes a mechanism‐driven paradigm for stabilizing composite cathodes.</w:t>
      </w:r>
    </w:p>
    <w:p>
      <w:pPr>
        <w:spacing w:before="120" w:after="120"/>
      </w:pPr>
      <w:r>
        <w:rPr>
          <w:sz w:val="18"/>
        </w:rPr>
        <w:t>——————————————————————————————————————————————————————————————————————</w:t>
      </w:r>
    </w:p>
    <w:p>
      <w:pPr>
        <w:spacing w:before="160" w:after="40" w:line="240" w:lineRule="auto"/>
      </w:pPr>
      <w:r>
        <w:rPr>
          <w:b/>
        </w:rPr>
        <w:t xml:space="preserve">[22] </w:t>
      </w:r>
      <w:hyperlink r:id="rId127">
        <w:r>
          <w:rPr>
            <w:color w:val="1155CC"/>
            <w:u w:val="single"/>
          </w:rPr>
          <w:t>基于硫化物电解质的双重热稳定性，实现高度安全和耐用的全固态锂金属电池</w:t>
        </w:r>
      </w:hyperlink>
    </w:p>
    <w:p>
      <w:pPr>
        <w:spacing w:before="0" w:after="80"/>
      </w:pPr>
      <w:r>
        <w:rPr>
          <w:i/>
          <w:sz w:val="20"/>
        </w:rPr>
        <w:t>EN: Dual Thermal Stabilization Toward Highly Safe and Durable All‐Solid‐State Lithium Metal Batteries Based on Sulfide Electrolytes</w:t>
      </w:r>
    </w:p>
    <w:p>
      <w:pPr>
        <w:spacing w:before="0" w:after="120"/>
      </w:pPr>
      <w:r>
        <w:rPr>
          <w:b/>
        </w:rPr>
        <w:t xml:space="preserve">Source: </w:t>
      </w:r>
      <w:r>
        <w:t>Wiley: Angewandte Chemie International Edition: Table of Contents</w:t>
      </w:r>
      <w:r>
        <w:t xml:space="preserve">    </w:t>
      </w:r>
      <w:r>
        <w:rPr>
          <w:b/>
        </w:rPr>
        <w:t xml:space="preserve">Pub date: </w:t>
      </w:r>
      <w:r>
        <w:t>2026-07-22 06:26:59+00:00</w:t>
      </w:r>
      <w:r>
        <w:t xml:space="preserve">    </w:t>
      </w:r>
      <w:r>
        <w:rPr>
          <w:b/>
        </w:rPr>
        <w:t xml:space="preserve">DOI: </w:t>
      </w:r>
      <w:hyperlink r:id="rId128">
        <w:r>
          <w:rPr>
            <w:color w:val="1155CC"/>
            <w:u w:val="single"/>
          </w:rPr>
          <w:t>10.1002/anie.1775824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硫化物电解质的全固态锂（Li）金属电池（ASSLMB）的实际部署受到滥用条件下热电化学耦合故障和安全问题的限制。在这里，双重热稳定策略被确定并合理化为解决上述问题的最佳选择。引入氟化石墨烯（FG）中间层可以有效增强散热并偏转 ASSLMB 内的锂枝晶传播，而富含氧空位的氧化铜（CuO）</w:t>
      </w:r>
      <w:r>
        <w:t xml:space="preserve"> </w:t>
      </w:r>
      <w:r>
        <w:t>1−x</w:t>
      </w:r>
      <w:r>
        <w:t xml:space="preserve"> </w:t>
      </w:r>
      <w:r>
        <w:t>）添加剂用于有效捕获带电阴极释放的活性氧，从而减轻电解质氧化。作为示范模型，修改后的 Li</w:t>
      </w:r>
      <w:r>
        <w:rPr>
          <w:vertAlign w:val="subscript"/>
        </w:rPr>
        <w:t>6</w:t>
      </w:r>
      <w:r>
        <w:t>聚苯乙烯</w:t>
      </w:r>
      <w:r>
        <w:rPr>
          <w:vertAlign w:val="subscript"/>
        </w:rPr>
        <w:t>5</w:t>
      </w:r>
      <w:r>
        <w:t>基于Cl (LPSC)的全电池在1 C下实现了超过2000次循环的稳定循环，容量保持率为96%，即使在90°C下也能很好地保持室温容量。对软包电池的加速量热 (ARC) 测试进一步证明热稳定性增强。这种双热稳定范例可以扩展到硫化物/氯化氧化物双层电解质系统。</w:t>
      </w:r>
    </w:p>
    <w:p>
      <w:pPr>
        <w:spacing w:before="0" w:after="200" w:lineRule="auto" w:line="276"/>
      </w:pPr>
      <w:r>
        <w:rPr>
          <w:b/>
        </w:rPr>
        <w:t xml:space="preserve">Abstract (EN): </w:t>
      </w:r>
      <w:r>
        <w:t>The practical deployment of all‐solid‐state lithium (Li) metal batteries (ASSLMBs) based on sulfide electrolytes is constrained by the thermal–electrochemical coupled failure and safety issues under abusive conditions. Here, a dual thermal‐stabilization strategy is identified and rationalized as the optimal choice to tailor above issues. A fluorinated graphene (FG)‐interlayer is introduced to effectively enhance heat dissipation and deflect Li dendrite propagation inside the ASSLMBs, while an oxygen‐vacancy‐rich copper oxide (CuO</w:t>
      </w:r>
      <w:r>
        <w:t xml:space="preserve"> </w:t>
      </w:r>
      <w:r>
        <w:t>1−x</w:t>
      </w:r>
      <w:r>
        <w:t xml:space="preserve"> </w:t>
      </w:r>
      <w:r>
        <w:t>) additive is applied to efficiently capture reactive oxygen species released from charged cathodes and thus mitigate the electrolyte oxidation. As a demonstration model, the as‐modified Li</w:t>
      </w:r>
      <w:r>
        <w:rPr>
          <w:vertAlign w:val="subscript"/>
        </w:rPr>
        <w:t>6</w:t>
      </w:r>
      <w:r>
        <w:t>PS</w:t>
      </w:r>
      <w:r>
        <w:rPr>
          <w:vertAlign w:val="subscript"/>
        </w:rPr>
        <w:t>5</w:t>
      </w:r>
      <w:r>
        <w:t>Cl (LPSC)‐based full cells achieve stable cycling over 2000 cycles at 1 C with 96% capacity retention, and well retain the room‐temperature capacity even at 90°C. Accelerated rate calorimetry (ARC) tests on pouch cells further demonstrate enhanced thermal stability. This dual‐thermal‐stabilization paradigm can be extended to sulfide/chlorinated oxide bilayer electrolyte systems.</w:t>
      </w:r>
    </w:p>
    <w:p>
      <w:pPr>
        <w:spacing w:before="120" w:after="120"/>
      </w:pPr>
      <w:r>
        <w:rPr>
          <w:sz w:val="18"/>
        </w:rPr>
        <w:t>——————————————————————————————————————————————————————————————————————</w:t>
      </w:r>
    </w:p>
    <w:p>
      <w:pPr>
        <w:spacing w:before="160" w:after="40" w:line="240" w:lineRule="auto"/>
      </w:pPr>
      <w:r>
        <w:rPr>
          <w:b/>
        </w:rPr>
        <w:t xml:space="preserve">[23] </w:t>
      </w:r>
      <w:hyperlink r:id="rId157">
        <w:r>
          <w:rPr>
            <w:color w:val="1155CC"/>
            <w:u w:val="single"/>
          </w:rPr>
          <w:t>溶剂锚定电解质使 600 Wh Kg−1 锂金属软包电池在高压下稳定运行</w:t>
        </w:r>
      </w:hyperlink>
    </w:p>
    <w:p>
      <w:pPr>
        <w:spacing w:before="0" w:after="80"/>
      </w:pPr>
      <w:r>
        <w:rPr>
          <w:i/>
          <w:sz w:val="20"/>
        </w:rPr>
        <w:t>EN: Solvent‐Anchored Electrolyte Enables Stable Operation of 600 Wh Kg−1 Lithium Metal Pouch Cells Under High‐Voltage</w:t>
      </w:r>
    </w:p>
    <w:p>
      <w:pPr>
        <w:spacing w:before="0" w:after="120"/>
      </w:pPr>
      <w:r>
        <w:rPr>
          <w:b/>
        </w:rPr>
        <w:t xml:space="preserve">Source: </w:t>
      </w:r>
      <w:r>
        <w:t>Wiley: Advanced Materials: Table of Contents</w:t>
      </w:r>
      <w:r>
        <w:t xml:space="preserve">    </w:t>
      </w:r>
      <w:r>
        <w:rPr>
          <w:b/>
        </w:rPr>
        <w:t xml:space="preserve">Pub date: </w:t>
      </w:r>
      <w:r>
        <w:t>2026-07-22 18:35:45+00:00</w:t>
      </w:r>
      <w:r>
        <w:t xml:space="preserve">    </w:t>
      </w:r>
      <w:r>
        <w:rPr>
          <w:b/>
        </w:rPr>
        <w:t xml:space="preserve">DOI: </w:t>
      </w:r>
      <w:hyperlink r:id="rId158">
        <w:r>
          <w:rPr>
            <w:color w:val="1155CC"/>
            <w:u w:val="single"/>
          </w:rPr>
          <w:t>10.1002/adma.74266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金属电池（LMB）被认为是下一代高能量密度存储系统的有希望的候选者。然而，它们的实际应用受到高电压和贫电解质条件下性能快速下降的严重阻碍。构建富含阴离子的溶剂化结构以生成富含无机物的固体电解质界面（SEI）对于确保锂金属电池的稳定运行至关重要。在此，通过引入刚性阳离子物质（F-TEDA</w:t>
      </w:r>
      <w:r>
        <w:t xml:space="preserve"> </w:t>
      </w:r>
      <w:r>
        <w:t>+</w:t>
      </w:r>
      <w:r>
        <w:t xml:space="preserve"> </w:t>
      </w:r>
      <w:r>
        <w:t>）作为分子锚定添加剂来设计溶剂锚定电解质（SAE）。 F-泰达</w:t>
      </w:r>
      <w:r>
        <w:t xml:space="preserve"> </w:t>
      </w:r>
      <w:r>
        <w:t>+</w:t>
      </w:r>
      <w:r>
        <w:t xml:space="preserve"> </w:t>
      </w:r>
      <w:r>
        <w:t>通过强离子-偶极相互作用锚定溶剂分子，即使在超低添加剂剂量和常规盐浓度下，也能形成与高浓度电解质相当的富含阴离子的溶剂化结构。值得注意的是，F-TEDA 的刚性分子框架</w:t>
      </w:r>
      <w:r>
        <w:t xml:space="preserve"> </w:t>
      </w:r>
      <w:r>
        <w:t>+</w:t>
      </w:r>
      <w:r>
        <w:t xml:space="preserve"> </w:t>
      </w:r>
      <w:r>
        <w:t>赋予其优异的电化学稳定性，允许在长期循环过程中持续调节溶剂化结构。结果，14.2 Ah Li‖Ni95 软包电池达到 615.3 Wh kg</w:t>
      </w:r>
      <w:r>
        <w:t xml:space="preserve"> </w:t>
      </w:r>
      <w:r>
        <w:t>−1</w:t>
      </w:r>
      <w:r>
        <w:t xml:space="preserve"> </w:t>
      </w:r>
      <w:r>
        <w:t>在4.5 V下循环70次后容量仍保持在91.4%。这项工作提出了一种非消耗性溶剂化调节策略，为高电压、高能量密度锂金属电池的开发提供了新途径。</w:t>
      </w:r>
    </w:p>
    <w:p>
      <w:pPr>
        <w:spacing w:before="0" w:after="200" w:lineRule="auto" w:line="276"/>
      </w:pPr>
      <w:r>
        <w:rPr>
          <w:b/>
        </w:rPr>
        <w:t xml:space="preserve">Abstract (EN): </w:t>
      </w:r>
      <w:r>
        <w:t>Lithium metal batteries (LMBs) are regarded as promising candidates for next‐generation high‐energy‐density storage systems. However, their practical application is severely hindered by rapid performance degradation under high‐voltage and lean‐electrolyte conditions. Constructing an anion‐enriched solvation structure to generate an inorganic‐rich solid electrolyte interphase (SEI) is critical for ensuring the stable operation of lithium metal batteries. Herein, a novel anion‐enrichment strategy is proposed by introducing a rigid cationic species (F‐TEDA</w:t>
      </w:r>
      <w:r>
        <w:t xml:space="preserve"> </w:t>
      </w:r>
      <w:r>
        <w:t>+</w:t>
      </w:r>
      <w:r>
        <w:t xml:space="preserve"> </w:t>
      </w:r>
      <w:r>
        <w:t>) as a molecular anchoring additive to design a solvent‐anchored electrolyte (SAE). F‐TEDA</w:t>
      </w:r>
      <w:r>
        <w:t xml:space="preserve"> </w:t>
      </w:r>
      <w:r>
        <w:t>+</w:t>
      </w:r>
      <w:r>
        <w:t xml:space="preserve"> </w:t>
      </w:r>
      <w:r>
        <w:t>anchors solvent molecules via strong ion–dipole interactions, enabling the formation of an anion‐enriched solvation structure comparable to that of high‐concentration electrolytes, even at an ultralow additive dosage and conventional salt concentration. Notably, the rigid molecular framework of F‐TEDA</w:t>
      </w:r>
      <w:r>
        <w:t xml:space="preserve"> </w:t>
      </w:r>
      <w:r>
        <w:t>+</w:t>
      </w:r>
      <w:r>
        <w:t xml:space="preserve"> </w:t>
      </w:r>
      <w:r>
        <w:t>endows it with excellent electrochemical stability, allowing persistent regulation of the solvation structure during long‐term cycling. As a result, a 14.2 Ah Li‖Ni95 pouch cell reaches 615.3 Wh kg</w:t>
      </w:r>
      <w:r>
        <w:t xml:space="preserve"> </w:t>
      </w:r>
      <w:r>
        <w:t>−1</w:t>
      </w:r>
      <w:r>
        <w:t xml:space="preserve"> </w:t>
      </w:r>
      <w:r>
        <w:t>and retains 91.4% capacity after 70 cycles at 4.5 V. This work proposes a nonconsumable solvation regulation strategy, providing a new avenue for the development of high‐voltage, high‐energy‐density lithium metal batteries.</w:t>
      </w:r>
    </w:p>
    <w:p>
      <w:pPr>
        <w:spacing w:before="120" w:after="120"/>
      </w:pPr>
      <w:r>
        <w:rPr>
          <w:sz w:val="18"/>
        </w:rPr>
        <w:t>——————————————————————————————————————————————————————————————————————</w:t>
      </w:r>
    </w:p>
    <w:p>
      <w:pPr>
        <w:spacing w:before="160" w:after="40" w:line="240" w:lineRule="auto"/>
      </w:pPr>
      <w:r>
        <w:rPr>
          <w:b/>
        </w:rPr>
        <w:t xml:space="preserve">[24] </w:t>
      </w:r>
      <w:hyperlink r:id="rId159">
        <w:r>
          <w:rPr>
            <w:color w:val="1155CC"/>
            <w:u w:val="single"/>
          </w:rPr>
          <w:t>原位开环聚合固体聚合物电解质的热稳定性探讨</w:t>
        </w:r>
      </w:hyperlink>
    </w:p>
    <w:p>
      <w:pPr>
        <w:spacing w:before="0" w:after="80"/>
      </w:pPr>
      <w:r>
        <w:rPr>
          <w:i/>
          <w:sz w:val="20"/>
        </w:rPr>
        <w:t>EN: Probing the Thermal Stability of the In Situ Ring-Opening Polymerized Solid Polymer Electrolytes</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160">
        <w:r>
          <w:rPr>
            <w:color w:val="1155CC"/>
            <w:u w:val="single"/>
          </w:rPr>
          <w:t>10.1021/jacs.6c05453</w:t>
        </w:r>
      </w:hyperlink>
    </w:p>
    <w:p>
      <w:pPr>
        <w:spacing w:before="0" w:after="120"/>
      </w:pPr>
      <w:r>
        <w:rPr>
          <w:b/>
        </w:rPr>
        <w:t xml:space="preserve">Notes: </w:t>
      </w:r>
      <w:r>
        <w:t>abstract_source=pubmed</w:t>
      </w:r>
    </w:p>
    <w:p>
      <w:pPr>
        <w:spacing w:before="0" w:after="80" w:lineRule="auto" w:line="276"/>
      </w:pPr>
      <w:r>
        <w:rPr>
          <w:b/>
        </w:rPr>
        <w:t xml:space="preserve">摘要（ZH）: </w:t>
      </w:r>
      <w:r>
        <w:t>由于不存在副产物，开环聚合（ROP）被广泛用于电池中固体聚合物电解质（SPE）的原位构建。然而，此类固相萃取的热稳定性长期以来一直被忽视。在这里，我们系统地研究了两种最流行的原位 ROP 制备的 SPE 的热稳定性，包括醚基聚（1,3-二氧戊环）（PDOL）和聚（1,3,5-三恶烷）（PTXE），以及酯基聚（戊内酯）（PVL）和聚（三亚甲基碳酸酯）（PTMC）。鉴于锂盐在 SPE 中的重要作用以及在电池原位聚合过程中不可能去除 ROP 催化剂，因此在两种组分存在的情况下评估了 ROP 制备的 SPE 的热稳定性。原位 ROP 制备的基于 PDOL 和 PTXE 的 SPE 在 100 °C 下快速降解为气体。 PDOL/PTXE 的 ROP 和热解被证明具有相同的化学机制，并以依赖于温度的平衡共存，其中 ROP 在室温下占主导地位，而热解在高温下占主导地位并产生气体。原位 ROP 制备的 PVL 和 PTMC 的分解温度约为 180 °C，然而，在锂金属存在下，分解温度降至 110 °C。这项工作揭示了 ROP 制备的 SPE 的热稳定性面临的挑战，并引起人们对固态电池中更安全的 SPE 开发的关注。</w:t>
      </w:r>
    </w:p>
    <w:p>
      <w:pPr>
        <w:spacing w:before="0" w:after="200" w:lineRule="auto" w:line="276"/>
      </w:pPr>
      <w:r>
        <w:rPr>
          <w:b/>
        </w:rPr>
        <w:t xml:space="preserve">Abstract (EN): </w:t>
      </w:r>
      <w:r>
        <w:t>Ring-opening polymerization (ROP) is widely employed for the in situ construction of solid polymer electrolytes (SPEs) in batteries due to the absence of byproducts. However, the thermal stability of such SPEs has long been overlooked. Here, we systematically investigate the thermal stability of two types of the most popular in situ ROP-prepared SPEs, including ether-based poly(1,3-dioxolane) (PDOL) and poly(1,3,5-trioxane) (PTXE), as well as ester-based poly(valerolactone) (PVL) and poly(trimethylene carbonate) (PTMC). Given the essential role of Li-salts in SPEs and the impossibility of removing ROP catalysts during in situ polymerization in cells, the thermal stability of ROP-prepared SPEs was evaluated in the presence of both components. The in situ ROP-prepared PDOL- and PTXE-based SPEs undergo rapid degradation into gases at 100 °C. The ROP and pyrolysis of PDOL/PTXE are demonstrated to share the same chemical mechanism and coexist in a temperature-dependent equilibrium, in which ROP is dominant at room temperature, while pyrolysis prevails at elevated temperatures and produces gases. The decomposition temperature of in situ ROP-prepared PVL and PTMC is around 180 °C, which is, however, decreased to 110 °C in the presence of Li-metal. This work reveals the challenges to the thermal stability of ROP-prepared SPEs and brings attention to the development of safer SPEs in solid-state batteries.</w:t>
      </w:r>
    </w:p>
    <w:p>
      <w:pPr>
        <w:spacing w:before="120" w:after="120"/>
      </w:pPr>
      <w:r>
        <w:rPr>
          <w:sz w:val="18"/>
        </w:rPr>
        <w:t>——————————————————————————————————————————————————————————————————————</w:t>
      </w:r>
    </w:p>
    <w:p>
      <w:pPr>
        <w:spacing w:before="160" w:after="40" w:line="240" w:lineRule="auto"/>
      </w:pPr>
      <w:r>
        <w:rPr>
          <w:b/>
        </w:rPr>
        <w:t xml:space="preserve">[25] </w:t>
      </w:r>
      <w:hyperlink r:id="rId161">
        <w:r>
          <w:rPr>
            <w:color w:val="1155CC"/>
            <w:u w:val="single"/>
          </w:rPr>
          <w:t>Aurivilius 型 ((Na0.5Bi0.5)n–1TinO3n)(Bi2O2) 相中的低温氧化物离子传导</w:t>
        </w:r>
      </w:hyperlink>
    </w:p>
    <w:p>
      <w:pPr>
        <w:spacing w:before="0" w:after="80"/>
      </w:pPr>
      <w:r>
        <w:rPr>
          <w:i/>
          <w:sz w:val="20"/>
        </w:rPr>
        <w:t>EN: Low-temperature oxide-ion conduction in Aurivillius-type ((Na0.5Bi0.5)n–1TinO3n)(Bi2O2) phases</w:t>
      </w:r>
    </w:p>
    <w:p>
      <w:pPr>
        <w:spacing w:before="0" w:after="120"/>
      </w:pPr>
      <w:r>
        <w:rPr>
          <w:b/>
        </w:rPr>
        <w:t xml:space="preserve">Source: </w:t>
      </w:r>
      <w:r>
        <w:t>Nature Energy</w:t>
      </w:r>
      <w:r>
        <w:t xml:space="preserve">    </w:t>
      </w:r>
      <w:r>
        <w:rPr>
          <w:b/>
        </w:rPr>
        <w:t xml:space="preserve">Pub date: </w:t>
      </w:r>
      <w:r>
        <w:t>2026-07-23 00:00:00+00:00</w:t>
      </w:r>
      <w:r>
        <w:t xml:space="preserve">    </w:t>
      </w:r>
      <w:r>
        <w:rPr>
          <w:b/>
        </w:rPr>
        <w:t xml:space="preserve">DOI: </w:t>
      </w:r>
      <w:hyperlink r:id="rId162">
        <w:r>
          <w:rPr>
            <w:color w:val="1155CC"/>
            <w:u w:val="single"/>
          </w:rPr>
          <w:t>10.1038/s41560-026-02115-5</w:t>
        </w:r>
      </w:hyperlink>
    </w:p>
    <w:p>
      <w:pPr>
        <w:spacing w:before="0" w:after="120"/>
      </w:pPr>
      <w:r>
        <w:rPr>
          <w:b/>
        </w:rPr>
        <w:t xml:space="preserve">Notes: </w:t>
      </w:r>
      <w:r>
        <w:t>abstract_source=rss_nature</w:t>
      </w:r>
    </w:p>
    <w:p>
      <w:pPr>
        <w:spacing w:before="0" w:after="80" w:lineRule="auto" w:line="276"/>
      </w:pPr>
      <w:r>
        <w:rPr>
          <w:b/>
        </w:rPr>
        <w:t xml:space="preserve">摘要（ZH）: </w:t>
      </w:r>
      <w:r>
        <w:t>固体氧化物离子导体对于高温电化学技术至关重要，但很少有材料能够在较低温度下保持足够的离子迁移率，从而减少降解，并且可以使用更广泛的材料作为辅助组件。在这里，作者介绍了 Aurivillius 型薄膜导体，它形成周期性快离子通道，并在 350 °C 下实现有前景的导电性。</w:t>
      </w:r>
    </w:p>
    <w:p>
      <w:pPr>
        <w:spacing w:before="0" w:after="200" w:lineRule="auto" w:line="276"/>
      </w:pPr>
      <w:r>
        <w:rPr>
          <w:b/>
        </w:rPr>
        <w:t xml:space="preserve">Abstract (EN): </w:t>
      </w:r>
      <w:r>
        <w:t>Solid oxide-ion conductors are essential for high-temperature electrochemical technologies, yet few materials maintain sufficient ion mobility at lower temperatures, where degradation is reduced and a broader range of materials can be used for auxiliary components. Here the authors introduce Aurivillius-type thin-film conductors that form periodic fast ion channels and achieve promising conductivity at 350 °C.</w:t>
      </w:r>
    </w:p>
    <w:p>
      <w:pPr>
        <w:spacing w:before="120" w:after="120"/>
      </w:pPr>
      <w:r>
        <w:rPr>
          <w:sz w:val="18"/>
        </w:rPr>
        <w:t>——————————————————————————————————————————————————————————————————————</w:t>
      </w:r>
    </w:p>
    <w:p>
      <w:pPr>
        <w:spacing w:before="160" w:after="40" w:line="240" w:lineRule="auto"/>
      </w:pPr>
      <w:r>
        <w:rPr>
          <w:b/>
        </w:rPr>
        <w:t xml:space="preserve">[26] </w:t>
      </w:r>
      <w:hyperlink r:id="rId163">
        <w:r>
          <w:rPr>
            <w:color w:val="1155CC"/>
            <w:u w:val="single"/>
          </w:rPr>
          <w:t>MoCl5介导的双轨调节解锁高压醚基准固态电解质</w:t>
        </w:r>
      </w:hyperlink>
    </w:p>
    <w:p>
      <w:pPr>
        <w:spacing w:before="0" w:after="80"/>
      </w:pPr>
      <w:r>
        <w:rPr>
          <w:i/>
          <w:sz w:val="20"/>
        </w:rPr>
        <w:t>EN: MoCl5-mediated dual-track regulation unlocks high-voltage ether-based quasi-solid-state electrolytes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64">
        <w:r>
          <w:rPr>
            <w:color w:val="1155CC"/>
            <w:u w:val="single"/>
          </w:rPr>
          <w:t>10.1126/sciadv.aeg9860</w:t>
        </w:r>
      </w:hyperlink>
    </w:p>
    <w:p>
      <w:pPr>
        <w:spacing w:before="0" w:after="120"/>
      </w:pPr>
      <w:r>
        <w:rPr>
          <w:b/>
        </w:rPr>
        <w:t xml:space="preserve">Notes: </w:t>
      </w:r>
      <w:r>
        <w:t>abstract_source=crossref</w:t>
      </w:r>
    </w:p>
    <w:p>
      <w:pPr>
        <w:spacing w:before="0" w:after="80" w:lineRule="auto" w:line="276"/>
      </w:pPr>
      <w:r>
        <w:rPr>
          <w:b/>
        </w:rPr>
        <w:t xml:space="preserve">摘要（ZH）: </w:t>
      </w:r>
      <w:r>
        <w:t>原位聚合的1,3-二氧戊环（DOL）电解质为准固态锂金属电池（QSSLMB）提供了一条有前途的途径，但其有限的氧化耐受性和不稳定的电极界面限制了高电压运行。这里，模拟引导的双轨调节策略使用 MoCl</w:t>
      </w:r>
      <w:r>
        <w:rPr>
          <w:vertAlign w:val="subscript"/>
        </w:rPr>
        <w:t>5</w:t>
      </w:r>
      <w:r>
        <w:t>作为多功能引发剂，将 DOL 开环聚合与锂盐解离和无机界面结构耦合。氯化钼</w:t>
      </w:r>
      <w:r>
        <w:rPr>
          <w:vertAlign w:val="subscript"/>
        </w:rPr>
        <w:t>5</w:t>
      </w:r>
      <w:r>
        <w:t>促进高分子量聚(1,3-二氧戊环) (PDOL) 基质和 LiF/LiCl/Li 的形成</w:t>
      </w:r>
      <w:r>
        <w:t xml:space="preserve"> </w:t>
      </w:r>
      <w:r>
        <w:t>x</w:t>
      </w:r>
      <w:r>
        <w:t xml:space="preserve"> </w:t>
      </w:r>
      <w:r>
        <w:t>莫</w:t>
      </w:r>
      <w:r>
        <w:t xml:space="preserve"> </w:t>
      </w:r>
      <w:r>
        <w:t>y</w:t>
      </w:r>
      <w:r>
        <w:t xml:space="preserve"> </w:t>
      </w:r>
      <w:r>
        <w:t>-富集固体电解质中间相（SEI）和阴极电解质中间相（CEI），提高整体稳定性，Li</w:t>
      </w:r>
      <w:r>
        <w:t xml:space="preserve"> </w:t>
      </w:r>
      <w:r>
        <w:t>+</w:t>
      </w:r>
      <w:r>
        <w:t xml:space="preserve"> </w:t>
      </w:r>
      <w:r>
        <w:t>运输和界面稳健性。生成的 MoCl</w:t>
      </w:r>
      <w:r>
        <w:rPr>
          <w:vertAlign w:val="subscript"/>
        </w:rPr>
        <w:t>5</w:t>
      </w:r>
      <w:r>
        <w:t>-调节的PDOL电解质实现了Li</w:t>
      </w:r>
      <w:r>
        <w:t xml:space="preserve"> </w:t>
      </w:r>
      <w:r>
        <w:t>+</w:t>
      </w:r>
      <w:r>
        <w:t xml:space="preserve"> </w:t>
      </w:r>
      <w:r>
        <w:t>转移数为 0.71，电化学稳定性窗口为 4.7 V。Li||Li 对称电池在 5 mA cm 电流下循环超过 1000 小时</w:t>
      </w:r>
      <w:r>
        <w:t xml:space="preserve"> </w:t>
      </w:r>
      <w:r>
        <w:t>−2</w:t>
      </w:r>
      <w:r>
        <w:t xml:space="preserve"> </w:t>
      </w:r>
      <w:r>
        <w:t>，而高压Li||LiNi</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(NCM811) 电池在 2 C 下循环 50 次后容量仍保持在 95% 以上</w:t>
      </w:r>
    </w:p>
    <w:p>
      <w:pPr>
        <w:spacing w:before="0" w:after="200" w:lineRule="auto" w:line="276"/>
      </w:pPr>
      <w:r>
        <w:rPr>
          <w:b/>
        </w:rPr>
        <w:t xml:space="preserve">Abstract (EN): </w:t>
      </w:r>
      <w:r>
        <w:t>In situ–polymerized 1,3-dioxolane (DOL) electrolytes offer a promising route to quasi-solid-state lithium metal batteries (QSSLMBs), yet their limited oxidative tolerance and unstable electrode interfaces restrict high-voltage operation. Here, a simulation-guided dual-track regulation strategy uses MoCl</w:t>
      </w:r>
      <w:r>
        <w:rPr>
          <w:vertAlign w:val="subscript"/>
        </w:rPr>
        <w:t>5</w:t>
      </w:r>
      <w:r>
        <w:t>as a multifunctional initiator to couple DOL ring-opening polymerization with Li-salt dissociation and inorganic interphase construction. MoCl</w:t>
      </w:r>
      <w:r>
        <w:rPr>
          <w:vertAlign w:val="subscript"/>
        </w:rPr>
        <w:t>5</w:t>
      </w:r>
      <w:r>
        <w:t>promotes formation of a high-molecular-weight poly(1,3-dioxolane) (PDOL) matrix and LiF/LiCl/Li</w:t>
      </w:r>
      <w:r>
        <w:t xml:space="preserve"> </w:t>
      </w:r>
      <w:r>
        <w:t>x</w:t>
      </w:r>
      <w:r>
        <w:t xml:space="preserve"> </w:t>
      </w:r>
      <w:r>
        <w:t>Mo</w:t>
      </w:r>
      <w:r>
        <w:t xml:space="preserve"> </w:t>
      </w:r>
      <w:r>
        <w:t>y</w:t>
      </w:r>
      <w:r>
        <w:t xml:space="preserve"> </w:t>
      </w:r>
      <w:r>
        <w:t>-enriched solid electrolyte interphase (SEI) and cathode electrolyte interphase (CEI), improving bulk stability, Li</w:t>
      </w:r>
      <w:r>
        <w:t xml:space="preserve"> </w:t>
      </w:r>
      <w:r>
        <w:t>+</w:t>
      </w:r>
      <w:r>
        <w:t xml:space="preserve"> </w:t>
      </w:r>
      <w:r>
        <w:t>transport, and interfacial robustness. The resulting MoCl</w:t>
      </w:r>
      <w:r>
        <w:rPr>
          <w:vertAlign w:val="subscript"/>
        </w:rPr>
        <w:t>5</w:t>
      </w:r>
      <w:r>
        <w:t>-regulated PDOL electrolyte achieves a Li</w:t>
      </w:r>
      <w:r>
        <w:t xml:space="preserve"> </w:t>
      </w:r>
      <w:r>
        <w:t>+</w:t>
      </w:r>
      <w:r>
        <w:t xml:space="preserve"> </w:t>
      </w:r>
      <w:r>
        <w:t>transference number of 0.71 and an electrochemical stability window of 4.7 V. Li||Li symmetric cells cycle for over 1000 hours at 5 mA cm</w:t>
      </w:r>
      <w:r>
        <w:t xml:space="preserve"> </w:t>
      </w:r>
      <w:r>
        <w:t>−2</w:t>
      </w:r>
      <w:r>
        <w:t xml:space="preserve"> </w:t>
      </w:r>
      <w:r>
        <w:t>, while high-voltage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(NCM811) cells retain over 95% capacity after 50 cycles at 2 C. This work establishes a design principle for multifunctional initiators and unlocks the high-voltage potential of ether-based electrolytes, advancing the practical application of QSSLMBs.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165">
        <w:r>
          <w:rPr>
            <w:color w:val="1155CC"/>
            <w:u w:val="single"/>
          </w:rPr>
          <w:t>磺化聚合物薄膜与隔膜的一步集成，用于缓解锂硫电池中的穿梭效应</w:t>
        </w:r>
      </w:hyperlink>
    </w:p>
    <w:p>
      <w:pPr>
        <w:spacing w:before="0" w:after="80"/>
      </w:pPr>
      <w:r>
        <w:rPr>
          <w:i/>
          <w:sz w:val="20"/>
        </w:rPr>
        <w:t>EN: One-Step Integration of Sulfonated Polymer Films with Separators for Shuttle Mitigation in Lithium–Sulfur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166">
        <w:r>
          <w:rPr>
            <w:color w:val="1155CC"/>
            <w:u w:val="single"/>
          </w:rPr>
          <w:t>10.1021/jacs.5c18131</w:t>
        </w:r>
      </w:hyperlink>
    </w:p>
    <w:p>
      <w:pPr>
        <w:spacing w:before="0" w:after="120"/>
      </w:pPr>
      <w:r>
        <w:rPr>
          <w:b/>
        </w:rPr>
        <w:t xml:space="preserve">Notes: </w:t>
      </w:r>
      <w:r>
        <w:t>abstract_source=pubmed</w:t>
      </w:r>
    </w:p>
    <w:p>
      <w:pPr>
        <w:spacing w:before="0" w:after="80" w:lineRule="auto" w:line="276"/>
      </w:pPr>
      <w:r>
        <w:rPr>
          <w:b/>
        </w:rPr>
        <w:t xml:space="preserve">摘要（ZH）: </w:t>
      </w:r>
      <w:r>
        <w:t>界面聚合（IP）为制造聚合物薄膜提供了一种快速且廉价的方法。在这项工作中，采用三酰氯单体和磺化二胺单体之间的一步 IP 反应，在商业隔膜上添加致密的电荷选择性磺化薄膜涂层，以改善锂硫电池的选择性传输。该涂层有效地抑制了多硫化物穿梭，提高了容量保持率，但代价是由于锂通过致密膜的传导受到阻碍而导致倍率性能受到损害。三官能化酰氯单体对双官能化类似物的部分取代降低了薄膜交联密度，这提高了倍率性能，但降低了薄膜覆盖的均匀性。在 IP 反应中添加一小部分 (0.25 wt%) 较高反应活性的非磺化二胺即可实现均匀的薄膜覆盖。这种优化的薄膜涂层打破了倍率与容量保持权衡，在 0.5C 下循环 200 次后容量达到 711.6 mAh g-1，同时在 2C 倍率测试期间仍达到 800 mAh g-1 以上。</w:t>
      </w:r>
    </w:p>
    <w:p>
      <w:pPr>
        <w:spacing w:before="0" w:after="200" w:lineRule="auto" w:line="276"/>
      </w:pPr>
      <w:r>
        <w:rPr>
          <w:b/>
        </w:rPr>
        <w:t xml:space="preserve">Abstract (EN): </w:t>
      </w:r>
      <w:r>
        <w:t>Interfacial polymerization (IP) offers a rapid and inexpensive method for fabricating thin polymer films. In this work, a one-step IP reaction between a triacyl chloride monomer and sulfonated diamine monomer is employed to add a dense, charge-selective sulfonated thin-film coating onto a commercial separator to improve selective transport in lithium-sulfur batteries. The coating effectively suppresses polysulfide shuttling, enhancing capacity retention, although at the expense of compromised rate performance due to hindered lithium conduction through the dense film. Fractional substitution of the trifunctionalized acyl chloride monomer for a difunctionalized analogue reduces the film cross-link density, which improves rate performance but decreases uniformity in film coverage. Uniform film coverage is achieved upon addition of a small fraction (0.25 wt %) of higher reactivity, nonsulfonated diamine in the IP reaction. This optimized thin film coating breaks the rate-capacity retention trade-off, enabling a capacity of 711.6 mAh g-1 after 200 cycles at 0.5C while still reaching over 800 mAh g-1 during rate testing at 2C.</w:t>
      </w:r>
    </w:p>
    <w:p>
      <w:pPr>
        <w:spacing w:before="120" w:after="120"/>
      </w:pPr>
      <w:r>
        <w:rPr>
          <w:sz w:val="18"/>
        </w:rPr>
        <w:t>——————————————————————————————————————————————————————————————————————</w:t>
      </w:r>
    </w:p>
    <w:p>
      <w:pPr>
        <w:spacing w:before="160" w:after="40" w:line="240" w:lineRule="auto"/>
      </w:pPr>
      <w:r>
        <w:rPr>
          <w:b/>
        </w:rPr>
        <w:t xml:space="preserve">[2] </w:t>
      </w:r>
      <w:hyperlink r:id="rId167">
        <w:r>
          <w:rPr>
            <w:color w:val="1155CC"/>
            <w:u w:val="single"/>
          </w:rPr>
          <w:t>具有电池约束机制的物理引导神经网络用于锂离子电池能量状态估计</w:t>
        </w:r>
      </w:hyperlink>
    </w:p>
    <w:p>
      <w:pPr>
        <w:spacing w:before="0" w:after="80"/>
      </w:pPr>
      <w:r>
        <w:rPr>
          <w:i/>
          <w:sz w:val="20"/>
        </w:rPr>
        <w:t>EN: A physics-guided neural network with battery constraint mechanism for state-of-energy estimation of lithium-ion batteries</w:t>
      </w:r>
    </w:p>
    <w:p>
      <w:pPr>
        <w:spacing w:before="0" w:after="120"/>
      </w:pPr>
      <w:r>
        <w:rPr>
          <w:b/>
        </w:rPr>
        <w:t xml:space="preserve">Source: </w:t>
      </w:r>
      <w:r>
        <w:t>ScienceDirect Publication: Applied Energy</w:t>
      </w:r>
      <w:r>
        <w:t xml:space="preserve">    </w:t>
      </w:r>
      <w:r>
        <w:rPr>
          <w:b/>
        </w:rPr>
        <w:t xml:space="preserve">Pub date: </w:t>
      </w:r>
      <w:r>
        <w:t>2026-07-17 00:00:00+00:00</w:t>
      </w:r>
      <w:r>
        <w:t xml:space="preserve">    </w:t>
      </w:r>
      <w:r>
        <w:rPr>
          <w:b/>
        </w:rPr>
        <w:t xml:space="preserve">DOI: </w:t>
      </w:r>
      <w:hyperlink r:id="rId168">
        <w:r>
          <w:rPr>
            <w:color w:val="1155CC"/>
            <w:u w:val="single"/>
          </w:rPr>
          <w:t>10.1016/j.apenergy.2026.128357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69">
        <w:r>
          <w:rPr>
            <w:color w:val="1155CC"/>
            <w:u w:val="single"/>
          </w:rPr>
          <w:t>汽车电池回收的挑战和趋势</w:t>
        </w:r>
      </w:hyperlink>
    </w:p>
    <w:p>
      <w:pPr>
        <w:spacing w:before="0" w:after="80"/>
      </w:pPr>
      <w:r>
        <w:rPr>
          <w:i/>
          <w:sz w:val="20"/>
        </w:rPr>
        <w:t>EN: Challenges and trends in automotive battery recycling</w:t>
      </w:r>
    </w:p>
    <w:p>
      <w:pPr>
        <w:spacing w:before="0" w:after="120"/>
      </w:pPr>
      <w:r>
        <w:rPr>
          <w:b/>
        </w:rPr>
        <w:t xml:space="preserve">Source: </w:t>
      </w:r>
      <w:r>
        <w:t>Nature Energy</w:t>
      </w:r>
      <w:r>
        <w:t xml:space="preserve">    </w:t>
      </w:r>
      <w:r>
        <w:rPr>
          <w:b/>
        </w:rPr>
        <w:t xml:space="preserve">Pub date: </w:t>
      </w:r>
      <w:r>
        <w:t>2026-07-17 00:00:00+00:00</w:t>
      </w:r>
      <w:r>
        <w:t xml:space="preserve">    </w:t>
      </w:r>
      <w:r>
        <w:rPr>
          <w:b/>
        </w:rPr>
        <w:t xml:space="preserve">DOI: </w:t>
      </w:r>
      <w:hyperlink r:id="rId170">
        <w:r>
          <w:rPr>
            <w:color w:val="1155CC"/>
            <w:u w:val="single"/>
          </w:rPr>
          <w:t>10.1038/s41560-026-02092-9</w:t>
        </w:r>
      </w:hyperlink>
    </w:p>
    <w:p>
      <w:pPr>
        <w:spacing w:before="0" w:after="120"/>
      </w:pPr>
      <w:r>
        <w:rPr>
          <w:b/>
        </w:rPr>
        <w:t xml:space="preserve">Notes: </w:t>
      </w:r>
      <w:r>
        <w:t>abstract_source=nature_html</w:t>
      </w:r>
    </w:p>
    <w:p>
      <w:pPr>
        <w:spacing w:before="0" w:after="80" w:lineRule="auto" w:line="276"/>
      </w:pPr>
      <w:r>
        <w:rPr>
          <w:b/>
        </w:rPr>
        <w:t xml:space="preserve">摘要（ZH）: </w:t>
      </w:r>
      <w:r>
        <w:t>汽车行业的电气化正在推动全球电池生产的快速扩张，生产废料和报废电池会产生大量废物。因此，从 2026 年起，回收能力必须大幅扩大，而回收商面临着重大挑战：满足监管要求、建立高效的逆向物流以及应对日益复杂的回流、系统设计、电池格式和不断发展的化学物质。在这里，我们全面概述了当前的回收技术，并评估了它们与最先进的和下一代电池的兼容性，强调了管理各种电池废物的技术和经济挑战。我们表明，尽管现有的工艺在很大程度上适合当今的锂离子化学物质，但未来的系统（例如钠离子和固态电池）将需要工艺调整。除了技术方面之外，我们还确定了七个关键趋势，以增强回收经济性、优化物质流并支持未来完全循环电池行业的发展。</w:t>
      </w:r>
    </w:p>
    <w:p>
      <w:pPr>
        <w:spacing w:before="0" w:after="200" w:lineRule="auto" w:line="276"/>
      </w:pPr>
      <w:r>
        <w:rPr>
          <w:b/>
        </w:rPr>
        <w:t xml:space="preserve">Abstract (EN): </w:t>
      </w:r>
      <w:r>
        <w:t>The electrification of the automotive industry is driving a rapid global expansion of battery production, which generates substantial volumes of waste from both manufacturing scrap and end-of-life batteries. Consequently, recycling capacities must scale significantly from 2026 onwards, while recyclers face major challenges: meeting regulatory requirements, establishing efficient reverse logistics and coping with the growing complexity of return streams, system designs, cell formats, and evolving chemistries. Here we provide a comprehensive overview of current recycling technologies and assess their compatibility with both state-of-the-art and next-generation batteries, highlighting the technical and economic challenges of managing diverse battery waste. We show that although established processes are largely suitable for today’s lithium-ion chemistries, future systems such as sodium-ion and solid-state batteries will require process adaptation. Beyond technical aspects, we identify seven key trends to enhance recycling economics, optimize material flows and support the development of a fully circular battery industry in the future.</w:t>
      </w:r>
    </w:p>
    <w:p>
      <w:pPr>
        <w:spacing w:before="120" w:after="120"/>
      </w:pPr>
      <w:r>
        <w:rPr>
          <w:sz w:val="18"/>
        </w:rPr>
        <w:t>——————————————————————————————————————————————————————————————————————</w:t>
      </w:r>
    </w:p>
    <w:p>
      <w:pPr>
        <w:spacing w:before="160" w:after="40" w:line="240" w:lineRule="auto"/>
      </w:pPr>
      <w:r>
        <w:rPr>
          <w:b/>
        </w:rPr>
        <w:t xml:space="preserve">[4] </w:t>
      </w:r>
      <w:hyperlink r:id="rId74">
        <w:r>
          <w:rPr>
            <w:color w:val="1155CC"/>
            <w:u w:val="single"/>
          </w:rPr>
          <w:t>盐聚合物电解质的多用途集成填料设计可实现长寿命、安全的固态锂电池</w:t>
        </w:r>
      </w:hyperlink>
    </w:p>
    <w:p>
      <w:pPr>
        <w:spacing w:before="0" w:after="80"/>
      </w:pPr>
      <w:r>
        <w:rPr>
          <w:i/>
          <w:sz w:val="20"/>
        </w:rPr>
        <w:t>EN: Multirole Integrated Filler Design for Polymer‐in‐Salt Electrolytes Enables Long‐Life, Safe 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2026-07-17 05:34:48+00:00</w:t>
      </w:r>
      <w:r>
        <w:t xml:space="preserve">    </w:t>
      </w:r>
      <w:r>
        <w:rPr>
          <w:b/>
        </w:rPr>
        <w:t xml:space="preserve">DOI: </w:t>
      </w:r>
      <w:hyperlink r:id="rId75">
        <w:r>
          <w:rPr>
            <w:color w:val="1155CC"/>
            <w:u w:val="single"/>
          </w:rPr>
          <w:t>10.1002/anie.4049895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盐聚合物（PIS）电解质策略广泛应用于固态锂电池中，通过离子传输调节和界面化学调节来稳定界面，但其应用仍然受到残留溶剂和固有离子电导率-力学权衡引起的界面降解的困扰。在这里，我们提出了一种多用途集成填料设计，通过缺陷化学和界面工程同时解决这些限制。氟化钙</w:t>
      </w:r>
      <w:r>
        <w:rPr>
          <w:vertAlign w:val="subscript"/>
        </w:rPr>
        <w:t>2</w:t>
      </w:r>
      <w:r>
        <w:t>作为代表性案例，填料通过氟空位缺陷协同促进盐解离和离子传导位点的产生，同时通过氢键相互作用和高体积模量增强聚合物基体。这使得卷对卷可扩展制造超薄（约 8 µm）PIS 膜具有 3.32 × 10 的卓越离子电导率</w:t>
      </w:r>
      <w:r>
        <w:t xml:space="preserve"> </w:t>
      </w:r>
      <w:r>
        <w:t>−4</w:t>
      </w:r>
      <w:r>
        <w:t xml:space="preserve"> </w:t>
      </w:r>
      <w:r>
        <w:t>厘米</w:t>
      </w:r>
      <w:r>
        <w:t xml:space="preserve"> </w:t>
      </w:r>
      <w:r>
        <w:t>−1</w:t>
      </w:r>
      <w:r>
        <w:t xml:space="preserve"> </w:t>
      </w:r>
      <w:r>
        <w:t>25°C 时。至关重要的是，原位生成的 LiF/Li-Ca 界面抑制了残留溶剂分解和枝晶形成，实现了锂对称电池近 1600 小时的稳定循环，并在 LiFePO 全电池中实现了高容量保留</w:t>
      </w:r>
      <w:r>
        <w:rPr>
          <w:vertAlign w:val="subscript"/>
        </w:rPr>
        <w:t>4</w:t>
      </w:r>
      <w:r>
        <w:t>或 NCM811 阴极超过 1000 次循环。 CaF 出色的热稳定性（熔点：1418°C）</w:t>
      </w:r>
      <w:r>
        <w:rPr>
          <w:vertAlign w:val="subscript"/>
        </w:rPr>
        <w:t>2</w:t>
      </w:r>
      <w:r>
        <w:t>进一步提高了软包电池在机械和热滥用条件下的固有安全性。这斯</w:t>
      </w:r>
    </w:p>
    <w:p>
      <w:pPr>
        <w:spacing w:before="0" w:after="200" w:lineRule="auto" w:line="276"/>
      </w:pPr>
      <w:r>
        <w:rPr>
          <w:b/>
        </w:rPr>
        <w:t xml:space="preserve">Abstract (EN): </w:t>
      </w:r>
      <w:r>
        <w:t>Although polymer‐in‐salt (PIS) electrolyte strategy is widely employed in solid‐state lithium batteries for interface stabilization through ion transport modulation and interphase chemistry tailoring, its application remains plagued by interfacial degradation induced by residual solvent and inherent ionic conductivity‐mechanics trade‐off. Herein, we propose a multirole integrated filler design to simultaneously address these limitations through defect chemistry and interface engineering. CaF</w:t>
      </w:r>
      <w:r>
        <w:rPr>
          <w:vertAlign w:val="subscript"/>
        </w:rPr>
        <w:t>2</w:t>
      </w:r>
      <w:r>
        <w:t>filler, as a representative case, synergistically promotes salt dissociation and ion‐conducting sites generation through fluorine vacancy defects while reinforcing the polymer matrix via hydrogen bonding interactions and high bulk modulus. This enables roll‐to‐roll scalable fabrication of ultra‐thin (ca. 8 µm) PIS membrane with exceptional ionic conductivity of 3.32 × 10</w:t>
      </w:r>
      <w:r>
        <w:t xml:space="preserve"> </w:t>
      </w:r>
      <w:r>
        <w:t>−4</w:t>
      </w:r>
      <w:r>
        <w:t xml:space="preserve"> </w:t>
      </w:r>
      <w:r>
        <w:t>S cm</w:t>
      </w:r>
      <w:r>
        <w:t xml:space="preserve"> </w:t>
      </w:r>
      <w:r>
        <w:t>−1</w:t>
      </w:r>
      <w:r>
        <w:t xml:space="preserve"> </w:t>
      </w:r>
      <w:r>
        <w:t>at 25°C. Crucially, the in situ generated LiF/Li‐Ca interphase suppresses both residual solvent decomposition and dendrite formation, achieving stable cycling in lithium symmetric cells for nearly 1600 h and high‐capacity retention in full cells with LiFePO</w:t>
      </w:r>
      <w:r>
        <w:rPr>
          <w:vertAlign w:val="subscript"/>
        </w:rPr>
        <w:t>4</w:t>
      </w:r>
      <w:r>
        <w:t>or NCM811 cathodes over 1000 cycles. The outstanding thermal stability (melting point: 1418°C) of CaF</w:t>
      </w:r>
      <w:r>
        <w:rPr>
          <w:vertAlign w:val="subscript"/>
        </w:rPr>
        <w:t>2</w:t>
      </w:r>
      <w:r>
        <w:t>further boosts the inherent safety of pouch cells under mechanical and thermal abuse conditions. This single‐component filler strategy effectively addresses multiple performance bottlenecks in polymer electrolytes, offering a scalable and cost‐effective pathway for practical solid‐state batteries.</w:t>
      </w:r>
    </w:p>
    <w:p>
      <w:pPr>
        <w:spacing w:before="120" w:after="120"/>
      </w:pPr>
      <w:r>
        <w:rPr>
          <w:sz w:val="18"/>
        </w:rPr>
        <w:t>——————————————————————————————————————————————————————————————————————</w:t>
      </w:r>
    </w:p>
    <w:p>
      <w:pPr>
        <w:spacing w:before="160" w:after="40" w:line="240" w:lineRule="auto"/>
      </w:pPr>
      <w:r>
        <w:rPr>
          <w:b/>
        </w:rPr>
        <w:t xml:space="preserve">[5] </w:t>
      </w:r>
      <w:hyperlink r:id="rId171">
        <w:r>
          <w:rPr>
            <w:color w:val="1155CC"/>
            <w:u w:val="single"/>
          </w:rPr>
          <w:t>打破能量级联：锂离子电池系统中热失控传播的特定阶段缓解</w:t>
        </w:r>
      </w:hyperlink>
    </w:p>
    <w:p>
      <w:pPr>
        <w:spacing w:before="0" w:after="80"/>
      </w:pPr>
      <w:r>
        <w:rPr>
          <w:i/>
          <w:sz w:val="20"/>
        </w:rPr>
        <w:t>EN: Breaking the Energy Cascades: Stage‐Specific Mitigation of Thermal Runaway Propagation in Lithium‐Ion Battery Systems</w:t>
      </w:r>
    </w:p>
    <w:p>
      <w:pPr>
        <w:spacing w:before="0" w:after="120"/>
      </w:pPr>
      <w:r>
        <w:rPr>
          <w:b/>
        </w:rPr>
        <w:t xml:space="preserve">Source: </w:t>
      </w:r>
      <w:r>
        <w:t>Wiley: Advanced Energy Materials: Table of Contents</w:t>
      </w:r>
      <w:r>
        <w:t xml:space="preserve">    </w:t>
      </w:r>
      <w:r>
        <w:rPr>
          <w:b/>
        </w:rPr>
        <w:t xml:space="preserve">Pub date: </w:t>
      </w:r>
      <w:r>
        <w:t>2026-07-17 09:56:45+00:00</w:t>
      </w:r>
      <w:r>
        <w:t xml:space="preserve">    </w:t>
      </w:r>
      <w:r>
        <w:rPr>
          <w:b/>
        </w:rPr>
        <w:t xml:space="preserve">DOI: </w:t>
      </w:r>
      <w:hyperlink r:id="rId172">
        <w:r>
          <w:rPr>
            <w:color w:val="1155CC"/>
            <w:u w:val="single"/>
          </w:rPr>
          <w:t>10.1002/aenm.71302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安全仍然是电动汽车和大型储能系统中锂离子电池系统的一个关键挑战。热失控传播是一个阶段演化、多物理场耦合的能量级联，由触发路径、传热模式和燃烧行为控制。本文根据热失控早期、中期和晚期的主要危害，重新整理了被动缓解策略。热缓冲、热阻挡和灭火功能集成到一个框架中。首先总结了主要的触发途径，包括过度充电、外部加热和内部短路，然后分析了传播过程中固态传导、通风口驱动对流以及辐射和火焰介导的传输的阶段相关演化。然后从机理、权衡和阶段特定功能方面对代表性保护材料（包括相变材料、低导热屏障和灭火剂）进行严格评估。除了传统的分层屏障之外，未来的保护系统应向集成的多功能智能平台发展，结合相变缓冲、高温绝缘和事件触发抑制。结合人工智能辅助设计和数字孪生验证，此类平台为可扩展的电池热安全架构提供了一条有前途的途径。</w:t>
      </w:r>
    </w:p>
    <w:p>
      <w:pPr>
        <w:spacing w:before="0" w:after="200" w:lineRule="auto" w:line="276"/>
      </w:pPr>
      <w:r>
        <w:rPr>
          <w:b/>
        </w:rPr>
        <w:t xml:space="preserve">Abstract (EN): </w:t>
      </w:r>
      <w:r>
        <w:t>Thermal safety remains a critical challenge for lithium‐ion battery systems in electric vehicles and large‐scale energy storage systems. Thermal runaway propagation is a stage‐evolving, multiphysics‐coupled energy cascade governed by triggering pathways, heat‐transfer modes, and combustion behavior. This review reorganizes passive mitigation strategies according to the dominant hazards in the early, intermediate, and late stages of thermal runaway. Thermal buffering, thermal blocking, and fire suppression are integrated into a single framework. Major triggering pathways, including overcharge, external heating, and internal short circuits, are first summarized, followed by analysis of the stage‐dependent evolution of solid‐state conduction, vent‐driven convection, and radiative and flame‐mediated transport during propagation. Representative protective materials, including phase change materials, low‐thermal‐conductivity barriers, and fire suppressants, are then critically evaluated in terms of mechanism, trade‐off, and stage‐specific function. Beyond conventional layered barriers, future protection systems should evolve toward integrated, multifunctional intelligent platforms combining phase‐change buffering, high‐temperature insulation, and event‐triggered suppression. Coupled with artificial‐intelligence‐assisted design and digital‐twin‐enabled validation, such platforms offer a promising route toward scalable battery thermal‐safety architectures.</w:t>
      </w:r>
    </w:p>
    <w:p>
      <w:pPr>
        <w:spacing w:before="120" w:after="120"/>
      </w:pPr>
      <w:r>
        <w:rPr>
          <w:sz w:val="18"/>
        </w:rPr>
        <w:t>——————————————————————————————————————————————————————————————————————</w:t>
      </w:r>
    </w:p>
    <w:p>
      <w:pPr>
        <w:spacing w:before="160" w:after="40" w:line="240" w:lineRule="auto"/>
      </w:pPr>
      <w:r>
        <w:rPr>
          <w:b/>
        </w:rPr>
        <w:t xml:space="preserve">[6] </w:t>
      </w:r>
      <w:hyperlink r:id="rId173">
        <w:r>
          <w:rPr>
            <w:color w:val="1155CC"/>
            <w:u w:val="single"/>
          </w:rPr>
          <w:t>用于电池表征的大规模多模式工作流程：从概念到实施</w:t>
        </w:r>
      </w:hyperlink>
    </w:p>
    <w:p>
      <w:pPr>
        <w:spacing w:before="0" w:after="80"/>
      </w:pPr>
      <w:r>
        <w:rPr>
          <w:i/>
          <w:sz w:val="20"/>
        </w:rPr>
        <w:t>EN: A Large Scale Multi‐Modal Workflow for Battery Characterization: From Concept to Implementation</w:t>
      </w:r>
    </w:p>
    <w:p>
      <w:pPr>
        <w:spacing w:before="0" w:after="120"/>
      </w:pPr>
      <w:r>
        <w:rPr>
          <w:b/>
        </w:rPr>
        <w:t xml:space="preserve">Source: </w:t>
      </w:r>
      <w:r>
        <w:t>Wiley: Advanced Energy Materials: Table of Contents</w:t>
      </w:r>
      <w:r>
        <w:t xml:space="preserve">    </w:t>
      </w:r>
      <w:r>
        <w:rPr>
          <w:b/>
        </w:rPr>
        <w:t xml:space="preserve">Pub date: </w:t>
      </w:r>
      <w:r>
        <w:t>2026-07-17 12:45:27+00:00</w:t>
      </w:r>
      <w:r>
        <w:t xml:space="preserve">    </w:t>
      </w:r>
      <w:r>
        <w:rPr>
          <w:b/>
        </w:rPr>
        <w:t xml:space="preserve">DOI: </w:t>
      </w:r>
      <w:hyperlink r:id="rId174">
        <w:r>
          <w:rPr>
            <w:color w:val="1155CC"/>
            <w:u w:val="single"/>
          </w:rPr>
          <w:t>10.1002/aenm.71288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池研究中材料加速平台的开发需要集成互补技术并关联异构实验数据集。在这里，这一挑战通过涉及十五个欧洲实验室和设施的大规模多式联运计划得到解决。石墨/锂离子全电池的协调实验解决了两个科学问题：电解质成分是否会影响电极性能，以及当电池循环至寿命终点时，电极材料如何演变？演示了完全标准化的工作流程，从样本生产和交付，到元数据和数据处理，生成在合作伙伴之间共享的 75 个串联数据集。他们的综合分析表明，科学结论在很大程度上取决于选择描述电极特性的可观测值以及所采用的表征技术。除了提供对晶体结构、氧化还原活性、表面过程或形态等特定方面的详细见解之外，单个实验还可以充当二元诊断工具。引入了二维可观察技术模式，其中每个像素编码一个科学问题的是、否或不确定的答案。这些多属性元视图可以根据用户需求和标准对材料行为和技术适用性进行分类，突出测量、提取参数和科学解释之间的相互依赖性。这项工作建立了集成和整体电池再充电的概念验证</w:t>
      </w:r>
    </w:p>
    <w:p>
      <w:pPr>
        <w:spacing w:before="0" w:after="200" w:lineRule="auto" w:line="276"/>
      </w:pPr>
      <w:r>
        <w:rPr>
          <w:b/>
        </w:rPr>
        <w:t xml:space="preserve">Abstract (EN): </w:t>
      </w:r>
      <w:r>
        <w:t>The development of material acceleration platforms in battery research requires integrating complementary techniques and correlating heterogeneous experimental datasets. Here, this challenge is addressed through a large‐scale multimodal program involving fifteen European laboratories and facilities. Coordinated experiments on graphite/ Li‐ion full cells address two scientific questions: is the electrolyte composition impacting electrode properties, and how do electrode materials evolve when cells are cycled to their end‐of‐life? A fully standardized workflow is demonstrated, from sample production and delivery, to metadata and data handling, generating seventy‐five concatenated datasets shared among partners. Their integrated analysis reveals that scientific conclusions strongly depend on both the observable chosen to describe electrode properties, and the characterization technique employed. Beyond providing detailed insights into specific aspects as crystal structures, redox activity, surface processes or morphology, individual experiments can also act as binary diagnostic tool. Two‐dimensional observable‐technique patterns are introduced, where each pixel encodes a yes, no or uncertain answer to a scientific question. These multi‐property metaviews enable the classification of material behavior and technique suitability according to user demand and criteria, highlighting the interdependence between measurement, extracted parameters, and scientific interpretation. This work establishes a proof‐of‐concept toward integrated and holistic battery research workflows.</w:t>
      </w:r>
    </w:p>
    <w:p>
      <w:pPr>
        <w:spacing w:before="120" w:after="120"/>
      </w:pPr>
      <w:r>
        <w:rPr>
          <w:sz w:val="18"/>
        </w:rPr>
        <w:t>——————————————————————————————————————————————————————————————————————</w:t>
      </w:r>
    </w:p>
    <w:p>
      <w:pPr>
        <w:spacing w:before="160" w:after="40" w:line="240" w:lineRule="auto"/>
      </w:pPr>
      <w:r>
        <w:rPr>
          <w:b/>
        </w:rPr>
        <w:t xml:space="preserve">[7] </w:t>
      </w:r>
      <w:hyperlink r:id="rId175">
        <w:r>
          <w:rPr>
            <w:color w:val="1155CC"/>
            <w:u w:val="single"/>
          </w:rPr>
          <w:t>利用稀疏云充电数据和TabNet深度学习网络对共享电动自行车二次寿命锂离子电池进行多故障诊断</w:t>
        </w:r>
      </w:hyperlink>
    </w:p>
    <w:p>
      <w:pPr>
        <w:spacing w:before="0" w:after="80"/>
      </w:pPr>
      <w:r>
        <w:rPr>
          <w:i/>
          <w:sz w:val="20"/>
        </w:rPr>
        <w:t>EN: Multi-fault diagnosis of second-life lithium-ion batteries for shared electric bikes using sparse cloud-based charging data and TabNet deep learning network</w:t>
      </w:r>
    </w:p>
    <w:p>
      <w:pPr>
        <w:spacing w:before="0" w:after="120"/>
      </w:pPr>
      <w:r>
        <w:rPr>
          <w:b/>
        </w:rPr>
        <w:t xml:space="preserve">Source: </w:t>
      </w:r>
      <w:r>
        <w:t>ScienceDirect Publication: Applied Energy</w:t>
      </w:r>
      <w:r>
        <w:t xml:space="preserve">    </w:t>
      </w:r>
      <w:r>
        <w:rPr>
          <w:b/>
        </w:rPr>
        <w:t xml:space="preserve">Pub date: </w:t>
      </w:r>
      <w:r>
        <w:t>2026-07-18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76">
        <w:r>
          <w:rPr>
            <w:color w:val="1155CC"/>
            <w:u w:val="single"/>
          </w:rPr>
          <w:t>主动配电网中可再生能源托管容量电池储能的技术经济规划</w:t>
        </w:r>
      </w:hyperlink>
    </w:p>
    <w:p>
      <w:pPr>
        <w:spacing w:before="0" w:after="80"/>
      </w:pPr>
      <w:r>
        <w:rPr>
          <w:i/>
          <w:sz w:val="20"/>
        </w:rPr>
        <w:t>EN: Techno-economic planning of battery energy storage for renewable hosting capacity in active distribution networks</w:t>
      </w:r>
    </w:p>
    <w:p>
      <w:pPr>
        <w:spacing w:before="0" w:after="120"/>
      </w:pPr>
      <w:r>
        <w:rPr>
          <w:b/>
        </w:rPr>
        <w:t xml:space="preserve">Source: </w:t>
      </w:r>
      <w:r>
        <w:t>ScienceDirect Publication: Applied Energy</w:t>
      </w:r>
      <w:r>
        <w:t xml:space="preserve">    </w:t>
      </w:r>
      <w:r>
        <w:rPr>
          <w:b/>
        </w:rPr>
        <w:t xml:space="preserve">Pub date: </w:t>
      </w:r>
      <w:r>
        <w:t>2026-07-20 00:00:00+00:00</w:t>
      </w:r>
      <w:r>
        <w:t xml:space="preserve">    </w:t>
      </w:r>
      <w:r>
        <w:rPr>
          <w:b/>
        </w:rPr>
        <w:t xml:space="preserve">DOI: </w:t>
      </w:r>
      <w:hyperlink r:id="rId177">
        <w:r>
          <w:rPr>
            <w:color w:val="1155CC"/>
            <w:u w:val="single"/>
          </w:rPr>
          <w:t>10.1016/j.apenergy.2026.128497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8">
        <w:r>
          <w:rPr>
            <w:color w:val="1155CC"/>
            <w:u w:val="single"/>
          </w:rPr>
          <w:t>通过脉冲调制主动编程电池化学</w:t>
        </w:r>
      </w:hyperlink>
    </w:p>
    <w:p>
      <w:pPr>
        <w:spacing w:before="0" w:after="80"/>
      </w:pPr>
      <w:r>
        <w:rPr>
          <w:i/>
          <w:sz w:val="20"/>
        </w:rPr>
        <w:t>EN: Actively Programming Battery Chemistry via Pulse Modulation</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79">
        <w:r>
          <w:rPr>
            <w:color w:val="1155CC"/>
            <w:u w:val="single"/>
          </w:rPr>
          <w:t>10.1021/jacs.6c08156</w:t>
        </w:r>
      </w:hyperlink>
    </w:p>
    <w:p>
      <w:pPr>
        <w:spacing w:before="0" w:after="120"/>
      </w:pPr>
      <w:r>
        <w:rPr>
          <w:b/>
        </w:rPr>
        <w:t xml:space="preserve">Notes: </w:t>
      </w:r>
      <w:r>
        <w:t>abstract_source=pubmed</w:t>
      </w:r>
    </w:p>
    <w:p>
      <w:pPr>
        <w:spacing w:before="0" w:after="80" w:lineRule="auto" w:line="276"/>
      </w:pPr>
      <w:r>
        <w:rPr>
          <w:b/>
        </w:rPr>
        <w:t xml:space="preserve">摘要（ZH）: </w:t>
      </w:r>
      <w:r>
        <w:t>高能电化学储能的进步越来越受到稳态运行固有的动力学和热力学瓶颈的限制。这种观点认为，脉冲调制代表了一种基本的范式转变，超越了经验充电协议，转向了主动、实时调节多尺度电池化学的复杂框架。通过利用非平衡瞬态，脉冲激发能够实现纠缠物理化学过程的时间解耦，包括离子溶剂化鞘重组、界面电荷转移和长程质量传输，而这些在传统恒流条件下仍然无法实现。我们阐明了这种方法的基本化学物理原理，研究了振幅、频率和波形形态的高维参数空间如何决定从微观到宏观尺度的浓差极化、固体电解质界面演化和金属沉积形态。此外，这项工作评估了操作诊断与基于物理的机器学习的融合，作为导航脉冲协议的巨大组合空间的战略路线。通过将多物理场建模与闭环控制相结合，我们概述了软件定义化学的路线图，其中自适应协议动态补偿健康状态漂移和热波动。最终，这种观点主张从将电池视为被动电化学储存器过渡到主动调制系统，从而提供了一种理论</w:t>
      </w:r>
    </w:p>
    <w:p>
      <w:pPr>
        <w:spacing w:before="0" w:after="200" w:lineRule="auto" w:line="276"/>
      </w:pPr>
      <w:r>
        <w:rPr>
          <w:b/>
        </w:rPr>
        <w:t xml:space="preserve">Abstract (EN): </w:t>
      </w:r>
      <w:r>
        <w:t>The advancement of high-energy electrochemical energy storage is increasingly throttled by the kinetic and thermodynamic bottlenecks inherent to steady-state operation. This perspective posits that pulse modulation represents a fundamental paradigm shift, moving beyond empirical charging protocols toward a sophisticated framework for the active, real-time regulation of multiscale battery chemistry. By leveraging nonequilibrium transients, pulsed excitation enables the temporal decoupling of entangled physicochemical processes, including ion solvation sheath reorganization, interfacial charge transfer, and long-range mass transport that remain inaccessible under conventional constant-current conditions. We elucidate the underlying chemical physics of this approach, examining how a high-dimensional parameter space of amplitude, frequency, and waveform morphology dictates the concentration polarization, solid-electrolyte interphase evolution, and metal deposition morphology across micro- to macroscales. Furthermore, this work evaluates the convergence of operando diagnostics with physics-informed machine learning as a strategic route to navigate the vast combinatorial spaces of pulse protocols. By integrating multiphysics modeling with closed-loop control, we outline a roadmap for software-defined chemistry, where adaptive protocols dynamically compensate for state-of-health drift and thermal fluctuations. Ultimately, this perspective advocates for a transition from treating the battery as a passive electrochemical reservoir to an actively modulated system, providing a theoretical foundation for the next-generation, closed-loop battery management capable of multisource-field cooperative regulation of the electrochemical environment.</w:t>
      </w:r>
    </w:p>
    <w:p>
      <w:pPr>
        <w:spacing w:before="120" w:after="120"/>
      </w:pPr>
      <w:r>
        <w:rPr>
          <w:sz w:val="18"/>
        </w:rPr>
        <w:t>——————————————————————————————————————————————————————————————————————</w:t>
      </w:r>
    </w:p>
    <w:p>
      <w:pPr>
        <w:spacing w:before="160" w:after="40" w:line="240" w:lineRule="auto"/>
      </w:pPr>
      <w:r>
        <w:rPr>
          <w:b/>
        </w:rPr>
        <w:t xml:space="preserve">[10] </w:t>
      </w:r>
      <w:hyperlink r:id="rId86">
        <w:r>
          <w:rPr>
            <w:color w:val="1155CC"/>
            <w:u w:val="single"/>
          </w:rPr>
          <w:t>利用 O2-O3 共生升级回收废 LiCoO2，以增强高压稳定性和循环性能</w:t>
        </w:r>
      </w:hyperlink>
    </w:p>
    <w:p>
      <w:pPr>
        <w:spacing w:before="0" w:after="80"/>
      </w:pPr>
      <w:r>
        <w:rPr>
          <w:i/>
          <w:sz w:val="20"/>
        </w:rPr>
        <w:t>EN: Upcycling Spent LiCoO2 with O2–O3 Intergrowth for Enhanced High‐Voltage Stability and Cycling Performance</w:t>
      </w:r>
    </w:p>
    <w:p>
      <w:pPr>
        <w:spacing w:before="0" w:after="120"/>
      </w:pPr>
      <w:r>
        <w:rPr>
          <w:b/>
        </w:rPr>
        <w:t xml:space="preserve">Source: </w:t>
      </w:r>
      <w:r>
        <w:t>Wiley: Advanced Materials: Table of Contents</w:t>
      </w:r>
      <w:r>
        <w:t xml:space="preserve">    </w:t>
      </w:r>
      <w:r>
        <w:rPr>
          <w:b/>
        </w:rPr>
        <w:t xml:space="preserve">Pub date: </w:t>
      </w:r>
      <w:r>
        <w:t>2026-07-20 08:45:32+00:00</w:t>
      </w:r>
      <w:r>
        <w:t xml:space="preserve">    </w:t>
      </w:r>
      <w:r>
        <w:rPr>
          <w:b/>
        </w:rPr>
        <w:t xml:space="preserve">DOI: </w:t>
      </w:r>
      <w:hyperlink r:id="rId87">
        <w:r>
          <w:rPr>
            <w:color w:val="1155CC"/>
            <w:u w:val="single"/>
          </w:rPr>
          <w:t>10.1002/adma.74208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由于元素回收率高、能耗低，直接再生被认为是废旧锂离子电池（LIB）的下一代回收策略。然而，受限于5-8年前的原始设计，废LiCoO的简单回收</w:t>
      </w:r>
      <w:r>
        <w:rPr>
          <w:vertAlign w:val="subscript"/>
        </w:rPr>
        <w:t>2</w:t>
      </w:r>
      <w:r>
        <w:t>（LCO）很难诱导出适合现代储能系统的电化学能力。此外，采用传统 O3 相的商用 LCO 本身就存在高压稳定性差的问题。在此，利用废 LCO 的褪色特性作为升级循环的跳板，通过晶格重建和离子交换诱导的相变，它们成功再生为具有 O2-O3 共生结构的新鲜 LCO。通过定制 SLCO 的缺锂水平来精确控制 O2 相含量。在交织的晶格位错的帮助下，O2 和 O3 相相干地互锁，有效地缓解晶格膨胀和氧释放。同时，降低的能带（1.359 eV）和扩散能垒（0.375 eV）对能量存储能力起着重要作用。优化后的材料容量为 223.3 mAh g</w:t>
      </w:r>
      <w:r>
        <w:t xml:space="preserve"> </w:t>
      </w:r>
      <w:r>
        <w:t>−1</w:t>
      </w:r>
      <w:r>
        <w:t xml:space="preserve"> </w:t>
      </w:r>
      <w:r>
        <w:t>在 0.1 C 下，在 1.0 C 下循环 100 次后保留率达 90.6%，优于商用 LCO。使用改进的电解质，在 5C 下循环 500 次后，容量保持率为 73.6%。这项工作凸显了 O2-O3 共生 LCO 的优势，并为高性能阴极提供了一条有前景的升级回收途径。</w:t>
      </w:r>
    </w:p>
    <w:p>
      <w:pPr>
        <w:spacing w:before="0" w:after="200" w:lineRule="auto" w:line="276"/>
      </w:pPr>
      <w:r>
        <w:rPr>
          <w:b/>
        </w:rPr>
        <w:t xml:space="preserve">Abstract (EN): </w:t>
      </w:r>
      <w:r>
        <w:t>Direct regeneration is regarded as a next‐generation recycling strategy for spent lithium‐ion batteries (LIBs) owing to high element recovery and low energy consumption. However, limited by pristine design from 5–8 years ago, the simple recovery for spent LiCoO</w:t>
      </w:r>
      <w:r>
        <w:rPr>
          <w:vertAlign w:val="subscript"/>
        </w:rPr>
        <w:t>2</w:t>
      </w:r>
      <w:r>
        <w:t>(LCO) hardly induced the suitable electrochemical abilities for modern energy‐storage systems. Moreover, commercial LCO with conventional O3 phase inherently suffers from poor high‑voltage stability. Herein, using the fading traits of spent LCO as upcycling springboards, they are successfully regenerated toward fresh LCO with O2–O3 intergrown architecture through lattice reconstruction and ion‑exchange‑induced phase transformation. The O2‑phase content is precisely controlled by tailoring Li‑deficiency level of SLCO. Assisted by intertwined lattice dislocations, O2 and O3 phases are coherently interlocked, effectively alleviating lattice expansion and oxygen release. Meanwhile, the lowered energy band (1.359 eV) and diffusion energy barrier (0.375 eV) play important roles for energy‐storage abilities. The optimized material delivers a capacity of 223.3 mAh g</w:t>
      </w:r>
      <w:r>
        <w:t xml:space="preserve"> </w:t>
      </w:r>
      <w:r>
        <w:t>−1</w:t>
      </w:r>
      <w:r>
        <w:t xml:space="preserve"> </w:t>
      </w:r>
      <w:r>
        <w:t>at 0.1 C and retains 90.6% after 100 cycles at 1.0 C, outperforming commercial LCO. With a modified electrolyte, a capacity retention of 73.6% is achieved after 500 cycles at 5C. This work highlights the advantages of O2–O3 intergrown LCO and provides a promising upcycling route toward high‑performance cathodes.</w:t>
      </w:r>
    </w:p>
    <w:p>
      <w:pPr>
        <w:spacing w:before="120" w:after="120"/>
      </w:pPr>
      <w:r>
        <w:rPr>
          <w:sz w:val="18"/>
        </w:rPr>
        <w:t>——————————————————————————————————————————————————————————————————————</w:t>
      </w:r>
    </w:p>
    <w:p>
      <w:pPr>
        <w:spacing w:before="160" w:after="40" w:line="240" w:lineRule="auto"/>
      </w:pPr>
      <w:r>
        <w:rPr>
          <w:b/>
        </w:rPr>
        <w:t xml:space="preserve">[11] </w:t>
      </w:r>
      <w:hyperlink r:id="rId143">
        <w:r>
          <w:rPr>
            <w:color w:val="1155CC"/>
            <w:u w:val="single"/>
          </w:rPr>
          <w:t>连接锂金属固态电池的大规模可制造性和纳米级界面化学</w:t>
        </w:r>
      </w:hyperlink>
    </w:p>
    <w:p>
      <w:pPr>
        <w:spacing w:before="0" w:after="80"/>
      </w:pPr>
      <w:r>
        <w:rPr>
          <w:i/>
          <w:sz w:val="20"/>
        </w:rPr>
        <w:t>EN: Bridging Large‐Scale Manufacturability and Nanoscale Interfacial Chemistry in Lithium Metal Solid‐State Batteries</w:t>
      </w:r>
    </w:p>
    <w:p>
      <w:pPr>
        <w:spacing w:before="0" w:after="120"/>
      </w:pPr>
      <w:r>
        <w:rPr>
          <w:b/>
        </w:rPr>
        <w:t xml:space="preserve">Source: </w:t>
      </w:r>
      <w:r>
        <w:t>Wiley: Advanced Materials: Table of Contents</w:t>
      </w:r>
      <w:r>
        <w:t xml:space="preserve">    </w:t>
      </w:r>
      <w:r>
        <w:rPr>
          <w:b/>
        </w:rPr>
        <w:t xml:space="preserve">Pub date: </w:t>
      </w:r>
      <w:r>
        <w:t>2026-07-20 11:02:19+00:00</w:t>
      </w:r>
      <w:r>
        <w:t xml:space="preserve">    </w:t>
      </w:r>
      <w:r>
        <w:rPr>
          <w:b/>
        </w:rPr>
        <w:t xml:space="preserve">DOI: </w:t>
      </w:r>
      <w:hyperlink r:id="rId144">
        <w:r>
          <w:rPr>
            <w:color w:val="1155CC"/>
            <w:u w:val="single"/>
          </w:rPr>
          <w:t>10.1002/adma.74194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解决锂金属全固态电池的界面不稳定性，人们采用了保护性中间层，但大多数依赖于与可规模化制造不兼容的涂层或贵金属添加剂。在这里，我们报告了一种基于纳米红磷的界面设计，该设计能够在与Li接触时实现自生化学润湿，自发形成Li</w:t>
      </w:r>
      <w:r>
        <w:rPr>
          <w:vertAlign w:val="subscript"/>
        </w:rPr>
        <w:t>3</w:t>
      </w:r>
      <w:r>
        <w:t>富磷中间相，称为自生化学湿中间层。该反应层通过原位化学转化来自我调节离子传输和界面粘附，产生均匀的锂离子通量和均匀分布的界面电流，从而实现高电流密度下稳定的电镀和剥离以及可靠的高速率固态循环。化学润湿机制本质上与卷对卷转移印刷兼容，并且能够在大面积电极上实现无缺陷层压。这种机械-电化学耦合调节为固态电极的可扩展制造奠定了基础，如 6 Ah 级软包电池所证明的那样。这些发现将纳米级界面反应性与宏观可加工性联系起来，并为高能、大型固态锂金属电池的实际实施迈出了一步。</w:t>
      </w:r>
    </w:p>
    <w:p>
      <w:pPr>
        <w:spacing w:before="0" w:after="200" w:lineRule="auto" w:line="276"/>
      </w:pPr>
      <w:r>
        <w:rPr>
          <w:b/>
        </w:rPr>
        <w:t xml:space="preserve">Abstract (EN): </w:t>
      </w:r>
      <w:r>
        <w:t>To address interfacial instability in Li metal all‐solid‐state batteries, protective interlayers have been adopted, yet most rely on coatings or noble metal additives incompatible with scalable manufacturing. Here, we report a nanosized red phosphorus–based interfacial design that enables autogenous chemo‐wetting upon contact with Li, spontaneously forming a Li</w:t>
      </w:r>
      <w:r>
        <w:rPr>
          <w:vertAlign w:val="subscript"/>
        </w:rPr>
        <w:t>3</w:t>
      </w:r>
      <w:r>
        <w:t>P‐rich interphase, referred to as the autogenous chemo‐wet interlayer. This reactive layer self‐regulates ionic transport and interfacial adhesion through in situ chemical conversion, producing uniform Li‐ion flux and well‐distributed interfacial current, thereby enabling stable plating and stripping at high current densities and reliable high‐rate solid‐state cycling. The chemo‐wetting mechanism is inherently compatible with roll‐to‐roll transfer printing and enables defect‐free lamination across large‐area electrodes. This coupled mechanical–electrochemical regulation underpins scalable fabrication of solid‐state electrodes, as demonstrated in 6 Ah‐class pouch cells. These discoveries bridge nanoscale interfacial reactivity with macroscale processability and present a step toward practical implementation toward high‐energy, large‐format solid‐state Li metal batteries.</w:t>
      </w:r>
    </w:p>
    <w:p>
      <w:pPr>
        <w:spacing w:before="120" w:after="120"/>
      </w:pPr>
      <w:r>
        <w:rPr>
          <w:sz w:val="18"/>
        </w:rPr>
        <w:t>——————————————————————————————————————————————————————————————————————</w:t>
      </w:r>
    </w:p>
    <w:p>
      <w:pPr>
        <w:spacing w:before="160" w:after="40" w:line="240" w:lineRule="auto"/>
      </w:pPr>
      <w:r>
        <w:rPr>
          <w:b/>
        </w:rPr>
        <w:t xml:space="preserve">[12] </w:t>
      </w:r>
      <w:hyperlink r:id="rId123">
        <w:r>
          <w:rPr>
            <w:color w:val="1155CC"/>
            <w:u w:val="single"/>
          </w:rPr>
          <w:t>离散微区键合粘合剂可在锂离子电池中实现机械坚固的微米硅阳极</w:t>
        </w:r>
      </w:hyperlink>
    </w:p>
    <w:p>
      <w:pPr>
        <w:spacing w:before="0" w:after="80"/>
      </w:pPr>
      <w:r>
        <w:rPr>
          <w:i/>
          <w:sz w:val="20"/>
        </w:rPr>
        <w:t>EN: Discrete Microdomain‐Bonded Binder Enables Mechanically Robust Micron‐Silicon Anodes in Lithium‐Ion Batteries</w:t>
      </w:r>
    </w:p>
    <w:p>
      <w:pPr>
        <w:spacing w:before="0" w:after="120"/>
      </w:pPr>
      <w:r>
        <w:rPr>
          <w:b/>
        </w:rPr>
        <w:t xml:space="preserve">Source: </w:t>
      </w:r>
      <w:r>
        <w:t>Wiley: Advanced Materials: Table of Contents</w:t>
      </w:r>
      <w:r>
        <w:t xml:space="preserve">    </w:t>
      </w:r>
      <w:r>
        <w:rPr>
          <w:b/>
        </w:rPr>
        <w:t xml:space="preserve">Pub date: </w:t>
      </w:r>
      <w:r>
        <w:t>2026-07-20 11:08:13+00:00</w:t>
      </w:r>
      <w:r>
        <w:t xml:space="preserve">    </w:t>
      </w:r>
      <w:r>
        <w:rPr>
          <w:b/>
        </w:rPr>
        <w:t xml:space="preserve">DOI: </w:t>
      </w:r>
      <w:hyperlink r:id="rId124">
        <w:r>
          <w:rPr>
            <w:color w:val="1155CC"/>
            <w:u w:val="single"/>
          </w:rPr>
          <w:t>10.1002/adma.74188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微米硅（μSi）由于其生产成本低、振实密度高和出色的理论比容量而成为一种有前途的锂离子电池（LIB）负极材料。然而，其实际应用受到循环过程中超过300%的体积膨胀的严重限制。因此，开发先进的功能粘合剂对于克服这一瓶颈至关重要，几乎所有策略都依赖于通过聚合物或原位交联/聚合粘合剂构建连续的内部键合网络。在此，提出了一种新颖的键合范例，即离散微域键合（DMB），以解决μSi阳极的巨大体积膨胀问题。在该系统中，离散分布的短链粘合剂分子能够通过界面氢键在微域水平上精确锚定μSi颗粒。通过利用微域介导的动态适应机制来适应巨大的体积变化，μSi 颗粒在整个循环过程中保持良好的电接触，确保强大的机械耐受性和延长的使用寿命。因此，与 DMB 粘合剂集成的 µSi 负极表现出高达 92.5% 的初始库仑效率 (ICE) 和 2517.4 mAh g 的非凡容量</w:t>
      </w:r>
      <w:r>
        <w:t xml:space="preserve"> </w:t>
      </w:r>
      <w:r>
        <w:t>−1</w:t>
      </w:r>
      <w:r>
        <w:t xml:space="preserve"> </w:t>
      </w:r>
      <w:r>
        <w:t>0.5 A g 下 100 次循环后保留率为 98.2%</w:t>
      </w:r>
      <w:r>
        <w:t xml:space="preserve"> </w:t>
      </w:r>
      <w:r>
        <w:t>−1</w:t>
      </w:r>
      <w:r>
        <w:t xml:space="preserve"> </w:t>
      </w:r>
      <w:r>
        <w:t>。这项工作将DMB范式确立为稳定高容量μSi阳极的有效策略，为开发耐用和高性能LIB技术提供了途径</w:t>
      </w:r>
    </w:p>
    <w:p>
      <w:pPr>
        <w:spacing w:before="0" w:after="200" w:lineRule="auto" w:line="276"/>
      </w:pPr>
      <w:r>
        <w:rPr>
          <w:b/>
        </w:rPr>
        <w:t xml:space="preserve">Abstract (EN): </w:t>
      </w:r>
      <w:r>
        <w:t>Micron‐silicon (µSi) is a promising anode material for lithium‐ion batteries (LIBs) due to its low production cost, high tap density, and exceptional theoretical specific capacity. However, its practical application is severely limited by over 300% volume expansion during cycling. Developing advanced functional binders is therefore crucial to overcoming this bottleneck, where nearly all strategies rely on constructing continuous internal bonding networks via polymers or in‐situ crosslinked/polymerized binders. Herein, a novel bonding paradigm, discrete microdomain bonding (DMB), was proposed to tackle the huge volume expansion of µSi anodes. In this system, discretely distributed short‐chain binder molecules enable precise anchoring of µSi particles at the microdomain level through interfacial hydrogen bonds. By exploiting microdomain‐mediated dynamic adaptation mechanisms to accommodate substantial volume changes, µSi particles maintain excellent electrical contact throughout cycling, ensuring robust mechanical tolerance and extended lifespan. Consequently, µSi anodes integrated with the DMB binder exhibit a strikingly high initial coulombic efficiency (ICE) of 92.5% and a remarkable capacity of 2517.4 mAh g</w:t>
      </w:r>
      <w:r>
        <w:t xml:space="preserve"> </w:t>
      </w:r>
      <w:r>
        <w:t>−1</w:t>
      </w:r>
      <w:r>
        <w:t xml:space="preserve"> </w:t>
      </w:r>
      <w:r>
        <w:t>with 98.2% retention after 100 cycles at 0.5 A g</w:t>
      </w:r>
      <w:r>
        <w:t xml:space="preserve"> </w:t>
      </w:r>
      <w:r>
        <w:t>−1</w:t>
      </w:r>
      <w:r>
        <w:t xml:space="preserve"> </w:t>
      </w:r>
      <w:r>
        <w:t>. This work establishes the DMB paradigm as an effective strategy for stabilizing high‐capacity µSi anodes, providing a pathway for the development of durable and high‐performance LIB technologies.</w:t>
      </w:r>
    </w:p>
    <w:p>
      <w:pPr>
        <w:spacing w:before="120" w:after="120"/>
      </w:pPr>
      <w:r>
        <w:rPr>
          <w:sz w:val="18"/>
        </w:rPr>
        <w:t>——————————————————————————————————————————————————————————————————————</w:t>
      </w:r>
    </w:p>
    <w:p>
      <w:pPr>
        <w:spacing w:before="160" w:after="40" w:line="240" w:lineRule="auto"/>
      </w:pPr>
      <w:r>
        <w:rPr>
          <w:b/>
        </w:rPr>
        <w:t xml:space="preserve">[13] </w:t>
      </w:r>
      <w:hyperlink r:id="rId180">
        <w:r>
          <w:rPr>
            <w:color w:val="1155CC"/>
            <w:u w:val="single"/>
          </w:rPr>
          <w:t>耦合高通量密度泛函理论、自动化实验和自适应实验设计，实现稀土元素的选择性分离</w:t>
        </w:r>
      </w:hyperlink>
    </w:p>
    <w:p>
      <w:pPr>
        <w:spacing w:before="0" w:after="80"/>
      </w:pPr>
      <w:r>
        <w:rPr>
          <w:i/>
          <w:sz w:val="20"/>
        </w:rPr>
        <w:t>EN: Coupling High-Throughput Density Functional Theory, Automated Experimentation, and Adaptive Experimental Design To Achieve Selective Rare-Earth Element Separations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81">
        <w:r>
          <w:rPr>
            <w:color w:val="1155CC"/>
            <w:u w:val="single"/>
          </w:rPr>
          <w:t>10.1021/jacs.6c04301</w:t>
        </w:r>
      </w:hyperlink>
    </w:p>
    <w:p>
      <w:pPr>
        <w:spacing w:before="0" w:after="120"/>
      </w:pPr>
      <w:r>
        <w:rPr>
          <w:b/>
        </w:rPr>
        <w:t xml:space="preserve">Notes: </w:t>
      </w:r>
      <w:r>
        <w:t>abstract_source=pubmed</w:t>
      </w:r>
    </w:p>
    <w:p>
      <w:pPr>
        <w:spacing w:before="0" w:after="80" w:lineRule="auto" w:line="276"/>
      </w:pPr>
      <w:r>
        <w:rPr>
          <w:b/>
        </w:rPr>
        <w:t xml:space="preserve">摘要（ZH）: </w:t>
      </w:r>
      <w:r>
        <w:t>开发新的稀土元素分离技术对于维持关键材料供应链至关重要。为此，我们开发了一种 pH 控制的溶剂萃取策略，采用水相阻滞剂，通过集成计算、机器学习和自动化实验高通量工作流程实现选择性镧系元素分离。数据库筛选、密度泛函理论 (DFT) 计算和初步实验评估确定草酰乙酸是一种有前景的阻滞剂，与二（2-乙基己基）磷酸（HDEHP 或 D2EHPA）萃取剂配合使用时，可增强四种镧系元素（Nd、Eu、Dy、Ho）的选择性萃取。在此框架内，使用自动化、高通量实验与多目标贝叶斯优化相结合，确定了跨多维化学基质（pH、萃取剂浓度、阻滞剂浓度和盐浓度）的镧系元素溶剂萃取的依赖性。通过对大型实验空间的有效探索，我们发现在 pH ～ 2.0 的酸性介质中，Eu、Dy 和 Ho 可以比 Nd 被选择性萃取，而 pH 值适度降低至 ～ 0.5 会改变选择性，从而使 Eu 与 Dy 和 Ho 分离。与我们仅使用 HDEHP 的系统相比，使用多目标贝叶斯优化很快就能将分离因子提高 4 倍，从而无需采用完整的基于网格的详尽采样方法。总的来说，这项工作建立了一个分层和数据驱动的框架来识别选择性分离</w:t>
      </w:r>
    </w:p>
    <w:p>
      <w:pPr>
        <w:spacing w:before="0" w:after="200" w:lineRule="auto" w:line="276"/>
      </w:pPr>
      <w:r>
        <w:rPr>
          <w:b/>
        </w:rPr>
        <w:t xml:space="preserve">Abstract (EN): </w:t>
      </w:r>
      <w:r>
        <w:t>Developing new separation technologies for rare-earth elements is essential for sustaining the critical materials supply chain. Toward this end, we developed a pH-controlled solvent extraction strategy employing an aqueous-phase holdback agent to enable selective lanthanide separations, using an integrated computational, machine learning, and automated experimental high-throughput workflow. Database screening, density functional theory (DFT) calculations, and initial experimental evaluation identified oxaloacetic acid as a promising holdback agent that enhanced selective extraction of four lanthanides (Nd, Eu, Dy, Ho) when paired with the di(2-ethylhexyl)phosphoric acid (HDEHP or D2EHPA) extractant. Within this framework, the dependence of lanthanide solvent extraction was determined across a multidimensional chemical matrix (pH, extractant concentration, holdback agent concentration, and salt concentration) using automated, high-throughput experiments coupled with multi-objective Bayesian Optimization. Through efficient exploration of a large experimental space, we discovered Eu, Dy, and Ho could be selectively extracted over Nd in acidic media at pH ∼2.0, while a modest decrease in pH to ∼0.5 shifted the selectivity to enable Eu separation from Dy and Ho. The use of multi-objective Bayesian Optimization quickly yielded a 4-fold increase in separation factors compared to our HDEHP-only system, eliminating the need for a complete grid-based, exhaustive sampling approach. Overall, this work establishes a hierarchical and data-driven framework to identify selective separation conditions and provides a foundation for accelerating separations discovery and design.</w:t>
      </w:r>
    </w:p>
    <w:p>
      <w:pPr>
        <w:spacing w:before="120" w:after="120"/>
      </w:pPr>
      <w:r>
        <w:rPr>
          <w:sz w:val="18"/>
        </w:rPr>
        <w:t>——————————————————————————————————————————————————————————————————————</w:t>
      </w:r>
    </w:p>
    <w:p>
      <w:pPr>
        <w:spacing w:before="160" w:after="40" w:line="240" w:lineRule="auto"/>
      </w:pPr>
      <w:r>
        <w:rPr>
          <w:b/>
        </w:rPr>
        <w:t xml:space="preserve">[14] </w:t>
      </w:r>
      <w:hyperlink r:id="rId182">
        <w:r>
          <w:rPr>
            <w:color w:val="1155CC"/>
            <w:u w:val="single"/>
          </w:rPr>
          <w:t>智能电池通过解码 SEI 进化在超早期生命阶段感知未来寿命</w:t>
        </w:r>
      </w:hyperlink>
    </w:p>
    <w:p>
      <w:pPr>
        <w:spacing w:before="0" w:after="80"/>
      </w:pPr>
      <w:r>
        <w:rPr>
          <w:i/>
          <w:sz w:val="20"/>
        </w:rPr>
        <w:t>EN: Smart Battery Perceiving Future Lifetime at Ultra‐Early Life Stage by Decoding SEI Evolution</w:t>
      </w:r>
    </w:p>
    <w:p>
      <w:pPr>
        <w:spacing w:before="0" w:after="120"/>
      </w:pPr>
      <w:r>
        <w:rPr>
          <w:b/>
        </w:rPr>
        <w:t xml:space="preserve">Source: </w:t>
      </w:r>
      <w:r>
        <w:t>Wiley: Advanced Energy Materials: Table of Contents</w:t>
      </w:r>
      <w:r>
        <w:t xml:space="preserve">    </w:t>
      </w:r>
      <w:r>
        <w:rPr>
          <w:b/>
        </w:rPr>
        <w:t xml:space="preserve">Pub date: </w:t>
      </w:r>
      <w:r>
        <w:t>2026-07-21 06:51:52+00:00</w:t>
      </w:r>
      <w:r>
        <w:t xml:space="preserve">    </w:t>
      </w:r>
      <w:r>
        <w:rPr>
          <w:b/>
        </w:rPr>
        <w:t xml:space="preserve">DOI: </w:t>
      </w:r>
      <w:hyperlink r:id="rId183">
        <w:r>
          <w:rPr>
            <w:color w:val="1155CC"/>
            <w:u w:val="single"/>
          </w:rPr>
          <w:t>10.1002/aenm.71338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准确的寿命预测对于锂离子电池的可靠使用至关重要。然而，早期阶段的电池通常表现出一致的电气行为，阻碍了区分其未来的寿命趋势。在这项工作中，通过将光纤布拉格光栅 (FBG) 传感器植入到属于 3 个不同电化学系统的 18 个电池中，对内部应变进行原位监测。我们发现形成阶段的内应变表现出双相特征，这归因于固相生长和气相积累之间的动态竞争。进一步发现SEI形成应变（SFS）与SEI的厚度和致密性密切相关，影响电池的退化路径。进一步探讨了 SFS 与容量损失之间的高度相关性，建立了用于电池寿命预测的弹性网络模型，实现了 5.40% 的平均绝对百分比误差 (MAPE)。这项工作为理解 SEI 形成机制和预测超早期形成阶段的电池寿命提供了一条新途径。</w:t>
      </w:r>
    </w:p>
    <w:p>
      <w:pPr>
        <w:spacing w:before="0" w:after="200" w:lineRule="auto" w:line="276"/>
      </w:pPr>
      <w:r>
        <w:rPr>
          <w:b/>
        </w:rPr>
        <w:t xml:space="preserve">Abstract (EN): </w:t>
      </w:r>
      <w:r>
        <w:t>Accurate lifetime prediction is critical for the reliable use of lithium‐ion batteries. However, batteries at early stage commonly show consistent electrical behaviors impeding distinguishing their future life trends. In this work, the internal strain is monitored in‐situ by implanting fiber Bragg grating (FBG) sensors into 18 cells belonging to 3 different electrochemical systems. We find the internal strain at the formation stage exhibits a biphasic feature attributed to the dynamic competition between solid‐phase growth and gas‐phase accumulation. The SEI formation strain (SFS) is further found to be linked closely to the thickness and compactness of SEI which influence the degradation path of battery. The high correlation between SFS and capacity loss is further explored to build an elastic net model for battery lifetime prediction, achieving a mean absolute percentage error (MAPE) of 5.40%. This work presents a new avenue for understanding the mechanism of SEI formation and predicting the battery lifetime at the ultra‐early formation stage.</w:t>
      </w:r>
    </w:p>
    <w:p>
      <w:pPr>
        <w:spacing w:before="120" w:after="120"/>
      </w:pPr>
      <w:r>
        <w:rPr>
          <w:sz w:val="18"/>
        </w:rPr>
        <w:t>——————————————————————————————————————————————————————————————————————</w:t>
      </w:r>
    </w:p>
    <w:p>
      <w:pPr>
        <w:spacing w:before="160" w:after="40" w:line="240" w:lineRule="auto"/>
      </w:pPr>
      <w:r>
        <w:rPr>
          <w:b/>
        </w:rPr>
        <w:t xml:space="preserve">[15] </w:t>
      </w:r>
      <w:hyperlink r:id="rId94">
        <w:r>
          <w:rPr>
            <w:color w:val="1155CC"/>
            <w:u w:val="single"/>
          </w:rPr>
          <w:t>阐明实用的下一代高能量密度锂离子电池热安全问题的根源</w:t>
        </w:r>
      </w:hyperlink>
    </w:p>
    <w:p>
      <w:pPr>
        <w:spacing w:before="0" w:after="80"/>
      </w:pPr>
      <w:r>
        <w:rPr>
          <w:i/>
          <w:sz w:val="20"/>
        </w:rPr>
        <w:t>EN: Elucidating the Origin of Intensified Thermal Safety Concerns of Practical Next‐Generation High‐Energy‐Density Li‐Ion Batteries</w:t>
      </w:r>
    </w:p>
    <w:p>
      <w:pPr>
        <w:spacing w:before="0" w:after="120"/>
      </w:pPr>
      <w:r>
        <w:rPr>
          <w:b/>
        </w:rPr>
        <w:t xml:space="preserve">Source: </w:t>
      </w:r>
      <w:r>
        <w:t>Wiley: Angewandte Chemie International Edition: Table of Contents</w:t>
      </w:r>
      <w:r>
        <w:t xml:space="preserve">    </w:t>
      </w:r>
      <w:r>
        <w:rPr>
          <w:b/>
        </w:rPr>
        <w:t xml:space="preserve">Pub date: </w:t>
      </w:r>
      <w:r>
        <w:t>2026-07-21 12:06:02+00:00</w:t>
      </w:r>
      <w:r>
        <w:t xml:space="preserve">    </w:t>
      </w:r>
      <w:r>
        <w:rPr>
          <w:b/>
        </w:rPr>
        <w:t xml:space="preserve">DOI: </w:t>
      </w:r>
      <w:hyperlink r:id="rId95">
        <w:r>
          <w:rPr>
            <w:color w:val="1155CC"/>
            <w:u w:val="single"/>
          </w:rPr>
          <w:t>10.1002/anie.5057887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比能电池系统对于为重型无人机（UAV）和电动垂直起降（eVTOL）飞机提供动力至关重要，被视为低空经济发展的关键推动力。然而，它们的商业化仍然受到重大热安全问题的阻碍。在这项工作中，我们使用超高富镍层状氧化物阴极（Ni占96%）与混合Si@C阳极配对作为模型系统，系统地研究了实时气体析出行为，并阐明了阴极/阳极电极气体产生的潜在机制，以及它们在热失控过程中的串扰反应。结果表明 Si@C 阳极有严重的气体排放，其中 H</w:t>
      </w:r>
      <w:r>
        <w:rPr>
          <w:vertAlign w:val="subscript"/>
        </w:rPr>
        <w:t>2</w:t>
      </w:r>
      <w:r>
        <w:t>占释放气体总量的71.12%（质量比）。同时，Ni96阴极释放活性氧（O</w:t>
      </w:r>
      <w:r>
        <w:t xml:space="preserve"> </w:t>
      </w:r>
      <w:r>
        <w:t>n−</w:t>
      </w:r>
      <w:r>
        <w:t>/O</w:t>
      </w:r>
      <w:r>
        <w:rPr>
          <w:vertAlign w:val="subscript"/>
        </w:rPr>
        <w:t>2</w:t>
      </w:r>
      <w:r>
        <w:t>）在高温（例如220°C）下，与Si@C阳极和电解质产生的还原气体发生反应，从而引发热失控。此外，采用专门定制的低氢（low-H）电解质来有效抑制H</w:t>
      </w:r>
      <w:r>
        <w:rPr>
          <w:vertAlign w:val="subscript"/>
        </w:rPr>
        <w:t>2</w:t>
      </w:r>
      <w:r>
        <w:t>进化，从而提高高比能量电池系统的安全性。这些对气体析出机制的见解为电池材料的针对性设计和实际安全标准的制定提供了基础。</w:t>
      </w:r>
    </w:p>
    <w:p>
      <w:pPr>
        <w:spacing w:before="0" w:after="200" w:lineRule="auto" w:line="276"/>
      </w:pPr>
      <w:r>
        <w:rPr>
          <w:b/>
        </w:rPr>
        <w:t xml:space="preserve">Abstract (EN): </w:t>
      </w:r>
      <w:r>
        <w:t>High‐specific‐energy battery systems, crucial for powering heavy‐lift unmanned aerial vehicles (UAVs) and electric vertical take‐off and landing (eVTOL) aircraft, are regarded as key enablers for the development of the low‐altitude economy. However, their commercialization remains hindered by significant thermal safety concerns. In this work, using an ultrahigh Ni‐rich layered oxide cathode (Ni accounts for 96%) paired with a mixed Si@C anode as a model system, we systematically investigate real‐time gas evolution behavior and elucidate the underlying mechanisms of gas generation at both cathode/anode electrodes, along with their crosstalk reactions during thermal runaway. The results reveal severe gas emission from the Si@C anode, with H</w:t>
      </w:r>
      <w:r>
        <w:rPr>
          <w:vertAlign w:val="subscript"/>
        </w:rPr>
        <w:t>2</w:t>
      </w:r>
      <w:r>
        <w:t>constituting 71.12% (mass ratio) of the total gas released. Meanwhile, the Ni96 cathode releases active oxygen species (O</w:t>
      </w:r>
      <w:r>
        <w:t xml:space="preserve"> </w:t>
      </w:r>
      <w:r>
        <w:t>n−</w:t>
      </w:r>
      <w:r>
        <w:t>/O</w:t>
      </w:r>
      <w:r>
        <w:rPr>
          <w:vertAlign w:val="subscript"/>
        </w:rPr>
        <w:t>2</w:t>
      </w:r>
      <w:r>
        <w:t>) at elevated temperatures (e.g., 220°C), which react with reducing gases generated from the Si@C anode and electrolyte, thereby triggering the onset of thermal runaway. Furthermore, a specially tailored low‐hydrogen (low‐H) electrolyte is employed to effectively suppress H</w:t>
      </w:r>
      <w:r>
        <w:rPr>
          <w:vertAlign w:val="subscript"/>
        </w:rPr>
        <w:t>2</w:t>
      </w:r>
      <w:r>
        <w:t>evolution, thereby enhancing the safety of high specific energy battery systems. These insights into gas evolution mechanisms provide a foundation for the targeted design of battery materials and the formulation of practical safety strategies for the low‐altitude sector.</w:t>
      </w:r>
    </w:p>
    <w:p>
      <w:pPr>
        <w:spacing w:before="120" w:after="120"/>
      </w:pPr>
      <w:r>
        <w:rPr>
          <w:sz w:val="18"/>
        </w:rPr>
        <w:t>——————————————————————————————————————————————————————————————————————</w:t>
      </w:r>
    </w:p>
    <w:p>
      <w:pPr>
        <w:spacing w:before="160" w:after="40" w:line="240" w:lineRule="auto"/>
      </w:pPr>
      <w:r>
        <w:rPr>
          <w:b/>
        </w:rPr>
        <w:t xml:space="preserve">[16] </w:t>
      </w:r>
      <w:hyperlink r:id="rId155">
        <w:r>
          <w:rPr>
            <w:color w:val="1155CC"/>
            <w:u w:val="single"/>
          </w:rPr>
          <w:t>低离子电子传输策略最大限度地减少电解质氧化，无需阴极改性即可实现稳定的全固态电池</w:t>
        </w:r>
      </w:hyperlink>
    </w:p>
    <w:p>
      <w:pPr>
        <w:spacing w:before="0" w:after="80"/>
      </w:pPr>
      <w:r>
        <w:rPr>
          <w:i/>
          <w:sz w:val="20"/>
        </w:rPr>
        <w:t>EN: Low‐Ion‐Electron Transport Strategy Minimizes Electrolyte Oxidation for Stable All‐Solid‐State Batteries Without Cathode Modification</w:t>
      </w:r>
    </w:p>
    <w:p>
      <w:pPr>
        <w:spacing w:before="0" w:after="120"/>
      </w:pPr>
      <w:r>
        <w:rPr>
          <w:b/>
        </w:rPr>
        <w:t xml:space="preserve">Source: </w:t>
      </w:r>
      <w:r>
        <w:t>Wiley: Advanced Energy Materials: Table of Contents</w:t>
      </w:r>
      <w:r>
        <w:t xml:space="preserve">    </w:t>
      </w:r>
      <w:r>
        <w:rPr>
          <w:b/>
        </w:rPr>
        <w:t xml:space="preserve">Pub date: </w:t>
      </w:r>
      <w:r>
        <w:t>2026-07-22 06:24:22+00:00</w:t>
      </w:r>
      <w:r>
        <w:t xml:space="preserve">    </w:t>
      </w:r>
      <w:r>
        <w:rPr>
          <w:b/>
        </w:rPr>
        <w:t xml:space="preserve">DOI: </w:t>
      </w:r>
      <w:hyperlink r:id="rId156">
        <w:r>
          <w:rPr>
            <w:color w:val="1155CC"/>
            <w:u w:val="single"/>
          </w:rPr>
          <w:t>10.1002/aenm.71323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硫化物固体电解质（例如Li</w:t>
      </w:r>
      <w:r>
        <w:rPr>
          <w:vertAlign w:val="subscript"/>
        </w:rPr>
        <w:t>6</w:t>
      </w:r>
      <w:r>
        <w:t>聚苯乙烯</w:t>
      </w:r>
      <w:r>
        <w:rPr>
          <w:vertAlign w:val="subscript"/>
        </w:rPr>
        <w:t>5</w:t>
      </w:r>
      <w:r>
        <w:t>Cl）对于高能全固态电池至关重要，但在高电压下会发生严重的氧化分解。在这里，我们发现这种降解是由离子电子耦合传输（IECT）机制控制的，该机制由碳界面处电子和离子传输路径的同时可用性决定。我们提出了一种以碳为目标的“低离子电子传输”（LIET）策略，通过在导电添加剂上设计一个N杂环共轭聚合物层。这种结构同时阻碍电子隧道穿过其共轭主链，并通过丰富的吡啶-氮位点锚定界面锂离子，从而解耦传输协同作用并冻结电解质降解动力学。因此，无需修改正极活性材料，该工程电池即可实现稳健的高倍率循环，在 5C 倍率下 2000 次循环后仍保持 99.4% 的容量保持率。该 LIET 原理展示了不同固体电解质和碳形态的广泛普适性，为稳定复合阴极建立了机制驱动的范例。</w:t>
      </w:r>
    </w:p>
    <w:p>
      <w:pPr>
        <w:spacing w:before="0" w:after="200" w:lineRule="auto" w:line="276"/>
      </w:pPr>
      <w:r>
        <w:rPr>
          <w:b/>
        </w:rPr>
        <w:t xml:space="preserve">Abstract (EN): </w:t>
      </w:r>
      <w:r>
        <w:t>Sulfide solid electrolytes (e.g., Li</w:t>
      </w:r>
      <w:r>
        <w:rPr>
          <w:vertAlign w:val="subscript"/>
        </w:rPr>
        <w:t>6</w:t>
      </w:r>
      <w:r>
        <w:t>PS</w:t>
      </w:r>
      <w:r>
        <w:rPr>
          <w:vertAlign w:val="subscript"/>
        </w:rPr>
        <w:t>5</w:t>
      </w:r>
      <w:r>
        <w:t>Cl) are pivotal for high‐energy all‐solid‐state batteries but suffer from severe oxidative decomposition at high voltages. Here, we identify that this degradation is governed by an Ion‐Electron Coupling Transport (IECT) mechanism, dictated by the simultaneous availability of electronic and ionic transport pathways at the carbon interface. We propose a carbon‐targeted “Low‐Ion‐Electron Transport” (LIET) strategy by engineering an N‐heterocyclic conjugated polymer layer on the conductive additive. This architecture simultaneously impedes electron tunneling through its conjugated backbone and anchors interfacial lithium ions via abundant pyridine‐nitrogen sites, decoupling the transport synergy and freezing the electrolyte degradation kinetics. Consequently, without requiring modification of the cathode active material, the engineered battery delivers robust high‐rate cycling, maintaining a 99.4% capacity retention over 2000 cycles at a 5C rate. Demonstrating broad universality across diverse solid electrolytes and carbon morphologies, this LIET principle establishes a mechanism‐driven paradigm for stabilizing composite cathodes.</w:t>
      </w:r>
    </w:p>
    <w:p>
      <w:pPr>
        <w:spacing w:before="120" w:after="120"/>
      </w:pPr>
      <w:r>
        <w:rPr>
          <w:sz w:val="18"/>
        </w:rPr>
        <w:t>——————————————————————————————————————————————————————————————————————</w:t>
      </w:r>
    </w:p>
    <w:p>
      <w:pPr>
        <w:spacing w:before="160" w:after="40" w:line="240" w:lineRule="auto"/>
      </w:pPr>
      <w:r>
        <w:rPr>
          <w:b/>
        </w:rPr>
        <w:t xml:space="preserve">[17] </w:t>
      </w:r>
      <w:hyperlink r:id="rId127">
        <w:r>
          <w:rPr>
            <w:color w:val="1155CC"/>
            <w:u w:val="single"/>
          </w:rPr>
          <w:t>基于硫化物电解质的双重热稳定性，实现高度安全和耐用的全固态锂金属电池</w:t>
        </w:r>
      </w:hyperlink>
    </w:p>
    <w:p>
      <w:pPr>
        <w:spacing w:before="0" w:after="80"/>
      </w:pPr>
      <w:r>
        <w:rPr>
          <w:i/>
          <w:sz w:val="20"/>
        </w:rPr>
        <w:t>EN: Dual Thermal Stabilization Toward Highly Safe and Durable All‐Solid‐State Lithium Metal Batteries Based on Sulfide Electrolytes</w:t>
      </w:r>
    </w:p>
    <w:p>
      <w:pPr>
        <w:spacing w:before="0" w:after="120"/>
      </w:pPr>
      <w:r>
        <w:rPr>
          <w:b/>
        </w:rPr>
        <w:t xml:space="preserve">Source: </w:t>
      </w:r>
      <w:r>
        <w:t>Wiley: Angewandte Chemie International Edition: Table of Contents</w:t>
      </w:r>
      <w:r>
        <w:t xml:space="preserve">    </w:t>
      </w:r>
      <w:r>
        <w:rPr>
          <w:b/>
        </w:rPr>
        <w:t xml:space="preserve">Pub date: </w:t>
      </w:r>
      <w:r>
        <w:t>2026-07-22 06:26:59+00:00</w:t>
      </w:r>
      <w:r>
        <w:t xml:space="preserve">    </w:t>
      </w:r>
      <w:r>
        <w:rPr>
          <w:b/>
        </w:rPr>
        <w:t xml:space="preserve">DOI: </w:t>
      </w:r>
      <w:hyperlink r:id="rId128">
        <w:r>
          <w:rPr>
            <w:color w:val="1155CC"/>
            <w:u w:val="single"/>
          </w:rPr>
          <w:t>10.1002/anie.1775824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硫化物电解质的全固态锂（Li）金属电池（ASSLMB）的实际部署受到滥用条件下热电化学耦合故障和安全问题的限制。在这里，双重热稳定策略被确定并合理化为解决上述问题的最佳选择。引入氟化石墨烯（FG）中间层可以有效增强散热并偏转 ASSLMB 内的锂枝晶传播，而富含氧空位的氧化铜（CuO）</w:t>
      </w:r>
      <w:r>
        <w:t xml:space="preserve"> </w:t>
      </w:r>
      <w:r>
        <w:t>1−x</w:t>
      </w:r>
      <w:r>
        <w:t xml:space="preserve"> </w:t>
      </w:r>
      <w:r>
        <w:t>）添加剂用于有效捕获带电阴极释放的活性氧，从而减轻电解质氧化。作为示范模型，修改后的 Li</w:t>
      </w:r>
      <w:r>
        <w:rPr>
          <w:vertAlign w:val="subscript"/>
        </w:rPr>
        <w:t>6</w:t>
      </w:r>
      <w:r>
        <w:t>聚苯乙烯</w:t>
      </w:r>
      <w:r>
        <w:rPr>
          <w:vertAlign w:val="subscript"/>
        </w:rPr>
        <w:t>5</w:t>
      </w:r>
      <w:r>
        <w:t>基于Cl (LPSC)的全电池在1 C下实现了超过2000次循环的稳定循环，容量保持率为96%，即使在90°C下也能很好地保持室温容量。对软包电池的加速量热 (ARC) 测试进一步证明热稳定性增强。这种双热稳定范例可以扩展到硫化物/氯化氧化物双层电解质系统。</w:t>
      </w:r>
    </w:p>
    <w:p>
      <w:pPr>
        <w:spacing w:before="0" w:after="200" w:lineRule="auto" w:line="276"/>
      </w:pPr>
      <w:r>
        <w:rPr>
          <w:b/>
        </w:rPr>
        <w:t xml:space="preserve">Abstract (EN): </w:t>
      </w:r>
      <w:r>
        <w:t>The practical deployment of all‐solid‐state lithium (Li) metal batteries (ASSLMBs) based on sulfide electrolytes is constrained by the thermal–electrochemical coupled failure and safety issues under abusive conditions. Here, a dual thermal‐stabilization strategy is identified and rationalized as the optimal choice to tailor above issues. A fluorinated graphene (FG)‐interlayer is introduced to effectively enhance heat dissipation and deflect Li dendrite propagation inside the ASSLMBs, while an oxygen‐vacancy‐rich copper oxide (CuO</w:t>
      </w:r>
      <w:r>
        <w:t xml:space="preserve"> </w:t>
      </w:r>
      <w:r>
        <w:t>1−x</w:t>
      </w:r>
      <w:r>
        <w:t xml:space="preserve"> </w:t>
      </w:r>
      <w:r>
        <w:t>) additive is applied to efficiently capture reactive oxygen species released from charged cathodes and thus mitigate the electrolyte oxidation. As a demonstration model, the as‐modified Li</w:t>
      </w:r>
      <w:r>
        <w:rPr>
          <w:vertAlign w:val="subscript"/>
        </w:rPr>
        <w:t>6</w:t>
      </w:r>
      <w:r>
        <w:t>PS</w:t>
      </w:r>
      <w:r>
        <w:rPr>
          <w:vertAlign w:val="subscript"/>
        </w:rPr>
        <w:t>5</w:t>
      </w:r>
      <w:r>
        <w:t>Cl (LPSC)‐based full cells achieve stable cycling over 2000 cycles at 1 C with 96% capacity retention, and well retain the room‐temperature capacity even at 90°C. Accelerated rate calorimetry (ARC) tests on pouch cells further demonstrate enhanced thermal stability. This dual‐thermal‐stabilization paradigm can be extended to sulfide/chlorinated oxide bilayer electrolyte systems.</w:t>
      </w:r>
    </w:p>
    <w:p>
      <w:pPr>
        <w:spacing w:before="120" w:after="120"/>
      </w:pPr>
      <w:r>
        <w:rPr>
          <w:sz w:val="18"/>
        </w:rPr>
        <w:t>——————————————————————————————————————————————————————————————————————</w:t>
      </w:r>
    </w:p>
    <w:p>
      <w:pPr>
        <w:spacing w:before="160" w:after="40" w:line="240" w:lineRule="auto"/>
      </w:pPr>
      <w:r>
        <w:rPr>
          <w:b/>
        </w:rPr>
        <w:t xml:space="preserve">[18] </w:t>
      </w:r>
      <w:hyperlink r:id="rId184">
        <w:r>
          <w:rPr>
            <w:color w:val="1155CC"/>
            <w:u w:val="single"/>
          </w:rPr>
          <w:t>机械信息辅助大型方形磷酸铁锂电池的健康状态评估</w:t>
        </w:r>
      </w:hyperlink>
    </w:p>
    <w:p>
      <w:pPr>
        <w:spacing w:before="0" w:after="80"/>
      </w:pPr>
      <w:r>
        <w:rPr>
          <w:i/>
          <w:sz w:val="20"/>
        </w:rPr>
        <w:t>EN: Mechanical-information-assisted state of health estimation for large-format prismatic lithium iron phosphate cells</w:t>
      </w:r>
    </w:p>
    <w:p>
      <w:pPr>
        <w:spacing w:before="0" w:after="120"/>
      </w:pPr>
      <w:r>
        <w:rPr>
          <w:b/>
        </w:rPr>
        <w:t xml:space="preserve">Source: </w:t>
      </w:r>
      <w:r>
        <w:t>ScienceDirect Publication: Applied Energy</w:t>
      </w:r>
      <w:r>
        <w:t xml:space="preserve">    </w:t>
      </w:r>
      <w:r>
        <w:rPr>
          <w:b/>
        </w:rPr>
        <w:t xml:space="preserve">Pub date: </w:t>
      </w:r>
      <w:r>
        <w:t>2026-07-23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185">
        <w:r>
          <w:rPr>
            <w:color w:val="1155CC"/>
            <w:u w:val="single"/>
          </w:rPr>
          <w:t>质子驱动的自放电导致硫化物全固态电池中苯醌的化学降解</w:t>
        </w:r>
      </w:hyperlink>
    </w:p>
    <w:p>
      <w:pPr>
        <w:spacing w:before="0" w:after="80"/>
      </w:pPr>
      <w:r>
        <w:rPr>
          <w:i/>
          <w:sz w:val="20"/>
        </w:rPr>
        <w:t>EN: Proton-Driven Self-Discharge Causing Chemical Degradation of Benzoquinone in Sulfide All-Solid-State Batteries</w:t>
      </w:r>
    </w:p>
    <w:p>
      <w:pPr>
        <w:spacing w:before="0" w:after="120"/>
      </w:pPr>
      <w:r>
        <w:rPr>
          <w:b/>
        </w:rPr>
        <w:t xml:space="preserve">Source: </w:t>
      </w:r>
      <w:r>
        <w:t>ACS Energy Letters: Latest Articles (ACS Publications)</w:t>
      </w:r>
      <w:r>
        <w:t xml:space="preserve">    </w:t>
      </w:r>
      <w:r>
        <w:rPr>
          <w:b/>
        </w:rPr>
        <w:t xml:space="preserve">Pub date: </w:t>
      </w:r>
      <w:r>
        <w:t>2026-07-23 00:00:00+00:00</w:t>
      </w:r>
      <w:r>
        <w:t xml:space="preserve">    </w:t>
      </w:r>
      <w:r>
        <w:rPr>
          <w:b/>
        </w:rPr>
        <w:t xml:space="preserve">DOI: </w:t>
      </w:r>
      <w:hyperlink r:id="rId186">
        <w:r>
          <w:rPr>
            <w:color w:val="1155CC"/>
            <w:u w:val="single"/>
          </w:rPr>
          <w:t>10.1021/acsenergylett.6c01251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187">
        <w:r>
          <w:rPr>
            <w:color w:val="1155CC"/>
            <w:u w:val="single"/>
          </w:rPr>
          <w:t>周期性银纳米颗粒多聚体阵列上石墨烯气相 SERS 检测锂离子电池电解质</w:t>
        </w:r>
      </w:hyperlink>
    </w:p>
    <w:p>
      <w:pPr>
        <w:spacing w:before="0" w:after="80"/>
      </w:pPr>
      <w:r>
        <w:rPr>
          <w:i/>
          <w:sz w:val="20"/>
        </w:rPr>
        <w:t>EN: Graphene-Enabled Vapor-Phase SERS Detection of Lithium-Ion Battery Electrolytes on Periodic Ag Nanoparticle Multimer Arrays</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188">
        <w:r>
          <w:rPr>
            <w:color w:val="1155CC"/>
            <w:u w:val="single"/>
          </w:rPr>
          <w:t>10.1021/acsami.6c08906</w:t>
        </w:r>
      </w:hyperlink>
    </w:p>
    <w:p>
      <w:pPr>
        <w:spacing w:before="0" w:after="120"/>
      </w:pPr>
      <w:r>
        <w:rPr>
          <w:b/>
        </w:rPr>
        <w:t xml:space="preserve">Notes: </w:t>
      </w:r>
      <w:r>
        <w:t>abstract_source=pubmed</w:t>
      </w:r>
    </w:p>
    <w:p>
      <w:pPr>
        <w:spacing w:before="0" w:after="80" w:lineRule="auto" w:line="276"/>
      </w:pPr>
      <w:r>
        <w:rPr>
          <w:b/>
        </w:rPr>
        <w:t xml:space="preserve">摘要（ZH）: </w:t>
      </w:r>
      <w:r>
        <w:t>早期检测气相锂离子电池 (LIB) 电解液泄漏对于电池安全非常重要，但气相表面增强拉曼光谱 (SERS) 仍然具有挑战性，因为微弱的气体-表面相互作用限制了分析物在等离子体热点内的停留。在这里，我们报告了一种混合石墨烯/等离子体SERS平台，用于基于与单层石墨烯覆盖层集成的周期性银纳米颗粒（AgNP）多聚体阵列，对LIB电解质成分进行气相检测。该基板通过毛细管辅助颗粒组装（CAPA）制造，然后采用统一的聚乙烯醇（PVA）辅助热压转移工艺，既可以将有序的AgNP阵列转移到玻璃上，又可以实现空间选择性的石墨烯集成。这种方法保留了纳米级有序性，同时在单个芯片上创建了四区域架构，从而允许在相同的蒸气暴露条件下评估石墨烯和等离子体阵列的单独和组合贡献。光学表征显示宽带等离子体响应由 AgNP 多聚体内的颗粒间耦合主导，在 532 nm 激发和拉曼散射窗口上光谱重叠。当暴露于含有碳酸亚乙酯 (EC) 和碳酸甲乙酯 (EMC) 的商用 LiPF6 电解质的蒸气时，从裸露玻璃、玻璃上的石墨烯或单独的 AgNP 阵列中没有观察到可归因于分析物的拉曼特征。相比之下，石墨烯涂层的 AgNP 区域产生清晰的气相拉曼特征，可分配给 EC 和 EMC。这些结果表明</w:t>
      </w:r>
    </w:p>
    <w:p>
      <w:pPr>
        <w:spacing w:before="0" w:after="200" w:lineRule="auto" w:line="276"/>
      </w:pPr>
      <w:r>
        <w:rPr>
          <w:b/>
        </w:rPr>
        <w:t xml:space="preserve">Abstract (EN): </w:t>
      </w:r>
      <w:r>
        <w:t>Early detection of lithium-ion battery (LIB) electrolyte leakage in the vapor phase is important for battery safety, yet vapor-phase surface-enhanced Raman spectroscopy (SERS) remains challenging because weak gas-surface interactions limit analyte residence within plasmonic hot spots. Here, we report a hybrid graphene/plasmonic SERS platform for vapor-phase detection of LIB electrolyte components based on periodic Ag nanoparticle (AgNP) multimer arrays integrated with a monolayer graphene overlayer. The substrate is fabricated by capillary-assisted particle assembly (CAPA) followed by a unified poly(vinyl alcohol) (PVA)-assisted hot-press transfer process, enabling both the transfer of ordered AgNP arrays to glass and spatially selective graphene integration. This approach preserves nanoscale ordering while creating a four-region architecture on a single chip, allowing the individual and combined contributions of graphene and the plasmonic array to be evaluated under identical vapor-exposure conditions. Optical characterization shows a broadband plasmonic response dominated by interparticle coupling within AgNP multimers, with spectral overlap across the 532 nm excitation and Raman-scattering window. Upon exposure to vapors from a commercial LiPF6 electrolyte containing ethylene carbonate (EC) and ethyl methyl carbonate (EMC), no analyte-attributable Raman features are observed from bare glass, graphene on glass, or the AgNP array alone. In contrast, the graphene-coated AgNP region yields clear vapor-phase Raman signatures assignable to both EC and EMC. These results show that detectable vapor-phase electrolyte signatures emerge only from the combined graphene-plasmonic architecture, consistent with a hybrid interfacial effect in which graphene may increase the local surface population of volatile molecules while the AgNP multimers provide localized electromagnetic enhancement. This work establishes a scalable hybrid-transfer strategy for ordered vapor-phase SERS substrates and highlights graphene-coated plasmonic arrays as promising material platforms for molecularly specific LIB leak detection.</w:t>
      </w:r>
    </w:p>
    <w:p>
      <w:pPr>
        <w:spacing w:before="120" w:after="120"/>
      </w:pPr>
      <w:r>
        <w:rPr>
          <w:sz w:val="18"/>
        </w:rPr>
        <w:t>——————————————————————————————————————————————————————————————————————</w:t>
      </w:r>
    </w:p>
    <w:p>
      <w:pPr>
        <w:spacing w:before="160" w:after="40" w:line="240" w:lineRule="auto"/>
      </w:pPr>
      <w:r>
        <w:rPr>
          <w:b/>
        </w:rPr>
        <w:t xml:space="preserve">[21] </w:t>
      </w:r>
      <w:hyperlink r:id="rId110">
        <w:r>
          <w:rPr>
            <w:color w:val="1155CC"/>
            <w:u w:val="single"/>
          </w:rPr>
          <w:t>通过变革性氨纶-聚丙烯酸粘合剂湿法加工高面积容量电极，用于 450 Wh kg−1 锂离子电池</w:t>
        </w:r>
      </w:hyperlink>
    </w:p>
    <w:p>
      <w:pPr>
        <w:spacing w:before="0" w:after="80"/>
      </w:pPr>
      <w:r>
        <w:rPr>
          <w:i/>
          <w:sz w:val="20"/>
        </w:rPr>
        <w:t>EN: Wet-processed high-areal-capacity electrodes via transformative spandex–poly(acrylic acid) binder toward 450 Wh kg−1 lithium-ion batteries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由于人们对高能量密度锂离子电池的兴趣日益浓厚，采用富镍正极材料的高质量负载电极设计最近被认为是实现这一目标的最有前途的策略之一。然而，传统的粘合剂聚偏二氟乙烯无法确保高质量负载电极中的结构完整性和均匀的电荷转移。在此，我们提出了一种双作用杂化聚合物作为先进的可湿加工粘合剂，包含氨纶和聚丙烯酸的交联网络。氨纶赋予高弹性和与富镍正极的强亲和力，而聚丙烯酸在电极表面形成聚丙烯酸锂以增强界面Li+传输。每种聚合物的独特作用可确保机械稳定性、增强 Li+ 传输并抑制干燥过程中的粘合剂迁移，从而缓解高质量负载电极中的长期问题。值得注意的是，尽管粘合剂含量低至 2 wt%，但所提出的混合聚合物粘合剂能够制造具有稳定循环性能的高质量负载电极 (70 mg cm−2)。此外，采用基于混合聚合物粘合剂的高负载正极的软包电池比传统的基于聚偏二氟乙烯的同类电池表现出更好的循环稳定性，最终凸显了其工业适用性。这项研究为粘合剂的合理设计提供了实用的见解，并强调了它们在可湿法加工制造高质量负载电极方面的潜力。</w:t>
      </w:r>
    </w:p>
    <w:p>
      <w:pPr>
        <w:spacing w:before="0" w:after="200" w:lineRule="auto" w:line="276"/>
      </w:pPr>
      <w:r>
        <w:rPr>
          <w:b/>
        </w:rPr>
        <w:t xml:space="preserve">Abstract (EN): </w:t>
      </w:r>
      <w:r>
        <w:t>Driven by the increasing interest in lithium-ion batteries with high energy density, the design of high-mass-loading electrodes with Ni-rich positive materials has recently been considered one of the most promising strategies to achieve this goal. However, the conventional binder, poly(vinylidene fluoride), cannot ensure structural integrity and uniform charge transfer in high-mass-loading electrodes. Herein, we propose a dual-acting hybrid polymer as an advanced wet-processable binder, comprising a crosslinked network of spandex and polyacrylic acid. Spandex imparts high elasticity and strong affinity with Ni-rich positive electrode, while poly(acrylic acid) forms lithium polyacrylate on the electrode surface to enhance interfacial Li+ transport. The distinct roles of each polymer ensure mechanical robustness, enhance Li+ transport, and suppress binder migration during the drying process, thereby alleviating chronic issues in high-mass-loading electrodes. Notably, proposed hybrid polymer binder enables the fabrication of high-mass-loading electrodes (70 mg cm−2) with stable cyclability, despite a low binder content of 2 wt%. Moreover, pouch cell employing high-loading positive electrode based on the hybrid polymer binder exhibited improved cycling stability over its conventional poly(vinylidene fluoride)-based counterparts, ultimately highlighting its industrial applicability. This study provides practical insights into rational design of binders and highlights their potential to enable wet-processable fabrication of high-mass-loading electrodes.</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89">
        <w:r>
          <w:rPr>
            <w:color w:val="1155CC"/>
            <w:u w:val="single"/>
          </w:rPr>
          <w:t>堵塞的互连双层乳液作为可 3D 打印的生物组织模拟物</w:t>
        </w:r>
      </w:hyperlink>
    </w:p>
    <w:p>
      <w:pPr>
        <w:spacing w:before="0" w:after="80"/>
      </w:pPr>
      <w:r>
        <w:rPr>
          <w:i/>
          <w:sz w:val="20"/>
        </w:rPr>
        <w:t>EN: Jammed interconnected bilayer emulsions as 3D-printable biological tissue mimics</w:t>
      </w:r>
    </w:p>
    <w:p>
      <w:pPr>
        <w:spacing w:before="0" w:after="120"/>
      </w:pPr>
      <w:r>
        <w:rPr>
          <w:b/>
        </w:rPr>
        <w:t xml:space="preserve">Source: </w:t>
      </w:r>
      <w:r>
        <w:t>Nature Materials</w:t>
      </w:r>
      <w:r>
        <w:t xml:space="preserve">    </w:t>
      </w:r>
      <w:r>
        <w:rPr>
          <w:b/>
        </w:rPr>
        <w:t xml:space="preserve">Pub date: </w:t>
      </w:r>
      <w:r>
        <w:t>2026-07-17 00:00:00+00:00</w:t>
      </w:r>
      <w:r>
        <w:t xml:space="preserve">    </w:t>
      </w:r>
      <w:r>
        <w:rPr>
          <w:b/>
        </w:rPr>
        <w:t xml:space="preserve">DOI: </w:t>
      </w:r>
      <w:hyperlink r:id="rId190">
        <w:r>
          <w:rPr>
            <w:color w:val="1155CC"/>
            <w:u w:val="single"/>
          </w:rPr>
          <w:t>10.1038/s41563-026-02679-3</w:t>
        </w:r>
      </w:hyperlink>
    </w:p>
    <w:p>
      <w:pPr>
        <w:spacing w:before="0" w:after="120"/>
      </w:pPr>
      <w:r>
        <w:rPr>
          <w:b/>
        </w:rPr>
        <w:t xml:space="preserve">Notes: </w:t>
      </w:r>
      <w:r>
        <w:t>abstract_source=nature_html</w:t>
      </w:r>
    </w:p>
    <w:p>
      <w:pPr>
        <w:spacing w:before="0" w:after="80" w:lineRule="auto" w:line="276"/>
      </w:pPr>
      <w:r>
        <w:rPr>
          <w:b/>
        </w:rPr>
        <w:t xml:space="preserve">摘要（ZH）: </w:t>
      </w:r>
      <w:r>
        <w:t>在这里，我们提出了堵塞的互连双层乳液（JIBE）作为一类具有宏观可扩展性的类组织材料，每毫升包含数十亿个双层分隔的水室。这些材料模仿生物组织的组织结构和特性。我们的自组装方法可在几分钟内生成高达十升量级的 JIBE。该工艺对多种两亲物具有高度适应性，包括脂质和嵌段共聚物，为不同应用定制 JIBE 提供了灵活性。 JIBE 的堵塞结构赋予了独特的特性，例如直接挤出 3D 打印到水溶液中。它们的膜结合结构允许纳米通道功能化，使材料能够采用合并通道的特性。在这项研究中，我们使用不同的离子通道展示了 JIBE 的三个关键特征：可调电导、选择性传输和忆阻。我们认为，功能化 JIBE 可以解锁广泛的应用，包括分离、能量存储、神经形态计算、组织工程、药物输送和软机器人。</w:t>
      </w:r>
    </w:p>
    <w:p>
      <w:pPr>
        <w:spacing w:before="0" w:after="200" w:lineRule="auto" w:line="276"/>
      </w:pPr>
      <w:r>
        <w:rPr>
          <w:b/>
        </w:rPr>
        <w:t xml:space="preserve">Abstract (EN): </w:t>
      </w:r>
      <w:r>
        <w:t>Here we present jammed interconnected bilayer emulsions (JIBEs) as a class of tissue-like materials with macroscopic scalability, comprising billions of bilayer-separated aqueous compartments per millilitre. These materials mimic the organizational structure and properties of biological tissues. Our self-assembly method generates up to decilitre-scale volumes of JIBEs within minutes. The process is highly adaptable to a wide range of amphiphiles, including lipids and block copolymers, providing flexibility in tailoring JIBEs for diverse applications. The jammed architecture of JIBEs imparts unique properties, such as direct extrusion 3D printability into aqueous solutions. Their membrane-bound structure allows functionalization with nanochannels, enabling the material to adopt the properties of the incorporated channels. In this study, we demonstrate three key features of JIBEs using distinct ion channels: tunable conductance, selective transport and memristance. We propose that functionalized JIBEs could unlock a broad range of applications, including separations, energy storage, neuromorphic computing, tissue engineering, drug delivery and soft robotics.</w:t>
      </w:r>
    </w:p>
    <w:p>
      <w:pPr>
        <w:spacing w:before="120" w:after="120"/>
      </w:pPr>
      <w:r>
        <w:rPr>
          <w:sz w:val="18"/>
        </w:rPr>
        <w:t>——————————————————————————————————————————————————————————————————————</w:t>
      </w:r>
    </w:p>
    <w:p>
      <w:pPr>
        <w:spacing w:before="160" w:after="40" w:line="240" w:lineRule="auto"/>
      </w:pPr>
      <w:r>
        <w:rPr>
          <w:b/>
        </w:rPr>
        <w:t xml:space="preserve">[2] </w:t>
      </w:r>
      <w:hyperlink r:id="rId191">
        <w:r>
          <w:rPr>
            <w:color w:val="1155CC"/>
            <w:u w:val="single"/>
          </w:rPr>
          <w:t>有针对性的极性熵调节可实现钨青铜多层电容器的卓越能量存储</w:t>
        </w:r>
      </w:hyperlink>
    </w:p>
    <w:p>
      <w:pPr>
        <w:spacing w:before="0" w:after="80"/>
      </w:pPr>
      <w:r>
        <w:rPr>
          <w:i/>
          <w:sz w:val="20"/>
        </w:rPr>
        <w:t>EN: Targeted polar entropy regulation enables superior energy-storage in tungsten bronze multilayer capacitors</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由于其固有的多位点结构，四方钨青铜（TTB）陶瓷已成为介电储能的有前途的候选者。然而，迄今为止所实现的有限能量存储性能仍然不足以满足先进电子和脉冲功率应用的需要。在这里，我们提出了一种有针对性的极性熵调节策略，通过在极性活性 B 位点进行少量多元素取代，能够精确调节极性位移并减弱极性纳米区域之间的耦合。原子尺度表征揭示了位点相关的结构响应，这些响应共同重塑了局部偏振构型和偶极相关性。结果，我们证明了TTB陶瓷在最先进的多层储能装置应用中的可行性，实现了17.6 J·cm−3的出色可恢复能量密度（Wrec）和96.8%的高效率，对应于550的高品质因数（WF）。此外，还实现了出色的热稳定性（ΔWrec ≤ 2.0%），最高Wrec为15.0 J·cm−3 在很宽的温度范围内（−40 至 125 °C）保持不变。这项工作提供了对极化调节的新见解，并为开发高性能储能介电电容器提供了有效途径。</w:t>
      </w:r>
    </w:p>
    <w:p>
      <w:pPr>
        <w:spacing w:before="0" w:after="200" w:lineRule="auto" w:line="276"/>
      </w:pPr>
      <w:r>
        <w:rPr>
          <w:b/>
        </w:rPr>
        <w:t xml:space="preserve">Abstract (EN): </w:t>
      </w:r>
      <w:r>
        <w:t>Tetragonal tungsten bronze (TTB) ceramics have emerged as promising candidates for dielectric energy storage due to their intrinsic multi-site architectures. However, the limited energy storage performance achieved so far remains insufficient for advanced electronic and pulsed power applications. Here, we propose a targeted polar-entropy regulation strategy via minor multi-element substitution at the polar-active B-sites, enabling precise modulation of polar displacements and weakened coupling among polar nanoregions. Atomic-scale characterization reveals site-dependent structural responses, which collectively reshape local polarization configurations and dipolar correlations. As a result, we demonstrate the feasibility of TTB ceramics for state-of-the-art multilayer energy-storage device applications, achieving an outstanding recoverable energy density (Wrec) of 17.6 J·cm−3 with a high efficiency of 96.8%, corresponding to a high figure of merit (WF) of 550. Moreover, excellent thermal stability (ΔWrec ≤ 2.0%) is achieved, and a highest Wrec of 15.0 J·cm−3 is maintained over a wide temperature range (−40 to 125 °C). This work offers new insights into polarization regulation and provides an effective pathway for developing high-performance energy storage dielectric capacitors.</w:t>
      </w:r>
    </w:p>
    <w:p>
      <w:pPr>
        <w:spacing w:before="120" w:after="120"/>
      </w:pPr>
      <w:r>
        <w:rPr>
          <w:sz w:val="18"/>
        </w:rPr>
        <w:t>——————————————————————————————————————————————————————————————————————</w:t>
      </w:r>
    </w:p>
    <w:p>
      <w:pPr>
        <w:spacing w:before="160" w:after="40" w:line="240" w:lineRule="auto"/>
      </w:pPr>
      <w:r>
        <w:rPr>
          <w:b/>
        </w:rPr>
        <w:t xml:space="preserve">[3] </w:t>
      </w:r>
      <w:hyperlink r:id="rId192">
        <w:r>
          <w:rPr>
            <w:color w:val="1155CC"/>
            <w:u w:val="single"/>
          </w:rPr>
          <w:t>超润湿框架聚合物膜可实现非水氧化还原液流电池的快速 TFSI− 传导</w:t>
        </w:r>
      </w:hyperlink>
    </w:p>
    <w:p>
      <w:pPr>
        <w:spacing w:before="0" w:after="80"/>
      </w:pPr>
      <w:r>
        <w:rPr>
          <w:i/>
          <w:sz w:val="20"/>
        </w:rPr>
        <w:t>EN: Superwetting Framework Polymer Membranes Enabling Fast TFSI− Conduction for Nonaqueous Redox Flow Batteries</w:t>
      </w:r>
    </w:p>
    <w:p>
      <w:pPr>
        <w:spacing w:before="0" w:after="120"/>
      </w:pPr>
      <w:r>
        <w:rPr>
          <w:b/>
        </w:rPr>
        <w:t xml:space="preserve">Source: </w:t>
      </w:r>
      <w:r>
        <w:t>Wiley: Advanced Materials: Table of Contents</w:t>
      </w:r>
      <w:r>
        <w:t xml:space="preserve">    </w:t>
      </w:r>
      <w:r>
        <w:rPr>
          <w:b/>
        </w:rPr>
        <w:t xml:space="preserve">Pub date: </w:t>
      </w:r>
      <w:r>
        <w:t>2026-07-17 07:15:32+00:00</w:t>
      </w:r>
      <w:r>
        <w:t xml:space="preserve">    </w:t>
      </w:r>
      <w:r>
        <w:rPr>
          <w:b/>
        </w:rPr>
        <w:t xml:space="preserve">DOI: </w:t>
      </w:r>
      <w:hyperlink r:id="rId193">
        <w:r>
          <w:rPr>
            <w:color w:val="1155CC"/>
            <w:u w:val="single"/>
          </w:rPr>
          <w:t>10.1002/adma.74164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水系氧化还原液流电池（NARFBs）可以克服水系电池的电压限制；然而，它们的实际应用受到一些与膜相关的挑战的限制，包括多孔隔膜的电导率-选择性权衡、微孔膜的润湿性差以及离子交换膜与有机电解质的不相容性。在这里，我们提出了框架聚合物膜，并引入了一种面向多样性的设计策略，通过该策略，我们开发了一种微孔阴离子导电膜，该膜具有抗溶胀性，并且对乙腈表现出优异的润湿性。我们发现，坚固的微孔与乙腈的亲和力增强，可以快速且高度选择性地传导载流子离子，从而提供 TFSI</w:t>
      </w:r>
      <w:r>
        <w:t xml:space="preserve"> </w:t>
      </w:r>
      <w:r>
        <w:t>-</w:t>
      </w:r>
      <w:r>
        <w:t>扩散系数8.12×10</w:t>
      </w:r>
      <w:r>
        <w:t xml:space="preserve"> </w:t>
      </w:r>
      <w:r>
        <w:t>−7</w:t>
      </w:r>
      <w:r>
        <w:t xml:space="preserve"> </w:t>
      </w:r>
      <w:r>
        <w:t>厘米</w:t>
      </w:r>
      <w:r>
        <w:rPr>
          <w:vertAlign w:val="subscript"/>
        </w:rPr>
        <w:t>2</w:t>
      </w:r>
      <w:r>
        <w:t>s</w:t>
      </w:r>
      <w:r>
        <w:t xml:space="preserve"> </w:t>
      </w:r>
      <w:r>
        <w:t>−1</w:t>
      </w:r>
      <w:r>
        <w:t xml:space="preserve"> </w:t>
      </w:r>
      <w:r>
        <w:t>（是弱亲和力对应物的 23 倍）和 433 的高电荷载体/电解质选择性。因此，该膜使 NARFB 能够在 80 mA cm 下工作</w:t>
      </w:r>
      <w:r>
        <w:t xml:space="preserve"> </w:t>
      </w:r>
      <w:r>
        <w:t>−2</w:t>
      </w:r>
      <w:r>
        <w:t xml:space="preserve"> </w:t>
      </w:r>
      <w:r>
        <w:t>在室温和零度以下的温度下，同时在 900 个循环中保持大于 99.5% 的恒定库仑效率，从而提高了现有的性能水平。这项研究为设计适合利用有机电解质的电化学装置的膜提供了见解。</w:t>
      </w:r>
    </w:p>
    <w:p>
      <w:pPr>
        <w:spacing w:before="0" w:after="200" w:lineRule="auto" w:line="276"/>
      </w:pPr>
      <w:r>
        <w:rPr>
          <w:b/>
        </w:rPr>
        <w:t xml:space="preserve">Abstract (EN): </w:t>
      </w:r>
      <w:r>
        <w:t>Nonaqueous redox flow batteries (NARFBs) can overcome the voltage limitation of aqueous batteries; however, their practical application is constrained by several membrane‐related challenges, including the conductivity‐selectivity tradeoff in porous separators, poor wettability of microporous membranes, and the incompatibility of ion exchange membranes with organic electrolytes. Here, we propose framework polymer membranes and introduce a diversity‐oriented design strategy through which we have developed a microporous anion conductive membrane that is resistant to swelling and exhibits superb wettability with acetonitrile. We reveal that the enhanced affinity of robust micropores with acetonitrile allows for rapid and highly selective conduction of charge carrier ions, affording a TFSI</w:t>
      </w:r>
      <w:r>
        <w:t xml:space="preserve"> </w:t>
      </w:r>
      <w:r>
        <w:t>−</w:t>
      </w:r>
      <w:r>
        <w:t>diffusion coefficient of 8.12 × 10</w:t>
      </w:r>
      <w:r>
        <w:t xml:space="preserve"> </w:t>
      </w:r>
      <w:r>
        <w:t>−7</w:t>
      </w:r>
      <w:r>
        <w:t xml:space="preserve"> </w:t>
      </w:r>
      <w:r>
        <w:t>cm</w:t>
      </w:r>
      <w:r>
        <w:rPr>
          <w:vertAlign w:val="subscript"/>
        </w:rPr>
        <w:t>2</w:t>
      </w:r>
      <w:r>
        <w:t>s</w:t>
      </w:r>
      <w:r>
        <w:t xml:space="preserve"> </w:t>
      </w:r>
      <w:r>
        <w:t>−1</w:t>
      </w:r>
      <w:r>
        <w:t xml:space="preserve"> </w:t>
      </w:r>
      <w:r>
        <w:t>(23 times that for the weakly affinitive counterpart) and a high charge‐carrier/electrolyte selectivity of 433. The membrane thereby enables NARFBs to operate at 80 mA cm</w:t>
      </w:r>
      <w:r>
        <w:t xml:space="preserve"> </w:t>
      </w:r>
      <w:r>
        <w:t>−2</w:t>
      </w:r>
      <w:r>
        <w:t xml:space="preserve"> </w:t>
      </w:r>
      <w:r>
        <w:t>under both room and sub‐zero temperatures, while maintaining a constant Coulombic efficiency of greater than 99.5% over 900 cycles, thus improving the existing performance level. This study provides insights for designing membranes tailored for electrochemical devices that utilize organic electrolytes.</w:t>
      </w:r>
    </w:p>
    <w:p>
      <w:pPr>
        <w:spacing w:before="120" w:after="120"/>
      </w:pPr>
      <w:r>
        <w:rPr>
          <w:sz w:val="18"/>
        </w:rPr>
        <w:t>——————————————————————————————————————————————————————————————————————</w:t>
      </w:r>
    </w:p>
    <w:p>
      <w:pPr>
        <w:spacing w:before="160" w:after="40" w:line="240" w:lineRule="auto"/>
      </w:pPr>
      <w:r>
        <w:rPr>
          <w:b/>
        </w:rPr>
        <w:t xml:space="preserve">[4] </w:t>
      </w:r>
      <w:hyperlink r:id="rId194">
        <w:r>
          <w:rPr>
            <w:color w:val="1155CC"/>
            <w:u w:val="single"/>
          </w:rPr>
          <w:t>具有 3.3 V 放电电压的 CO2 介导的锂 O2 电池</w:t>
        </w:r>
      </w:hyperlink>
    </w:p>
    <w:p>
      <w:pPr>
        <w:spacing w:before="0" w:after="80"/>
      </w:pPr>
      <w:r>
        <w:rPr>
          <w:i/>
          <w:sz w:val="20"/>
        </w:rPr>
        <w:t>EN: A CO2‐Mediated Li‐O2 Battery With 3.3 V Discharge Voltage</w:t>
      </w:r>
    </w:p>
    <w:p>
      <w:pPr>
        <w:spacing w:before="0" w:after="120"/>
      </w:pPr>
      <w:r>
        <w:rPr>
          <w:b/>
        </w:rPr>
        <w:t xml:space="preserve">Source: </w:t>
      </w:r>
      <w:r>
        <w:t>Wiley: Angewandte Chemie International Edition: Table of Contents</w:t>
      </w:r>
      <w:r>
        <w:t xml:space="preserve">    </w:t>
      </w:r>
      <w:r>
        <w:rPr>
          <w:b/>
        </w:rPr>
        <w:t xml:space="preserve">Pub date: </w:t>
      </w:r>
      <w:r>
        <w:t>2026-07-17 07:17:22+00:00</w:t>
      </w:r>
      <w:r>
        <w:t xml:space="preserve">    </w:t>
      </w:r>
      <w:r>
        <w:rPr>
          <w:b/>
        </w:rPr>
        <w:t xml:space="preserve">DOI: </w:t>
      </w:r>
      <w:hyperlink r:id="rId195">
        <w:r>
          <w:rPr>
            <w:color w:val="1155CC"/>
            <w:u w:val="single"/>
          </w:rPr>
          <w:t>10.1002/anie.4071427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锂氧（Li-O</w:t>
      </w:r>
      <w:r>
        <w:rPr>
          <w:vertAlign w:val="subscript"/>
        </w:rPr>
        <w:t>2</w:t>
      </w:r>
      <w:r>
        <w:t>）电池通过在固体阴极框架之外采用氧转化反应来克服锂离子电池中的离子嵌入化学。然而，缓慢的动力学将实际放电电压限制在 2.85 V 以下，造成了“高容量、低功率输出”的困境，严重影响了可实现的能量和功率密度。在此，CO</w:t>
      </w:r>
      <w:r>
        <w:rPr>
          <w:vertAlign w:val="subscript"/>
        </w:rPr>
        <w:t>2</w:t>
      </w:r>
      <w:r>
        <w:t>‐介导的Li‐O</w:t>
      </w:r>
      <w:r>
        <w:rPr>
          <w:vertAlign w:val="subscript"/>
        </w:rPr>
        <w:t>2</w:t>
      </w:r>
      <w:r>
        <w:t>电池 (CLOB) 通过战略性地优化气体成分和催化结构来重新定义氧氧化还原化学，成功地将放电电压提高到 3.30 V，与 LiFePO 相当</w:t>
      </w:r>
      <w:r>
        <w:rPr>
          <w:vertAlign w:val="subscript"/>
        </w:rPr>
        <w:t>4</w:t>
      </w:r>
      <w:r>
        <w:t>基于锂离子电池。氧</w:t>
      </w:r>
      <w:r>
        <w:rPr>
          <w:vertAlign w:val="subscript"/>
        </w:rPr>
        <w:t>2</w:t>
      </w:r>
      <w:r>
        <w:t>和二氧化碳</w:t>
      </w:r>
      <w:r>
        <w:rPr>
          <w:vertAlign w:val="subscript"/>
        </w:rPr>
        <w:t>2</w:t>
      </w:r>
      <w:r>
        <w:t>逐渐还原形成Li的中间体</w:t>
      </w:r>
      <w:r>
        <w:rPr>
          <w:vertAlign w:val="subscript"/>
        </w:rPr>
        <w:t>2</w:t>
      </w:r>
      <w:r>
        <w:t>一氧化碳</w:t>
      </w:r>
      <w:r>
        <w:rPr>
          <w:vertAlign w:val="subscript"/>
        </w:rPr>
        <w:t>4</w:t>
      </w:r>
      <w:r>
        <w:t>和李</w:t>
      </w:r>
      <w:r>
        <w:rPr>
          <w:vertAlign w:val="subscript"/>
        </w:rPr>
        <w:t>2</w:t>
      </w:r>
      <w:r>
        <w:t>C</w:t>
      </w:r>
      <w:r>
        <w:rPr>
          <w:vertAlign w:val="subscript"/>
        </w:rPr>
        <w:t>2</w:t>
      </w:r>
      <w:r>
        <w:t>氧</w:t>
      </w:r>
      <w:r>
        <w:rPr>
          <w:vertAlign w:val="subscript"/>
        </w:rPr>
        <w:t>6</w:t>
      </w:r>
      <w:r>
        <w:t>，最后是李</w:t>
      </w:r>
      <w:r>
        <w:rPr>
          <w:vertAlign w:val="subscript"/>
        </w:rPr>
        <w:t>2</w:t>
      </w:r>
      <w:r>
        <w:t>一氧化碳</w:t>
      </w:r>
      <w:r>
        <w:rPr>
          <w:vertAlign w:val="subscript"/>
        </w:rPr>
        <w:t>3</w:t>
      </w:r>
      <w:r>
        <w:t>作为放电产物。它在双电极电化学电池中产生 3.30 V 的平衡电压。此外，引入酞菁铁（FePc）作为可溶性分子载体以减轻动力学约束。已证实的 FePc-ba</w:t>
      </w:r>
    </w:p>
    <w:p>
      <w:pPr>
        <w:spacing w:before="0" w:after="200" w:lineRule="auto" w:line="276"/>
      </w:pPr>
      <w:r>
        <w:rPr>
          <w:b/>
        </w:rPr>
        <w:t xml:space="preserve">Abstract (EN): </w:t>
      </w:r>
      <w:r>
        <w:t>Lithium‐oxygen (Li‐O</w:t>
      </w:r>
      <w:r>
        <w:rPr>
          <w:vertAlign w:val="subscript"/>
        </w:rPr>
        <w:t>2</w:t>
      </w:r>
      <w:r>
        <w:t>) batteries overcome the ion‐intercalation chemistry in lithium‐ion batteries by employing oxygen conversion reactions beyond the solid cathode framework. However, sluggish kinetic limit practical discharge voltages below 2.85 V, establishing a “high capacity, low power output” dilemma that severely compromises achievable energy and power densities. Herein, a CO</w:t>
      </w:r>
      <w:r>
        <w:rPr>
          <w:vertAlign w:val="subscript"/>
        </w:rPr>
        <w:t>2</w:t>
      </w:r>
      <w:r>
        <w:t>‐mediated Li‐O</w:t>
      </w:r>
      <w:r>
        <w:rPr>
          <w:vertAlign w:val="subscript"/>
        </w:rPr>
        <w:t>2</w:t>
      </w:r>
      <w:r>
        <w:t>battery (CLOB) is constructed to redefine the oxygen redox chemistry by strategically optimizing gas composition and catalytic architecture, successfully elevating the discharge voltage to 3.30 V comparable to the LiFePO</w:t>
      </w:r>
      <w:r>
        <w:rPr>
          <w:vertAlign w:val="subscript"/>
        </w:rPr>
        <w:t>4</w:t>
      </w:r>
      <w:r>
        <w:t>‐based lithium‐ion batteries. O</w:t>
      </w:r>
      <w:r>
        <w:rPr>
          <w:vertAlign w:val="subscript"/>
        </w:rPr>
        <w:t>2</w:t>
      </w:r>
      <w:r>
        <w:t>and CO</w:t>
      </w:r>
      <w:r>
        <w:rPr>
          <w:vertAlign w:val="subscript"/>
        </w:rPr>
        <w:t>2</w:t>
      </w:r>
      <w:r>
        <w:t>are gradually reduced to form the intermediates of Li</w:t>
      </w:r>
      <w:r>
        <w:rPr>
          <w:vertAlign w:val="subscript"/>
        </w:rPr>
        <w:t>2</w:t>
      </w:r>
      <w:r>
        <w:t>CO</w:t>
      </w:r>
      <w:r>
        <w:rPr>
          <w:vertAlign w:val="subscript"/>
        </w:rPr>
        <w:t>4</w:t>
      </w:r>
      <w:r>
        <w:t>and Li</w:t>
      </w:r>
      <w:r>
        <w:rPr>
          <w:vertAlign w:val="subscript"/>
        </w:rPr>
        <w:t>2</w:t>
      </w:r>
      <w:r>
        <w:t>C</w:t>
      </w:r>
      <w:r>
        <w:rPr>
          <w:vertAlign w:val="subscript"/>
        </w:rPr>
        <w:t>2</w:t>
      </w:r>
      <w:r>
        <w:t>O</w:t>
      </w:r>
      <w:r>
        <w:rPr>
          <w:vertAlign w:val="subscript"/>
        </w:rPr>
        <w:t>6</w:t>
      </w:r>
      <w:r>
        <w:t>, and finally Li</w:t>
      </w:r>
      <w:r>
        <w:rPr>
          <w:vertAlign w:val="subscript"/>
        </w:rPr>
        <w:t>2</w:t>
      </w:r>
      <w:r>
        <w:t>CO</w:t>
      </w:r>
      <w:r>
        <w:rPr>
          <w:vertAlign w:val="subscript"/>
        </w:rPr>
        <w:t>3</w:t>
      </w:r>
      <w:r>
        <w:t>as the discharge product. It leads to an equilibrium voltage of 3.30 V in a two‐electrode electrochemical cell. Furthermore, iron phthalocyanine (FePc) is introduced as a soluble molecular carrier to mitigate the kinetic constraint. The demonstrated FePc‐based CLOB delivers an exceptional discharge voltage of 3.30 V and the assembled pouch cell exhibits a 1.38 Ah capacity with an ultrahigh energy density of 870.1 Wh kg</w:t>
      </w:r>
      <w:r>
        <w:t xml:space="preserve"> </w:t>
      </w:r>
      <w:r>
        <w:t>−1</w:t>
      </w:r>
      <w:r>
        <w:t xml:space="preserve"> </w:t>
      </w:r>
      <w:r>
        <w:t>. This voltage enhancement substantially improves energy output and offers a new paradigm for the commercialization of metal‐gas batteries.</w:t>
      </w:r>
    </w:p>
    <w:p>
      <w:pPr>
        <w:spacing w:before="120" w:after="120"/>
      </w:pPr>
      <w:r>
        <w:rPr>
          <w:sz w:val="18"/>
        </w:rPr>
        <w:t>——————————————————————————————————————————————————————————————————————</w:t>
      </w:r>
    </w:p>
    <w:p>
      <w:pPr>
        <w:spacing w:before="160" w:after="40" w:line="240" w:lineRule="auto"/>
      </w:pPr>
      <w:r>
        <w:rPr>
          <w:b/>
        </w:rPr>
        <w:t xml:space="preserve">[5] </w:t>
      </w:r>
      <w:hyperlink r:id="rId26">
        <w:r>
          <w:rPr>
            <w:color w:val="1155CC"/>
            <w:u w:val="single"/>
          </w:rPr>
          <w:t>${\mathrm{AgNbO}}_{3}$钙钛矿中隐藏的手性铁电性</w:t>
        </w:r>
      </w:hyperlink>
    </w:p>
    <w:p>
      <w:pPr>
        <w:spacing w:before="0" w:after="80"/>
      </w:pPr>
      <w:r>
        <w:rPr>
          <w:i/>
          <w:sz w:val="20"/>
        </w:rPr>
        <w:t>EN: Hidden Chiral Ferroelectricity in ${\mathrm{AgNbO}}_{3}$ Perovskite</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27">
        <w:r>
          <w:rPr>
            <w:color w:val="1155CC"/>
            <w:u w:val="single"/>
          </w:rPr>
          <w:t>10.1103/kbfj-btly</w:t>
        </w:r>
      </w:hyperlink>
    </w:p>
    <w:p>
      <w:pPr>
        <w:spacing w:before="0" w:after="120"/>
      </w:pPr>
      <w:r>
        <w:rPr>
          <w:b/>
        </w:rPr>
        <w:t xml:space="preserve">Notes: </w:t>
      </w:r>
      <w:r>
        <w:t>abstract_source=rss_description</w:t>
      </w:r>
    </w:p>
    <w:p>
      <w:pPr>
        <w:spacing w:before="0" w:after="80" w:lineRule="auto" w:line="276"/>
      </w:pPr>
      <w:r>
        <w:rPr>
          <w:b/>
        </w:rPr>
        <w:t xml:space="preserve">摘要（ZH）: </w:t>
      </w:r>
      <w:r>
        <w:t>作者：Ying Song，Lingzhi Cao，Jinming Zhai，Zhilong Yang，Yali Yang，Laurent Bellaiche，Jiangang He${\mathrm{AgNbO}}_{3}$是一种无铅钙钛矿，在储能和光电应用方面具有巨大的潜力，但其低温晶体结构仍然存在争议。在这封信中，我们利用系统的第一性原理重新审视了它的低能结构景观……[物理学。莱特牧师。 137, 036102] 发表于 2026 年 7 月 17 日星期五</w:t>
      </w:r>
    </w:p>
    <w:p>
      <w:pPr>
        <w:spacing w:before="0" w:after="200" w:lineRule="auto" w:line="276"/>
      </w:pPr>
      <w:r>
        <w:rPr>
          <w:b/>
        </w:rPr>
        <w:t xml:space="preserve">Abstract (EN): </w:t>
      </w:r>
      <w:r>
        <w:t>Author(s): Ying Song, Lingzhi Cao, Jinming Zhai, Zhilong Yang, Yali Yang, Laurent Bellaiche, and Jiangang He${\mathrm{AgNbO}}_{3}$ is a lead-free perovskite with considerable potential for energy storage and optoelectronic applications, yet its low-temperature crystal structure has remained controversial. In this Letter, we revisit its low-energy structural landscape using a systematic first-principles st…[Phys. Rev. Lett. 137, 036102] Published Fri Jul 17, 2026</w:t>
      </w:r>
    </w:p>
    <w:p>
      <w:pPr>
        <w:spacing w:before="120" w:after="120"/>
      </w:pPr>
      <w:r>
        <w:rPr>
          <w:sz w:val="18"/>
        </w:rPr>
        <w:t>——————————————————————————————————————————————————————————————————————</w:t>
      </w:r>
    </w:p>
    <w:p>
      <w:pPr>
        <w:spacing w:before="160" w:after="40" w:line="240" w:lineRule="auto"/>
      </w:pPr>
      <w:r>
        <w:rPr>
          <w:b/>
        </w:rPr>
        <w:t xml:space="preserve">[6] </w:t>
      </w:r>
      <w:hyperlink r:id="rId196">
        <w:r>
          <w:rPr>
            <w:color w:val="1155CC"/>
            <w:u w:val="single"/>
          </w:rPr>
          <w:t>通过吸湿性电解质的超薄铝空气电池，可实现皮肤上难以察觉的电子设备的连续运行</w:t>
        </w:r>
      </w:hyperlink>
    </w:p>
    <w:p>
      <w:pPr>
        <w:spacing w:before="0" w:after="80"/>
      </w:pPr>
      <w:r>
        <w:rPr>
          <w:i/>
          <w:sz w:val="20"/>
        </w:rPr>
        <w:t>EN: Ultrathin Aluminum–Air Batteries via Hygroscopic Electrolytes for Continuous Operation of Imperceptible On‐Skin Electronics</w:t>
      </w:r>
    </w:p>
    <w:p>
      <w:pPr>
        <w:spacing w:before="0" w:after="120"/>
      </w:pPr>
      <w:r>
        <w:rPr>
          <w:b/>
        </w:rPr>
        <w:t xml:space="preserve">Source: </w:t>
      </w:r>
      <w:r>
        <w:t>Wiley: Advanced Energy Materials: Table of Contents</w:t>
      </w:r>
      <w:r>
        <w:t xml:space="preserve">    </w:t>
      </w:r>
      <w:r>
        <w:rPr>
          <w:b/>
        </w:rPr>
        <w:t xml:space="preserve">Pub date: </w:t>
      </w:r>
      <w:r>
        <w:t>2026-07-17 12:44:31+00:00</w:t>
      </w:r>
      <w:r>
        <w:t xml:space="preserve">    </w:t>
      </w:r>
      <w:r>
        <w:rPr>
          <w:b/>
        </w:rPr>
        <w:t xml:space="preserve">DOI: </w:t>
      </w:r>
      <w:hyperlink r:id="rId197">
        <w:r>
          <w:rPr>
            <w:color w:val="1155CC"/>
            <w:u w:val="single"/>
          </w:rPr>
          <w:t>10.1002/aenm.71309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皮肤电源需要超薄的外形尺寸、安全性和机械坚固性，但很少有电池平台同时满足这些要求。在这里，我们报告了迄今为止最薄的铝空气电池（&lt;270 µm），由吸湿性水凝胶电解质实现。在离子物质高度集中的盐包水状态下运行，强离子-水相互作用可抑制电解质脱水和铝自腐蚀，同时实现 2479 mAh g 的高容量运行</w:t>
      </w:r>
      <w:r>
        <w:t xml:space="preserve"> </w:t>
      </w:r>
      <w:r>
        <w:t>−1</w:t>
      </w:r>
      <w:r>
        <w:t xml:space="preserve"> </w:t>
      </w:r>
      <w:r>
        <w:t>10 mA cm 时</w:t>
      </w:r>
      <w:r>
        <w:t xml:space="preserve"> </w:t>
      </w:r>
      <w:r>
        <w:t>−2</w:t>
      </w:r>
      <w:r>
        <w:t xml:space="preserve"> </w:t>
      </w:r>
      <w:r>
        <w:t>在超薄架构中。这些电池可承受 1 毫米弯曲半径下的 3000 多次弯曲循环，并在严重变形（包括压皱、切割和穿孔）下仍能保持功能。经过超过 1000 次重复阳极更换循环的稳定运行表明运行寿命超过 8000 小时。当与基于有机电化学晶体管的生物传感器集成时，该系统能够实现连续、实时的生理信号监测，信号保真度高达 31.1 dB，为保形表皮电子系统的连续运行提供了一条可行的途径。</w:t>
      </w:r>
    </w:p>
    <w:p>
      <w:pPr>
        <w:spacing w:before="0" w:after="200" w:lineRule="auto" w:line="276"/>
      </w:pPr>
      <w:r>
        <w:rPr>
          <w:b/>
        </w:rPr>
        <w:t xml:space="preserve">Abstract (EN): </w:t>
      </w:r>
      <w:r>
        <w:t>On‐skin power sources require ultrathin form factors, safety, and mechanical robustness, but few battery platforms simultaneously satisfy these requirements. Here, we report the thinnest Al–air batteries to date (&amp;lt;270 µm) enabled by hygroscopic hydrogel electrolytes. Operating in a water‐in‐salt regime with highly concentrated ionic species, strong ion–water interactions suppress electrolyte dehydration and Al self‐corrosion, while enabling high‐capacity operation of 2479 mAh g</w:t>
      </w:r>
      <w:r>
        <w:t xml:space="preserve"> </w:t>
      </w:r>
      <w:r>
        <w:t>‒1</w:t>
      </w:r>
      <w:r>
        <w:t xml:space="preserve"> </w:t>
      </w:r>
      <w:r>
        <w:t>at 10 mA cm</w:t>
      </w:r>
      <w:r>
        <w:t xml:space="preserve"> </w:t>
      </w:r>
      <w:r>
        <w:t>‒2</w:t>
      </w:r>
      <w:r>
        <w:t xml:space="preserve"> </w:t>
      </w:r>
      <w:r>
        <w:t>in ultrathin architectures. The cells withstand over 3000 bending cycles at a bending radius of 1 mm and remain functional under severe deformation, including crumpling, cutting, and perforation. Stable operation over more than 1000 cycles of repeated anode replacement suggests an operational lifespan exceeding 8000 h. When integrated with organic electrochemical transistor‐based biosensors, the system enables continuous, real‐time physiological signal monitoring with a signal fidelity of up to 31.1 dB, providing a viable route toward continuous operation of conformal epidermal electronic systems.</w:t>
      </w:r>
    </w:p>
    <w:p>
      <w:pPr>
        <w:spacing w:before="120" w:after="120"/>
      </w:pPr>
      <w:r>
        <w:rPr>
          <w:sz w:val="18"/>
        </w:rPr>
        <w:t>——————————————————————————————————————————————————————————————————————</w:t>
      </w:r>
    </w:p>
    <w:p>
      <w:pPr>
        <w:spacing w:before="160" w:after="40" w:line="240" w:lineRule="auto"/>
      </w:pPr>
      <w:r>
        <w:rPr>
          <w:b/>
        </w:rPr>
        <w:t xml:space="preserve">[7] </w:t>
      </w:r>
      <w:hyperlink r:id="rId198">
        <w:r>
          <w:rPr>
            <w:color w:val="1155CC"/>
            <w:u w:val="single"/>
          </w:rPr>
          <w:t>普鲁士蓝模拟液流电池的氧化还原靶向协同作用与双介体</w:t>
        </w:r>
      </w:hyperlink>
    </w:p>
    <w:p>
      <w:pPr>
        <w:spacing w:before="0" w:after="80"/>
      </w:pPr>
      <w:r>
        <w:rPr>
          <w:i/>
          <w:sz w:val="20"/>
        </w:rPr>
        <w:t>EN: Redox‐Targeting Synergy With Dual Mediators for Prussian Blue Analogue Flow Batteries</w:t>
      </w:r>
    </w:p>
    <w:p>
      <w:pPr>
        <w:spacing w:before="0" w:after="120"/>
      </w:pPr>
      <w:r>
        <w:rPr>
          <w:b/>
        </w:rPr>
        <w:t xml:space="preserve">Source: </w:t>
      </w:r>
      <w:r>
        <w:t>Wiley: Advanced Materials: Table of Contents</w:t>
      </w:r>
      <w:r>
        <w:t xml:space="preserve">    </w:t>
      </w:r>
      <w:r>
        <w:rPr>
          <w:b/>
        </w:rPr>
        <w:t xml:space="preserve">Pub date: </w:t>
      </w:r>
      <w:r>
        <w:t>2026-07-17 14:56:12+00:00</w:t>
      </w:r>
      <w:r>
        <w:t xml:space="preserve">    </w:t>
      </w:r>
      <w:r>
        <w:rPr>
          <w:b/>
        </w:rPr>
        <w:t xml:space="preserve">DOI: </w:t>
      </w:r>
      <w:hyperlink r:id="rId199">
        <w:r>
          <w:rPr>
            <w:color w:val="1155CC"/>
            <w:u w:val="single"/>
          </w:rPr>
          <w:t>10.1002/adma.74155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水系氧化还原靶向液流电池（RTFB）因其高能量密度、长循环寿命和高安全性而成为极具前景的电化学储能系统。双分子氧化还原靶向（DMRT）系统简化了氧化还原介体（RM）和固体材料之间的匹配。然而，RM 与固体材料之间的相互作用在报道的工作中尚未得到很好的阐明。这里，4-OH-TEMPO/[Fe(CN)</w:t>
      </w:r>
      <w:r>
        <w:rPr>
          <w:vertAlign w:val="subscript"/>
        </w:rPr>
        <w:t>6</w:t>
      </w:r>
      <w:r>
        <w:t>]</w:t>
      </w:r>
      <w:r>
        <w:t xml:space="preserve"> </w:t>
      </w:r>
      <w:r>
        <w:t>3−/4−</w:t>
      </w:r>
      <w:r>
        <w:t>这项工作开发了 ‐NiHCF||Zn DMRT 液流电池，可提供 75.04 Wh L 的出色能量密度</w:t>
      </w:r>
      <w:r>
        <w:t xml:space="preserve"> </w:t>
      </w:r>
      <w:r>
        <w:t>−1</w:t>
      </w:r>
      <w:r>
        <w:t xml:space="preserve"> </w:t>
      </w:r>
      <w:r>
        <w:t>（比空白液流电池高 9.09 倍）、优异的库伦效率 (99.9%)、固体材料利用率 (82.9%) 和 10 mA cm 下的容量保持率（每次循环 99.7%）</w:t>
      </w:r>
      <w:r>
        <w:t xml:space="preserve"> </w:t>
      </w:r>
      <w:r>
        <w:t>−2</w:t>
      </w:r>
      <w:r>
        <w:t xml:space="preserve"> </w:t>
      </w:r>
      <w:r>
        <w:t>。重要的是，通过各种实验和理论验证阐明了两种 RM 的氧化还原靶向协同机制，其中 [Fe(CN)</w:t>
      </w:r>
      <w:r>
        <w:rPr>
          <w:vertAlign w:val="subscript"/>
        </w:rPr>
        <w:t>6</w:t>
      </w:r>
      <w:r>
        <w:t>]</w:t>
      </w:r>
      <w:r>
        <w:t xml:space="preserve"> </w:t>
      </w:r>
      <w:r>
        <w:t>3−/4−</w:t>
      </w:r>
      <w:r>
        <w:t>促进 Fe-Fe 电子离域和 Na</w:t>
      </w:r>
      <w:r>
        <w:t xml:space="preserve"> </w:t>
      </w:r>
      <w:r>
        <w:t>+</w:t>
      </w:r>
      <w:r>
        <w:t xml:space="preserve"> </w:t>
      </w:r>
      <w:r>
        <w:t>萃取，而4-OH-TEMPO则加速Fe-N界面电荷交换。双介体设计表现出明显的 SOC 依赖性贡献，通过时间分辨操作紫外可见 (UV-Vis) 光谱定量揭示。同时，弛豫时间电化学阻抗的频率分辨运算分布</w:t>
      </w:r>
    </w:p>
    <w:p>
      <w:pPr>
        <w:spacing w:before="0" w:after="200" w:lineRule="auto" w:line="276"/>
      </w:pPr>
      <w:r>
        <w:rPr>
          <w:b/>
        </w:rPr>
        <w:t xml:space="preserve">Abstract (EN): </w:t>
      </w:r>
      <w:r>
        <w:t>Aqueous redox‐targeting flow batteries (RTFBs) are highly promising electrochemical energy storage systems due to their high energy density, long cycle life, and high safety. Dual‐molecule redox‐targeting (DMRT) system simplifies the matching between redox mediators (RMs) and solid materials. However, the interaction between RMs and solid material is not well clarified in reported works. Here, a 4‐OH‐TEMPO/[Fe(CN)</w:t>
      </w:r>
      <w:r>
        <w:rPr>
          <w:vertAlign w:val="subscript"/>
        </w:rPr>
        <w:t>6</w:t>
      </w:r>
      <w:r>
        <w:t>]</w:t>
      </w:r>
      <w:r>
        <w:t xml:space="preserve"> </w:t>
      </w:r>
      <w:r>
        <w:t>3−/4−</w:t>
      </w:r>
      <w:r>
        <w:t>‐NiHCF||Zn DMRT flow battery is developed in this work, delivering an outstanding energy density of 75.04 Wh L</w:t>
      </w:r>
      <w:r>
        <w:t xml:space="preserve"> </w:t>
      </w:r>
      <w:r>
        <w:t>−1</w:t>
      </w:r>
      <w:r>
        <w:t xml:space="preserve"> </w:t>
      </w:r>
      <w:r>
        <w:t>(9.09 times higher than that of blank flow battery), excellent coulombic efficiency (99.9%), solid material utilization (82.9%), and capacity retention (99.7% per cycle) at 10 mA cm</w:t>
      </w:r>
      <w:r>
        <w:t xml:space="preserve"> </w:t>
      </w:r>
      <w:r>
        <w:t>−2</w:t>
      </w:r>
      <w:r>
        <w:t xml:space="preserve"> </w:t>
      </w:r>
      <w:r>
        <w:t>. Importantly, a redox‐targeting synergy mechanism of two RMs is elucidated through various experimental and theoretical validations, wherein [Fe(CN)</w:t>
      </w:r>
      <w:r>
        <w:rPr>
          <w:vertAlign w:val="subscript"/>
        </w:rPr>
        <w:t>6</w:t>
      </w:r>
      <w:r>
        <w:t>]</w:t>
      </w:r>
      <w:r>
        <w:t xml:space="preserve"> </w:t>
      </w:r>
      <w:r>
        <w:t>3−/4−</w:t>
      </w:r>
      <w:r>
        <w:t>facilitates Fe‐Fe electronic delocalization and Na</w:t>
      </w:r>
      <w:r>
        <w:t xml:space="preserve"> </w:t>
      </w:r>
      <w:r>
        <w:t>+</w:t>
      </w:r>
      <w:r>
        <w:t xml:space="preserve"> </w:t>
      </w:r>
      <w:r>
        <w:t>extraction, while 4‐OH‐TEMPO accelerates Fe‐N interfacial charge exchange. The dual‐mediator design exhibits distinct SOC‐dependent contributions, quantitatively revealed by time‐resolved operando ultraviolet‐visible (UV‐Vis) spectroscopy. Meanwhile, frequency‐resolved operando distribution of relaxation times‐electrochemical impedance spectroscopy (DRT‐EIS) clarifies that direct NiHCF‐mediator interfacial coupling governs the redox‐targeting resistance. This work deepens the mechanistic understanding of redox‐targeting chemistry in DMRT systems, advancing high‐energy‐density aqueous flow batteries.</w:t>
      </w:r>
    </w:p>
    <w:p>
      <w:pPr>
        <w:spacing w:before="120" w:after="120"/>
      </w:pPr>
      <w:r>
        <w:rPr>
          <w:sz w:val="18"/>
        </w:rPr>
        <w:t>——————————————————————————————————————————————————————————————————————</w:t>
      </w:r>
    </w:p>
    <w:p>
      <w:pPr>
        <w:spacing w:before="160" w:after="40" w:line="240" w:lineRule="auto"/>
      </w:pPr>
      <w:r>
        <w:rPr>
          <w:b/>
        </w:rPr>
        <w:t xml:space="preserve">[8] </w:t>
      </w:r>
      <w:hyperlink r:id="rId200">
        <w:r>
          <w:rPr>
            <w:color w:val="1155CC"/>
            <w:u w:val="single"/>
          </w:rPr>
          <w:t>顺序 K + 和 Cs + 嵌入 Ti 3 C 2 T X 还原氧化石墨烯水凝胶中以增强锌离子混合超级电容器的性能</w:t>
        </w:r>
      </w:hyperlink>
    </w:p>
    <w:p>
      <w:pPr>
        <w:spacing w:before="0" w:after="80"/>
      </w:pPr>
      <w:r>
        <w:rPr>
          <w:i/>
          <w:sz w:val="20"/>
        </w:rPr>
        <w:t>EN: Sequential K + and Cs + Intercalation into Ti 3 C 2 T X -Reduced Graphene Oxide Hydrogel for Enhanced Performance of Zinc-Ion Hybrid Supercapacitors</w:t>
      </w:r>
    </w:p>
    <w:p>
      <w:pPr>
        <w:spacing w:before="0" w:after="120"/>
      </w:pPr>
      <w:r>
        <w:rPr>
          <w:b/>
        </w:rPr>
        <w:t xml:space="preserve">Source: </w:t>
      </w:r>
      <w:r>
        <w:t>ACS Applied Materials &amp; Interfaces: Latest Articles (ACS Publications)</w:t>
      </w:r>
      <w:r>
        <w:t xml:space="preserve">    </w:t>
      </w:r>
      <w:r>
        <w:rPr>
          <w:b/>
        </w:rPr>
        <w:t xml:space="preserve">Pub date: </w:t>
      </w:r>
      <w:r>
        <w:t>2026-07-18 00:00:00+00:00</w:t>
      </w:r>
      <w:r>
        <w:t xml:space="preserve">    </w:t>
      </w:r>
      <w:r>
        <w:rPr>
          <w:b/>
        </w:rPr>
        <w:t xml:space="preserve">DOI: </w:t>
      </w:r>
      <w:hyperlink r:id="rId201">
        <w:r>
          <w:rPr>
            <w:color w:val="1155CC"/>
            <w:u w:val="single"/>
          </w:rPr>
          <w:t>10.1021/acsami.6c05589</w:t>
        </w:r>
      </w:hyperlink>
    </w:p>
    <w:p>
      <w:pPr>
        <w:spacing w:before="0" w:after="120"/>
      </w:pPr>
      <w:r>
        <w:rPr>
          <w:b/>
        </w:rPr>
        <w:t xml:space="preserve">Notes: </w:t>
      </w:r>
      <w:r>
        <w:t>abstract_source=pubmed</w:t>
      </w:r>
    </w:p>
    <w:p>
      <w:pPr>
        <w:spacing w:before="0" w:after="80" w:lineRule="auto" w:line="276"/>
      </w:pPr>
      <w:r>
        <w:rPr>
          <w:b/>
        </w:rPr>
        <w:t xml:space="preserve">摘要（ZH）: </w:t>
      </w:r>
      <w:r>
        <w:t>预插层工程是调控MXene层间结构的有效策略。然而，不同阳离子之间的竞争行为却鲜有报道。在此，我们阐明了 Cs+ 在 K+ 预插层 Ti3C2TX 中的竞争嵌入机制及其对锌离子混合超级电容器（ZHSC）性能的影响。 K+ 预嵌入扩大了层间通道并降低了后续 Cs+ 插入的扩散势垒。由于其较大的离子半径和更强的静电相互作用，Cs+竞争性地取代了大部分预插层的K+，导致层间距进一步扩大和稳定。当所得的 K+/Cs+-Ti3C2TX 集成到 3D 导电水凝胶中时，可以有效抑制重新堆积，并促进离子/电子传输。对于由锌板和基于还原氧化石墨烯负载的 K+/Cs+-Ti3C2TX 水凝胶构建的 ZHSC，在 1 A g-1 电流下可实现 255 F g-1 的高比电容，并具有出色的循环稳定性。这项工作的结果揭示了竞争性阳离子嵌入在增强 MXene 在储能器件中的性能方面的内在意义。</w:t>
      </w:r>
    </w:p>
    <w:p>
      <w:pPr>
        <w:spacing w:before="0" w:after="200" w:lineRule="auto" w:line="276"/>
      </w:pPr>
      <w:r>
        <w:rPr>
          <w:b/>
        </w:rPr>
        <w:t xml:space="preserve">Abstract (EN): </w:t>
      </w:r>
      <w:r>
        <w:t>Preintercalation engineering is an effective strategy for regulating MXene interlayer structures. However, the competitive behavior among different cations is rarely reported. Herein, we elucidate the competitive intercalation mechanism of Cs+ in K+-preintercalated Ti3C2TX and its impact on the performance of zinc-ion hybrid supercapacitors (ZHSCs). K+ preintercalation expands the interlayer galleries and lowers the diffusion barrier for the subsequent Cs+ insertion. Because of its larger ionic radius and stronger electrostatic interaction, Cs+ competitively replaces most of the preintercalated K+, resulting in a further enlarged and stabilized interlayer spacing. When the resultant K+/Cs+-Ti3C2TX is integrated into a 3D conductive hydrogel, restacking is effectively suppressed, and ion/electron transport is facilitated. For a ZHSC constructed with a zinc plate and an electrode based on reduced graphene oxide-supported K+/Cs+-Ti3C2TX hydrogel, a high specific capacitance of 255 F g-1 is achieved at 1 A g-1 with excellent cycling stability. Results from this work reveal the intrinsic significance of competitive cation intercalation in enhancing the performance of MXenes in energy-storage devices.</w:t>
      </w:r>
    </w:p>
    <w:p>
      <w:pPr>
        <w:spacing w:before="120" w:after="120"/>
      </w:pPr>
      <w:r>
        <w:rPr>
          <w:sz w:val="18"/>
        </w:rPr>
        <w:t>——————————————————————————————————————————————————————————————————————</w:t>
      </w:r>
    </w:p>
    <w:p>
      <w:pPr>
        <w:spacing w:before="160" w:after="40" w:line="240" w:lineRule="auto"/>
      </w:pPr>
      <w:r>
        <w:rPr>
          <w:b/>
        </w:rPr>
        <w:t xml:space="preserve">[9] </w:t>
      </w:r>
      <w:hyperlink r:id="rId202">
        <w:r>
          <w:rPr>
            <w:color w:val="1155CC"/>
            <w:u w:val="single"/>
          </w:rPr>
          <w:t>基于动态可行操作区域聚合的类存储资源协调优化调度</w:t>
        </w:r>
      </w:hyperlink>
    </w:p>
    <w:p>
      <w:pPr>
        <w:spacing w:before="0" w:after="80"/>
      </w:pPr>
      <w:r>
        <w:rPr>
          <w:i/>
          <w:sz w:val="20"/>
        </w:rPr>
        <w:t>EN: Coordinated optimal dispatch of storage-like resources based on dynamic feasible operation region aggregation</w:t>
      </w:r>
    </w:p>
    <w:p>
      <w:pPr>
        <w:spacing w:before="0" w:after="120"/>
      </w:pPr>
      <w:r>
        <w:rPr>
          <w:b/>
        </w:rPr>
        <w:t xml:space="preserve">Source: </w:t>
      </w:r>
      <w:r>
        <w:t>ScienceDirect Publication: Applied Energy</w:t>
      </w:r>
      <w:r>
        <w:t xml:space="preserve">    </w:t>
      </w:r>
      <w:r>
        <w:rPr>
          <w:b/>
        </w:rPr>
        <w:t xml:space="preserve">Pub date: </w:t>
      </w:r>
      <w:r>
        <w:t>2026-07-19 00:00:00+00:00</w:t>
      </w:r>
      <w:r>
        <w:t xml:space="preserve">    </w:t>
      </w:r>
      <w:r>
        <w:rPr>
          <w:b/>
        </w:rPr>
        <w:t xml:space="preserve">DOI: </w:t>
      </w:r>
      <w:hyperlink r:id="rId203">
        <w:r>
          <w:rPr>
            <w:color w:val="1155CC"/>
            <w:u w:val="single"/>
          </w:rPr>
          <w:t>10.1016/j.apenergy.2026.128444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04">
        <w:r>
          <w:rPr>
            <w:color w:val="1155CC"/>
            <w:u w:val="single"/>
          </w:rPr>
          <w:t>用于可持续液流电池的高性能超薄膜</w:t>
        </w:r>
      </w:hyperlink>
    </w:p>
    <w:p>
      <w:pPr>
        <w:spacing w:before="0" w:after="80"/>
      </w:pPr>
      <w:r>
        <w:rPr>
          <w:i/>
          <w:sz w:val="20"/>
        </w:rPr>
        <w:t>EN: High-performance superphane membranes for sustainable flow batteries</w:t>
      </w:r>
    </w:p>
    <w:p>
      <w:pPr>
        <w:spacing w:before="0" w:after="120"/>
      </w:pPr>
      <w:r>
        <w:rPr>
          <w:b/>
        </w:rPr>
        <w:t xml:space="preserve">Source: </w:t>
      </w:r>
      <w:r>
        <w:t>Chem</w:t>
      </w:r>
      <w:r>
        <w:t xml:space="preserve">    </w:t>
      </w:r>
      <w:r>
        <w:rPr>
          <w:b/>
        </w:rPr>
        <w:t xml:space="preserve">Pub date: </w:t>
      </w:r>
      <w:r>
        <w:t>2026-07-20 00:00:00+00:00</w:t>
      </w:r>
      <w:r>
        <w:t xml:space="preserve">    </w:t>
      </w:r>
      <w:r>
        <w:rPr>
          <w:b/>
        </w:rPr>
        <w:t xml:space="preserve">DOI: </w:t>
      </w:r>
      <w:hyperlink r:id="rId205">
        <w:r>
          <w:rPr>
            <w:color w:val="1155CC"/>
            <w:u w:val="single"/>
          </w:rPr>
          <w:t>10.1016/j.chempr.2026.103155</w:t>
        </w:r>
      </w:hyperlink>
    </w:p>
    <w:p>
      <w:pPr>
        <w:spacing w:before="0" w:after="120"/>
      </w:pPr>
      <w:r>
        <w:rPr>
          <w:b/>
        </w:rPr>
        <w:t xml:space="preserve">Notes: </w:t>
      </w:r>
      <w:r>
        <w:t>abstract_source=rss_cell</w:t>
      </w:r>
    </w:p>
    <w:p>
      <w:pPr>
        <w:spacing w:before="0" w:after="80" w:lineRule="auto" w:line="276"/>
      </w:pPr>
      <w:r>
        <w:rPr>
          <w:b/>
        </w:rPr>
        <w:t xml:space="preserve">摘要（ZH）: </w:t>
      </w:r>
      <w:r>
        <w:t>Superphane笼在膜中构建了精密设计的亚纳米通道，从而实现了Grotthuss驱动的快速质子传导和尺寸排阻选择性。该设计同时通过有限的超分子相互作用抑制水迁移，从而使酸性液流电池的每次循环容量衰减达到创纪录的低水平，仅为 0.008%。</w:t>
      </w:r>
    </w:p>
    <w:p>
      <w:pPr>
        <w:spacing w:before="0" w:after="200" w:lineRule="auto" w:line="276"/>
      </w:pPr>
      <w:r>
        <w:rPr>
          <w:b/>
        </w:rPr>
        <w:t xml:space="preserve">Abstract (EN): </w:t>
      </w:r>
      <w:r>
        <w:t>Superphane cages construct precision-engineered subnanometer channels in membranes, enabling Grotthuss-driven rapid proton conduction and size-exclusion selectivity. This design simultaneously suppresses water migration via confined supramolecular interactions, which results in a record-low capacity decay of 0.008% per cycle in acidic flow batteries.</w:t>
      </w:r>
    </w:p>
    <w:p>
      <w:pPr>
        <w:spacing w:before="120" w:after="120"/>
      </w:pPr>
      <w:r>
        <w:rPr>
          <w:sz w:val="18"/>
        </w:rPr>
        <w:t>——————————————————————————————————————————————————————————————————————</w:t>
      </w:r>
    </w:p>
    <w:p>
      <w:pPr>
        <w:spacing w:before="160" w:after="40" w:line="240" w:lineRule="auto"/>
      </w:pPr>
      <w:r>
        <w:rPr>
          <w:b/>
        </w:rPr>
        <w:t xml:space="preserve">[11] </w:t>
      </w:r>
      <w:hyperlink r:id="rId206">
        <w:r>
          <w:rPr>
            <w:color w:val="1155CC"/>
            <w:u w:val="single"/>
          </w:rPr>
          <w:t>吩嗪酮支架中的多个异质氧化还原中心，用于高能量密度水流电池，实现持久的能量存储</w:t>
        </w:r>
      </w:hyperlink>
    </w:p>
    <w:p>
      <w:pPr>
        <w:spacing w:before="0" w:after="80"/>
      </w:pPr>
      <w:r>
        <w:rPr>
          <w:i/>
          <w:sz w:val="20"/>
        </w:rPr>
        <w:t>EN: Multiple hetero-redox centers in a phenazine-ketone scaffold for high-energy-density aqueous flow batteries toward durable energy storage</w:t>
      </w:r>
    </w:p>
    <w:p>
      <w:pPr>
        <w:spacing w:before="0" w:after="120"/>
      </w:pPr>
      <w:r>
        <w:rPr>
          <w:b/>
        </w:rPr>
        <w:t xml:space="preserve">Source: </w:t>
      </w:r>
      <w:r>
        <w:t>National Science Review Advance Access</w:t>
      </w:r>
      <w:r>
        <w:t xml:space="preserve">    </w:t>
      </w:r>
      <w:r>
        <w:rPr>
          <w:b/>
        </w:rPr>
        <w:t xml:space="preserve">Pub date: </w:t>
      </w:r>
      <w:r>
        <w:t>2026-07-20 00:00:00+00:00</w:t>
      </w:r>
      <w:r>
        <w:t xml:space="preserve">    </w:t>
      </w:r>
      <w:r>
        <w:rPr>
          <w:b/>
        </w:rPr>
        <w:t xml:space="preserve">DOI: </w:t>
      </w:r>
      <w:hyperlink r:id="rId207">
        <w:r>
          <w:rPr>
            <w:color w:val="1155CC"/>
            <w:u w:val="single"/>
          </w:rPr>
          <w:t>10.1093/nsr/nwag423</w:t>
        </w:r>
      </w:hyperlink>
    </w:p>
    <w:p>
      <w:pPr>
        <w:spacing w:before="0" w:after="120"/>
      </w:pPr>
      <w:r>
        <w:rPr>
          <w:b/>
        </w:rPr>
        <w:t xml:space="preserve">Notes: </w:t>
      </w:r>
      <w:r>
        <w:t>abstract_source=rss_oup</w:t>
      </w:r>
    </w:p>
    <w:p>
      <w:pPr>
        <w:spacing w:before="0" w:after="80" w:lineRule="auto" w:line="276"/>
      </w:pPr>
      <w:r>
        <w:rPr>
          <w:b/>
        </w:rPr>
        <w:t xml:space="preserve">摘要（ZH）: </w:t>
      </w:r>
      <w:r>
        <w:t>在碱性介质中运行的有机氧化还原液流电池（RFB）因其固有的安全性和环境兼容性而引起了广泛关注。然而，传统的醌基和酮基阳极电解液存在电子转移数低（每个分子≤2 e-）、不可逆异构化和浓度依赖性副反应的问题，最终限制了它们的能量密度和长期循环稳定性。在这里，我们引入了一种分子工程策略，利用异质氧化还原中心的共轭来融合不同的氧化还原活性基序，从而创建一种能够进行 6 电子转移过程的新型复合吩嗪酮分子。这种多异质氧化还原中心融合支架不仅克服了传统结构的固有局限性，而且在碱性电解质中表现出强大的动力学和化学稳定性。由此产生的化合物可提供创纪录的 79.3 Ah L-1 容量，并可维持超过 3500 个周期（198.5 天）的稳定运行，为下一代高能量密度、耐用和可持续能源存储技术提供了可行的途径。</w:t>
      </w:r>
    </w:p>
    <w:p>
      <w:pPr>
        <w:spacing w:before="0" w:after="200" w:lineRule="auto" w:line="276"/>
      </w:pPr>
      <w:r>
        <w:rPr>
          <w:b/>
        </w:rPr>
        <w:t xml:space="preserve">Abstract (EN): </w:t>
      </w:r>
      <w:r>
        <w:t>Organic redox flow batteries (RFBs) operating in alkaline media have attracted significant attention for their inherent safety and environmental compatibility. However, conventional quinone- and ketone-based anolytes suffer from low electron-transfer numbers (≤2 e- per molecule), irreversible isomerization, and concentration-dependent side reactions, ultimately limiting their energy density and long-term cycling stability. Here, we introduce a molecular engineering strategy that leverages the conjugation of heterogeneous redox centers to fuse distinct redox-active motifs, thereby creating a new composite phenazine-ketone molecule capable of a 6-electron transfer process. This multi-hetero-redox center fused scaffold not only overcomes the intrinsic limitations of conventional structures but also exhibits robust kinetics and chemical stability in an alkaline electrolyte. The resulting compound delivers a record capacity of 79.3 Ah L-¹, and sustains stable operation over 3500 cycles (198.5 days), offering a viable pathway toward next-generation high-energy-density, durable and sustainable energy storage technologies.</w:t>
      </w:r>
    </w:p>
    <w:p>
      <w:pPr>
        <w:spacing w:before="120" w:after="120"/>
      </w:pPr>
      <w:r>
        <w:rPr>
          <w:sz w:val="18"/>
        </w:rPr>
        <w:t>——————————————————————————————————————————————————————————————————————</w:t>
      </w:r>
    </w:p>
    <w:p>
      <w:pPr>
        <w:spacing w:before="160" w:after="40" w:line="240" w:lineRule="auto"/>
      </w:pPr>
      <w:r>
        <w:rPr>
          <w:b/>
        </w:rPr>
        <w:t xml:space="preserve">[12] </w:t>
      </w:r>
      <w:hyperlink r:id="rId208">
        <w:r>
          <w:rPr>
            <w:color w:val="1155CC"/>
            <w:u w:val="single"/>
          </w:rPr>
          <w:t>四电子转换钒基电池</w:t>
        </w:r>
      </w:hyperlink>
    </w:p>
    <w:p>
      <w:pPr>
        <w:spacing w:before="0" w:after="80"/>
      </w:pPr>
      <w:r>
        <w:rPr>
          <w:i/>
          <w:sz w:val="20"/>
        </w:rPr>
        <w:t>EN: Four-electron conversion vanadium-based battery</w:t>
      </w:r>
    </w:p>
    <w:p>
      <w:pPr>
        <w:spacing w:before="0" w:after="120"/>
      </w:pPr>
      <w:r>
        <w:rPr>
          <w:b/>
        </w:rPr>
        <w:t xml:space="preserve">Source: </w:t>
      </w:r>
      <w:r>
        <w:t>National Science Review Advance Access</w:t>
      </w:r>
      <w:r>
        <w:t xml:space="preserve">    </w:t>
      </w:r>
      <w:r>
        <w:rPr>
          <w:b/>
        </w:rPr>
        <w:t xml:space="preserve">Pub date: </w:t>
      </w:r>
      <w:r>
        <w:t>2026-07-20 00:00:00+00:00</w:t>
      </w:r>
      <w:r>
        <w:t xml:space="preserve">    </w:t>
      </w:r>
      <w:r>
        <w:rPr>
          <w:b/>
        </w:rPr>
        <w:t xml:space="preserve">DOI: </w:t>
      </w:r>
      <w:hyperlink r:id="rId209">
        <w:r>
          <w:rPr>
            <w:color w:val="1155CC"/>
            <w:u w:val="single"/>
          </w:rPr>
          <w:t>10.1093/nsr/nwag437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21">
        <w:r>
          <w:rPr>
            <w:color w:val="1155CC"/>
            <w:u w:val="single"/>
          </w:rPr>
          <w:t>用于无枝晶锌离子混合超级电容器的生物质酸协同调节水凝胶电解质和电极保护层</w:t>
        </w:r>
      </w:hyperlink>
    </w:p>
    <w:p>
      <w:pPr>
        <w:spacing w:before="0" w:after="80"/>
      </w:pPr>
      <w:r>
        <w:rPr>
          <w:i/>
          <w:sz w:val="20"/>
        </w:rPr>
        <w:t>EN: Biomass Acid Synergistically Regulated Hydrogel Electrolyte and Electrode-Protective Layer for Dendrite-Free Zinc-Ion Hybrid Supercapacitors</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22">
        <w:r>
          <w:rPr>
            <w:color w:val="1155CC"/>
            <w:u w:val="single"/>
          </w:rPr>
          <w:t>10.1021/acsami.6c06949</w:t>
        </w:r>
      </w:hyperlink>
    </w:p>
    <w:p>
      <w:pPr>
        <w:spacing w:before="0" w:after="120"/>
      </w:pPr>
      <w:r>
        <w:rPr>
          <w:b/>
        </w:rPr>
        <w:t xml:space="preserve">Notes: </w:t>
      </w:r>
      <w:r>
        <w:t>abstract_source=pubmed</w:t>
      </w:r>
    </w:p>
    <w:p>
      <w:pPr>
        <w:spacing w:before="0" w:after="80" w:lineRule="auto" w:line="276"/>
      </w:pPr>
      <w:r>
        <w:rPr>
          <w:b/>
        </w:rPr>
        <w:t xml:space="preserve">摘要（ZH）: </w:t>
      </w:r>
      <w:r>
        <w:t>由于经济可行性、环境友好性和安全性，锌离子混合超级电容器在储能领域具有广阔的前景。然而，它们的应用受到锌枝晶、腐蚀和析氢等问题的限制。在此，生物质酸苹果酸（MA）被用作水凝胶电解质添加剂和酸蚀刻剂。通过同时优化电解质成分并通过蚀刻锌阳极诱导人工固体电解质中间相（SEI）层的形成，显着增强了锌阳极的稳定性。 MA修饰的水凝胶电解质调节Zn2+溶剂化结构并降低Zn2+去溶剂化能，将Zn2+迁移数从0.303增加到0.598。此外，MA-Zn 人造 SEI 层将锌阳极与水隔离，最大限度地减少寄生反应并使电场均匀化。基于双重调节机制，Zn//Zn对称电池中锌阳极的寿命在10 mA cm-2下从82小时延长至900小时以上。此外，组装的锌离子混合超级电容器在5000次循环后表现出均匀光滑的锌沉积层，电容保持率为87.8%。此外，由于MA改性水凝胶电解质表现出优异的机械柔韧性和对电极的强附着力，超级电容器可以在弯曲和压缩等多种机械应力下可靠运行。协调调节策略为增强锌储能装置的循环稳定性提供了一种有前途的解决方案。</w:t>
      </w:r>
    </w:p>
    <w:p>
      <w:pPr>
        <w:spacing w:before="0" w:after="200" w:lineRule="auto" w:line="276"/>
      </w:pPr>
      <w:r>
        <w:rPr>
          <w:b/>
        </w:rPr>
        <w:t xml:space="preserve">Abstract (EN): </w:t>
      </w:r>
      <w:r>
        <w:t>Zinc-ion hybrid supercapacitors hold great promise for energy storage due to economic viability, environmental friendliness, and safety. However, their application is restricted by issues such as Zn dendrites, corrosion, and hydrogen evolution. Herein, a biomass acid, malic acid (MA), was used as both a hydrogel electrolyte additive and an acid etchant. By simultaneously optimizing the electrolyte component and inducing the formation of an artificial solid electrolyte interphase (SEI) layer via etching the Zn anode, significantly enhancing the stability of the Zn anode. The MA-modified hydrogel electrolyte regulates Zn2+ solvation structure and reduces Zn2+ desolvation energy, increasing the Zn2+ transference number from 0.303 to 0.598. In addition, the MA-Zn artificial SEI layer isolates the Zn anode from water, minimizing parasitic reactions and homogenizing the electric field. Based on the dual-regulation mechanism, the lifespan of a Zn anode in the Zn//Zn symmetric cell is prolonged from 82 h to over 900 h at 10 mA cm-2. Besides, the assembled zinc-ion hybrid supercapacitor exhibits a homogeneous and smooth Zn deposition layer after 5000 cycles with a capacitance retention of 87.8%. Furthermore, because the MA-modified hydrogel electrolyte demonstrates excellent mechanical flexibility and strong adhesion to the electrodes, the supercapacitor could operate reliably under multiple mechanical stresses such as bending and compression. The coordinated regulation strategy provides a promising solution for enhancing the cycling stability of zinc energy storage devices.</w:t>
      </w:r>
    </w:p>
    <w:p>
      <w:pPr>
        <w:spacing w:before="120" w:after="120"/>
      </w:pPr>
      <w:r>
        <w:rPr>
          <w:sz w:val="18"/>
        </w:rPr>
        <w:t>——————————————————————————————————————————————————————————————————————</w:t>
      </w:r>
    </w:p>
    <w:p>
      <w:pPr>
        <w:spacing w:before="160" w:after="40" w:line="240" w:lineRule="auto"/>
      </w:pPr>
      <w:r>
        <w:rPr>
          <w:b/>
        </w:rPr>
        <w:t xml:space="preserve">[14] </w:t>
      </w:r>
      <w:hyperlink r:id="rId210">
        <w:r>
          <w:rPr>
            <w:color w:val="1155CC"/>
            <w:u w:val="single"/>
          </w:rPr>
          <w:t>无定形分子固体中的类弛豫铁电响应和非手性-手性转换</w:t>
        </w:r>
      </w:hyperlink>
    </w:p>
    <w:p>
      <w:pPr>
        <w:spacing w:before="0" w:after="80"/>
      </w:pPr>
      <w:r>
        <w:rPr>
          <w:i/>
          <w:sz w:val="20"/>
        </w:rPr>
        <w:t>EN: Relaxor-like ferroelectric response and achiral–chiral switching in an amorphous molecular solid</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有机铁电体提供了一个分子平台，可将极化动力学与分子设计、光响应性和手性光学功能（包括光触发的非手性到手性转变）相结合，但这些响应仍然受到固态晶体堆积的强烈影响。在这里，我们玻璃化了一种水杨基苯胺衍生物，该衍生物经历了紫外线触发的非手性到手性的转化，并表明结构无序能够在无定形分子固体中耦合手性光学和铁电响应。玻璃化状态失去了长程有序性，同时保留了空间异质的局部极性响应，给出了约 5.7 kV cm-1 的矫顽场和约 26 μC cm-2 的最大可切换极化。它还表现出比晶体对应物从手性光活化态恢复快一个数量级。此外，圆偏振光会产生螺旋度相关的介电和热响应，并且 (S)- 和 (R)- 对映体之间具有镜像对称行为。这些结果将单组分非晶分子铁电体中的光致对称性切换与类弛豫偶极动力学联系起来。</w:t>
      </w:r>
    </w:p>
    <w:p>
      <w:pPr>
        <w:spacing w:before="0" w:after="200" w:lineRule="auto" w:line="276"/>
      </w:pPr>
      <w:r>
        <w:rPr>
          <w:b/>
        </w:rPr>
        <w:t xml:space="preserve">Abstract (EN): </w:t>
      </w:r>
      <w:r>
        <w:t>Organic ferroelectrics offer a molecular platform for integrating polarization dynamics with molecular design, photoresponsiveness and chiroptical functions, including light-triggered achiral-to-chiral transitions, yet these responses remain strongly shaped by crystalline packing in the solid state. Here, we vitrify a salicylideneaniline derivative that undergoes UV-triggered achiral-to-chiral conversion and show that structural disorder enables coupled chiroptical and ferroelectric responses in an amorphous molecular solid. The vitrified state loses long-range order while retaining spatially heterogeneous local polar responses, giving a coercive field of ~5.7 kV cm⁻¹ and a maximum switchable polarization of ~26 μC cm⁻². It also exhibits over an order of magnitude faster recovery from the chiral photoactivated state than the crystalline counterpart. Moreover, circularly polarized light produces helicity-dependent dielectric and thermal responses with mirror-symmetric behavior between the (S)- and (R)-enantiomers. These results connect photoinduced symmetry switching with relaxor-like dipolar dynamics in a single-component amorphous molecular ferroelectric.</w:t>
      </w:r>
    </w:p>
    <w:p>
      <w:pPr>
        <w:spacing w:before="120" w:after="120"/>
      </w:pPr>
      <w:r>
        <w:rPr>
          <w:sz w:val="18"/>
        </w:rPr>
        <w:t>——————————————————————————————————————————————————————————————————————</w:t>
      </w:r>
    </w:p>
    <w:p>
      <w:pPr>
        <w:spacing w:before="160" w:after="40" w:line="240" w:lineRule="auto"/>
      </w:pPr>
      <w:r>
        <w:rPr>
          <w:b/>
        </w:rPr>
        <w:t xml:space="preserve">[15] </w:t>
      </w:r>
      <w:hyperlink r:id="rId211">
        <w:r>
          <w:rPr>
            <w:color w:val="1155CC"/>
            <w:u w:val="single"/>
          </w:rPr>
          <w:t>通过多层涂层工程增强钨青铜基铁电体和 MLCC 的能量存储</w:t>
        </w:r>
      </w:hyperlink>
    </w:p>
    <w:p>
      <w:pPr>
        <w:spacing w:before="0" w:after="80"/>
      </w:pPr>
      <w:r>
        <w:rPr>
          <w:i/>
          <w:sz w:val="20"/>
        </w:rPr>
        <w:t>EN: Enhanced energy storage in tungsten bronze-based ferroelectrics and MLCCs via a multi-coating engineering</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高功率脉冲系统需要具有高能量密度和效率的介电电容器。尽管钙钛矿陶瓷在该领域占据主导地位，但同时实现高性能和耐疲劳性仍然是一个重大挑战。我们的研究通过将 Ba1-xSrxTiO3 第二相纳入钨青铜型 Ba1-xSrxNb2-yTayO6 基体中，然后用 SiO2 层进行化学涂层来实现这一目标。所制备的陶瓷的能量密度为21.1 J/cm3，效率为84.5%。此外，通过将合理的多层陶瓷电容器设计与厚度效应相结合，获得了23.2±1.2J/cm3的能量密度和92.8±0.4%的改进效率，创下了钨青铜基陶瓷和电容器的能量密度记录。双核壳结构和成分梯度会引起晶格失配，从而提高极化和击穿强度。制造的器件在不同的频率、温度和疲劳循环条件下也表现出卓越的稳定性。</w:t>
      </w:r>
    </w:p>
    <w:p>
      <w:pPr>
        <w:spacing w:before="0" w:after="200" w:lineRule="auto" w:line="276"/>
      </w:pPr>
      <w:r>
        <w:rPr>
          <w:b/>
        </w:rPr>
        <w:t xml:space="preserve">Abstract (EN): </w:t>
      </w:r>
      <w:r>
        <w:t>High-power pulsed systems demand dielectric capacitors with high energy density and efficiency. Although perovskite ceramics dominate this field, simultaneously achieving high performance and fatigue endurance remains a significant challenge. Our study addresses this aim by incorporating a Ba1-xSrxTiO3 second phase into tungsten bronze-type Ba1-xSrxNb2-yTayO6 matrix, followed by chemical coating with a SiO₂ layer. The prepared ceramics achieve an energy density of 21.1 J/cm³ with an efficiency of 84.5%. Furthermore, by combining a rational multilayer ceramic capacitor design with the thickness effect, an energy density of 23.2 ± 1.2 J/cm³ and an improved efficiency of 92.8 ± 0.4% are attained, representing a record energy density for tungsten bronze-based ceramics and capacitors. The dual-core-shell structure and compositional gradients induce lattice mismatch, boosting polarization and breakdown strength. The fabricated devices also demonstrate remarkable stability under varying frequency, temperature, and fatigue cycling conditions.</w:t>
      </w:r>
    </w:p>
    <w:p>
      <w:pPr>
        <w:spacing w:before="120" w:after="120"/>
      </w:pPr>
      <w:r>
        <w:rPr>
          <w:sz w:val="18"/>
        </w:rPr>
        <w:t>——————————————————————————————————————————————————————————————————————</w:t>
      </w:r>
    </w:p>
    <w:p>
      <w:pPr>
        <w:spacing w:before="160" w:after="40" w:line="240" w:lineRule="auto"/>
      </w:pPr>
      <w:r>
        <w:rPr>
          <w:b/>
        </w:rPr>
        <w:t xml:space="preserve">[16] </w:t>
      </w:r>
      <w:hyperlink r:id="rId212">
        <w:r>
          <w:rPr>
            <w:color w:val="1155CC"/>
            <w:u w:val="single"/>
          </w:rPr>
          <w:t>具有 3 纳米厚铪锆氧化物层的铁电电容器</w:t>
        </w:r>
      </w:hyperlink>
    </w:p>
    <w:p>
      <w:pPr>
        <w:spacing w:before="0" w:after="80"/>
      </w:pPr>
      <w:r>
        <w:rPr>
          <w:i/>
          <w:sz w:val="20"/>
        </w:rPr>
        <w:t>EN: A ferroelectric capacitor with a 3-nm-thick hafnium zirconium oxide layer</w:t>
      </w:r>
    </w:p>
    <w:p>
      <w:pPr>
        <w:spacing w:before="0" w:after="120"/>
      </w:pPr>
      <w:r>
        <w:rPr>
          <w:b/>
        </w:rPr>
        <w:t xml:space="preserve">Source: </w:t>
      </w:r>
      <w:r>
        <w:t>Nature Electronics</w:t>
      </w:r>
      <w:r>
        <w:t xml:space="preserve">    </w:t>
      </w:r>
      <w:r>
        <w:rPr>
          <w:b/>
        </w:rPr>
        <w:t xml:space="preserve">Pub date: </w:t>
      </w:r>
      <w:r>
        <w:t>2026-07-21 00:00:00+00:00</w:t>
      </w:r>
      <w:r>
        <w:t xml:space="preserve">    </w:t>
      </w:r>
      <w:r>
        <w:rPr>
          <w:b/>
        </w:rPr>
        <w:t xml:space="preserve">DOI: </w:t>
      </w:r>
      <w:hyperlink r:id="rId213">
        <w:r>
          <w:rPr>
            <w:color w:val="1155CC"/>
            <w:u w:val="single"/>
          </w:rPr>
          <w:t>10.1038/s41928-026-01673-6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14">
        <w:r>
          <w:rPr>
            <w:color w:val="1155CC"/>
            <w:u w:val="single"/>
          </w:rPr>
          <w:t>导电金属有机笼的电荷转移组件</w:t>
        </w:r>
      </w:hyperlink>
    </w:p>
    <w:p>
      <w:pPr>
        <w:spacing w:before="0" w:after="80"/>
      </w:pPr>
      <w:r>
        <w:rPr>
          <w:i/>
          <w:sz w:val="20"/>
        </w:rPr>
        <w:t>EN: Charge‐Transfer Assembly of Electrically Conductive Metal–Organic Cages</w:t>
      </w:r>
    </w:p>
    <w:p>
      <w:pPr>
        <w:spacing w:before="0" w:after="120"/>
      </w:pPr>
      <w:r>
        <w:rPr>
          <w:b/>
        </w:rPr>
        <w:t xml:space="preserve">Source: </w:t>
      </w:r>
      <w:r>
        <w:t>Wiley: Angewandte Chemie International Edition: Table of Contents</w:t>
      </w:r>
      <w:r>
        <w:t xml:space="preserve">    </w:t>
      </w:r>
      <w:r>
        <w:rPr>
          <w:b/>
        </w:rPr>
        <w:t xml:space="preserve">Pub date: </w:t>
      </w:r>
      <w:r>
        <w:t>2026-07-21 11:55:11+00:00</w:t>
      </w:r>
      <w:r>
        <w:t xml:space="preserve">    </w:t>
      </w:r>
      <w:r>
        <w:rPr>
          <w:b/>
        </w:rPr>
        <w:t xml:space="preserve">DOI: </w:t>
      </w:r>
      <w:hyperlink r:id="rId215">
        <w:r>
          <w:rPr>
            <w:color w:val="1155CC"/>
            <w:u w:val="single"/>
          </w:rPr>
          <w:t>10.1002/anie.3742186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告了一种利用金属有机笼（MOC）作为构建块来组装具有高导电性的多孔材料的策略。在多孔材料中实现导电性将释放它们在电催化和储能应用中的潜力，但目前具有这些特性的材料由于对其物理形状因素的控制不佳而受到阻碍。 MOC 的分子性质使得溶液可加工性，同时还保持永久的孔隙率，但离散单元之间缺乏正式的键阻碍了导电通路的形成。我们证明，通过将给电子的四硫富瓦烯（TTF）基团附加到MOC的表面，然后将这些笼与分子电子受体2,3,5,6-四氟-7,7,8,8-四氰基醌二甲烷（F</w:t>
      </w:r>
      <w:r>
        <w:rPr>
          <w:vertAlign w:val="subscript"/>
        </w:rPr>
        <w:t>4</w:t>
      </w:r>
      <w:r>
        <w:t>TCNQ），可以引入导电特性以达到10量级的电导率</w:t>
      </w:r>
      <w:r>
        <w:t xml:space="preserve"> </w:t>
      </w:r>
      <w:r>
        <w:t>−6</w:t>
      </w:r>
      <w:r>
        <w:t xml:space="preserve"> </w:t>
      </w:r>
      <w:r>
        <w:t>秒/厘米。正如气体和客体吸收实验所证实的，这种电导率是在不牺牲笼的固有孔隙率的情况下实现的。附加供体和分子受体之间电子转移的明确证据创建了高度可调的电荷转移组装图案，并将 MOC 确立为针对导电多孔材料的构建模块。</w:t>
      </w:r>
    </w:p>
    <w:p>
      <w:pPr>
        <w:spacing w:before="0" w:after="200" w:lineRule="auto" w:line="276"/>
      </w:pPr>
      <w:r>
        <w:rPr>
          <w:b/>
        </w:rPr>
        <w:t xml:space="preserve">Abstract (EN): </w:t>
      </w:r>
      <w:r>
        <w:t>We report a strategy for utilizing metal–organic cages (MOCs) as building blocks for assembling porous materials with high electrical conductivity. Realizing conductivity in porous materials would unlock their potential in electrocatalytic and energy storage applications, but current materials with these properties are stymied by poor control over their physical form factors. The molecular nature of MOCs enables solution processability while also preserving permanent porosity, but the lack of formal bonds between discrete units has prevented the formation of conductive pathways. We show that by appending electron‐donating tetrathiafulvalene (TTF) groups to the surface of the MOC, and then reacting these cages with the molecular electron‐acceptor 2,3,5,6‐tetrafluoro‐7,7,8,8‐tetracyanoquinodimethane (F</w:t>
      </w:r>
      <w:r>
        <w:rPr>
          <w:vertAlign w:val="subscript"/>
        </w:rPr>
        <w:t>4</w:t>
      </w:r>
      <w:r>
        <w:t>TCNQ), electrically conductive character can be introduced to reach conductivities on the order of 10</w:t>
      </w:r>
      <w:r>
        <w:t xml:space="preserve"> </w:t>
      </w:r>
      <w:r>
        <w:t>−6</w:t>
      </w:r>
      <w:r>
        <w:t xml:space="preserve"> </w:t>
      </w:r>
      <w:r>
        <w:t>S/cm. This conductivity is achieved without sacrificing the intrinsic porosity of the cage, as confirmed by gas and guest uptake experiments. Clear evidence of electron transfer between the appended donors and molecular acceptors creates a highly tunable charge‐transfer assembly motif and establishes MOCs as building blocks for targeting electrically conductive, porous materials.</w:t>
      </w:r>
    </w:p>
    <w:p>
      <w:pPr>
        <w:spacing w:before="120" w:after="120"/>
      </w:pPr>
      <w:r>
        <w:rPr>
          <w:sz w:val="18"/>
        </w:rPr>
        <w:t>——————————————————————————————————————————————————————————————————————</w:t>
      </w:r>
    </w:p>
    <w:p>
      <w:pPr>
        <w:spacing w:before="160" w:after="40" w:line="240" w:lineRule="auto"/>
      </w:pPr>
      <w:r>
        <w:rPr>
          <w:b/>
        </w:rPr>
        <w:t xml:space="preserve">[18] </w:t>
      </w:r>
      <w:hyperlink r:id="rId216">
        <w:r>
          <w:rPr>
            <w:color w:val="1155CC"/>
            <w:u w:val="single"/>
          </w:rPr>
          <w:t>原子级界面调节可在可充电 H2─Cl2 电池中实现高效的氯氧化还原化学</w:t>
        </w:r>
      </w:hyperlink>
    </w:p>
    <w:p>
      <w:pPr>
        <w:spacing w:before="0" w:after="80"/>
      </w:pPr>
      <w:r>
        <w:rPr>
          <w:i/>
          <w:sz w:val="20"/>
        </w:rPr>
        <w:t>EN: Atomic–Level Interfacial Regulation Enables Efficient Chlorine Redox Chemistry in Rechargeable H2─Cl2 Batteries</w:t>
      </w:r>
    </w:p>
    <w:p>
      <w:pPr>
        <w:spacing w:before="0" w:after="120"/>
      </w:pPr>
      <w:r>
        <w:rPr>
          <w:b/>
        </w:rPr>
        <w:t xml:space="preserve">Source: </w:t>
      </w:r>
      <w:r>
        <w:t>Wiley: Angewandte Chemie International Edition: Table of Contents</w:t>
      </w:r>
      <w:r>
        <w:t xml:space="preserve">    </w:t>
      </w:r>
      <w:r>
        <w:rPr>
          <w:b/>
        </w:rPr>
        <w:t xml:space="preserve">Pub date: </w:t>
      </w:r>
      <w:r>
        <w:t>2026-07-21 12:13:50+00:00</w:t>
      </w:r>
      <w:r>
        <w:t xml:space="preserve">    </w:t>
      </w:r>
      <w:r>
        <w:rPr>
          <w:b/>
        </w:rPr>
        <w:t xml:space="preserve">DOI: </w:t>
      </w:r>
      <w:hyperlink r:id="rId217">
        <w:r>
          <w:rPr>
            <w:color w:val="1155CC"/>
            <w:u w:val="single"/>
          </w:rPr>
          <w:t>10.1002/anie.5210125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氢─氯（H</w:t>
      </w:r>
      <w:r>
        <w:rPr>
          <w:vertAlign w:val="subscript"/>
        </w:rPr>
        <w:t>2</w:t>
      </w:r>
      <w:r>
        <w:t>─氯</w:t>
      </w:r>
      <w:r>
        <w:rPr>
          <w:vertAlign w:val="subscript"/>
        </w:rPr>
        <w:t>2</w:t>
      </w:r>
      <w:r>
        <w:t>）电池是有吸引力的高功率储能系统，但仍然受到低效 Cl 的根本限制</w:t>
      </w:r>
      <w:r>
        <w:rPr>
          <w:vertAlign w:val="subscript"/>
        </w:rPr>
        <w:t>2</w:t>
      </w:r>
      <w:r>
        <w:t>限制和缓慢的界面 Cl</w:t>
      </w:r>
      <w:r>
        <w:rPr>
          <w:vertAlign w:val="subscript"/>
        </w:rPr>
        <w:t>2</w:t>
      </w:r>
      <w:r>
        <w:t>/氯</w:t>
      </w:r>
      <w:r>
        <w:t xml:space="preserve"> </w:t>
      </w:r>
      <w:r>
        <w:t>-</w:t>
      </w:r>
      <w:r>
        <w:t>氧化还原动力学。在这里，我们报道了一种具有原子分散的铜位点的氢键卟啉框架（SACu-GTUB5），可以实现高效的 Cl</w:t>
      </w:r>
      <w:r>
        <w:rPr>
          <w:vertAlign w:val="subscript"/>
        </w:rPr>
        <w:t>2</w:t>
      </w:r>
      <w:r>
        <w:t>存储并加速 Cl</w:t>
      </w:r>
      <w:r>
        <w:rPr>
          <w:vertAlign w:val="subscript"/>
        </w:rPr>
        <w:t>2</w:t>
      </w:r>
      <w:r>
        <w:t>/氯</w:t>
      </w:r>
      <w:r>
        <w:t xml:space="preserve"> </w:t>
      </w:r>
      <w:r>
        <w:t>-</w:t>
      </w:r>
      <w:r>
        <w:t>转换。骨架的固有孔隙率与化学活性Cu─N相结合</w:t>
      </w:r>
      <w:r>
        <w:rPr>
          <w:vertAlign w:val="subscript"/>
        </w:rPr>
        <w:t>4</w:t>
      </w:r>
      <w:r>
        <w:t>中心能够协同物理限制和化学吸附 Cl</w:t>
      </w:r>
      <w:r>
        <w:rPr>
          <w:vertAlign w:val="subscript"/>
        </w:rPr>
        <w:t>2</w:t>
      </w:r>
      <w:r>
        <w:t>，有效抑制Cl</w:t>
      </w:r>
      <w:r>
        <w:rPr>
          <w:vertAlign w:val="subscript"/>
        </w:rPr>
        <w:t>2</w:t>
      </w:r>
      <w:r>
        <w:t>逃逸并提高库仑效率。因此，基于 SACu-GTUB5 的 H</w:t>
      </w:r>
      <w:r>
        <w:rPr>
          <w:vertAlign w:val="subscript"/>
        </w:rPr>
        <w:t>2</w:t>
      </w:r>
      <w:r>
        <w:t>─氯</w:t>
      </w:r>
      <w:r>
        <w:rPr>
          <w:vertAlign w:val="subscript"/>
        </w:rPr>
        <w:t>2</w:t>
      </w:r>
      <w:r>
        <w:t>电池在较宽的温度范围（−40°C 至 60°C）内表现出稳定运行，并实现了 2.55 mAh cm 的高面积放电容量</w:t>
      </w:r>
      <w:r>
        <w:t xml:space="preserve"> </w:t>
      </w:r>
      <w:r>
        <w:t>−2</w:t>
      </w:r>
      <w:r>
        <w:t xml:space="preserve"> </w:t>
      </w:r>
      <w:r>
        <w:t>超过300个循环。光谱分析结合密度泛函理论计算表明 Cu─N</w:t>
      </w:r>
      <w:r>
        <w:rPr>
          <w:vertAlign w:val="subscript"/>
        </w:rPr>
        <w:t>4</w:t>
      </w:r>
      <w:r>
        <w:t>站点管理 Cl</w:t>
      </w:r>
    </w:p>
    <w:p>
      <w:pPr>
        <w:spacing w:before="0" w:after="200" w:lineRule="auto" w:line="276"/>
      </w:pPr>
      <w:r>
        <w:rPr>
          <w:b/>
        </w:rPr>
        <w:t xml:space="preserve">Abstract (EN): </w:t>
      </w:r>
      <w:r>
        <w:t>Hydrogen─chlorine (H</w:t>
      </w:r>
      <w:r>
        <w:rPr>
          <w:vertAlign w:val="subscript"/>
        </w:rPr>
        <w:t>2</w:t>
      </w:r>
      <w:r>
        <w:t>─Cl</w:t>
      </w:r>
      <w:r>
        <w:rPr>
          <w:vertAlign w:val="subscript"/>
        </w:rPr>
        <w:t>2</w:t>
      </w:r>
      <w:r>
        <w:t>) batteries are attractive high‐power energy storage systems but remain fundamentally limited by inefficient Cl</w:t>
      </w:r>
      <w:r>
        <w:rPr>
          <w:vertAlign w:val="subscript"/>
        </w:rPr>
        <w:t>2</w:t>
      </w:r>
      <w:r>
        <w:t>confinement and sluggish interfacial Cl</w:t>
      </w:r>
      <w:r>
        <w:rPr>
          <w:vertAlign w:val="subscript"/>
        </w:rPr>
        <w:t>2</w:t>
      </w:r>
      <w:r>
        <w:t>/Cl</w:t>
      </w:r>
      <w:r>
        <w:t xml:space="preserve"> </w:t>
      </w:r>
      <w:r>
        <w:t>−</w:t>
      </w:r>
      <w:r>
        <w:t>redox kinetics. Here, we report a hydrogen‐bonded porphyrin framework with atomically dispersed Cu sites (SACu‐GTUB5) that enables efficient Cl</w:t>
      </w:r>
      <w:r>
        <w:rPr>
          <w:vertAlign w:val="subscript"/>
        </w:rPr>
        <w:t>2</w:t>
      </w:r>
      <w:r>
        <w:t>storage and accelerates Cl</w:t>
      </w:r>
      <w:r>
        <w:rPr>
          <w:vertAlign w:val="subscript"/>
        </w:rPr>
        <w:t>2</w:t>
      </w:r>
      <w:r>
        <w:t>/Cl</w:t>
      </w:r>
      <w:r>
        <w:t xml:space="preserve"> </w:t>
      </w:r>
      <w:r>
        <w:t>−</w:t>
      </w:r>
      <w:r>
        <w:t>conversion. The intrinsic porosity of the framework combined with chemically active Cu─N</w:t>
      </w:r>
      <w:r>
        <w:rPr>
          <w:vertAlign w:val="subscript"/>
        </w:rPr>
        <w:t>4</w:t>
      </w:r>
      <w:r>
        <w:t>centers enables synergistic physical confinement and chemical adsorption of Cl</w:t>
      </w:r>
      <w:r>
        <w:rPr>
          <w:vertAlign w:val="subscript"/>
        </w:rPr>
        <w:t>2</w:t>
      </w:r>
      <w:r>
        <w:t>, effectively suppressing Cl</w:t>
      </w:r>
      <w:r>
        <w:rPr>
          <w:vertAlign w:val="subscript"/>
        </w:rPr>
        <w:t>2</w:t>
      </w:r>
      <w:r>
        <w:t>escape and improving Coulombic efficiency. As a result, the SACu‐GTUB5‐based H</w:t>
      </w:r>
      <w:r>
        <w:rPr>
          <w:vertAlign w:val="subscript"/>
        </w:rPr>
        <w:t>2</w:t>
      </w:r>
      <w:r>
        <w:t>─Cl</w:t>
      </w:r>
      <w:r>
        <w:rPr>
          <w:vertAlign w:val="subscript"/>
        </w:rPr>
        <w:t>2</w:t>
      </w:r>
      <w:r>
        <w:t>battery exhibits stable operation across a wide temperature range (−40°C to 60°C) and achieves a high areal discharge capacity of 2.55 mAh cm</w:t>
      </w:r>
      <w:r>
        <w:t xml:space="preserve"> </w:t>
      </w:r>
      <w:r>
        <w:t>−2</w:t>
      </w:r>
      <w:r>
        <w:t xml:space="preserve"> </w:t>
      </w:r>
      <w:r>
        <w:t>over 300 cycles. Spectroscopic analyses combined with density functional theory calculations reveal that Cu─N</w:t>
      </w:r>
      <w:r>
        <w:rPr>
          <w:vertAlign w:val="subscript"/>
        </w:rPr>
        <w:t>4</w:t>
      </w:r>
      <w:r>
        <w:t>sites govern Cl</w:t>
      </w:r>
      <w:r>
        <w:rPr>
          <w:vertAlign w:val="subscript"/>
        </w:rPr>
        <w:t>2</w:t>
      </w:r>
      <w:r>
        <w:t>adsorption, electron redistribution, and reaction pathways, substantially lowering the energy barriers for Cl</w:t>
      </w:r>
      <w:r>
        <w:rPr>
          <w:vertAlign w:val="subscript"/>
        </w:rPr>
        <w:t>2</w:t>
      </w:r>
      <w:r>
        <w:t>reduction. This work establishes an atomic‐level interfacial regulation strategy for controlling halogen redox chemistry in electrochemical energy storage.</w:t>
      </w:r>
    </w:p>
    <w:p>
      <w:pPr>
        <w:spacing w:before="120" w:after="120"/>
      </w:pPr>
      <w:r>
        <w:rPr>
          <w:sz w:val="18"/>
        </w:rPr>
        <w:t>——————————————————————————————————————————————————————————————————————</w:t>
      </w:r>
    </w:p>
    <w:p>
      <w:pPr>
        <w:spacing w:before="160" w:after="40" w:line="240" w:lineRule="auto"/>
      </w:pPr>
      <w:r>
        <w:rPr>
          <w:b/>
        </w:rPr>
        <w:t xml:space="preserve">[19] </w:t>
      </w:r>
      <w:hyperlink r:id="rId218">
        <w:r>
          <w:rPr>
            <w:color w:val="1155CC"/>
            <w:u w:val="single"/>
          </w:rPr>
          <w:t>碳封装 Gemini 离子液体作为高性能 Zn-Br2 电池的先进溴主体</w:t>
        </w:r>
      </w:hyperlink>
    </w:p>
    <w:p>
      <w:pPr>
        <w:spacing w:before="0" w:after="80"/>
      </w:pPr>
      <w:r>
        <w:rPr>
          <w:i/>
          <w:sz w:val="20"/>
        </w:rPr>
        <w:t>EN: Carbon‐Encapsulated Gemini Ionic Liquid as Advanced Bromine Hosts for High‐Performance Zn–Br2 Batteries</w:t>
      </w:r>
    </w:p>
    <w:p>
      <w:pPr>
        <w:spacing w:before="0" w:after="120"/>
      </w:pPr>
      <w:r>
        <w:rPr>
          <w:b/>
        </w:rPr>
        <w:t xml:space="preserve">Source: </w:t>
      </w:r>
      <w:r>
        <w:t>Wiley: Angewandte Chemie International Edition: Table of Contents</w:t>
      </w:r>
      <w:r>
        <w:t xml:space="preserve">    </w:t>
      </w:r>
      <w:r>
        <w:rPr>
          <w:b/>
        </w:rPr>
        <w:t xml:space="preserve">Pub date: </w:t>
      </w:r>
      <w:r>
        <w:t>2026-07-21 19:16:05+00:00</w:t>
      </w:r>
      <w:r>
        <w:t xml:space="preserve">    </w:t>
      </w:r>
      <w:r>
        <w:rPr>
          <w:b/>
        </w:rPr>
        <w:t xml:space="preserve">DOI: </w:t>
      </w:r>
      <w:hyperlink r:id="rId219">
        <w:r>
          <w:rPr>
            <w:color w:val="1155CC"/>
            <w:u w:val="single"/>
          </w:rPr>
          <w:t>10.1002/anie.8824225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锌溴 (Zn-Br</w:t>
      </w:r>
      <w:r>
        <w:rPr>
          <w:vertAlign w:val="subscript"/>
        </w:rPr>
        <w:t>2</w:t>
      </w:r>
      <w:r>
        <w:t>）电池代表了一种有前途的水储能技术，但其广泛部署受到阴极侧溴分子不受控制的扩散的阻碍，导致严重的自放电和容量衰减。在这里，我们展示了一种通过采用双子型溴络合剂（BCA）浸渍到油相多孔碳主体中来减轻溴交叉的有效策略。这种方法有利于溴原位转化为与水不混溶的多溴化物BCA相，从而将活性物质限制在电极结构内。 Gemini BCA 分子中芳香族连接基的存在显着增强了它们在碳网络中的保留，很可能是通过</w:t>
      </w:r>
      <w:r>
        <w:t xml:space="preserve"> </w:t>
      </w:r>
      <w:r>
        <w:t>π</w:t>
      </w:r>
      <w:r>
        <w:t xml:space="preserve"> </w:t>
      </w:r>
      <w:r>
        <w:t>–</w:t>
      </w:r>
      <w:r>
        <w:t xml:space="preserve"> </w:t>
      </w:r>
      <w:r>
        <w:t>π</w:t>
      </w:r>
      <w:r>
        <w:t xml:space="preserve"> </w:t>
      </w:r>
      <w:r>
        <w:t>与碳框架的堆积相互作用。此外，受控放电协议使得多溴化物域在受限孔隙环境内优先成核，进一步提高了系统的自放电稳定性。因此，Zn-Br</w:t>
      </w:r>
      <w:r>
        <w:rPr>
          <w:vertAlign w:val="subscript"/>
        </w:rPr>
        <w:t>2</w:t>
      </w:r>
      <w:r>
        <w:t>与传统系统相比，采用 Gemini 型 BCA 的电池表现出抑制溴透过、增强库仑效率和优异的循环耐久性。这项工作为下一代 Zn-Br 分子络合剂和电极结构的合理设计提供了机理见解和实用指南</w:t>
      </w:r>
    </w:p>
    <w:p>
      <w:pPr>
        <w:spacing w:before="0" w:after="200" w:lineRule="auto" w:line="276"/>
      </w:pPr>
      <w:r>
        <w:rPr>
          <w:b/>
        </w:rPr>
        <w:t xml:space="preserve">Abstract (EN): </w:t>
      </w:r>
      <w:r>
        <w:t>Zinc–bromine (Zn–Br</w:t>
      </w:r>
      <w:r>
        <w:rPr>
          <w:vertAlign w:val="subscript"/>
        </w:rPr>
        <w:t>2</w:t>
      </w:r>
      <w:r>
        <w:t>) batteries represent a promising aqueous energy storage technology, yet their widespread deployment is hindered by the uncontrolled diffusion of molecular bromine from the cathode side, leading to severe self‐discharge and capacity fading. Here, we demonstrate an effective strategy to mitigate bromine crossover by employing gemini‐type bromine complexing agents (BCAs) impregnated into porous carbon hosts in their oily phase. This approach facilitates the in situ conversion of bromine into a water‐immiscible polybromide BCA phase, thereby confining the active species within the electrode structure. The presence of aromatic linkers in the gemini BCA molecules significantly enhance their retention in the carbon network, most likely through</w:t>
      </w:r>
      <w:r>
        <w:t xml:space="preserve"> </w:t>
      </w:r>
      <w:r>
        <w:t>π</w:t>
      </w:r>
      <w:r>
        <w:t xml:space="preserve"> </w:t>
      </w:r>
      <w:r>
        <w:t>–</w:t>
      </w:r>
      <w:r>
        <w:t xml:space="preserve"> </w:t>
      </w:r>
      <w:r>
        <w:t>π</w:t>
      </w:r>
      <w:r>
        <w:t xml:space="preserve"> </w:t>
      </w:r>
      <w:r>
        <w:t>stacking interactions with the carbon framework. Moreover, controlled discharge protocols enabled preferential nucleation of polybromide domains within the confined pore environment, further improving the self‐discharge stability of the system. As a result, the Zn–Br</w:t>
      </w:r>
      <w:r>
        <w:rPr>
          <w:vertAlign w:val="subscript"/>
        </w:rPr>
        <w:t>2</w:t>
      </w:r>
      <w:r>
        <w:t>cells incorporating gemini‐type BCAs exhibited suppressed bromine crossover, enhanced coulombic efficiency, and superior cycling durability compared to conventional systems. This work provides mechanistic insights and practical guidelines for the rational design of molecular complexants and electrode architectures for next‐generation Zn–Br</w:t>
      </w:r>
      <w:r>
        <w:rPr>
          <w:vertAlign w:val="subscript"/>
        </w:rPr>
        <w:t>2</w:t>
      </w:r>
      <w:r>
        <w:t>batteries.</w:t>
      </w:r>
    </w:p>
    <w:p>
      <w:pPr>
        <w:spacing w:before="120" w:after="120"/>
      </w:pPr>
      <w:r>
        <w:rPr>
          <w:sz w:val="18"/>
        </w:rPr>
        <w:t>——————————————————————————————————————————————————————————————————————</w:t>
      </w:r>
    </w:p>
    <w:p>
      <w:pPr>
        <w:spacing w:before="160" w:after="40" w:line="240" w:lineRule="auto"/>
      </w:pPr>
      <w:r>
        <w:rPr>
          <w:b/>
        </w:rPr>
        <w:t xml:space="preserve">[20] </w:t>
      </w:r>
      <w:hyperlink r:id="rId220">
        <w:r>
          <w:rPr>
            <w:color w:val="1155CC"/>
            <w:u w:val="single"/>
          </w:rPr>
          <w:t>由极化 MXene 实现的静息电位固态离子渗透电源</w:t>
        </w:r>
      </w:hyperlink>
    </w:p>
    <w:p>
      <w:pPr>
        <w:spacing w:before="0" w:after="80"/>
      </w:pPr>
      <w:r>
        <w:rPr>
          <w:i/>
          <w:sz w:val="20"/>
        </w:rPr>
        <w:t>EN: Resting-Potential-Inspired Solid-State Iontronic Osmotic Power Source Enabled by Polarized MXene</w:t>
      </w:r>
    </w:p>
    <w:p>
      <w:pPr>
        <w:spacing w:before="0" w:after="120"/>
      </w:pPr>
      <w:r>
        <w:rPr>
          <w:b/>
        </w:rPr>
        <w:t xml:space="preserve">Source: </w:t>
      </w:r>
      <w:r>
        <w:t>Nano-Micro Letters</w:t>
      </w:r>
      <w:r>
        <w:t xml:space="preserve">    </w:t>
      </w:r>
      <w:r>
        <w:rPr>
          <w:b/>
        </w:rPr>
        <w:t xml:space="preserve">Pub date: </w:t>
      </w:r>
      <w:r>
        <w:t>2026-07-22 00:00:00+00:00</w:t>
      </w:r>
      <w:r>
        <w:t xml:space="preserve">    </w:t>
      </w:r>
      <w:r>
        <w:rPr>
          <w:b/>
        </w:rPr>
        <w:t xml:space="preserve">DOI: </w:t>
      </w:r>
      <w:hyperlink r:id="rId221">
        <w:r>
          <w:rPr>
            <w:color w:val="1155CC"/>
            <w:u w:val="single"/>
          </w:rPr>
          <w:t>10.1007/s40820-026-02310-9</w:t>
        </w:r>
      </w:hyperlink>
    </w:p>
    <w:p>
      <w:pPr>
        <w:spacing w:before="0" w:after="120"/>
      </w:pPr>
      <w:r>
        <w:rPr>
          <w:b/>
        </w:rPr>
        <w:t xml:space="preserve">Notes: </w:t>
      </w:r>
      <w:r>
        <w:t>abstract_source=rss_description</w:t>
      </w:r>
    </w:p>
    <w:p>
      <w:pPr>
        <w:spacing w:before="0" w:after="80" w:lineRule="auto" w:line="276"/>
      </w:pPr>
      <w:r>
        <w:rPr>
          <w:b/>
        </w:rPr>
        <w:t xml:space="preserve">摘要（ZH）: </w:t>
      </w:r>
      <w:r>
        <w:t>仿生渗透能作为便携式能源或用于绿色和可持续发电的人造电力器官显示出巨大的潜力。然而，离子电子解耦问题和过度设计导致的复杂结构往往限制了输出功率和便携性。在这里，我们提出了一种综合设计策略，利用极化 MXene 独特的离子电子耦合特性来模拟静息电位下的跨膜离子传输，从而开发出全 MXene 固态离子电子渗透电源（IOPS）。密度泛函理论计算和多尺度表征表明，其工作机制是基于浓度梯度下 K+ 的扩散动力学和两个极化 MXene 电极之间的费米能级差。该器件实现了超过 0.57 V 的初始开路电压和 1030 μW cm−3 的高体积功率密度。 IOPS 模块的高度集成架构可实现简单的可扩展性和重新配置，为商业电子设备供电。这项工作将生物离子梯度原理与新兴离子电子学相结合，为紧凑型渗透电源提供了固态离子电子设计策略。在这里，以自然静息电位作为设计蓝图，我们报告了一种固态离子电子渗透能量发生器，称为 IOPS，它充分利用了极化 MXene 中的离子电子耦合效应。其机制源于离子梯度下 K+ 的扩散动力学和两个二元之间的费米能级差异。</w:t>
      </w:r>
    </w:p>
    <w:p>
      <w:pPr>
        <w:spacing w:before="0" w:after="200" w:lineRule="auto" w:line="276"/>
      </w:pPr>
      <w:r>
        <w:rPr>
          <w:b/>
        </w:rPr>
        <w:t xml:space="preserve">Abstract (EN): </w:t>
      </w:r>
      <w:r>
        <w:t>Bio-inspired osmotic energy has shown great potential as a portable energy source or artificial electrical organ for green and sustainable power generation. However, ion-electron decoupling problem and complex structures resulting from over-engineering often limit output power and portability. Here, we propose a comprehensive design strategy that exploits the unique ion-electron coupling properties of polarized MXene to mimic transmembrane ion transport at resting potential, thereby developing an all-MXene solid-state iontronics osmotic power source (IOPS). Density functional theory calculations and multiscale characterizations reveal that its operating mechanism is based on the diffusion dynamics of K+ under a concentration gradient and the Fermi level difference between two polarized MXene electrodes. The device achieves an initial open-circuit voltage exceeding 0.57 V and a high volumetric power density of 1030 μW cm−3. The highly integrated architecture of the IOPS module allows for straightforward scalability and reconfiguration to power commercial electronic devices. This work integrates the principles of biological ion gradients with emerging iontronics, providing a solid-state iontronic design strategy for compact osmotic power source. Here, taking the natural resting potential as a design blueprint, we report a solid-state iontronic osmotic energy generator, termed IOPS, which fully leverages the ion–electron coupling effect in polarized MXene. Its mechanism arises from the diffusion kinetics of K+ under an ion gradient and the Fermi level difference between two distinct polarized MXenes at the positive and negative electrodes. An initial open-circuit voltage exceeding 0.57 V and a high volumetric power density of 1030 μW cm-3 were achieved. This work integrates the fundamental principles of biological ion gradients with emerging iontronics technology, offering a paradigm for the practical deployment of osmotic energy. Highlights:1 The solid-state architecture of iontronics osmotic power source (IOPS) significantly enhances volumetric power density and eliminates risks associated with leakage and drying up.2 By making deep use of the ion-electron coupling properties of MXene, the highly integrated electrode design enables the IOPS device to be assembled into a compact osmotic power source using only three building blocks.3 IOPS arrays can efficiently power commercial electronic devices and show great potential in portable, responsive power systems.</w:t>
      </w:r>
    </w:p>
    <w:p>
      <w:pPr>
        <w:spacing w:before="120" w:after="120"/>
      </w:pPr>
      <w:r>
        <w:rPr>
          <w:sz w:val="18"/>
        </w:rPr>
        <w:t>——————————————————————————————————————————————————————————————————————</w:t>
      </w:r>
    </w:p>
    <w:p>
      <w:pPr>
        <w:spacing w:before="160" w:after="40" w:line="240" w:lineRule="auto"/>
      </w:pPr>
      <w:r>
        <w:rPr>
          <w:b/>
        </w:rPr>
        <w:t xml:space="preserve">[21] </w:t>
      </w:r>
      <w:hyperlink r:id="rId222">
        <w:r>
          <w:rPr>
            <w:color w:val="1155CC"/>
            <w:u w:val="single"/>
          </w:rPr>
          <w:t>氧化还原液流电池在单个设备中耦合能量存储和化学制造</w:t>
        </w:r>
      </w:hyperlink>
    </w:p>
    <w:p>
      <w:pPr>
        <w:spacing w:before="0" w:after="80"/>
      </w:pPr>
      <w:r>
        <w:rPr>
          <w:i/>
          <w:sz w:val="20"/>
        </w:rPr>
        <w:t>EN: A redox flow battery coupling energy storage and chemical manufacturing in a single device</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氧化还原液流电池为可再生能源并网和稳定电网波动提供了具有竞争力的解决方案。但盈利模式完全依赖于峰谷时段的电网电价差。在此，我们报告了一种在单个设备中耦合能量存储和化学制造的开环液流电池。具体来说，我们将放电过程中 VO2+ 还原与有机化合物氧化成增值化学品配对，以及充电过程中 VO2+ 氧化与析氢配对。该电池表现出跨 13 种有机基质的多功能性以及与大多数典型聚合物电解质的兼容性。以VO2+/VO2+配对与乙二醇到乙醇酸的转化和氢气生产为例，该电池表现出&gt;100%的电压和能量效率，并表现出超过200次循环的循环稳定性。通过扩大规模并与光伏板集成，该装置在白天充电和夜间放电的情况下，在 10 天内可产生 532.2 克乙醇酸和 272.9 升氢气。技术经济分析表明，该系统具有盈利能力，平均电力成本为 –0.26 美元/千瓦时。这项工作展示了氧化还原液流电池通过联产增值化学品和燃料的盈利模式多元化潜力。</w:t>
      </w:r>
    </w:p>
    <w:p>
      <w:pPr>
        <w:spacing w:before="0" w:after="200" w:lineRule="auto" w:line="276"/>
      </w:pPr>
      <w:r>
        <w:rPr>
          <w:b/>
        </w:rPr>
        <w:t xml:space="preserve">Abstract (EN): </w:t>
      </w:r>
      <w:r>
        <w:t>Redox flow batteries provide a competitive solution for renewable energy integration and grid fluctuations stabilization. However, the profit pattern solely relies on the grid price difference between peak and off-peak period. Herein, we report an open-loop flow battery coupling energy storage and chemical manufacturing in a single device. Specifically, we pair VO2+ reduction with organic compounds oxidation to value-added chemicals during discharging, and VO2+ oxidation with hydrogen evolution during charging. The battery demonstrates versatility across 13 organic substrates and compatibility with most typical posolytes. Taking VO2+/VO2+ pairing with ethylene glycol-to-glycolic acid conversion and H2 production as an example, the battery displays &gt;100% voltage and energy efficiencies, and exhibits cycling stability over 200 cycles. By scaling up and integrating with a photovoltaic panel, the device produces 532.2 g of glycolic acid and 272.9 L of H2 over 10 days with daytime charging and nighttime discharging. Techno-economic analysis suggests that the system is profitable with a levelized cost of electricity of –0.26 $/kWh. This work demonstrates the profit pattern diversification potential of redox flow batteries by co-production of value-added chemicals and fuels.</w:t>
      </w:r>
    </w:p>
    <w:p>
      <w:pPr>
        <w:spacing w:before="120" w:after="120"/>
      </w:pPr>
      <w:r>
        <w:rPr>
          <w:sz w:val="18"/>
        </w:rPr>
        <w:t>——————————————————————————————————————————————————————————————————————</w:t>
      </w:r>
    </w:p>
    <w:p>
      <w:pPr>
        <w:spacing w:before="160" w:after="40" w:line="240" w:lineRule="auto"/>
      </w:pPr>
      <w:r>
        <w:rPr>
          <w:b/>
        </w:rPr>
        <w:t xml:space="preserve">[22] </w:t>
      </w:r>
      <w:hyperlink r:id="rId223">
        <w:r>
          <w:rPr>
            <w:color w:val="1155CC"/>
            <w:u w:val="single"/>
          </w:rPr>
          <w:t>重力辅助渗透可在实际锂空气电池的空气阴极中实现空间扩展和动态稳定的多相界面</w:t>
        </w:r>
      </w:hyperlink>
    </w:p>
    <w:p>
      <w:pPr>
        <w:spacing w:before="0" w:after="80"/>
      </w:pPr>
      <w:r>
        <w:rPr>
          <w:i/>
          <w:sz w:val="20"/>
        </w:rPr>
        <w:t>EN: Gravity‐Assisted Infiltration Enables a Spatially Extended and Dynamically Stable Multi‐Phase Interface in Air Cathodes for Practical Lithium–Air Batteries</w:t>
      </w:r>
    </w:p>
    <w:p>
      <w:pPr>
        <w:spacing w:before="0" w:after="120"/>
      </w:pPr>
      <w:r>
        <w:rPr>
          <w:b/>
        </w:rPr>
        <w:t xml:space="preserve">Source: </w:t>
      </w:r>
      <w:r>
        <w:t>Wiley: Advanced Energy Materials: Table of Contents</w:t>
      </w:r>
      <w:r>
        <w:t xml:space="preserve">    </w:t>
      </w:r>
      <w:r>
        <w:rPr>
          <w:b/>
        </w:rPr>
        <w:t xml:space="preserve">Pub date: </w:t>
      </w:r>
      <w:r>
        <w:t>2026-07-22 06:24:23+00:00</w:t>
      </w:r>
      <w:r>
        <w:t xml:space="preserve">    </w:t>
      </w:r>
      <w:r>
        <w:rPr>
          <w:b/>
        </w:rPr>
        <w:t xml:space="preserve">DOI: </w:t>
      </w:r>
      <w:hyperlink r:id="rId224">
        <w:r>
          <w:rPr>
            <w:color w:val="1155CC"/>
            <w:u w:val="single"/>
          </w:rPr>
          <w:t>10.1002/aenm.71321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锂空气电池（LAB）作为下一代储能系统因其极高的理论能量密度而引起了广泛关注。然而，它们的实际应用仍然受到维持有效多相界面（MPI）的困难的限制，其中Li</w:t>
      </w:r>
      <w:r>
        <w:t xml:space="preserve"> </w:t>
      </w:r>
      <w:r>
        <w:t>+</w:t>
      </w:r>
      <w:r>
        <w:t xml:space="preserve"> </w:t>
      </w:r>
      <w:r>
        <w:t>, 氧</w:t>
      </w:r>
      <w:r>
        <w:rPr>
          <w:vertAlign w:val="subscript"/>
        </w:rPr>
        <w:t>2</w:t>
      </w:r>
      <w:r>
        <w:t>，和 e</w:t>
      </w:r>
      <w:r>
        <w:t xml:space="preserve"> </w:t>
      </w:r>
      <w:r>
        <w:t>-</w:t>
      </w:r>
      <w:r>
        <w:t>汇聚驱动放电产物的可逆形成和分解。在此，我们报告了一种简单且可扩展的重力辅助渗透（GAI）策略，用于制造空气阴极，其中催化剂固定在整个气体扩散层框架中。该架构可实现持续Li</w:t>
      </w:r>
      <w:r>
        <w:t xml:space="preserve"> </w:t>
      </w:r>
      <w:r>
        <w:t>+</w:t>
      </w:r>
      <w:r>
        <w:t xml:space="preserve"> </w:t>
      </w:r>
      <w:r>
        <w:t>/O</w:t>
      </w:r>
      <w:r>
        <w:rPr>
          <w:vertAlign w:val="subscript"/>
        </w:rPr>
        <w:t>2</w:t>
      </w:r>
      <w:r>
        <w:t>/e</w:t>
      </w:r>
      <w:r>
        <w:t xml:space="preserve"> </w:t>
      </w:r>
      <w:r>
        <w:t>-</w:t>
      </w:r>
      <w:r>
        <w:t>传输路径，并在整个阴极厚度上建立空间延伸且稳定的 MPI，同时保持无粘合剂且需要较少的电解质。因此，采用 GAI 阴极的 LAB 表现出更低的过电势和更长的循环（&gt;300 次循环），同时在 3.0 mg cm 的高阴极负载量下仍表现出卓越的性能</w:t>
      </w:r>
      <w:r>
        <w:t xml:space="preserve"> </w:t>
      </w:r>
      <w:r>
        <w:t>−2</w:t>
      </w:r>
      <w:r>
        <w:t xml:space="preserve"> </w:t>
      </w:r>
      <w:r>
        <w:t>。原位 EIS/DRT/DCT 和深度 TOF-SIMS 揭示了稳定的界面演化和成核优先的放电产物形成机制，证明了整个阴极厚度的空间延伸和动态稳定的 MPI。由此产生的 LAB 进一步提供了高</w:t>
      </w:r>
    </w:p>
    <w:p>
      <w:pPr>
        <w:spacing w:before="0" w:after="200" w:lineRule="auto" w:line="276"/>
      </w:pPr>
      <w:r>
        <w:rPr>
          <w:b/>
        </w:rPr>
        <w:t xml:space="preserve">Abstract (EN): </w:t>
      </w:r>
      <w:r>
        <w:t>Li–air batteries (LABs) have attracted considerable attention as next‐generation energy‐storage systems because of their exceptionally high theoretical energy density. However, their practical application remains limited by the difficulty of sustaining an effective multi‐phase interface (MPI), where Li</w:t>
      </w:r>
      <w:r>
        <w:t xml:space="preserve"> </w:t>
      </w:r>
      <w:r>
        <w:t>+</w:t>
      </w:r>
      <w:r>
        <w:t xml:space="preserve"> </w:t>
      </w:r>
      <w:r>
        <w:t>, O</w:t>
      </w:r>
      <w:r>
        <w:rPr>
          <w:vertAlign w:val="subscript"/>
        </w:rPr>
        <w:t>2</w:t>
      </w:r>
      <w:r>
        <w:t>, and e</w:t>
      </w:r>
      <w:r>
        <w:t xml:space="preserve"> </w:t>
      </w:r>
      <w:r>
        <w:t>−</w:t>
      </w:r>
      <w:r>
        <w:t>converge to drive the reversible formation and decomposition of discharge products. Herein, we report a simple and scalable gravity‐assisted infiltration (GAI) strategy for fabricating air cathodes, in which catalysts are anchored throughout the gas diffusion layer framework. This architecture enables continuous Li</w:t>
      </w:r>
      <w:r>
        <w:t xml:space="preserve"> </w:t>
      </w:r>
      <w:r>
        <w:t>+</w:t>
      </w:r>
      <w:r>
        <w:t xml:space="preserve"> </w:t>
      </w:r>
      <w:r>
        <w:t>/O</w:t>
      </w:r>
      <w:r>
        <w:rPr>
          <w:vertAlign w:val="subscript"/>
        </w:rPr>
        <w:t>2</w:t>
      </w:r>
      <w:r>
        <w:t>/e</w:t>
      </w:r>
      <w:r>
        <w:t xml:space="preserve"> </w:t>
      </w:r>
      <w:r>
        <w:t>−</w:t>
      </w:r>
      <w:r>
        <w:t>transport pathways and establishes a spatially extended and stable MPI across the cathode thickness, while remaining binder‐free and requiring less electrolyte. As a result, LABs with the GAI cathode exhibit lower overpotentials and longer cycling (&amp;gt;300 cycles), while still exhibiting superior performance at a high cathode loading of 3.0 mg cm</w:t>
      </w:r>
      <w:r>
        <w:t xml:space="preserve"> </w:t>
      </w:r>
      <w:r>
        <w:t>−2</w:t>
      </w:r>
      <w:r>
        <w:t xml:space="preserve"> </w:t>
      </w:r>
      <w:r>
        <w:t>. In situ EIS/DRT/DCT and depth TOF‐SIMS reveal stable interfacial evolution and a nucleation‐preferred discharge‐product formation mechanism, evidencing a spatially extended and dynamically stable MPI across the cathode thickness. The resulting LABs further deliver high full discharge/charge capacity of ∼24 mA h cm</w:t>
      </w:r>
      <w:r>
        <w:t xml:space="preserve"> </w:t>
      </w:r>
      <w:r>
        <w:t>−2</w:t>
      </w:r>
      <w:r>
        <w:t xml:space="preserve"> </w:t>
      </w:r>
      <w:r>
        <w:t>, improved low‐temperature (−20°C) mass transport, enhanced high temperature (60°C) stability, and promising pouch cells with high‐energy density (798.80 Wh kg</w:t>
      </w:r>
      <w:r>
        <w:t xml:space="preserve"> </w:t>
      </w:r>
      <w:r>
        <w:t>−1</w:t>
      </w:r>
      <w:r>
        <w:t xml:space="preserve"> </w:t>
      </w:r>
      <w:r>
        <w:t>).</w:t>
      </w:r>
    </w:p>
    <w:p>
      <w:pPr>
        <w:spacing w:before="120" w:after="120"/>
      </w:pPr>
      <w:r>
        <w:rPr>
          <w:sz w:val="18"/>
        </w:rPr>
        <w:t>——————————————————————————————————————————————————————————————————————</w:t>
      </w:r>
    </w:p>
    <w:p>
      <w:pPr>
        <w:spacing w:before="160" w:after="40" w:line="240" w:lineRule="auto"/>
      </w:pPr>
      <w:r>
        <w:rPr>
          <w:b/>
        </w:rPr>
        <w:t xml:space="preserve">[23] </w:t>
      </w:r>
      <w:hyperlink r:id="rId225">
        <w:r>
          <w:rPr>
            <w:color w:val="1155CC"/>
            <w:u w:val="single"/>
          </w:rPr>
          <w:t>类似纳米纤维的极性配置通过高熵设计在弛豫铁电体中实现超高能量存储</w:t>
        </w:r>
      </w:hyperlink>
    </w:p>
    <w:p>
      <w:pPr>
        <w:spacing w:before="0" w:after="80"/>
      </w:pPr>
      <w:r>
        <w:rPr>
          <w:i/>
          <w:sz w:val="20"/>
        </w:rPr>
        <w:t>EN: Nanofiber-like polar configurations enable ultrahigh energy storage in relaxor ferroelectrics via high-entropy design</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介电电容器由于其卓越的功率密度而在先进电力电子领域非常有前景。然而，它们的广泛应用受到储能性能不足的限制。在这项工作中，我们提出了一种独特的策略，以创建类似纳米纤维的极性配置为中心，以实现弛豫铁电体的超高储能性能。这是通过 NaNbO3 基钙钛矿的高熵成分设计实现的，其中在 A 和 B 位点引入具有显着铁电活性和离子半径差异的多种阳离子。这种方法有效地同时破坏了长程铁电和反铁畸变秩序。由此产生的纳米纤维状域结构，其长度为几纳米，但宽度只有几个晶胞，对施加的电场（E）表现出低磁滞和近线性偏振响应。因此，NaNbO3-(Bi0.5Li0.5)(Ti0.8Zr0.1Sn0.1)O3多层陶瓷电容器同时实现了~19.3 J cm−3的优异能量存储密度(Wrec)、~95.2%的高效率(η)和208 J kV mm−3的令人印象深刻的Wrec/E系数。这些结果强调了类纳米纤维极性配置策略在开发高性能介电储能材料方面的巨大潜力。</w:t>
      </w:r>
    </w:p>
    <w:p>
      <w:pPr>
        <w:spacing w:before="0" w:after="200" w:lineRule="auto" w:line="276"/>
      </w:pPr>
      <w:r>
        <w:rPr>
          <w:b/>
        </w:rPr>
        <w:t xml:space="preserve">Abstract (EN): </w:t>
      </w:r>
      <w:r>
        <w:t>Dielectric capacitors are highly promising for advanced power electronics due to their superior power density. However, their widespread application has been limited by inadequate energy storage performance. In this work, we propose a distinct strategy, centered on creating a nanofiber-like polar configuration, to achieve ultrahigh energy storage performance in relaxor ferroelectrics. This is realized through a high-entropy composition design in NaNbO3-based perovskites, where multiple cations with significant ferroelectric activity and ionic radius differences are introduced at both A- and B-sites. This approach effectively disrupts the long-range ferroelectric and antiferrodistortive orders simultaneously. The resulting nanofiber-like domain structure, which features several nanometers in length but only a few unit cells in width, exhibits a low-hysteresis and nearly linear polarization response to applied electric field (E). Consequently, an exceptional energy storage density (Wrec) of ~19.3 J cm−3, a high efficiency (η) of ~95.2%, and an impressive Wrec/E coefficient of 208 J kV mm−3 are simultaneously achieved in the NaNbO3-(Bi0.5Li0.5)(Ti0.8Zr0.1Sn0.1)O3 multilayer ceramic capacitors. These results underscore the immense potential of the nanofiber-like polar configuration strategy for developing high-performance dielectric energy storage materials.</w:t>
      </w:r>
    </w:p>
    <w:p>
      <w:pPr>
        <w:spacing w:before="120" w:after="120"/>
      </w:pPr>
      <w:r>
        <w:rPr>
          <w:sz w:val="18"/>
        </w:rPr>
        <w:t>——————————————————————————————————————————————————————————————————————</w:t>
      </w:r>
    </w:p>
    <w:p>
      <w:pPr>
        <w:spacing w:before="160" w:after="40" w:line="240" w:lineRule="auto"/>
      </w:pPr>
      <w:r>
        <w:rPr>
          <w:b/>
        </w:rPr>
        <w:t xml:space="preserve">[24] </w:t>
      </w:r>
      <w:hyperlink r:id="rId226">
        <w:r>
          <w:rPr>
            <w:color w:val="1155CC"/>
            <w:u w:val="single"/>
          </w:rPr>
          <w:t>Co-Pd合金催化剂电子耦合Co单原子用于高性能可充电肼辅助锌空气电池</w:t>
        </w:r>
      </w:hyperlink>
    </w:p>
    <w:p>
      <w:pPr>
        <w:spacing w:before="0" w:after="80"/>
      </w:pPr>
      <w:r>
        <w:rPr>
          <w:i/>
          <w:sz w:val="20"/>
        </w:rPr>
        <w:t>EN: Electronically coupled Co single atoms with Co-Pd alloy catalyst for high-performance rechargeable hydrazine-assisted Zn−Air batteries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锌空气电池是用于安全且具有成本效益的储能应用的有前途的设备。然而，它们的实际用途受到缓慢的析氧和氧还原反应的阻碍。我们证明，在三维大孔氮掺杂碳（CoPd/Co@3D NC）中混合电子耦合的Co单原子和CoPd合金可以实现高性能N2H4辅助的锌空气电池，其中析氧反应被热力学上更有利的肼氧化反应所取代。实验和理论数据表明，Co单原子和CoPd合金之间的电子耦合相互改变了它们的电子结构，从而削弱了Co单原子上的氧吸附，增强了Pd位点上的N2H4吸附。电子耦合效应加速了析氧和肼氧化反应的限速步骤。因此，采用CoPd/Co@3D NC的N2H4辅助锌空气电池在100 mA cm−2下表现出0.52 V的小充放电电压间隙，在10 mA cm−2下表现出151 mW cm−2的峰值比功率和810 mAh g−1的比容量；与传统的锌空气电池相比，这些值具有竞争力。</w:t>
      </w:r>
    </w:p>
    <w:p>
      <w:pPr>
        <w:spacing w:before="0" w:after="200" w:lineRule="auto" w:line="276"/>
      </w:pPr>
      <w:r>
        <w:rPr>
          <w:b/>
        </w:rPr>
        <w:t xml:space="preserve">Abstract (EN): </w:t>
      </w:r>
      <w:r>
        <w:t>Zinc−air batteries are promising devices for use in safe and cost-effective energy storage applications. However, their practical utility is hindered by sluggish oxygen evolution and oxygen reduction reactions. We show that hybridizing electronically coupled Co single atoms and a CoPd alloy within a three-dimensional macroporous N-doped carbon (CoPd/Co@3D NC) enables high-performance N2H4-assisted zinc−air batteries, where the oxygen evolution reaction is replaced with the thermodynamically more favorable hydrazine oxidation reaction. Experimental and theoretical data reveal that electronic coupling between the Co single atoms and the CoPd alloy mutually modifies their electronic structures, which, in turn, weakens oxygen adsorption on the Co single atoms and enhances N2H4 adsorption on the Pd sites. The electronic-coupling effect accelerates the rate-limiting steps of the oxygen evolution and hydrazine oxidation reactions. Consequently, N2H4-assisted zinc−air batteries employing CoPd/Co@3D NC exhibit a small charging/discharging voltage gap of 0.52 V at 100 mA cm−2, a peak specific power of 151 mW cm−2, and a specific capacity of 810 mAh g−1 at 10 mA cm−2; these values are competitive when compared to those exhibited by conventional zinc−air batteries.</w:t>
      </w:r>
    </w:p>
    <w:p>
      <w:pPr>
        <w:spacing w:before="120" w:after="120"/>
      </w:pPr>
      <w:r>
        <w:rPr>
          <w:sz w:val="18"/>
        </w:rPr>
        <w:t>——————————————————————————————————————————————————————————————————————</w:t>
      </w:r>
    </w:p>
    <w:p>
      <w:pPr>
        <w:spacing w:before="160" w:after="40" w:line="240" w:lineRule="auto"/>
      </w:pPr>
      <w:r>
        <w:rPr>
          <w:b/>
        </w:rPr>
        <w:t xml:space="preserve">[25] </w:t>
      </w:r>
      <w:hyperlink r:id="rId227">
        <w:r>
          <w:rPr>
            <w:color w:val="1155CC"/>
            <w:u w:val="single"/>
          </w:rPr>
          <w:t>用于日常生化监测的完全集成智能环</w:t>
        </w:r>
      </w:hyperlink>
    </w:p>
    <w:p>
      <w:pPr>
        <w:spacing w:before="0" w:after="80"/>
      </w:pPr>
      <w:r>
        <w:rPr>
          <w:i/>
          <w:sz w:val="20"/>
        </w:rPr>
        <w:t>EN: A fully integrated smart ring for daily biochemical monitoring</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生化分析通过捕获驱动生理健康的潜在分子和代谢变化来补充生物物理测量。在这里，我们推出了一款紧凑、完全集成的智能环，能够同时实时监测多种化学生物标记物，这标志着现有智能环真正的生化对应物。我们的环可以连续测量被动渗透提取汗液中的葡萄糖、酮、抗坏血酸、尿酸、乳酸和酒精，由定制的高容量柔性 Zn-AgO 电池供电，并包含用于数据处理和无线传输的超紧凑、节能电子设备。它可以支持约 12 小时的连续监测，并保持个性化校准稳定性约 2 个月。同步生物标志物监测在不同的日常环境下得到了验证。对健康和 1 型糖尿病患者的葡萄糖和酮水平进行可靠、连续的监测，结果与商用血仪和连续血糖监测仪的结果非常一致，证实了该环的准确性，即使对于高危人群也是如此。总体而言，我们的环超越了仅关注生物物理信号的商业智能环，能够持续评估生化变化并推动下一代个性化和小型医疗保健技术的开发。</w:t>
      </w:r>
    </w:p>
    <w:p>
      <w:pPr>
        <w:spacing w:before="0" w:after="200" w:lineRule="auto" w:line="276"/>
      </w:pPr>
      <w:r>
        <w:rPr>
          <w:b/>
        </w:rPr>
        <w:t xml:space="preserve">Abstract (EN): </w:t>
      </w:r>
      <w:r>
        <w:t>Biochemical analysis complements biophysical measurements by capturing the underlying molecular and metabolic changes that drive physiological health. Here, we introduce a compact, fully integrated smart ring capable of simultaneously monitoring multiple chemical biomarkers in real-time — marking a true biochemical counterpart to existing smart rings. Our ring can continuously measure glucose, ketone, ascorbic acid, uric acid, lactate, and alcohol from passive osmotically extracted sweat, is powered by custom-built high-capacity flexible Zn-AgO batteries, and comprises ultra-compact, energy-efficient electronics for data processing and wireless transmission. It can support ~12 hours of continuous monitoring and preserves personalized calibration stability for ~2 months. The simultaneous biomarker monitoring was validated under diverse daily settings. Reliable, continuous monitoring of glucose and ketone levels showed strong agreement with commercial blood meters and continuous glucose monitors in both healthy and type 1 diabetic individuals, confirming the ring’s accuracy even for at-risk population. Overall, our ring extends beyond commercial smart rings focusing on only biophysical signals, by enabling continuous assessment of biochemical changes and advancing the development of next generation personalized and miniaturized healthcare technologies.</w:t>
      </w:r>
    </w:p>
    <w:p>
      <w:pPr>
        <w:spacing w:before="120" w:after="120"/>
      </w:pPr>
      <w:r>
        <w:rPr>
          <w:sz w:val="18"/>
        </w:rPr>
        <w:t>——————————————————————————————————————————————————————————————————————</w:t>
      </w:r>
    </w:p>
    <w:p>
      <w:pPr>
        <w:spacing w:before="160" w:after="40" w:line="240" w:lineRule="auto"/>
      </w:pPr>
      <w:r>
        <w:rPr>
          <w:b/>
        </w:rPr>
        <w:t xml:space="preserve">[26] </w:t>
      </w:r>
      <w:hyperlink r:id="rId228">
        <w:r>
          <w:rPr>
            <w:color w:val="1155CC"/>
            <w:u w:val="single"/>
          </w:rPr>
          <w:t>羟丙基-β-环糊精有机介电薄膜中细胞外基质激发的分子极化</w:t>
        </w:r>
      </w:hyperlink>
    </w:p>
    <w:p>
      <w:pPr>
        <w:spacing w:before="0" w:after="80"/>
      </w:pPr>
      <w:r>
        <w:rPr>
          <w:i/>
          <w:sz w:val="20"/>
        </w:rPr>
        <w:t>EN: Extracellular Matrix Inspired Molecular Polarization in Hydroxypropyl-β-Cyclodextrin Organic Dielectric Films</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229">
        <w:r>
          <w:rPr>
            <w:color w:val="1155CC"/>
            <w:u w:val="single"/>
          </w:rPr>
          <w:t>10.1021/acsami.6c06663</w:t>
        </w:r>
      </w:hyperlink>
    </w:p>
    <w:p>
      <w:pPr>
        <w:spacing w:before="0" w:after="120"/>
      </w:pPr>
      <w:r>
        <w:rPr>
          <w:b/>
        </w:rPr>
        <w:t xml:space="preserve">Notes: </w:t>
      </w:r>
      <w:r>
        <w:t>abstract_source=pubmed</w:t>
      </w:r>
    </w:p>
    <w:p>
      <w:pPr>
        <w:spacing w:before="0" w:after="80" w:lineRule="auto" w:line="276"/>
      </w:pPr>
      <w:r>
        <w:rPr>
          <w:b/>
        </w:rPr>
        <w:t xml:space="preserve">摘要（ZH）: </w:t>
      </w:r>
      <w:r>
        <w:t>受细胞外基质（ECM）的启发，细胞外基质（ECM）将纤维胶原支架与水合多糖基质整合在一起，我们通过在氟化甲基丙烯酸酯交联网络中引入羟丙基-β-环糊精（HP-β-CD）开发了一种基于PVDF的三元介电储能薄膜。交联网络充当类似于胶原纤维的紧凑绝缘支架，而 HP-β-CD 则模仿水合多糖成分。 HP-β-CD 丰富的羟基与 PVDF 链形成稳定的氢键，增强界面粘附力并调节局部链构象。在外部电场作用下，HP-β-CD 的极性羟基和羟丙基有助于取向极化，将介电常数提高至 9.7。此外，HP-β-CD 富含羟基的外部和空腔结构可以提供电荷捕获位点，有助于抑制电荷积累和传导损失，从而延缓电击穿。氟化交联网络通过限制 PVDF 链段运动并提高薄膜致密性和结构稳定性来增强击穿强度。因此，漏电流密度降至 5.25 × 10-7 A/cm2，比纯 PVDF (2.02 × 10-6 A/cm2) 低大约一个数量级。受益于这种受 ECM 启发的分子调节方法，优化后的复合材料在 560 MV/m 下实现了 9.03 J/cm3 的放电能量密度，而残余 PVDF 相关的滞后表明，进一步的效率优化对于实际的高功率仍然是必要的。</w:t>
      </w:r>
    </w:p>
    <w:p>
      <w:pPr>
        <w:spacing w:before="0" w:after="200" w:lineRule="auto" w:line="276"/>
      </w:pPr>
      <w:r>
        <w:rPr>
          <w:b/>
        </w:rPr>
        <w:t xml:space="preserve">Abstract (EN): </w:t>
      </w:r>
      <w:r>
        <w:t>Inspired by the extracellular matrix (ECM), which integrates a fibrous collagen scaffold with a hydrated polysaccharide matrix, we developed a PVDF-based ternary dielectric energy storage film by introducing hydroxypropyl-β-cyclodextrin (HP-β-CD) within a fluorinated methacrylate crosslinked network. The crosslinked network serves as a compact insulating scaffold analogous to collagen fibers, while HP-β-CD mimics the hydrated polysaccharide components. The abundant hydroxyl groups of HP-β-CD form stable hydrogen bonds with PVDF chains, strengthening interfacial adhesion and tuning local chain conformation. Under an external electric field, the polar hydroxyl and hydroxypropyl groups of HP-β-CD contribute to orientational polarization, increasing the dielectric constant to 9.7. In addition, the hydroxyl-rich exterior and cavity-bearing structure of HP-β-CD may provide charge-trapping sites that help suppress charge accumulation and conduction losses, thereby retarding electrical breakdown. The fluorinated crosslinked network enhances breakdown strength by restricting PVDF segmental motion and improving film compactness and structural stability. Consequently, the leakage current density decreases to 5.25 × 10-7 A/cm2, approximately one order of magnitude lower than that of neat PVDF (2.02 × 10-6 A/cm2). Benefiting from this ECM-inspired molecular-regulation approach, the optimized composite achieves a discharged energy density of 9.03 J/cm3 at 560 MV/m, while the residual PVDF-related hysteresis indicates that further efficiency optimization remains necessary for practical high-efficiency capacitor applications.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230">
        <w:r>
          <w:rPr>
            <w:color w:val="1155CC"/>
            <w:u w:val="single"/>
          </w:rPr>
          <w:t>复合相变材料-热电耦合组件调度集成热管理策略</w:t>
        </w:r>
      </w:hyperlink>
    </w:p>
    <w:p>
      <w:pPr>
        <w:spacing w:before="0" w:after="80"/>
      </w:pPr>
      <w:r>
        <w:rPr>
          <w:i/>
          <w:sz w:val="20"/>
        </w:rPr>
        <w:t>EN: Composite phase change materials-integrated thermal management strategy for thermo-electrical coupling components dispatch</w:t>
      </w:r>
    </w:p>
    <w:p>
      <w:pPr>
        <w:spacing w:before="0" w:after="120"/>
      </w:pPr>
      <w:r>
        <w:rPr>
          <w:b/>
        </w:rPr>
        <w:t xml:space="preserve">Source: </w:t>
      </w:r>
      <w:r>
        <w:t>ScienceDirect Publication: Applied Energy</w:t>
      </w:r>
      <w:r>
        <w:t xml:space="preserve">    </w:t>
      </w:r>
      <w:r>
        <w:rPr>
          <w:b/>
        </w:rPr>
        <w:t xml:space="preserve">Pub date: </w:t>
      </w:r>
      <w:r>
        <w:t>2026-07-17 00:00:00+00:00</w:t>
      </w:r>
      <w:r>
        <w:t xml:space="preserve">    </w:t>
      </w:r>
      <w:r>
        <w:rPr>
          <w:b/>
        </w:rPr>
        <w:t xml:space="preserve">DOI: </w:t>
      </w:r>
      <w:hyperlink r:id="rId231">
        <w:r>
          <w:rPr>
            <w:color w:val="1155CC"/>
            <w:u w:val="single"/>
          </w:rPr>
          <w:t>10.1016/j.apenergy.2026.128452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232">
        <w:r>
          <w:rPr>
            <w:color w:val="1155CC"/>
            <w:u w:val="single"/>
          </w:rPr>
          <w:t>晶界特征在 LASTT-10 热电材料热稳定性中的作用</w:t>
        </w:r>
      </w:hyperlink>
    </w:p>
    <w:p>
      <w:pPr>
        <w:spacing w:before="0" w:after="80"/>
      </w:pPr>
      <w:r>
        <w:rPr>
          <w:i/>
          <w:sz w:val="20"/>
        </w:rPr>
        <w:t>EN: Role of Grain Boundary Features in the Thermal Stability of LASTT-10 Thermoelectric Materials</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233">
        <w:r>
          <w:rPr>
            <w:color w:val="1155CC"/>
            <w:u w:val="single"/>
          </w:rPr>
          <w:t>10.1021/acsami.6c08078</w:t>
        </w:r>
      </w:hyperlink>
    </w:p>
    <w:p>
      <w:pPr>
        <w:spacing w:before="0" w:after="120"/>
      </w:pPr>
      <w:r>
        <w:rPr>
          <w:b/>
        </w:rPr>
        <w:t xml:space="preserve">Notes: </w:t>
      </w:r>
      <w:r>
        <w:t>abstract_source=pubmed</w:t>
      </w:r>
    </w:p>
    <w:p>
      <w:pPr>
        <w:spacing w:before="0" w:after="80" w:lineRule="auto" w:line="276"/>
      </w:pPr>
      <w:r>
        <w:rPr>
          <w:b/>
        </w:rPr>
        <w:t xml:space="preserve">摘要（ZH）: </w:t>
      </w:r>
      <w:r>
        <w:t>纳米结构 PbTe 基化合物，包括 n 型 LAST-m (AgPbmSbTem+2) 和 p 型 LASTT-m (Ag(Pb1-xSnx)mSbTem+2)，表现出较高的热电性能，但其长期热稳定性仍然是高温应用的主要限制。在这项工作中，我们通过研究通过熔化、退火和放电等离子烧结合成的 Ag0.9(Pb0.5Sn0.5)10Sb0.8Te12 (LASTT-10) 成分，详细了解了 p 型 LASTT 化合物热不稳定性的起源。制备的块状样品在 673 K 时表现出 ~1.05 ± 0.10 的高 zT。系统热循环和等温退火实验表明，观察到的输运特性的不可逆变化源于位于晶界的富 Te (Ag1-xSbx)1+yTe2 (x = 0.12, y = 0.18) 第二相的微观结构演化。 LASTT-10 的差热分析确定了~630 K 的吸热反应，该反应与晶界相的热力学不稳定性相关。超过 610 K，(Ag1-xSbx)1+yTe2 会经历多次相变，从而导致宏观热不稳定。循环发电测试表明，LASTT-10 在低于 610 K 的温度下性能稳定，最大功率密度为 ∼0.51 W/cm2，在 ΔT ∼316 K 时转换效率为 ∼4.3%。这些发现阐明了 LASTT-10 热降解的机制，并强调了提高高温发电用 PbTe 基热电材料的热鲁棒性的关键参数。</w:t>
      </w:r>
    </w:p>
    <w:p>
      <w:pPr>
        <w:spacing w:before="0" w:after="200" w:lineRule="auto" w:line="276"/>
      </w:pPr>
      <w:r>
        <w:rPr>
          <w:b/>
        </w:rPr>
        <w:t xml:space="preserve">Abstract (EN): </w:t>
      </w:r>
      <w:r>
        <w:t>Nanostructured PbTe-based compounds, including n-type LAST-m (AgPbmSbTem+2) and p-type LASTT-m (Ag(Pb1-xSnx)mSbTem+2), exhibit high thermoelectric performance, but their long-term thermal stability remains a major limitation for high-temperature applications. In this work, we provide detailed insights into the origin of thermal instabilities in p-type LASTT compounds by studying the Ag0.9(Pb0.5Sn0.5)10Sb0.8Te12 (LASTT-10) composition synthesized via melting, annealing, and spark plasma sintering. The prepared bulk samples exhibit a high zT of ∼1.05 ± 0.10 at 673 K. Systematic thermal cycling and isothermal annealing experiments reveal that the observed irreversible changes in transport properties stem from microstructural evolution of Te-rich (Ag1-xSbx)1+yTe2 (x = 0.12, y = 0.18) secondary phases located at the grain boundaries. Differential thermal analysis of LASTT-10 identifies an endothermic reaction ∼630 K associated with the thermodynamic instability of the grain boundary phases. Beyond 610 K, (Ag1-xSbx)1+yTe2 undergoes multiple phase transformations, which lead to macroscopic thermal instability. Cyclic power generation tests indicate a stable performance for LASTT-10 below 610 K, with maximum power density ∼0.51 W/cm2 and conversion efficiency ∼4.3% at ΔT ∼316 K. These findings clarify the mechanisms underlying the thermal degradation in LASTT-10 and highlight critical parameters for improving the thermal robustness of PbTe-based thermoelectric materials for high-temperature power generation.</w:t>
      </w:r>
    </w:p>
    <w:p>
      <w:pPr>
        <w:spacing w:before="120" w:after="120"/>
      </w:pPr>
      <w:r>
        <w:rPr>
          <w:sz w:val="18"/>
        </w:rPr>
        <w:t>——————————————————————————————————————————————————————————————————————</w:t>
      </w:r>
    </w:p>
    <w:p>
      <w:pPr>
        <w:spacing w:before="160" w:after="40" w:line="240" w:lineRule="auto"/>
      </w:pPr>
      <w:r>
        <w:rPr>
          <w:b/>
        </w:rPr>
        <w:t xml:space="preserve">[3] </w:t>
      </w:r>
      <w:hyperlink r:id="rId234">
        <w:r>
          <w:rPr>
            <w:color w:val="1155CC"/>
            <w:u w:val="single"/>
          </w:rPr>
          <w:t>高结晶纤维素薄膜的固有光致发光增强日间辐射冷却</w:t>
        </w:r>
      </w:hyperlink>
    </w:p>
    <w:p>
      <w:pPr>
        <w:spacing w:before="0" w:after="80"/>
      </w:pPr>
      <w:r>
        <w:rPr>
          <w:i/>
          <w:sz w:val="20"/>
        </w:rPr>
        <w:t>EN: Inherent Photoluminescence-Enhanced Daytime Radiative Cooling by Highly Crystalline Cellulose Films</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235">
        <w:r>
          <w:rPr>
            <w:color w:val="1155CC"/>
            <w:u w:val="single"/>
          </w:rPr>
          <w:t>10.1021/acsami.6c06248</w:t>
        </w:r>
      </w:hyperlink>
    </w:p>
    <w:p>
      <w:pPr>
        <w:spacing w:before="0" w:after="120"/>
      </w:pPr>
      <w:r>
        <w:rPr>
          <w:b/>
        </w:rPr>
        <w:t xml:space="preserve">Notes: </w:t>
      </w:r>
      <w:r>
        <w:t>abstract_source=pubmed</w:t>
      </w:r>
    </w:p>
    <w:p>
      <w:pPr>
        <w:spacing w:before="0" w:after="80" w:lineRule="auto" w:line="276"/>
      </w:pPr>
      <w:r>
        <w:rPr>
          <w:b/>
        </w:rPr>
        <w:t xml:space="preserve">摘要（ZH）: </w:t>
      </w:r>
      <w:r>
        <w:t>频繁的高温天气对被动日间辐射冷却（PDRC）材料的性能提出了很高的要求。天然纤维素是一种可持续的原材料，基于其独特的大分子结构和分级聚集结构，具有良好的PDRC性能。然而，提高再生纤维素材料的PDRC性能仍然是一个巨大的挑战。在这项工作中，发现再生纤维素膜的高晶体结构可以增强其光致发光（PL）能力。这种固有的 PL 行为将通过光子转换机制增强其 PDRC 性能。通过有效地将吸收的紫外波段光子转化为可见光发射，再生纤维素膜在可见光波段呈现出更高的反射率和更高的冷却能力。结晶度为73.71%的再生纤维素膜在0.3-2.5μm波段可实现93.48%的平均反射率，比未增强PL的再生纤维素膜提高4.79%，从而使制冷功率提高115.9%。这种具有高PDRC性能的高结晶纤维素薄膜有望为不同气候条件下的城市节能做出贡献。</w:t>
      </w:r>
    </w:p>
    <w:p>
      <w:pPr>
        <w:spacing w:before="0" w:after="200" w:lineRule="auto" w:line="276"/>
      </w:pPr>
      <w:r>
        <w:rPr>
          <w:b/>
        </w:rPr>
        <w:t xml:space="preserve">Abstract (EN): </w:t>
      </w:r>
      <w:r>
        <w:t>Frequent high-temperature weather imposes high demands on the performance of passive daytime radiative cooling (PDRC) materials. Natural cellulose is a sustainable raw material with promising PDRC performance based on its unique macromolecular structure and hierarchical aggregation structure. However, it is still a great challenge to improve the PDRC performance of regenerated cellulose materials. In this work, it is found that the high crystal structure of the regenerated cellulose film can enhance its photoluminescence (PL) capacity. This intrinsic PL behavior will enhance its PDRC performance through the photon conversion mechanism. By converting the absorbed ultraviolet band photons into visible light for emission effectively, the regenerated cellulose film presents a higher reflectivity in the visible light band and a higher cooling power. The regenerated cellulose film with a crystallinity of 73.71% can achieve an average reflectivity of 93.48% in the 0.3-2.5 μm waveband, which is 4.79% higher than that of the regenerated cellulose film without PL enhancement, thereby increasing the cooling power by 115.9%. This kind of highly crystalline cellulose film with high PDRC performance is expected to make contributions to energy conservation in cities under diverse climatic conditions.</w:t>
      </w:r>
    </w:p>
    <w:p>
      <w:pPr>
        <w:spacing w:before="120" w:after="120"/>
      </w:pPr>
      <w:r>
        <w:rPr>
          <w:sz w:val="18"/>
        </w:rPr>
        <w:t>——————————————————————————————————————————————————————————————————————</w:t>
      </w:r>
    </w:p>
    <w:p>
      <w:pPr>
        <w:spacing w:before="160" w:after="40" w:line="240" w:lineRule="auto"/>
      </w:pPr>
      <w:r>
        <w:rPr>
          <w:b/>
        </w:rPr>
        <w:t xml:space="preserve">[4] </w:t>
      </w:r>
      <w:hyperlink r:id="rId236">
        <w:r>
          <w:rPr>
            <w:color w:val="1155CC"/>
            <w:u w:val="single"/>
          </w:rPr>
          <w:t>水行为链：太阳能界面蒸发的统一框架</w:t>
        </w:r>
      </w:hyperlink>
    </w:p>
    <w:p>
      <w:pPr>
        <w:spacing w:before="0" w:after="80"/>
      </w:pPr>
      <w:r>
        <w:rPr>
          <w:i/>
          <w:sz w:val="20"/>
        </w:rPr>
        <w:t>EN: The Water Behavior Chain: A Unified Framework for Solar Interfacial Evaporation</w:t>
      </w:r>
    </w:p>
    <w:p>
      <w:pPr>
        <w:spacing w:before="0" w:after="120"/>
      </w:pPr>
      <w:r>
        <w:rPr>
          <w:b/>
        </w:rPr>
        <w:t xml:space="preserve">Source: </w:t>
      </w:r>
      <w:r>
        <w:t>Wiley: Advanced Materials: Table of Contents</w:t>
      </w:r>
      <w:r>
        <w:t xml:space="preserve">    </w:t>
      </w:r>
      <w:r>
        <w:rPr>
          <w:b/>
        </w:rPr>
        <w:t xml:space="preserve">Pub date: </w:t>
      </w:r>
      <w:r>
        <w:t>2026-07-17 09:54:24+00:00</w:t>
      </w:r>
      <w:r>
        <w:t xml:space="preserve">    </w:t>
      </w:r>
      <w:r>
        <w:rPr>
          <w:b/>
        </w:rPr>
        <w:t xml:space="preserve">DOI: </w:t>
      </w:r>
      <w:hyperlink r:id="rId237">
        <w:r>
          <w:rPr>
            <w:color w:val="1155CC"/>
            <w:u w:val="single"/>
          </w:rPr>
          <w:t>10.1002/adma.74055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面对全球淡水危机，太阳能界面蒸发（SIE）作为一种可持续的海水淡化技术应运而生。然而，流行的研究仍然停留在以材料为中心或结构工程创新上，将水视为被动介质。本综述通过引入“水行为链”的概念，提出了一个以水为中心的统一框架，该概念描绘了水的完整旅程，从水传输和水状态调节到界面蒸发和产品管理。我们系统地阐明了该链条的分层调节如何实现突破性的性能：优化热管理的供水路径工程、降低蒸发热函和提高蒸发速率的协同效应，以及盐和蒸汽同步再利用的智能接口设计，以确保长期稳定性。除了淡水生产之外，我们还展示了掌握水行为链如何解锁多功能 SIE 系统，以实现协同水能热电联产、选择性资源回收和水污染物净化。该综述不仅通过将水置于 SIE 分析的核心来填补了关键空白，而且还提供了统一的路线图来指导下一代高性能智能太阳能蒸发技术的开发。</w:t>
      </w:r>
    </w:p>
    <w:p>
      <w:pPr>
        <w:spacing w:before="0" w:after="200" w:lineRule="auto" w:line="276"/>
      </w:pPr>
      <w:r>
        <w:rPr>
          <w:b/>
        </w:rPr>
        <w:t xml:space="preserve">Abstract (EN): </w:t>
      </w:r>
      <w:r>
        <w:t>Confronting the global freshwater crisis, solar interfacial evaporation (SIE) has emerged as a sustainable desalination technology. However, prevailing research remains anchored in a material‐centric or structural engineering innovation, treating water as a passive medium. This review proposes a unifying water‐centric framework by introducing the concept of a “water behavior chain” that maps the complete journey of water, from water transport and water state regulation to interfacial evaporation and product management. We systematically elucidate how hierarchical regulation of this chain enables breakthrough performance: engineering of water supply pathways for optimal thermal management, synergistic effects to reduce evaporation enthalpy and enhance evaporation rates, and design of smart interfaces for the synchronous reuse of both salt and vapor to ensure long‐term stability. Moving beyond freshwater production, we demonstrate how mastering the water behavior chain unlocks multifunctional SIE systems for synergistic water‐energy cogeneration, selective resource recovery and water pollutant purification. This review not only fills a critical gap by placing water at the heart of SIE analysis but also provides a unified roadmap to guide the development of next‐generation, high‐performance, and intelligent solar evaporation technologies.</w:t>
      </w:r>
    </w:p>
    <w:p>
      <w:pPr>
        <w:spacing w:before="120" w:after="120"/>
      </w:pPr>
      <w:r>
        <w:rPr>
          <w:sz w:val="18"/>
        </w:rPr>
        <w:t>——————————————————————————————————————————————————————————————————————</w:t>
      </w:r>
    </w:p>
    <w:p>
      <w:pPr>
        <w:spacing w:before="160" w:after="40" w:line="240" w:lineRule="auto"/>
      </w:pPr>
      <w:r>
        <w:rPr>
          <w:b/>
        </w:rPr>
        <w:t xml:space="preserve">[5] </w:t>
      </w:r>
      <w:hyperlink r:id="rId238">
        <w:r>
          <w:rPr>
            <w:color w:val="1155CC"/>
            <w:u w:val="single"/>
          </w:rPr>
          <w:t>一种六层级联大温跨电热冷却装置</w:t>
        </w:r>
      </w:hyperlink>
    </w:p>
    <w:p>
      <w:pPr>
        <w:spacing w:before="0" w:after="80"/>
      </w:pPr>
      <w:r>
        <w:rPr>
          <w:i/>
          <w:sz w:val="20"/>
        </w:rPr>
        <w:t>EN: A Six‐Layer Cascaded Electrocaloric Cooling Device With Large Temperature Span</w:t>
      </w:r>
    </w:p>
    <w:p>
      <w:pPr>
        <w:spacing w:before="0" w:after="120"/>
      </w:pPr>
      <w:r>
        <w:rPr>
          <w:b/>
        </w:rPr>
        <w:t xml:space="preserve">Source: </w:t>
      </w:r>
      <w:r>
        <w:t>Wiley: Advanced Energy Materials: Table of Contents</w:t>
      </w:r>
      <w:r>
        <w:t xml:space="preserve">    </w:t>
      </w:r>
      <w:r>
        <w:rPr>
          <w:b/>
        </w:rPr>
        <w:t xml:space="preserve">Pub date: </w:t>
      </w:r>
      <w:r>
        <w:t>2026-07-17 10:01:24+00:00</w:t>
      </w:r>
      <w:r>
        <w:t xml:space="preserve">    </w:t>
      </w:r>
      <w:r>
        <w:rPr>
          <w:b/>
        </w:rPr>
        <w:t xml:space="preserve">DOI: </w:t>
      </w:r>
      <w:hyperlink r:id="rId239">
        <w:r>
          <w:rPr>
            <w:color w:val="1155CC"/>
            <w:u w:val="single"/>
          </w:rPr>
          <w:t>10.1002/aenm.71318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电热（EC）冷却技术具有小型化、低能耗和固态运行等优点。然而，温度跨度（Δ</w:t>
      </w:r>
      <w:r>
        <w:t xml:space="preserve"> </w:t>
      </w:r>
      <w:r>
        <w:t>时间</w:t>
      </w:r>
      <w:r>
        <w:t xml:space="preserve"> </w:t>
      </w:r>
      <w:r>
        <w:t>跨度</w:t>
      </w:r>
      <w:r>
        <w:t xml:space="preserve"> </w:t>
      </w:r>
      <w:r>
        <w:t>）的 EC 设备仍然有限，必须得到增强。在这里，我们构建了一个六层级联电热冷却装置（SCECD），它实现了大的Δ</w:t>
      </w:r>
      <w:r>
        <w:t xml:space="preserve"> </w:t>
      </w:r>
      <w:r>
        <w:t>时间</w:t>
      </w:r>
      <w:r>
        <w:t xml:space="preserve"> </w:t>
      </w:r>
      <w:r>
        <w:t>跨度</w:t>
      </w:r>
      <w:r>
        <w:t xml:space="preserve"> </w:t>
      </w:r>
      <w:r>
        <w:t>。静电驱动和自驱动的协同作用确保静电力和变形力始终以相同方向作用在EC堆栈上，从而提高了SCECD中的传热效率。作为电极的铜 (Cu) 被蒸发到 EC 堆栈上，以增加其刚度并提高不稳定的临界电压，这通常表现为局部起皱或凹陷。这一增强功能提高了 EC 堆栈的抗稳定性，从而确保驱动条件下的均匀变形。因此，结合了静电驱动和自驱动的 SCECD 实现了 Δ</w:t>
      </w:r>
      <w:r>
        <w:t xml:space="preserve"> </w:t>
      </w:r>
      <w:r>
        <w:t>时间</w:t>
      </w:r>
      <w:r>
        <w:t xml:space="preserve"> </w:t>
      </w:r>
      <w:r>
        <w:t>跨度</w:t>
      </w:r>
      <w:r>
        <w:t xml:space="preserve"> </w:t>
      </w:r>
      <w:r>
        <w:t>13.07 K 和冷却温度变化 (Δ</w:t>
      </w:r>
      <w:r>
        <w:t xml:space="preserve"> </w:t>
      </w:r>
      <w:r>
        <w:t>时间</w:t>
      </w:r>
      <w:r>
        <w:t xml:space="preserve"> </w:t>
      </w:r>
      <w:r>
        <w:t>冷却</w:t>
      </w:r>
      <w:r>
        <w:t xml:space="preserve"> </w:t>
      </w:r>
      <w:r>
        <w:t>）的6.45 K。SCECD不仅在基于聚合物的EC器件领域实现了出色的冷却性能，而且还为开发实用固态冷却技术的持续努力做出了贡献。</w:t>
      </w:r>
    </w:p>
    <w:p>
      <w:pPr>
        <w:spacing w:before="0" w:after="200" w:lineRule="auto" w:line="276"/>
      </w:pPr>
      <w:r>
        <w:rPr>
          <w:b/>
        </w:rPr>
        <w:t xml:space="preserve">Abstract (EN): </w:t>
      </w:r>
      <w:r>
        <w:t>Electrocaloric (EC) cooling technology offers advantages such as miniaturization, low energy consumption, and solid‐state operation. However, the temperature span (Δ</w:t>
      </w:r>
      <w:r>
        <w:t xml:space="preserve"> </w:t>
      </w:r>
      <w:r>
        <w:t>T</w:t>
      </w:r>
      <w:r>
        <w:t xml:space="preserve"> </w:t>
      </w:r>
      <w:r>
        <w:t>span</w:t>
      </w:r>
      <w:r>
        <w:t xml:space="preserve"> </w:t>
      </w:r>
      <w:r>
        <w:t>) of EC devices remains limited and must be enhanced. Here, we construct a six‐layer cascade electrocaloric cooling device (SCECD) that achieves a large Δ</w:t>
      </w:r>
      <w:r>
        <w:t xml:space="preserve"> </w:t>
      </w:r>
      <w:r>
        <w:t>T</w:t>
      </w:r>
      <w:r>
        <w:t xml:space="preserve"> </w:t>
      </w:r>
      <w:r>
        <w:t>span</w:t>
      </w:r>
      <w:r>
        <w:t xml:space="preserve"> </w:t>
      </w:r>
      <w:r>
        <w:t>. The synergy of electrostatic actuation and self‐actuation ensures that electrostatic force and deformation force always act in the same direction on the EC stack, enhancing heat transfer efficiency in the SCECD. The copper (Cu) as the electrode is evaporated onto the EC stack to increase its stiffness and raise the critical voltage for instability, which typically manifests as localized wrinkling or dimpling. This enhancement improves the resistance of the EC stack to instability, thus ensuring uniform deformation under actuation conditions. As a result, the SCECD, which combines electrostatic actuation and self‐actuation, achieves a Δ</w:t>
      </w:r>
      <w:r>
        <w:t xml:space="preserve"> </w:t>
      </w:r>
      <w:r>
        <w:t>T</w:t>
      </w:r>
      <w:r>
        <w:t xml:space="preserve"> </w:t>
      </w:r>
      <w:r>
        <w:t>span</w:t>
      </w:r>
      <w:r>
        <w:t xml:space="preserve"> </w:t>
      </w:r>
      <w:r>
        <w:t>of 13.07 K and a cooling temperature change (Δ</w:t>
      </w:r>
      <w:r>
        <w:t xml:space="preserve"> </w:t>
      </w:r>
      <w:r>
        <w:t>T</w:t>
      </w:r>
      <w:r>
        <w:t xml:space="preserve"> </w:t>
      </w:r>
      <w:r>
        <w:t>cooling</w:t>
      </w:r>
      <w:r>
        <w:t xml:space="preserve"> </w:t>
      </w:r>
      <w:r>
        <w:t>) of 6.45 K. The SCECD not only achieves an outstanding cooling performance within the field of polymer‐based EC devices, but also contributes to ongoing efforts in developing practical solid‐state cooling technologies.</w:t>
      </w:r>
    </w:p>
    <w:p>
      <w:pPr>
        <w:spacing w:before="120" w:after="120"/>
      </w:pPr>
      <w:r>
        <w:rPr>
          <w:sz w:val="18"/>
        </w:rPr>
        <w:t>——————————————————————————————————————————————————————————————————————</w:t>
      </w:r>
    </w:p>
    <w:p>
      <w:pPr>
        <w:spacing w:before="160" w:after="40" w:line="240" w:lineRule="auto"/>
      </w:pPr>
      <w:r>
        <w:rPr>
          <w:b/>
        </w:rPr>
        <w:t xml:space="preserve">[6] </w:t>
      </w:r>
      <w:hyperlink r:id="rId240">
        <w:r>
          <w:rPr>
            <w:color w:val="1155CC"/>
            <w:u w:val="single"/>
          </w:rPr>
          <w:t>基于氧化还原活性盐溶解-结晶循环的电化学驱动制冷</w:t>
        </w:r>
      </w:hyperlink>
    </w:p>
    <w:p>
      <w:pPr>
        <w:spacing w:before="0" w:after="80"/>
      </w:pPr>
      <w:r>
        <w:rPr>
          <w:i/>
          <w:sz w:val="20"/>
        </w:rPr>
        <w:t>EN: Electrochemically Driven Refrigeration Based on Dissolution–Crystallization Cycle of Redox‐Active Salts</w:t>
      </w:r>
    </w:p>
    <w:p>
      <w:pPr>
        <w:spacing w:before="0" w:after="120"/>
      </w:pPr>
      <w:r>
        <w:rPr>
          <w:b/>
        </w:rPr>
        <w:t xml:space="preserve">Source: </w:t>
      </w:r>
      <w:r>
        <w:t>Wiley: Advanced Energy Materials: Table of Contents</w:t>
      </w:r>
      <w:r>
        <w:t xml:space="preserve">    </w:t>
      </w:r>
      <w:r>
        <w:rPr>
          <w:b/>
        </w:rPr>
        <w:t xml:space="preserve">Pub date: </w:t>
      </w:r>
      <w:r>
        <w:t>2026-07-17 12:48:10+00:00</w:t>
      </w:r>
      <w:r>
        <w:t xml:space="preserve">    </w:t>
      </w:r>
      <w:r>
        <w:rPr>
          <w:b/>
        </w:rPr>
        <w:t xml:space="preserve">DOI: </w:t>
      </w:r>
      <w:hyperlink r:id="rId241">
        <w:r>
          <w:rPr>
            <w:color w:val="1155CC"/>
            <w:u w:val="single"/>
          </w:rPr>
          <w:t>10.1002/aenm.71304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节能且环境可持续的制冷技术对于缓解气候变化至关重要。在这里，我们报告了一种电化学驱动的溶解结晶制冷循环（EDCR），这是一种液态电化学冷却概念，其中冷却是通过电化学再生的氧化还原活性盐的吸热溶解产生的。与传统的电化学制冷不同，传统的电化学制冷的冷却效果直接由吸热氧化还原反应产生，因此被焦耳加热部分抵消，EDCR 在空间上将电化学再生与基于溶解的冷却分开。 EDCR在没有热损失的理想条件下实现了5.65 K的最大温降和高达15.51的最大性能系数，相当于室温下29.8%的相对卡诺效率。这项概念验证研究将 EDCR 确立为一种有前景的无氢氟碳制冷策略，并为探索液态电化学冷却循环提供了一条新途径。</w:t>
      </w:r>
    </w:p>
    <w:p>
      <w:pPr>
        <w:spacing w:before="0" w:after="200" w:lineRule="auto" w:line="276"/>
      </w:pPr>
      <w:r>
        <w:rPr>
          <w:b/>
        </w:rPr>
        <w:t xml:space="preserve">Abstract (EN): </w:t>
      </w:r>
      <w:r>
        <w:t>Developing energy‐efficient and environmentally sustainable refrigeration technologies is critically important for mitigating climate change. Here, we report an electrochemically driven dissolution–crystallization refrigeration cycle (EDCR), a liquid‐state electrochemical cooling concept in which cooling is generated by the endothermic dissolution of electrochemically regenerated redox‐active salts. Unlike conventional electrochemical refrigeration, where the cooling effect arises directly from endothermic redox reactions and is therefore partly offset by Joule heating, EDCR spatially separates electrochemical regeneration from dissolution‐based cooling. The EDCR achieves a maximum temperature drop of 5.65 K and a maximum coefficient of performance of up to 15.51 under ideal condition without heat loss, corresponding to a relative Carnot efficiency of 29.8% at room temperature. This proof‐of‐concept study establishes EDCR as a promising hydrofluorocarbon‐free refrigeration strategy and provides a new route for exploring liquid‐state electrochemical cooling cycle.</w:t>
      </w:r>
    </w:p>
    <w:p>
      <w:pPr>
        <w:spacing w:before="120" w:after="120"/>
      </w:pPr>
      <w:r>
        <w:rPr>
          <w:sz w:val="18"/>
        </w:rPr>
        <w:t>——————————————————————————————————————————————————————————————————————</w:t>
      </w:r>
    </w:p>
    <w:p>
      <w:pPr>
        <w:spacing w:before="160" w:after="40" w:line="240" w:lineRule="auto"/>
      </w:pPr>
      <w:r>
        <w:rPr>
          <w:b/>
        </w:rPr>
        <w:t xml:space="preserve">[7] </w:t>
      </w:r>
      <w:hyperlink r:id="rId242">
        <w:r>
          <w:rPr>
            <w:color w:val="1155CC"/>
            <w:u w:val="single"/>
          </w:rPr>
          <w:t>带热能存储的太阳能驱动吸附过冷二氧化碳增压制冷装置的动态建模：来自世界的生命周期能源、环境、经济见解</w:t>
        </w:r>
      </w:hyperlink>
    </w:p>
    <w:p>
      <w:pPr>
        <w:spacing w:before="0" w:after="80"/>
      </w:pPr>
      <w:r>
        <w:rPr>
          <w:i/>
          <w:sz w:val="20"/>
        </w:rPr>
        <w:t>EN: Dynamic modeling of solar-driven adsorption subcooling CO2 booster refrigeration plant with thermal energy storage: Life cycle energy, environmental, economic insights from the world</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243">
        <w:r>
          <w:rPr>
            <w:color w:val="1155CC"/>
            <w:u w:val="single"/>
          </w:rPr>
          <w:t>10.1016/j.apenergy.2026.128410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44">
        <w:r>
          <w:rPr>
            <w:color w:val="1155CC"/>
            <w:u w:val="single"/>
          </w:rPr>
          <w:t>尺度桥接界面设计可实现高性能可持续热电学</w:t>
        </w:r>
      </w:hyperlink>
    </w:p>
    <w:p>
      <w:pPr>
        <w:spacing w:before="0" w:after="80"/>
      </w:pPr>
      <w:r>
        <w:rPr>
          <w:i/>
          <w:sz w:val="20"/>
        </w:rPr>
        <w:t>EN: Scale-bridging interface design enables high-performance sustainable thermoelectrics</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提高能源效率和减少资源浪费推动可持续热电技术收集低品位热量。然而，由于耦合传输和多尺度优化，实现高性能和耐用的系统仍然具有挑战性。在这里，我们建立了一种以尺度桥接界面为中心的设计策略，将宏观连接工程和微观界面调制联系起来。以n型Mg3(Sb, Bi)2为代表体系，以器件级接触界面的比较评估为指导，将Mg2Ni转化为n型Mg3(Sb, Bi)2中的尺度桥接界面相：形成低电阻和热稳定的外部结，同时作为内部界面改性剂，减轻晶界载流子散射，增强声子散射。这种尺度桥接接口设计在 300 至 723 K 范围内产生 1.5 的平均 zT，具有高热稳定性。通过应用Mg2Ni作为内部改性剂和外部势垒层，当与p型MgAgSb耦合时，两对模块可提供8.3%的稳定转换效率，在可比温差下的转换效率与代表性的Bi2Te3基热电模块相比毫不逊色。这项工作建立了一个桥接接口设计框架，将器件接触工程与内部接口调制联系起来，为高效、持久的热电能量转换提供了一条实用途径。</w:t>
      </w:r>
    </w:p>
    <w:p>
      <w:pPr>
        <w:spacing w:before="0" w:after="200" w:lineRule="auto" w:line="276"/>
      </w:pPr>
      <w:r>
        <w:rPr>
          <w:b/>
        </w:rPr>
        <w:t xml:space="preserve">Abstract (EN): </w:t>
      </w:r>
      <w:r>
        <w:t>Improving energy efficiency and reducing resource waste motivate sustainable thermoelectric technologies for harvesting low-grade heat. Yet achieving high-performance and durable systems remains challenging due to coupled transport and multiscale optimization. Here, we establish a scale-bridging interface-centric design strategy that links macroscopic junction engineering and microscopic interface modulation. Based on n-type Mg3(Sb, Bi)2 as the representative system and guided by comparative evaluation of device-level contact interfaces, we translate Mg2Ni into a scale-bridging interfacial phase in n-type Mg3(Sb, Bi)2: it forms low-resistance and thermally stable external junctions while, as an internal interfacial modifier, alleviating grain-boundary carrier scattering and strengthening phonon scattering. This scale-bridged interface design yields an average zT of 1.5 over 300 to 723 K with high thermal stability. By applying Mg2Ni as both an internal modifier and an external barrier layer, a two-pair module delivers a stable conversion efficiency of 8.3% when coupled with p-type MgAgSb, comparing favorably with representative Bi2Te3-based thermoelectric modules in terms of conversion efficiency under comparable temperature differences. This work establishes a bridging interface design framework that links device contact engineering with internal interface modulation, providing a practical route toward efficient and durable thermoelectric energy conversion.</w:t>
      </w:r>
    </w:p>
    <w:p>
      <w:pPr>
        <w:spacing w:before="120" w:after="120"/>
      </w:pPr>
      <w:r>
        <w:rPr>
          <w:sz w:val="18"/>
        </w:rPr>
        <w:t>——————————————————————————————————————————————————————————————————————</w:t>
      </w:r>
    </w:p>
    <w:p>
      <w:pPr>
        <w:spacing w:before="160" w:after="40" w:line="240" w:lineRule="auto"/>
      </w:pPr>
      <w:r>
        <w:rPr>
          <w:b/>
        </w:rPr>
        <w:t xml:space="preserve">[9] </w:t>
      </w:r>
      <w:hyperlink r:id="rId245">
        <w:r>
          <w:rPr>
            <w:color w:val="1155CC"/>
            <w:u w:val="single"/>
          </w:rPr>
          <w:t>通过图神经网络和加权总最小二乘法对燃气轮机进行不确定性感知多故障诊断</w:t>
        </w:r>
      </w:hyperlink>
    </w:p>
    <w:p>
      <w:pPr>
        <w:spacing w:before="0" w:after="80"/>
      </w:pPr>
      <w:r>
        <w:rPr>
          <w:i/>
          <w:sz w:val="20"/>
        </w:rPr>
        <w:t>EN: Uncertainty-aware multi-fault diagnosis in gas turbines via graph neural networks and weighted total least squares</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246">
        <w:r>
          <w:rPr>
            <w:color w:val="1155CC"/>
            <w:u w:val="single"/>
          </w:rPr>
          <w:t>10.1016/j.apenergy.2026.128415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247">
        <w:r>
          <w:rPr>
            <w:color w:val="1155CC"/>
            <w:u w:val="single"/>
          </w:rPr>
          <w:t>由物理信息气象数据驱动的集成热电联产的风险感知阻力增强</w:t>
        </w:r>
      </w:hyperlink>
    </w:p>
    <w:p>
      <w:pPr>
        <w:spacing w:before="0" w:after="80"/>
      </w:pPr>
      <w:r>
        <w:rPr>
          <w:i/>
          <w:sz w:val="20"/>
        </w:rPr>
        <w:t>EN: Risk-aware resistance enhancement for integrated heat and power supply driven by physics-informed meteorological data</w:t>
      </w:r>
    </w:p>
    <w:p>
      <w:pPr>
        <w:spacing w:before="0" w:after="120"/>
      </w:pPr>
      <w:r>
        <w:rPr>
          <w:b/>
        </w:rPr>
        <w:t xml:space="preserve">Source: </w:t>
      </w:r>
      <w:r>
        <w:t>ScienceDirect Publication: Applied Energy</w:t>
      </w:r>
      <w:r>
        <w:t xml:space="preserve">    </w:t>
      </w:r>
      <w:r>
        <w:rPr>
          <w:b/>
        </w:rPr>
        <w:t xml:space="preserve">Pub date: </w:t>
      </w:r>
      <w:r>
        <w:t>2026-07-18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37">
        <w:r>
          <w:rPr>
            <w:color w:val="1155CC"/>
            <w:u w:val="single"/>
          </w:rPr>
          <w:t>政府如何支持替代能源项目的推广？</w:t>
        </w:r>
      </w:hyperlink>
    </w:p>
    <w:p>
      <w:pPr>
        <w:spacing w:before="0" w:after="80"/>
      </w:pPr>
      <w:r>
        <w:rPr>
          <w:i/>
          <w:sz w:val="20"/>
        </w:rPr>
        <w:t>EN: How could the government support the spread of alternative energy projects?</w:t>
      </w:r>
    </w:p>
    <w:p>
      <w:pPr>
        <w:spacing w:before="0" w:after="120"/>
      </w:pPr>
      <w:r>
        <w:rPr>
          <w:b/>
        </w:rPr>
        <w:t xml:space="preserve">Source: </w:t>
      </w:r>
      <w:r>
        <w:t>ScienceDirect Publication: Energy Policy</w:t>
      </w:r>
      <w:r>
        <w:t xml:space="preserve">    </w:t>
      </w:r>
      <w:r>
        <w:rPr>
          <w:b/>
        </w:rPr>
        <w:t xml:space="preserve">Pub date: </w:t>
      </w:r>
      <w:r>
        <w:t>2026-07-18 00:00:00+00:00</w:t>
      </w:r>
      <w:r>
        <w:t xml:space="preserve">    </w:t>
      </w:r>
      <w:r>
        <w:rPr>
          <w:b/>
        </w:rPr>
        <w:t xml:space="preserve">DOI: </w:t>
      </w:r>
      <w:hyperlink r:id="rId38">
        <w:r>
          <w:rPr>
            <w:color w:val="1155CC"/>
            <w:u w:val="single"/>
          </w:rPr>
          <w:t>10.1016/j.enpol.2026.115513</w:t>
        </w:r>
      </w:hyperlink>
    </w:p>
    <w:p>
      <w:pPr>
        <w:spacing w:before="0" w:after="120"/>
      </w:pPr>
      <w:r>
        <w:rPr>
          <w:b/>
        </w:rPr>
        <w:t xml:space="preserve">Notes: </w:t>
      </w:r>
      <w:r>
        <w:t>abstract_source=openalex</w:t>
      </w:r>
    </w:p>
    <w:p>
      <w:pPr>
        <w:spacing w:before="0" w:after="80" w:lineRule="auto" w:line="276"/>
      </w:pPr>
      <w:r>
        <w:rPr>
          <w:b/>
        </w:rPr>
        <w:t xml:space="preserve">摘要（ZH）: </w:t>
      </w:r>
      <w:r>
        <w:t>本文探讨了一个涉及 200 kWp 太阳能电池板项目、1200 kW 木片燃烧锅炉和 6 kW 热泵系统的案例研究，重点关注市场驱动型投资者成功实施此类举措必须解决的关键风险。主要目标是强调政府可用于支持和促进可再生能源项目实现的工具。本文通过案例研究的方法，分析了政府如何通过确保透明度、提供有针对性的激励措施和建立有效的财务框架来降低投资者风险。此类激励措施可能包括预先确定的上网电价补贴（FIT）、绿色定价计划、上网电价补贴（FIP）、资本补贴、赠款、回扣、绿色或白色证书或碳信用额、低息贷款。这些选项的影响在 200 kWp 太阳能光伏系统、1200 kW 木片燃烧锅炉和 6 kW 热泵系统的案例研究中进行了量化。一个关键方面是利益相关者利益的法律保护，这对于树立投资者信心起着重要作用。此外，一些国家还引入了保险机制，以防止表现不佳的项目造成潜在的财务损失。总之，该研究强调，政府通过建立必要的支持或激励立法和监管框架，并提供保证投资者长期回报的财政激励措施，在扩大可再生能源的使用方面发挥着至关重要的作用。计算表明，每1kW装机容量，最多</w:t>
      </w:r>
    </w:p>
    <w:p>
      <w:pPr>
        <w:spacing w:before="0" w:after="200" w:lineRule="auto" w:line="276"/>
      </w:pPr>
      <w:r>
        <w:rPr>
          <w:b/>
        </w:rPr>
        <w:t xml:space="preserve">Abstract (EN): </w:t>
      </w:r>
      <w:r>
        <w:t>This article explores a case study involving a 200 kWp solar panel project a 1200 kW woodchip-fired boiler, and a 6 kW heat pump system, focusing on the key risks that must be addressed for market-driven investors to successfully implement such initiatives. The main objective is to highlight the tools available to governments to support and promote the realization of renewable energy projects. Through a case study approach, the paper analyses how governments can reduce investor risks by ensuring transparency, offering targeted incentives, and establishing effective financial frameworks. Such incentives might include pre-determined feed-in tariffs (FITs), green pricing programs, feed-in premiums (FIP), capital subsidies, grants, rebates, green or white certificates or carbon credits, low-interest loans. The effects of these options are quantified in the case study for a 200 kWp solar PV system, a 1200 kW woodchip-fired boiler, and a 6 kW heat pump system. A critical aspect is the legal protection of stakeholder interests, which plays a major role in building investor confidence. Additionally, several countries have introduced insurance mechanisms to safeguard against potential financial losses from underperforming projects. In conclusion, the study emphasizes that governments play a vital role in expanding the use of renewable energy by creating the necessary supporting or incentivising legislative and regulatory framework and providing financial incentives that guarantee long-term returns for investors. Calculations indicate that, per 1 kW of installed capacity, the most beneficial approach for the state involves providing investment grants. This strategy is followed in effectiveness by subsidized interest rate loans, and subsequently by feed-in tariffs and feed-in premiums or purchase price support.</w:t>
      </w:r>
    </w:p>
    <w:p>
      <w:pPr>
        <w:spacing w:before="120" w:after="120"/>
      </w:pPr>
      <w:r>
        <w:rPr>
          <w:sz w:val="18"/>
        </w:rPr>
        <w:t>——————————————————————————————————————————————————————————————————————</w:t>
      </w:r>
    </w:p>
    <w:p>
      <w:pPr>
        <w:spacing w:before="160" w:after="40" w:line="240" w:lineRule="auto"/>
      </w:pPr>
      <w:r>
        <w:rPr>
          <w:b/>
        </w:rPr>
        <w:t xml:space="preserve">[12] </w:t>
      </w:r>
      <w:hyperlink r:id="rId248">
        <w:r>
          <w:rPr>
            <w:color w:val="1155CC"/>
            <w:u w:val="single"/>
          </w:rPr>
          <w:t>定频家用空调切换感知模型预测控制解决方案的开发</w:t>
        </w:r>
      </w:hyperlink>
    </w:p>
    <w:p>
      <w:pPr>
        <w:spacing w:before="0" w:after="80"/>
      </w:pPr>
      <w:r>
        <w:rPr>
          <w:i/>
          <w:sz w:val="20"/>
        </w:rPr>
        <w:t>EN: Development of switching-aware model predictive control solutions for fixed-frequency residential air conditioners</w:t>
      </w:r>
    </w:p>
    <w:p>
      <w:pPr>
        <w:spacing w:before="0" w:after="120"/>
      </w:pPr>
      <w:r>
        <w:rPr>
          <w:b/>
        </w:rPr>
        <w:t xml:space="preserve">Source: </w:t>
      </w:r>
      <w:r>
        <w:t>ScienceDirect Publication: Applied Energy</w:t>
      </w:r>
      <w:r>
        <w:t xml:space="preserve">    </w:t>
      </w:r>
      <w:r>
        <w:rPr>
          <w:b/>
        </w:rPr>
        <w:t xml:space="preserve">Pub date: </w:t>
      </w:r>
      <w:r>
        <w:t>2026-07-19 00:00:00+00:00</w:t>
      </w:r>
      <w:r>
        <w:t xml:space="preserve">    </w:t>
      </w:r>
      <w:r>
        <w:rPr>
          <w:b/>
        </w:rPr>
        <w:t xml:space="preserve">DOI: </w:t>
      </w:r>
      <w:hyperlink r:id="rId249">
        <w:r>
          <w:rPr>
            <w:color w:val="1155CC"/>
            <w:u w:val="single"/>
          </w:rPr>
          <w:t>10.1016/j.apenergy.2026.128491</w:t>
        </w:r>
      </w:hyperlink>
    </w:p>
    <w:p>
      <w:pPr>
        <w:spacing w:before="0" w:after="120"/>
      </w:pPr>
      <w:r>
        <w:rPr>
          <w:b/>
        </w:rPr>
        <w:t xml:space="preserve">Notes: </w:t>
      </w:r>
      <w:r>
        <w:t>abstract_source=openalex</w:t>
      </w:r>
    </w:p>
    <w:p>
      <w:pPr>
        <w:spacing w:before="0" w:after="80" w:lineRule="auto" w:line="276"/>
      </w:pPr>
      <w:r>
        <w:rPr>
          <w:b/>
        </w:rPr>
        <w:t xml:space="preserve">摘要（ZH）: </w:t>
      </w:r>
      <w:r>
        <w:t>固定频率家用空调中的二元开/关驱动在经济模型预测控制和可部署控制器之间造成了实际差距：控制器有望降低运营成本，而不会导致快速循环、舒适度违规或过多的计算负担。本文开发并评估了动态电价下定频家用空调的五种切换感知模型预测控制解决方案。研究的解决方案包括三个具有开关惩罚、频率限制或最小开/关持续时间的混合整数公式，以及两个连续松弛公式，然后进行阈值或 Delta-Sigma (Δ - Σ) 量化。为了实现受控和可重复的比较，所有控制器都使用相同的系统动态模型（1R1C 模型）、相同的 BOPTEST BESTEST 水力热泵模拟器和评估指标（包括成本、不适、切换和计算时间指标）进行测试。实现设置是明确的，包括 10 分钟控制步骤、36 步范围、CVXPY、混合整数程序的 ECOS_BB 以及连续松弛的 OSQP。结果表明，所有模型预测控制公式相对于恒温基线可降低 14%–24% 的运营成本，同时提高热舒适度。在测试的假设下，软约束公式由于其广泛的调谐不敏感区域而提供了最平衡的观察到的权衡，而 Δ - Σ 公式虽然具有更高的调谐灵敏度，但提供了低延迟替代方案。这</w:t>
      </w:r>
    </w:p>
    <w:p>
      <w:pPr>
        <w:spacing w:before="0" w:after="200" w:lineRule="auto" w:line="276"/>
      </w:pPr>
      <w:r>
        <w:rPr>
          <w:b/>
        </w:rPr>
        <w:t xml:space="preserve">Abstract (EN): </w:t>
      </w:r>
      <w:r>
        <w:t>Binary ON/OFF actuation in fixed-frequency residential air conditioners creates a practical gap between economic model predictive control and deployable controllers: the controller is expected to reduce operating cost without causing rapid cycling, comfort violations, or excessive computational burden. This paper develops and evaluates five switching-aware model predictive control solutions for fixed-frequency residential air conditioners under dynamic electricity pricing. The studied solutions include three mixed-integer formulations with switching penalties, frequency limits, or minimum ON/OFF durations, and two continuous-relaxation formulations followed by threshold or Delta-Sigma ( Δ - Σ ) quantization. To enable a controlled and reproducible comparison, all controllers are tested with the same system dynamic model (1R1C model), the same BOPTEST BESTEST Hydronic Heat Pump emulator, and evaluation metrics, including cost, discomfort, switching, and computation-time metrics. The implementation settings are made explicit, including a 10-min control step, a 36-step horizon, CVXPY, ECOS_BB for mixed-integer programs, and OSQP for continuous relaxations. The results show that all model predictive control formulations reduce operating cost by 14%–24% relative to a thermostatic baseline while improving thermal comfort. Under the tested assumptions, the soft-constrained formulation provides the most balanced observed trade-off because of its broad tuning-insensitive region, while the Δ - Σ formulation provides a low-latency alternative though with higher tuning sensitivity. These findings provide practical guidance for selecting switching-aware control formulations for resource-constrained residential applications.</w:t>
      </w:r>
    </w:p>
    <w:p>
      <w:pPr>
        <w:spacing w:before="120" w:after="120"/>
      </w:pPr>
      <w:r>
        <w:rPr>
          <w:sz w:val="18"/>
        </w:rPr>
        <w:t>——————————————————————————————————————————————————————————————————————</w:t>
      </w:r>
    </w:p>
    <w:p>
      <w:pPr>
        <w:spacing w:before="160" w:after="40" w:line="240" w:lineRule="auto"/>
      </w:pPr>
      <w:r>
        <w:rPr>
          <w:b/>
        </w:rPr>
        <w:t xml:space="preserve">[13] </w:t>
      </w:r>
      <w:hyperlink r:id="rId250">
        <w:r>
          <w:rPr>
            <w:color w:val="1155CC"/>
            <w:u w:val="single"/>
          </w:rPr>
          <w:t>医疗废物等离子体气化与其他废物处理结合应用策略的鲁棒优化</w:t>
        </w:r>
      </w:hyperlink>
    </w:p>
    <w:p>
      <w:pPr>
        <w:spacing w:before="0" w:after="80"/>
      </w:pPr>
      <w:r>
        <w:rPr>
          <w:i/>
          <w:sz w:val="20"/>
        </w:rPr>
        <w:t>EN: Robust optimization for the application strategy of medical waste plasma gasification integrated with other waste treatments</w:t>
      </w:r>
    </w:p>
    <w:p>
      <w:pPr>
        <w:spacing w:before="0" w:after="120"/>
      </w:pPr>
      <w:r>
        <w:rPr>
          <w:b/>
        </w:rPr>
        <w:t xml:space="preserve">Source: </w:t>
      </w:r>
      <w:r>
        <w:t>ScienceDirect Publication: Applied Energy</w:t>
      </w:r>
      <w:r>
        <w:t xml:space="preserve">    </w:t>
      </w:r>
      <w:r>
        <w:rPr>
          <w:b/>
        </w:rPr>
        <w:t xml:space="preserve">Pub date: </w:t>
      </w:r>
      <w:r>
        <w:t>2026-07-19 00:00:00+00:00</w:t>
      </w:r>
      <w:r>
        <w:t xml:space="preserve">    </w:t>
      </w:r>
      <w:r>
        <w:rPr>
          <w:b/>
        </w:rPr>
        <w:t xml:space="preserve">DOI: </w:t>
      </w:r>
      <w:hyperlink r:id="rId251">
        <w:r>
          <w:rPr>
            <w:color w:val="1155CC"/>
            <w:u w:val="single"/>
          </w:rPr>
          <w:t>10.1016/j.apenergy.2026.128472</w:t>
        </w:r>
      </w:hyperlink>
    </w:p>
    <w:p>
      <w:pPr>
        <w:spacing w:before="0" w:after="120"/>
      </w:pPr>
      <w:r>
        <w:rPr>
          <w:b/>
        </w:rPr>
        <w:t xml:space="preserve">Notes: </w:t>
      </w:r>
      <w:r>
        <w:t>abstract_source=openalex</w:t>
      </w:r>
    </w:p>
    <w:p>
      <w:pPr>
        <w:spacing w:before="0" w:after="80" w:lineRule="auto" w:line="276"/>
      </w:pPr>
      <w:r>
        <w:rPr>
          <w:b/>
        </w:rPr>
        <w:t xml:space="preserve">摘要（ZH）: </w:t>
      </w:r>
      <w:r>
        <w:t>医疗废物的等离子气化（MW）是一种清洁且有前景的废物能源化方法，还可以防止病毒传播。然而，其技术效率的波动限制了其有效应用。将MW等离子体气化与其他废物处理系统集成被认为是提高处理效率的有效策略。为了支持鲁棒和综合的决策，本研究开发了多目标动态鲁棒优化模型，以城市生活垃圾焚烧和污泥热解作为替代集成选项，以技术效率和电价作为不确定参数，在一系列运行场景下获得鲁棒的最优解决方案。结果表明，即使在最坏的情况下，稳健的解决方案仍然可行且有利可图，但代价是适度的利润让步。污泥热解一体化在最优配置中占主导地位，而城市固体废物焚烧一体化则在特定条件下出现，例如高碳MW原料或决策者风险承受能力低。技术效率和电价的波动都会改变技术选择。这项研究为管理者提供了用于兆瓦等离子体气化决策的可转移工具。</w:t>
      </w:r>
    </w:p>
    <w:p>
      <w:pPr>
        <w:spacing w:before="0" w:after="200" w:lineRule="auto" w:line="276"/>
      </w:pPr>
      <w:r>
        <w:rPr>
          <w:b/>
        </w:rPr>
        <w:t xml:space="preserve">Abstract (EN): </w:t>
      </w:r>
      <w:r>
        <w:t>Plasma gasification of medical waste (MW) is a clean and promising waste-to-energy approach that also prevents viral transmission. However, its fluctuating technical efficiency limits effective application. Integrating MW plasma gasification with other waste treatment systems is regarded as an effective strategy for improving treatment efficiency. To support robust and comprehensive decision-making, this study develops a multi-objective dynamic robust optimization model in which municipal solid waste incineration and sludge pyrolysis serve as alternative integration options, with technical efficiency and electricity price treated as uncertain parameters, to obtain robust optimal solutions under a range of operating scenarios. The results show that the robust solution remains feasible and profitable even in the worst case, at the cost of a moderate profit concession. Sludge pyrolysis integration dominates the optimal configuration, whereas municipal solid waste incineration integration arises under specific conditions, such as high-carbon MW feedstock or low decision-maker risk tolerance. Fluctuations in technical efficiency and electricity price can both alter the technology selection. This study provides managers with a transferable tool for MW plasma gasification decision-making.</w:t>
      </w:r>
    </w:p>
    <w:p>
      <w:pPr>
        <w:spacing w:before="120" w:after="120"/>
      </w:pPr>
      <w:r>
        <w:rPr>
          <w:sz w:val="18"/>
        </w:rPr>
        <w:t>——————————————————————————————————————————————————————————————————————</w:t>
      </w:r>
    </w:p>
    <w:p>
      <w:pPr>
        <w:spacing w:before="160" w:after="40" w:line="240" w:lineRule="auto"/>
      </w:pPr>
      <w:r>
        <w:rPr>
          <w:b/>
        </w:rPr>
        <w:t xml:space="preserve">[14] </w:t>
      </w:r>
      <w:hyperlink r:id="rId252">
        <w:r>
          <w:rPr>
            <w:color w:val="1155CC"/>
            <w:u w:val="single"/>
          </w:rPr>
          <w:t>致密光热膜中的承压水选择性高速公路可实现复杂废水的超快速净化</w:t>
        </w:r>
      </w:hyperlink>
    </w:p>
    <w:p>
      <w:pPr>
        <w:spacing w:before="0" w:after="80"/>
      </w:pPr>
      <w:r>
        <w:rPr>
          <w:i/>
          <w:sz w:val="20"/>
        </w:rPr>
        <w:t>EN: Confined water-selective highways in a densified photothermal membrane enable ultrafast purification of complex wastewater</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太阳能驱动界面蒸发（SDIE）是一种可持续的、碳中和的淡水生产方法。然而，同时实现高蒸发率和高效去除仍然具有挑战性，特别是对于化学和电子制造过程中富含浓离子和强极性挥发性有机化合物 (VOC) 的废水。在这里，我们报告了致密光热膜（DPM）内的受限水选择性高速公路，用于超快速净化此类复杂废水。通过机械压缩和亲水聚合物的合理选择，DPM 的层间纳米结构和化学环境以分子精度进行设计。由于空间位阻和化学选择性的协同作用，这种结构能够优先水传输，同时有效排除高浓度离子和强极性VOC。 DPM 在 1 kW m−2 下表现出 2.58 kg m−2 h−1 的高水蒸发率。 DPM 在各种接近饱和的高盐溶液（20 wt% 盐度）中保持稳定的性能超过 200 小时，即使在非常高的浓度下，也能够从常见（例如苯、甲苯、苯酚）和强极性 VOC（例如乙醇、异丙醇、正丁醇）中收集清洁水。设备集成进一步证明了其处理复杂废水的可扩展性，凸显了分子工程界面结构对于在挑战性条件下高效 SDIE 的重要性。</w:t>
      </w:r>
    </w:p>
    <w:p>
      <w:pPr>
        <w:spacing w:before="0" w:after="200" w:lineRule="auto" w:line="276"/>
      </w:pPr>
      <w:r>
        <w:rPr>
          <w:b/>
        </w:rPr>
        <w:t xml:space="preserve">Abstract (EN): </w:t>
      </w:r>
      <w:r>
        <w:t>Solar-driven interfacial evaporation (SDIE) is a sustainable, carbon-neutral approach for freshwater production. Nevertheless, achieving both high evaporation rates and efficient removal remains challenging, especially for wastewater enriched with concentrated ions and strongly polar volatile organic compounds (VOCs) from chemical and electronics manufacturing. Here, we report the confined water-selective highways within a densified photothermal membrane (DPM) for ultrafast purification of such complex wastewater. Through mechanical compression and the rational selection of hydrophilic polymers, DPM’s interlayer nanostructures and chemical environments are engineered with molecular precision. Due to the synergistic effect of steric hindrance and chemical selectivity, this structure enables preferential water transport while effectively excluding highly concentrated ions and strongly polar VOCs. DPM exhibits a high water evaporation rate of 2.58 kg m−2 h−1 under 1 kW m−2. DPM retains stable performance for over 200 h in various near-saturated hypersaline solutions (20 wt% salinity) and enables clean water harvesting from both common (e.g., benzene, toluene, phenol) and strongly polar VOCs (e.g., ethanol, isopropanol, n-butanol) even at very high concentrations. Device integration further demonstrates its scalability for treating complex wastewater, highlighting the significance of molecularly engineered interfacial architectures for efficient SDIE under challenging conditions.</w:t>
      </w:r>
    </w:p>
    <w:p>
      <w:pPr>
        <w:spacing w:before="120" w:after="120"/>
      </w:pPr>
      <w:r>
        <w:rPr>
          <w:sz w:val="18"/>
        </w:rPr>
        <w:t>——————————————————————————————————————————————————————————————————————</w:t>
      </w:r>
    </w:p>
    <w:p>
      <w:pPr>
        <w:spacing w:before="160" w:after="40" w:line="240" w:lineRule="auto"/>
      </w:pPr>
      <w:r>
        <w:rPr>
          <w:b/>
        </w:rPr>
        <w:t xml:space="preserve">[15] </w:t>
      </w:r>
      <w:hyperlink r:id="rId253">
        <w:r>
          <w:rPr>
            <w:color w:val="1155CC"/>
            <w:u w:val="single"/>
          </w:rPr>
          <w:t>GeTeC 纳米复合薄膜的超低导热率：对存储器和热电应用的影响</w:t>
        </w:r>
      </w:hyperlink>
    </w:p>
    <w:p>
      <w:pPr>
        <w:spacing w:before="0" w:after="80"/>
      </w:pPr>
      <w:r>
        <w:rPr>
          <w:i/>
          <w:sz w:val="20"/>
        </w:rPr>
        <w:t>EN: Ultra-Low Thermal Conductivity in a GeTeC Nanocomposite Thin Film: Implications for Memory and Thermoelectric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254">
        <w:r>
          <w:rPr>
            <w:color w:val="1155CC"/>
            <w:u w:val="single"/>
          </w:rPr>
          <w:t>10.1021/acsami.6c06268</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部分链接已复制！在相变材料中实现超低导热率是降低存储器件功耗同时保持功能性能的关键挑战。在此，我们报道了一种结晶 GeTe-非晶碳纳米复合薄膜，其导热系数极低，与纯 GeTe 相比，在室温下导热系数降低高达 80%。热导率仍然非常低，并且与温度的关系很弱，在 300 到 660 K 之间仅从 0.62(5) W m–1 K–1 增加到 0.82(4) W m–1 K–1。这种剧烈的抑制源于声子和电子热传输的联合减少。在强弹性对比的驱动下，GeTe/C 界面处的声子散射增强，并且由于 Ge 空位和无定形碳区域的散射而导致空穴迁移率降低，从而得到补充。尽管功率因数有所下降，但超低热导率弥补了这种影响，导致热电品质因数仅略低于纯 GeTe。抑制热传输、高结晶温度和保留热电性能的独特组合使这种纳米复合材料成为低编程电流的低功耗相变存储器（PCM）应用的有希望的候选者。 ACS 出版物 © 2026 作者。美国化学会出版</w:t>
      </w:r>
    </w:p>
    <w:p>
      <w:pPr>
        <w:spacing w:before="0" w:after="200" w:lineRule="auto" w:line="276"/>
      </w:pPr>
      <w:r>
        <w:rPr>
          <w:b/>
        </w:rPr>
        <w:t xml:space="preserve">Abstract (EN): </w:t>
      </w:r>
      <w:r>
        <w:t>Click to copy section link Section link copied! Achieving ultra-low thermal conductivity in phase-change materials is a key challenge for reducing power consumption in memory devices while preserving functional performance. Here, we report a crystalline GeTe–amorphous carbon nanocomposite thin film exhibiting an exceptionally low thermal conductivity, reduced by up to 80% at room temperature compared to pure GeTe. The thermal conductivity remains remarkably low and is weakly temperature-dependent, increasing only from 0.62(5) to 0.82(4) W m–1 K–1 between 300 and 660 K. This drastic suppression originates from the combined reduction of both phononic and electronic heat transport. Enhanced phonon scattering at GeTe/C interfaces, driven by strong elastic contrast, is complemented by reduced hole mobility due to scattering from Ge vacancies and amorphous carbon regions. Despite a degradation in the power factor, the ultra-low thermal conductivity compensates for this effect, resulting in a thermoelectric figure of merit only slightly lower than that of pure GeTe. The unique combination of suppressed thermal transport, high crystallization temperature, and preserved thermoelectric performance makes this nanocomposite a promising candidate for low-power phase-change memory (PCM) applications with reduced programming currents. ACS Publications © 2026 The Authors. Published by American Chemical Society</w:t>
      </w:r>
    </w:p>
    <w:p>
      <w:pPr>
        <w:spacing w:before="120" w:after="120"/>
      </w:pPr>
      <w:r>
        <w:rPr>
          <w:sz w:val="18"/>
        </w:rPr>
        <w:t>——————————————————————————————————————————————————————————————————————</w:t>
      </w:r>
    </w:p>
    <w:p>
      <w:pPr>
        <w:spacing w:before="160" w:after="40" w:line="240" w:lineRule="auto"/>
      </w:pPr>
      <w:r>
        <w:rPr>
          <w:b/>
        </w:rPr>
        <w:t xml:space="preserve">[16] </w:t>
      </w:r>
      <w:hyperlink r:id="rId255">
        <w:r>
          <w:rPr>
            <w:color w:val="1155CC"/>
            <w:u w:val="single"/>
          </w:rPr>
          <w:t>通过金属泡沫集成提高分段热电装置的抗热震性</w:t>
        </w:r>
      </w:hyperlink>
    </w:p>
    <w:p>
      <w:pPr>
        <w:spacing w:before="0" w:after="80"/>
      </w:pPr>
      <w:r>
        <w:rPr>
          <w:i/>
          <w:sz w:val="20"/>
        </w:rPr>
        <w:t>EN: Improving thermal shock resistance of segmented thermoelectric devices via metal foam integration</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热冲击失效限制了高性能分段热电器件在太空探索等极端环境下的长期可靠运行。以方钴矿-Bi2Te3分段热电腿为例，我们表明热冲击失效源于焊料和热电材料之间的热膨胀不匹配引起的热应力集中。为了解决这个问题，我们设计了镍泡沫复合焊料层，其网络约束焊料基体，减少其有效热膨胀，同时通过热冲击期间的塑性变形吸收应变能。具有镍泡沫复合焊料层的支脚可承受七次热冲击，且界面完好，预计使用寿命约为 133 次冷启动循环，比具有传统焊料层的支脚高约 6 倍。金属泡沫复合材料焊接策略为提高热电器件在极端热条件下的稳定性提供了一条实用途径，并支持其未来的应用驱动开发。</w:t>
      </w:r>
    </w:p>
    <w:p>
      <w:pPr>
        <w:spacing w:before="0" w:after="200" w:lineRule="auto" w:line="276"/>
      </w:pPr>
      <w:r>
        <w:rPr>
          <w:b/>
        </w:rPr>
        <w:t xml:space="preserve">Abstract (EN): </w:t>
      </w:r>
      <w:r>
        <w:t>Thermal shock failure restricts the long-term reliable operation of high-performance segmented thermoelectric devices in extreme environments such as space exploration. Taking the skutterudite-Bi2Te3 segmented thermoelectric leg as an example, here we show that thermal shock failure originates from thermal stress concentration caused by the thermal expansion mismatch between the solder and thermoelectric materials. To address this, we design a Ni foam composite solder layer, the network of which constrains the solder matrix, reducing its effective thermal expansion, while absorbing strain energy through plastic deformation during thermal shock. The leg with a Ni foam composite solder layer withstands seven thermal shocks with intact interfaces and exhibits a predicted service life of about 133 cold-start cycles, approximately 6 times higher than the leg with a conventional solder layer. The metal foam composite soldering strategy provides a practical route to improving the stability of thermoelectric devices under extreme thermal conditions and supports their future application-driven development.</w:t>
      </w:r>
    </w:p>
    <w:p>
      <w:pPr>
        <w:spacing w:before="120" w:after="120"/>
      </w:pPr>
      <w:r>
        <w:rPr>
          <w:sz w:val="18"/>
        </w:rPr>
        <w:t>——————————————————————————————————————————————————————————————————————</w:t>
      </w:r>
    </w:p>
    <w:p>
      <w:pPr>
        <w:spacing w:before="160" w:after="40" w:line="240" w:lineRule="auto"/>
      </w:pPr>
      <w:r>
        <w:rPr>
          <w:b/>
        </w:rPr>
        <w:t xml:space="preserve">[17] </w:t>
      </w:r>
      <w:hyperlink r:id="rId256">
        <w:r>
          <w:rPr>
            <w:color w:val="1155CC"/>
            <w:u w:val="single"/>
          </w:rPr>
          <w:t>用于直接墨水书写的水性 MWCNT-聚氨酯墨水的多尺度设计：用于吸收为主的 EMI 屏蔽、传感和热管理的高导电性和风干结构</w:t>
        </w:r>
      </w:hyperlink>
    </w:p>
    <w:p>
      <w:pPr>
        <w:spacing w:before="0" w:after="80"/>
      </w:pPr>
      <w:r>
        <w:rPr>
          <w:i/>
          <w:sz w:val="20"/>
        </w:rPr>
        <w:t>EN: Multiscale Design of Waterborne MWCNT–Polyurethane Inks for Direct Ink Writing: Highly Conductive and Air-Dried Structures for Absorption-Dominant EMI Shielding, Sensing, and Thermal Management</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257">
        <w:r>
          <w:rPr>
            <w:color w:val="1155CC"/>
            <w:u w:val="single"/>
          </w:rPr>
          <w:t>10.1021/acsami.6c10003</w:t>
        </w:r>
      </w:hyperlink>
    </w:p>
    <w:p>
      <w:pPr>
        <w:spacing w:before="0" w:after="120"/>
      </w:pPr>
      <w:r>
        <w:rPr>
          <w:b/>
        </w:rPr>
        <w:t xml:space="preserve">Notes: </w:t>
      </w:r>
      <w:r>
        <w:t>abstract_source=pubmed</w:t>
      </w:r>
    </w:p>
    <w:p>
      <w:pPr>
        <w:spacing w:before="0" w:after="80" w:lineRule="auto" w:line="276"/>
      </w:pPr>
      <w:r>
        <w:rPr>
          <w:b/>
        </w:rPr>
        <w:t xml:space="preserve">摘要（ZH）: </w:t>
      </w:r>
      <w:r>
        <w:t>由于原始多壁碳纳米管（MWCNT）的疏水性表面和强烈的成束倾向，获得稳定、可印刷的水分散体仍然具有挑战性。在这里，我们提出了一种混合多尺度设计策略，使多壁碳纳米管能够形成适合直接墨水书写（DIW）的导电水性聚氨酯（WPU）墨水。该方法采用可持续的两步组装：超声辅助将异佛尔酮二异氰酸酯硬链段模板化到多壁碳纳米管上以促进界面润湿，然后进行乳化，将WPU纳米颗粒组织成“游泳环”混合结构，形成聚合物介导的水性网络。该过程将不稳定的多壁碳纳米管悬浮液转化为均匀、高导电性的分散体。通过集成磁性氧化石墨烯和海藻酸钠来生产用于高保真 3D 打印和沉积后交联的流变可调油墨，从而实现室温干燥、致密且灵活的结构，从而实现特定应用的功能。由此产生的混合体表现出多功能性能，包括以吸收为主的电磁干扰屏蔽，1毫米处的总屏蔽效能为42 dB，吸收反射系数比（A/R）为1.27，响应时间约为111毫秒的快速压阻传感，以及在0.5 V时达到40 °C和在9 V时达到100 °C以上的高效焦耳加热。</w:t>
      </w:r>
    </w:p>
    <w:p>
      <w:pPr>
        <w:spacing w:before="0" w:after="200" w:lineRule="auto" w:line="276"/>
      </w:pPr>
      <w:r>
        <w:rPr>
          <w:b/>
        </w:rPr>
        <w:t xml:space="preserve">Abstract (EN): </w:t>
      </w:r>
      <w:r>
        <w:t>Achieving stable, printable aqueous dispersions of pristine multiwalled carbon nanotubes (MWCNTs) remains challenging due to their hydrophobic surfaces and strong bundling tendency. Here, we present a hybrid multiscale design strategy that enables MWCNTs to form conductive, waterborne polyurethane (WPU) inks suitable for direct ink writing (DIW). The approach employs a sustainable two-step assembly: ultrasound-assisted templating of isophorone diisocyanate hard segments onto MWCNTs to promote interfacial wetting, followed by emulsification that organizes WPU nanoparticles into "swimming-ring" hybrid structures, forming a polymer-mediated aqueous network. This process converts unstable MWCNT suspensions into uniform, highly conductive dispersions. Application-specific functionality is achieved by integrating magnetic graphene oxide and sodium alginate to produce rheology-tunable inks for high-fidelity 3D printing and post-deposition crosslinking, enabling room-temperature dried, dense, and flexible architectures. The resulting hybrids exhibit multifunctional performance, including absorption-dominant electromagnetic interference shielding, with a total shielding effectiveness of 42 dB at 1 mm and an absorption-to-reflection coefficient ratio (A/R) of 1.27, rapid piezoresistive sensing with a response time of ≈111 ms, and efficient Joule heating reaching 40 °C at 0.5 V and above 100 °C at 9 V.</w:t>
      </w:r>
    </w:p>
    <w:p>
      <w:pPr>
        <w:spacing w:before="120" w:after="120"/>
      </w:pPr>
      <w:r>
        <w:rPr>
          <w:sz w:val="18"/>
        </w:rPr>
        <w:t>——————————————————————————————————————————————————————————————————————</w:t>
      </w:r>
    </w:p>
    <w:p>
      <w:pPr>
        <w:spacing w:before="160" w:after="40" w:line="240" w:lineRule="auto"/>
      </w:pPr>
      <w:r>
        <w:rPr>
          <w:b/>
        </w:rPr>
        <w:t xml:space="preserve">[18] </w:t>
      </w:r>
      <w:hyperlink r:id="rId258">
        <w:r>
          <w:rPr>
            <w:color w:val="1155CC"/>
            <w:u w:val="single"/>
          </w:rPr>
          <w:t>纳米卷轴结构显着增强二维材料的热电性能</w:t>
        </w:r>
      </w:hyperlink>
    </w:p>
    <w:p>
      <w:pPr>
        <w:spacing w:before="0" w:after="80"/>
      </w:pPr>
      <w:r>
        <w:rPr>
          <w:i/>
          <w:sz w:val="20"/>
        </w:rPr>
        <w:t>EN: Dramatic Enhancement of Thermoelectric Performance in Two‐Dimensional Materials Enabled by Nanoscroll Architecture</w:t>
      </w:r>
    </w:p>
    <w:p>
      <w:pPr>
        <w:spacing w:before="0" w:after="120"/>
      </w:pPr>
      <w:r>
        <w:rPr>
          <w:b/>
        </w:rPr>
        <w:t xml:space="preserve">Source: </w:t>
      </w:r>
      <w:r>
        <w:t>Wiley: Advanced Materials: Table of Contents</w:t>
      </w:r>
      <w:r>
        <w:t xml:space="preserve">    </w:t>
      </w:r>
      <w:r>
        <w:rPr>
          <w:b/>
        </w:rPr>
        <w:t xml:space="preserve">Pub date: </w:t>
      </w:r>
      <w:r>
        <w:t>2026-07-20 07:17:08+00:00</w:t>
      </w:r>
      <w:r>
        <w:t xml:space="preserve">    </w:t>
      </w:r>
      <w:r>
        <w:rPr>
          <w:b/>
        </w:rPr>
        <w:t xml:space="preserve">DOI: </w:t>
      </w:r>
      <w:hyperlink r:id="rId259">
        <w:r>
          <w:rPr>
            <w:color w:val="1155CC"/>
            <w:u w:val="single"/>
          </w:rPr>
          <w:t>10.1002/adma.74171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要在下一代纳米系统中实现自主运行，需要在无需外部电源的情况下进行高效的片上能量收集。纳米级热电发电机因其环境能量收集和可扩展性而成为实现这一目标的理想平台。然而，低维材料的热电性能从根本上受到电和热传输复杂耦合的限制。这项工作提出了一种简单的几何拓扑策略，利用毛细管力来变换单层 WS</w:t>
      </w:r>
      <w:r>
        <w:rPr>
          <w:vertAlign w:val="subscript"/>
        </w:rPr>
        <w:t>2</w:t>
      </w:r>
      <w:r>
        <w:t>将纳米带转化为纳米卷，从而显着提高热电性能。这种独特的结构将全局曲率与局部多层相结合，同时激活了两种协同物理机制：（1）局部多层同质结的形成显着缩小了带隙并降低了热激活能，从而将电导率提高了1-2个数量级；（2）曲率引起的不均匀应力场有效增强了声子散射，导致晶格热导率降低了近50%。因此，这种协同调制提高了品质因数（</w:t>
      </w:r>
      <w:r>
        <w:t xml:space="preserve"> </w:t>
      </w:r>
      <w:r>
        <w:t>ZT</w:t>
      </w:r>
      <w:r>
        <w:t xml:space="preserve"> </w:t>
      </w:r>
      <w:r>
        <w:t>）在 273 K 下达到原始纳米带的 182 倍，成功打破了传统的性能权衡。这项研究验证了几何拓扑工程作为释放二维纳米材料潜力的通用设计范式</w:t>
      </w:r>
    </w:p>
    <w:p>
      <w:pPr>
        <w:spacing w:before="0" w:after="200" w:lineRule="auto" w:line="276"/>
      </w:pPr>
      <w:r>
        <w:rPr>
          <w:b/>
        </w:rPr>
        <w:t xml:space="preserve">Abstract (EN): </w:t>
      </w:r>
      <w:r>
        <w:t>Enabling autonomous operation in next‐generation nanosystems demands efficient on‐chip energy harvesting free from external power. Nanoscale thermoelectric generators are ideal platforms for this goal due to their ambient energy harvesting and scalability. Nevertheless, the thermoelectric performance of the constituent low‐dimensional materials is fundamentally limited by the complex coupling of electrical and thermal transport. This work proposes a simple geometric topology strategy that utilizes capillary forces to transform monolayer WS</w:t>
      </w:r>
      <w:r>
        <w:rPr>
          <w:vertAlign w:val="subscript"/>
        </w:rPr>
        <w:t>2</w:t>
      </w:r>
      <w:r>
        <w:t>nanoribbons into nanoscrolls, resulting in significantly improved thermoelectric performance. This unique architecture, combining global curvature with local multi‐layering, simultaneously activates two synergistic physical mechanisms: (1) the formation of local multi‐layer homojunctions significantly narrows the bandgap and reduces thermal activation energy, thereby boosting electrical conductivity by 1–2 orders of magnitude, and (2) curvature‐induced inhomogeneous stress fields effectively enhance phonon scattering, leading to a nearly 50% reduction in lattice thermal conductivity. Consequently, such synergistic modulation elevates the figure of merit (</w:t>
      </w:r>
      <w:r>
        <w:t xml:space="preserve"> </w:t>
      </w:r>
      <w:r>
        <w:t>ZT</w:t>
      </w:r>
      <w:r>
        <w:t xml:space="preserve"> </w:t>
      </w:r>
      <w:r>
        <w:t>) at 273 K to 182 times that of pristine nanoribbons, successfully breaking traditional performance trade‐offs. This study validates geometric topology engineering as a generalizable design paradigm for unlocking the potential of two‐dimensional nanomaterials, paving the way for high‐performance, flexible micro/nano‐energy devices.</w:t>
      </w:r>
    </w:p>
    <w:p>
      <w:pPr>
        <w:spacing w:before="120" w:after="120"/>
      </w:pPr>
      <w:r>
        <w:rPr>
          <w:sz w:val="18"/>
        </w:rPr>
        <w:t>——————————————————————————————————————————————————————————————————————</w:t>
      </w:r>
    </w:p>
    <w:p>
      <w:pPr>
        <w:spacing w:before="160" w:after="40" w:line="240" w:lineRule="auto"/>
      </w:pPr>
      <w:r>
        <w:rPr>
          <w:b/>
        </w:rPr>
        <w:t xml:space="preserve">[19] </w:t>
      </w:r>
      <w:hyperlink r:id="rId260">
        <w:r>
          <w:rPr>
            <w:color w:val="1155CC"/>
            <w:u w:val="single"/>
          </w:rPr>
          <w:t>通过纳米级成分波动实现多晶 InGaSb 薄膜的高功率因数</w:t>
        </w:r>
      </w:hyperlink>
    </w:p>
    <w:p>
      <w:pPr>
        <w:spacing w:before="0" w:after="80"/>
      </w:pPr>
      <w:r>
        <w:rPr>
          <w:i/>
          <w:sz w:val="20"/>
        </w:rPr>
        <w:t>EN: High Power Factor in Polycrystalline InGaSb Thin Films via Nanoscale Compositional Fluctuations</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261">
        <w:r>
          <w:rPr>
            <w:color w:val="1155CC"/>
            <w:u w:val="single"/>
          </w:rPr>
          <w:t>10.1021/acsami.6c04801</w:t>
        </w:r>
      </w:hyperlink>
    </w:p>
    <w:p>
      <w:pPr>
        <w:spacing w:before="0" w:after="120"/>
      </w:pPr>
      <w:r>
        <w:rPr>
          <w:b/>
        </w:rPr>
        <w:t xml:space="preserve">Notes: </w:t>
      </w:r>
      <w:r>
        <w:t>abstract_source=pubmed</w:t>
      </w:r>
    </w:p>
    <w:p>
      <w:pPr>
        <w:spacing w:before="0" w:after="80" w:lineRule="auto" w:line="276"/>
      </w:pPr>
      <w:r>
        <w:rPr>
          <w:b/>
        </w:rPr>
        <w:t xml:space="preserve">摘要（ZH）: </w:t>
      </w:r>
      <w:r>
        <w:t>III-V族化合物半导体是薄膜热电材料的有希望的候选者，因为它们的窄带隙合金可以在接近室温时表现出热电响应。在这项研究中，我们系统地研究了玻璃基板上沉积的多晶 InGaSb 薄膜，并将沉积温度和 In 通量确定为控制相竞争和纳米级成分波动的关键参数。通过调节 In 的供应，形成不连续的富 In 沉淀物，同时系统地调整基体成分。通过拉曼分析评估，沉积温度的变化进一步能够控制结构无序和纳米级特征。在维持连续薄膜的最高沉积温度（560°C）下，无序性增加与塞贝克系数增强相关，而电导率没有显着降低。结果，在室温附近实现了 1200 µW m-1 K-2 的高功率因数。这些发现表明，生长参数驱动的微结构和相控制为增强多组分多晶 III-V 薄膜的热电性能提供了有效的策略。</w:t>
      </w:r>
    </w:p>
    <w:p>
      <w:pPr>
        <w:spacing w:before="0" w:after="200" w:lineRule="auto" w:line="276"/>
      </w:pPr>
      <w:r>
        <w:rPr>
          <w:b/>
        </w:rPr>
        <w:t xml:space="preserve">Abstract (EN): </w:t>
      </w:r>
      <w:r>
        <w:t>III-V compound semiconductors are promising candidates for thin-film thermoelectric materials because their narrow-bandgap alloys can exhibit a thermoelectric response near room temperature. In this study, we systematically investigated polycrystalline InGaSb thin films deposited on glass substrates and identified the deposition temperature and In flux as key parameters governing phase competition and nanoscale compositional fluctuations. By modulating the In supply, discontinuous In-rich precipitates were formed while the matrix composition was systematically tuned. Variation of the deposition temperature further enabled control of structural disorder and nanoscale features, as evaluated by Raman analyses. At the highest deposition temperature (560 °C) that maintained continuous films, increased disorder correlated with an enhanced Seebeck coefficient without a significant reduction in electrical conductivity. As a result, a high power factor of 1200 µW m-1 K-2 was achieved near room temperature. These findings demonstrate that growth-parameter-driven microstructure and phase control provide an effective strategy for enhancing thermoelectric performance in multicomponent polycrystalline III-V thin films.</w:t>
      </w:r>
    </w:p>
    <w:p>
      <w:pPr>
        <w:spacing w:before="120" w:after="120"/>
      </w:pPr>
      <w:r>
        <w:rPr>
          <w:sz w:val="18"/>
        </w:rPr>
        <w:t>——————————————————————————————————————————————————————————————————————</w:t>
      </w:r>
    </w:p>
    <w:p>
      <w:pPr>
        <w:spacing w:before="160" w:after="40" w:line="240" w:lineRule="auto"/>
      </w:pPr>
      <w:r>
        <w:rPr>
          <w:b/>
        </w:rPr>
        <w:t xml:space="preserve">[20] </w:t>
      </w:r>
      <w:hyperlink r:id="rId262">
        <w:r>
          <w:rPr>
            <w:color w:val="1155CC"/>
            <w:u w:val="single"/>
          </w:rPr>
          <w:t>用于促进水净化的可持续木材太阳能驱动界面蒸发器的结构设计策略</w:t>
        </w:r>
      </w:hyperlink>
    </w:p>
    <w:p>
      <w:pPr>
        <w:spacing w:before="0" w:after="80"/>
      </w:pPr>
      <w:r>
        <w:rPr>
          <w:i/>
          <w:sz w:val="20"/>
        </w:rPr>
        <w:t>EN: Structural Design Strategies of Sustainable Wood‐Derived Solar‐Driven Interfacial Evaporator for Advancing Water Purification</w:t>
      </w:r>
    </w:p>
    <w:p>
      <w:pPr>
        <w:spacing w:before="0" w:after="120"/>
      </w:pPr>
      <w:r>
        <w:rPr>
          <w:b/>
        </w:rPr>
        <w:t xml:space="preserve">Source: </w:t>
      </w:r>
      <w:r>
        <w:t>Wiley: Advanced Materials: Table of Contents</w:t>
      </w:r>
      <w:r>
        <w:t xml:space="preserve">    </w:t>
      </w:r>
      <w:r>
        <w:rPr>
          <w:b/>
        </w:rPr>
        <w:t xml:space="preserve">Pub date: </w:t>
      </w:r>
      <w:r>
        <w:t>2026-07-21 08:38:35+00:00</w:t>
      </w:r>
      <w:r>
        <w:t xml:space="preserve">    </w:t>
      </w:r>
      <w:r>
        <w:rPr>
          <w:b/>
        </w:rPr>
        <w:t xml:space="preserve">DOI: </w:t>
      </w:r>
      <w:hyperlink r:id="rId263">
        <w:r>
          <w:rPr>
            <w:color w:val="1155CC"/>
            <w:u w:val="single"/>
          </w:rPr>
          <w:t>10.1002/adma.74197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高能耗对传统的水净化技术构成了重大限制。太阳能驱动的界面蒸发（SDIE）已成为一种可持续的替代方案。木材具有固有的分层多孔结构、优异的亲水性、低导热性和生物相容性，是 SDIE 的理想基材。当用于SDIE时，木材不仅通过替代能源密集型材料来减少隐含碳，而且在其整个使用寿命期间继续储存生物碳，从而降低设备的总体碳足迹。本综述综合了木质 SDIE (W-SDIE) 的研究进展，重点关注增强性能的结构设计策略。具体阐述了木材作为基材的微观结构和化学成分的优势；总结了三个维度的性能优化方法：热管理（光吸收器设计、隔热结构和环境能量收集）、水管理（水传输路径、润湿性调节和蒸发焓降低）和盐管理（水盐传输调节、盐导向结晶和自清洁机制）；并概述了在海水淡化、废水处理、光催化降解和能量耦合方面的应用。最后，讨论了当前的挑战和潜在的解决方案，为 W-SDIE 的未来发展提供了见解。</w:t>
      </w:r>
    </w:p>
    <w:p>
      <w:pPr>
        <w:spacing w:before="0" w:after="200" w:lineRule="auto" w:line="276"/>
      </w:pPr>
      <w:r>
        <w:rPr>
          <w:b/>
        </w:rPr>
        <w:t xml:space="preserve">Abstract (EN): </w:t>
      </w:r>
      <w:r>
        <w:t>High energy consumption poses a significant limitation to conventional water purification technologies. Solar‐driven interfacial evaporation (SDIE) has emerged as a sustainable alternative. Wood, endowed with its inherent hierarchical porous structure, exceptional hydrophilicity, low thermal conductivity, and biocompatibility, stands out as an ideal substrate for SDIE. When used in SDIE, wood not only reduces embodied carbon by substituting energy‐intensive materials but also continues to store biogenic carbon throughout its service life, thereby lowering the device's overall carbon footprint. This review synthesizes research advances in wood‐based SDIE (W‐SDIE), focusing on structural design strategies for performance enhancement. Specifically, it elaborates on the advantages of wood's microstructure and chemical composition as a substrate; summarizes performance optimization approaches across three dimensions: heat management (light absorber design, insulating structure, and environmental energy harvesting), water management (water transport pathway, wettability regulation, and evaporation enthalpy reduction), and salt management (water‐salt transport regulation, salt‐oriented crystallization, and self‐cleaning mechanism); and outlines applications in desalination, wastewater treatment, photocatalytic degradation, and energy coupling. Ultimately, current challenges and potential solutions are discussed, providing insights for the future development of W‐SDIE.</w:t>
      </w:r>
    </w:p>
    <w:p>
      <w:pPr>
        <w:spacing w:before="120" w:after="120"/>
      </w:pPr>
      <w:r>
        <w:rPr>
          <w:sz w:val="18"/>
        </w:rPr>
        <w:t>——————————————————————————————————————————————————————————————————————</w:t>
      </w:r>
    </w:p>
    <w:p>
      <w:pPr>
        <w:spacing w:before="160" w:after="40" w:line="240" w:lineRule="auto"/>
      </w:pPr>
      <w:r>
        <w:rPr>
          <w:b/>
        </w:rPr>
        <w:t xml:space="preserve">[21] </w:t>
      </w:r>
      <w:hyperlink r:id="rId90">
        <w:r>
          <w:rPr>
            <w:color w:val="1155CC"/>
            <w:u w:val="single"/>
          </w:rPr>
          <w:t>用于自适应热调节和能量存储的进化驱动生物复合气凝胶</w:t>
        </w:r>
      </w:hyperlink>
    </w:p>
    <w:p>
      <w:pPr>
        <w:spacing w:before="0" w:after="80"/>
      </w:pPr>
      <w:r>
        <w:rPr>
          <w:i/>
          <w:sz w:val="20"/>
        </w:rPr>
        <w:t>EN: Evolution‐Driven Bio‐Composite Aerogels for Self‐Adaptive Thermal Regulation and Energy Storage</w:t>
      </w:r>
    </w:p>
    <w:p>
      <w:pPr>
        <w:spacing w:before="0" w:after="120"/>
      </w:pPr>
      <w:r>
        <w:rPr>
          <w:b/>
        </w:rPr>
        <w:t xml:space="preserve">Source: </w:t>
      </w:r>
      <w:r>
        <w:t>Wiley: Advanced Materials: Table of Contents</w:t>
      </w:r>
      <w:r>
        <w:t xml:space="preserve">    </w:t>
      </w:r>
      <w:r>
        <w:rPr>
          <w:b/>
        </w:rPr>
        <w:t xml:space="preserve">Pub date: </w:t>
      </w:r>
      <w:r>
        <w:t>2026-07-21 08:52:16+00:00</w:t>
      </w:r>
      <w:r>
        <w:t xml:space="preserve">    </w:t>
      </w:r>
      <w:r>
        <w:rPr>
          <w:b/>
        </w:rPr>
        <w:t xml:space="preserve">DOI: </w:t>
      </w:r>
      <w:hyperlink r:id="rId91">
        <w:r>
          <w:rPr>
            <w:color w:val="1155CC"/>
            <w:u w:val="single"/>
          </w:rPr>
          <w:t>10.1002/adma.73935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大自然通过将化学上不同的相整合到分层组织的结构中来实现显着的多功能性。受这一原理的启发，我们开发了一种简单而通用的策略，通过掺入三价金属氯化物（MCl</w:t>
      </w:r>
      <w:r>
        <w:rPr>
          <w:vertAlign w:val="subscript"/>
        </w:rPr>
        <w:t>3</w:t>
      </w:r>
      <w:r>
        <w:t>）转化为生物聚合物壳聚糖（CTS）基质。水介质中的配位驱动组装能够直接形成金属离子配位壳聚糖（CTS-M）气凝胶，无需外部酸或额外的交联剂。这些气凝胶在湿度刺激下表现出可逆的脆性到柔性的转变，并具有出色的机械弹性，可在极端温度下实现自适应隔热。热解后，相同的前体转化为导电碳金属氧化物（C-M</w:t>
      </w:r>
      <w:r>
        <w:rPr>
          <w:vertAlign w:val="subscript"/>
        </w:rPr>
        <w:t>2</w:t>
      </w:r>
      <w:r>
        <w:t>氧</w:t>
      </w:r>
      <w:r>
        <w:rPr>
          <w:vertAlign w:val="subscript"/>
        </w:rPr>
        <w:t>3</w:t>
      </w:r>
      <w:r>
        <w:t>）气凝胶，其中金属氧化物纳米晶体嵌入互连的碳框架内。这种结构整合将连续的电子传输网络与氧化还原活性域耦合起来，从而促进电荷转移并增加可访问的存储位点。作为一个代表性的例子，C-V</w:t>
      </w:r>
      <w:r>
        <w:rPr>
          <w:vertAlign w:val="subscript"/>
        </w:rPr>
        <w:t>2</w:t>
      </w:r>
      <w:r>
        <w:t>氧</w:t>
      </w:r>
      <w:r>
        <w:rPr>
          <w:vertAlign w:val="subscript"/>
        </w:rPr>
        <w:t>3</w:t>
      </w:r>
      <w:r>
        <w:t>水性锌离子电池 (ZIB) 的阴极具有出色的能量功率性能（656 Wh kg</w:t>
      </w:r>
      <w:r>
        <w:t xml:space="preserve"> </w:t>
      </w:r>
      <w:r>
        <w:t>−1</w:t>
      </w:r>
      <w:r>
        <w:t xml:space="preserve"> </w:t>
      </w:r>
      <w:r>
        <w:t>200 W 千克</w:t>
      </w:r>
      <w:r>
        <w:t xml:space="preserve"> </w:t>
      </w:r>
      <w:r>
        <w:t>−1</w:t>
      </w:r>
      <w:r>
        <w:t xml:space="preserve"> </w:t>
      </w:r>
      <w:r>
        <w:t>, 178 瓦时千克</w:t>
      </w:r>
    </w:p>
    <w:p>
      <w:pPr>
        <w:spacing w:before="0" w:after="200" w:lineRule="auto" w:line="276"/>
      </w:pPr>
      <w:r>
        <w:rPr>
          <w:b/>
        </w:rPr>
        <w:t xml:space="preserve">Abstract (EN): </w:t>
      </w:r>
      <w:r>
        <w:t>Nature achieves remarkable multifunctionality by integrating chemically dissimilar phases into hierarchically organized architectures. Inspired by this principle, we develop a simple and universal strategy to construct bio‐composite aerogels by incorporating trivalent metal chlorides (MCl</w:t>
      </w:r>
      <w:r>
        <w:rPr>
          <w:vertAlign w:val="subscript"/>
        </w:rPr>
        <w:t>3</w:t>
      </w:r>
      <w:r>
        <w:t>) into biopolymer chitosan (CTS) matrices. Coordination‐driven assembly in aqueous media enables the direct formation of metal ion‐coordinated chitosan (CTS–M) aerogels without external acids or additional crosslinkers. These aerogels exhibit reversible brittle‐to‐flexible transitions under humidity stimuli, together with exceptional mechanical resilience, enabling self‐adaptive thermal insulation under temperature extremes. Upon pyrolysis, the same precursor is converted into conductive carbon–metal oxide (C–M</w:t>
      </w:r>
      <w:r>
        <w:rPr>
          <w:vertAlign w:val="subscript"/>
        </w:rPr>
        <w:t>2</w:t>
      </w:r>
      <w:r>
        <w:t>O</w:t>
      </w:r>
      <w:r>
        <w:rPr>
          <w:vertAlign w:val="subscript"/>
        </w:rPr>
        <w:t>3</w:t>
      </w:r>
      <w:r>
        <w:t>) aerogels, where metal oxide nanocrystals are embedded within an interconnected carbon framework. This structural integration couples a continuous electron‐transport network with redox‐active domains, thereby promoting charge‐transfer and increasing accessible storage sites. As a representative example, the C–V</w:t>
      </w:r>
      <w:r>
        <w:rPr>
          <w:vertAlign w:val="subscript"/>
        </w:rPr>
        <w:t>2</w:t>
      </w:r>
      <w:r>
        <w:t>O</w:t>
      </w:r>
      <w:r>
        <w:rPr>
          <w:vertAlign w:val="subscript"/>
        </w:rPr>
        <w:t>3</w:t>
      </w:r>
      <w:r>
        <w:t>cathode for aqueous zinc‐ion batteries (ZIBs) delivers excellent energy–power performance (656 Wh kg</w:t>
      </w:r>
      <w:r>
        <w:t xml:space="preserve"> </w:t>
      </w:r>
      <w:r>
        <w:t>−1</w:t>
      </w:r>
      <w:r>
        <w:t xml:space="preserve"> </w:t>
      </w:r>
      <w:r>
        <w:t>at 200 W kg</w:t>
      </w:r>
      <w:r>
        <w:t xml:space="preserve"> </w:t>
      </w:r>
      <w:r>
        <w:t>−1</w:t>
      </w:r>
      <w:r>
        <w:t xml:space="preserve"> </w:t>
      </w:r>
      <w:r>
        <w:t>, 178 Wh kg</w:t>
      </w:r>
      <w:r>
        <w:t xml:space="preserve"> </w:t>
      </w:r>
      <w:r>
        <w:t>−1</w:t>
      </w:r>
      <w:r>
        <w:t xml:space="preserve"> </w:t>
      </w:r>
      <w:r>
        <w:t>at ∼20 000 W kg</w:t>
      </w:r>
      <w:r>
        <w:t xml:space="preserve"> </w:t>
      </w:r>
      <w:r>
        <w:t>−1</w:t>
      </w:r>
      <w:r>
        <w:t xml:space="preserve"> </w:t>
      </w:r>
      <w:r>
        <w:t>) with 85% capacity retention after 10 000 cycles, outperforming previously reported carbon–metal oxide systems. By linking adaptive thermal regulation and electrochemical energy storage through a single precursor‐to‐function pathway, this work establishes an evolution‐driven aerogel design paradigm for next‐generation multifunctional materials.</w:t>
      </w:r>
    </w:p>
    <w:p>
      <w:pPr>
        <w:spacing w:before="120" w:after="120"/>
      </w:pPr>
      <w:r>
        <w:rPr>
          <w:sz w:val="18"/>
        </w:rPr>
        <w:t>——————————————————————————————————————————————————————————————————————</w:t>
      </w:r>
    </w:p>
    <w:p>
      <w:pPr>
        <w:spacing w:before="160" w:after="40" w:line="240" w:lineRule="auto"/>
      </w:pPr>
      <w:r>
        <w:rPr>
          <w:b/>
        </w:rPr>
        <w:t xml:space="preserve">[22] </w:t>
      </w:r>
      <w:hyperlink r:id="rId264">
        <w:r>
          <w:rPr>
            <w:color w:val="1155CC"/>
            <w:u w:val="single"/>
          </w:rPr>
          <w:t>空调不足以让人们保持凉爽——科学家们能找到替代方案吗？</w:t>
        </w:r>
      </w:hyperlink>
    </w:p>
    <w:p>
      <w:pPr>
        <w:spacing w:before="0" w:after="80"/>
      </w:pPr>
      <w:r>
        <w:rPr>
          <w:i/>
          <w:sz w:val="20"/>
        </w:rPr>
        <w:t>EN: Air conditioning is not enough to keep people cool — can scientists find an alternative?</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265">
        <w:r>
          <w:rPr>
            <w:color w:val="1155CC"/>
            <w:u w:val="single"/>
          </w:rPr>
          <w:t>10.1038/d41586-026-02273-2</w:t>
        </w:r>
      </w:hyperlink>
    </w:p>
    <w:p>
      <w:pPr>
        <w:spacing w:before="0" w:after="120"/>
      </w:pPr>
      <w:r>
        <w:rPr>
          <w:b/>
        </w:rPr>
        <w:t xml:space="preserve">Notes: </w:t>
      </w:r>
      <w:r>
        <w:t>abstract_source=nature_html</w:t>
      </w:r>
    </w:p>
    <w:p>
      <w:pPr>
        <w:spacing w:before="0" w:after="80" w:lineRule="auto" w:line="276"/>
      </w:pPr>
      <w:r>
        <w:rPr>
          <w:b/>
        </w:rPr>
        <w:t xml:space="preserve">摘要（ZH）: </w:t>
      </w:r>
      <w:r>
        <w:t>材料的进步使得建筑物能够随着温度的升高而冷却。</w:t>
      </w:r>
    </w:p>
    <w:p>
      <w:pPr>
        <w:spacing w:before="0" w:after="200" w:lineRule="auto" w:line="276"/>
      </w:pPr>
      <w:r>
        <w:rPr>
          <w:b/>
        </w:rPr>
        <w:t xml:space="preserve">Abstract (EN): </w:t>
      </w:r>
      <w:r>
        <w:t>Advances in materials allow buildings to be cooled as temperatures rise.</w:t>
      </w:r>
    </w:p>
    <w:p>
      <w:pPr>
        <w:spacing w:before="120" w:after="120"/>
      </w:pPr>
      <w:r>
        <w:rPr>
          <w:sz w:val="18"/>
        </w:rPr>
        <w:t>——————————————————————————————————————————————————————————————————————</w:t>
      </w:r>
    </w:p>
    <w:p>
      <w:pPr>
        <w:spacing w:before="160" w:after="40" w:line="240" w:lineRule="auto"/>
      </w:pPr>
      <w:r>
        <w:rPr>
          <w:b/>
        </w:rPr>
        <w:t xml:space="preserve">[23] </w:t>
      </w:r>
      <w:hyperlink r:id="rId266">
        <w:r>
          <w:rPr>
            <w:color w:val="1155CC"/>
            <w:u w:val="single"/>
          </w:rPr>
          <w:t>高盐度下高速率太阳蒸发和空间盐结晶的多细胞结构</w:t>
        </w:r>
      </w:hyperlink>
    </w:p>
    <w:p>
      <w:pPr>
        <w:spacing w:before="0" w:after="80"/>
      </w:pPr>
      <w:r>
        <w:rPr>
          <w:i/>
          <w:sz w:val="20"/>
        </w:rPr>
        <w:t>EN: Multicellular architectures for high-rate solar evaporation with spatial salt crystallization under high-salinity</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太阳能驱动的蒸发提供了分散的淡水生产和盐水管理，但仍然受到低效的水输送、热损失和由于对几何-输送-性能关系了解不足而引起的盐垢的限制。在这里，开发了具有系统变化的晶格单元的 3D 打印多细胞太阳能蒸发器，以澄清这些关系，确定液固接触周长、孔隙率和热界面面积作为控制毛细管水输送和传热的关键几何参数。在此指导下，优化的FBCC-+_5蒸发器实现了6.90 kg m−2 h−1的高蒸发速率，并维持零液体排放操作。结合高蒸发率和低蒸发率单元电池的混合多细胞架构进一步产生受控的蒸发梯度，从而使盐结晶局部化，在 20 wt% NaCl 下能够稳定运行 5.5 天，盐回收率为 97.49%。室外海水淡化可产生高达 47.7 kg m−2 day−1 的淡水。这项工作将单位电池和宏观尺度几何形状建立为可编程设计参数，用于可扩展和持久的太阳能海水淡化。</w:t>
      </w:r>
    </w:p>
    <w:p>
      <w:pPr>
        <w:spacing w:before="0" w:after="200" w:lineRule="auto" w:line="276"/>
      </w:pPr>
      <w:r>
        <w:rPr>
          <w:b/>
        </w:rPr>
        <w:t xml:space="preserve">Abstract (EN): </w:t>
      </w:r>
      <w:r>
        <w:t>Solar-driven evaporation offers decentralized freshwater production and brine management, yet remains limited by inefficient water transport, thermal losses and salt fouling arising from insufficient understanding of geometry–transport–performance relationships. Here, 3D-printed multicellular solar evaporators with systematically varied lattice unit cells are developed to clarify these relationships, identifying liquid–solid contact perimeter, porosity and thermal interface area as key geometric parameters governing capillary water delivery and heat transfer. Guided by these, an optimized FBCC-+_5 evaporator achieves a high evaporation rate of 6.90 kg m−2 h−1 and sustains zero-liquid-discharge operation. A hybrid multicellular architecture combining high- and low-evaporation-rate unit cells further generates controlled evaporation gradients, thereby localizing salt crystallization, enabling stable operation for 5.5 days with 97.49% salt recovery under 20 wt% NaCl. Outdoor desalination yields up to 47.7 kg m−2 day−1 of freshwater. This work establishes unit-cell and macro-scale geometry as programmable design parameters for scalable and durable solar desalination.</w:t>
      </w:r>
    </w:p>
    <w:p>
      <w:pPr>
        <w:spacing w:before="120" w:after="120"/>
      </w:pPr>
      <w:r>
        <w:rPr>
          <w:sz w:val="18"/>
        </w:rPr>
        <w:t>——————————————————————————————————————————————————————————————————————</w:t>
      </w:r>
    </w:p>
    <w:p>
      <w:pPr>
        <w:spacing w:before="160" w:after="40" w:line="240" w:lineRule="auto"/>
      </w:pPr>
      <w:r>
        <w:rPr>
          <w:b/>
        </w:rPr>
        <w:t xml:space="preserve">[24] </w:t>
      </w:r>
      <w:hyperlink r:id="rId267">
        <w:r>
          <w:rPr>
            <w:color w:val="1155CC"/>
            <w:u w:val="single"/>
          </w:rPr>
          <w:t>高导热、电磁干扰屏蔽多功能柔性相变复合材料</w:t>
        </w:r>
      </w:hyperlink>
    </w:p>
    <w:p>
      <w:pPr>
        <w:spacing w:before="0" w:after="80"/>
      </w:pPr>
      <w:r>
        <w:rPr>
          <w:i/>
          <w:sz w:val="20"/>
        </w:rPr>
        <w:t>EN: Multifunctional Flexible Phase Change Composites With High Thermal Conductivity and Electromagnetic Interference Shielding</w:t>
      </w:r>
    </w:p>
    <w:p>
      <w:pPr>
        <w:spacing w:before="0" w:after="120"/>
      </w:pPr>
      <w:r>
        <w:rPr>
          <w:b/>
        </w:rPr>
        <w:t xml:space="preserve">Source: </w:t>
      </w:r>
      <w:r>
        <w:t>Wiley: Advanced Materials: Table of Contents</w:t>
      </w:r>
      <w:r>
        <w:t xml:space="preserve">    </w:t>
      </w:r>
      <w:r>
        <w:rPr>
          <w:b/>
        </w:rPr>
        <w:t xml:space="preserve">Pub date: </w:t>
      </w:r>
      <w:r>
        <w:t>2026-07-22 08:54:01+00:00</w:t>
      </w:r>
      <w:r>
        <w:t xml:space="preserve">    </w:t>
      </w:r>
      <w:r>
        <w:rPr>
          <w:b/>
        </w:rPr>
        <w:t xml:space="preserve">DOI: </w:t>
      </w:r>
      <w:hyperlink r:id="rId268">
        <w:r>
          <w:rPr>
            <w:color w:val="1155CC"/>
            <w:u w:val="single"/>
          </w:rPr>
          <w:t>10.1002/adma.74134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柔性相变材料（PCM）为解决跨界面传热和实现电子设备中的高效温度调节提供了一种有前景的策略。然而，它们的实际应用受到固有的低导热率的阻碍。在此，我们通过将本质上柔性的固-固相变材料与多维导热网络相结合，开发了一种多功能柔性相变材料。通过合理设计固-固相变材料的结构和热力学性能、构建高效的传热网络以及优化组分比例，系统地平衡了多功能相变材料的热力学性能、灵活性和热管理性能。由此产生的复合材料实现了 5.1 W m 的高导热率</w:t>
      </w:r>
      <w:r>
        <w:t xml:space="preserve"> </w:t>
      </w:r>
      <w:r>
        <w:t>-</w:t>
      </w:r>
      <w:r>
        <w:rPr>
          <w:vertAlign w:val="subscript"/>
        </w:rPr>
        <w:t>1</w:t>
      </w:r>
      <w:r>
        <w:t>K</w:t>
      </w:r>
      <w:r>
        <w:t xml:space="preserve"> </w:t>
      </w:r>
      <w:r>
        <w:t>-</w:t>
      </w:r>
      <w:r>
        <w:rPr>
          <w:vertAlign w:val="subscript"/>
        </w:rPr>
        <w:t>1</w:t>
      </w:r>
      <w:r>
        <w:t>，令人满意的潜热密度为 63.9 J g</w:t>
      </w:r>
      <w:r>
        <w:t xml:space="preserve"> </w:t>
      </w:r>
      <w:r>
        <w:t>-</w:t>
      </w:r>
      <w:r>
        <w:rPr>
          <w:vertAlign w:val="subscript"/>
        </w:rPr>
        <w:t>1</w:t>
      </w:r>
      <w:r>
        <w:t>，超过 1000 次加热/冷却循环的优异循环稳定性，电磁干扰屏蔽效能高达 74.31 dB，优于大多数先前报道的多功能柔性 PCM。此外，当用作冷却系统中的热界面材料时，多功能 PCM/FAN 可将设备温度降低 27°C，通过潜热存储和增强热传导展现出协同冷却效果。这项工作呈现了高性能、多</w:t>
      </w:r>
    </w:p>
    <w:p>
      <w:pPr>
        <w:spacing w:before="0" w:after="200" w:lineRule="auto" w:line="276"/>
      </w:pPr>
      <w:r>
        <w:rPr>
          <w:b/>
        </w:rPr>
        <w:t xml:space="preserve">Abstract (EN): </w:t>
      </w:r>
      <w:r>
        <w:t>Flexible phase change materials (PCMs) offer a promising strategy for addressing cross‐interface heat transfer and enabling efficient temperature regulation in electronic devices. However, their practical application is hindered by intrinsically low thermal conductivity. Herein, we develop a multifunctional flexible PCM by integrating intrinsically flexible solid‐solid PCM with multidimensional thermally conductive network. Through rational design of the solid‐solid PCMs structure and thermodynamic properties, construction of an efficient heat transfer network, and optimization of the component ratios, the thermodynamic properties, flexibility, and thermal management performance of the multifunctional PCM are systematically balanced. The resulting composite achieves high thermal conductivity of 5.1 W m</w:t>
      </w:r>
      <w:r>
        <w:t xml:space="preserve"> </w:t>
      </w:r>
      <w:r>
        <w:t>−</w:t>
      </w:r>
      <w:r>
        <w:rPr>
          <w:vertAlign w:val="subscript"/>
        </w:rPr>
        <w:t>1</w:t>
      </w:r>
      <w:r>
        <w:t>K</w:t>
      </w:r>
      <w:r>
        <w:t xml:space="preserve"> </w:t>
      </w:r>
      <w:r>
        <w:t>−</w:t>
      </w:r>
      <w:r>
        <w:rPr>
          <w:vertAlign w:val="subscript"/>
        </w:rPr>
        <w:t>1</w:t>
      </w:r>
      <w:r>
        <w:t>, satisfactory latent heat density of 63.9 J g</w:t>
      </w:r>
      <w:r>
        <w:t xml:space="preserve"> </w:t>
      </w:r>
      <w:r>
        <w:t>−</w:t>
      </w:r>
      <w:r>
        <w:rPr>
          <w:vertAlign w:val="subscript"/>
        </w:rPr>
        <w:t>1</w:t>
      </w:r>
      <w:r>
        <w:t>, excellent cycling stability over 1000 heating/cooling cycles, and electromagnetic interference shielding effectiveness up to 74.31 dB, outperforming most previously reported multifunctional flexible PCMs. Moreover, when employed as a thermal interface material in a cooling system, the multifunctional PCM/FAN reduces the device temperature by 27°C, demonstrating a synergistic cooling effect through latent heat storage and enhanced thermal conduction. This work presents high‐performance, multifunctional flexible PCM with integrated thermal management and EMI shielding functionalities, providing a feasible strategy for optimizing the composition and performance balance of flexible PCMs.</w:t>
      </w:r>
    </w:p>
    <w:p>
      <w:pPr>
        <w:spacing w:before="120" w:after="120"/>
      </w:pPr>
      <w:r>
        <w:rPr>
          <w:sz w:val="18"/>
        </w:rPr>
        <w:t>——————————————————————————————————————————————————————————————————————</w:t>
      </w:r>
    </w:p>
    <w:p>
      <w:pPr>
        <w:spacing w:before="160" w:after="40" w:line="240" w:lineRule="auto"/>
      </w:pPr>
      <w:r>
        <w:rPr>
          <w:b/>
        </w:rPr>
        <w:t xml:space="preserve">[25] </w:t>
      </w:r>
      <w:hyperlink r:id="rId269">
        <w:r>
          <w:rPr>
            <w:color w:val="1155CC"/>
            <w:u w:val="single"/>
          </w:rPr>
          <w:t>Janus能量质量中继架构通过高熵催化实现非平衡太阳能海水淡化</w:t>
        </w:r>
      </w:hyperlink>
    </w:p>
    <w:p>
      <w:pPr>
        <w:spacing w:before="0" w:after="80"/>
      </w:pPr>
      <w:r>
        <w:rPr>
          <w:i/>
          <w:sz w:val="20"/>
        </w:rPr>
        <w:t>EN: Janus Energy‐Mass Relay Architecture via High‐Entropy Catalysis for Non‐Equilibrium Solar Desalination</w:t>
      </w:r>
    </w:p>
    <w:p>
      <w:pPr>
        <w:spacing w:before="0" w:after="120"/>
      </w:pPr>
      <w:r>
        <w:rPr>
          <w:b/>
        </w:rPr>
        <w:t xml:space="preserve">Source: </w:t>
      </w:r>
      <w:r>
        <w:t>Wiley: Advanced Materials: Table of Contents</w:t>
      </w:r>
      <w:r>
        <w:t xml:space="preserve">    </w:t>
      </w:r>
      <w:r>
        <w:rPr>
          <w:b/>
        </w:rPr>
        <w:t xml:space="preserve">Pub date: </w:t>
      </w:r>
      <w:r>
        <w:t>2026-07-22 08:56:56+00:00</w:t>
      </w:r>
      <w:r>
        <w:t xml:space="preserve">    </w:t>
      </w:r>
      <w:r>
        <w:rPr>
          <w:b/>
        </w:rPr>
        <w:t xml:space="preserve">DOI: </w:t>
      </w:r>
      <w:hyperlink r:id="rId270">
        <w:r>
          <w:rPr>
            <w:color w:val="1155CC"/>
            <w:u w:val="single"/>
          </w:rPr>
          <w:t>10.1002/adma.74239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解决太阳能驱动界面蒸发中的热质量失配瓶颈，该研究提出了一种将高熵合金氧化物（HEAO）纳米颗粒与双网络水凝胶相结合的Janus界面能量质量继电器。水凝胶充当热函调节剂，预激活大量水并阻止传导热损失。顶部 HEAO 层充当熵加速器，利用其活性位点和氧空位快速剪切预活化水的残余氢键。原位 XPS 和 DFT 分析表明，HEAO 缺陷处的光致极化将电荷注入水反键轨道，将 O─H 键拉伸至 1.209 Å。因此，蒸发器的蒸发速率为 4.02 kg m</w:t>
      </w:r>
      <w:r>
        <w:t xml:space="preserve"> </w:t>
      </w:r>
      <w:r>
        <w:t>−2</w:t>
      </w:r>
      <w:r>
        <w:t xml:space="preserve"> </w:t>
      </w:r>
      <w:r>
        <w:t>小时</w:t>
      </w:r>
      <w:r>
        <w:t xml:space="preserve"> </w:t>
      </w:r>
      <w:r>
        <w:t>−1</w:t>
      </w:r>
      <w:r>
        <w:t xml:space="preserve"> </w:t>
      </w:r>
      <w:r>
        <w:t>在一颗太阳的照射下。这项工作揭示了级联水合编辑在打破界面相变的理论极限方面的关键作用。</w:t>
      </w:r>
    </w:p>
    <w:p>
      <w:pPr>
        <w:spacing w:before="0" w:after="200" w:lineRule="auto" w:line="276"/>
      </w:pPr>
      <w:r>
        <w:rPr>
          <w:b/>
        </w:rPr>
        <w:t xml:space="preserve">Abstract (EN): </w:t>
      </w:r>
      <w:r>
        <w:t>To resolve the thermal‐mass mismatch bottleneck in solar‐driven interfacial evaporation, the study proposes a Janus interface energy‐mass relay integrating high‐entropy alloy oxide (HEAO) nanoparticles with a double‐network hydrogel. The hydrogel acts as an enthalpy modulator, pre‐activating bulk water and blocking conductive heat loss. The top HEAO layer serves as an entropy accelerator, leveraging its active sites and oxygen vacancies to rapidly shear the residual hydrogen bonds of pre‐activated water. In situ XPS and DFT analyses reveal that photo‐induced polarization at HEAO defects injects charge into water anti‐bonding orbitals, stretching the O─H bond to 1.209 Å. Consequently, the evaporator achieves an evaporation rate of 4.02 kg m</w:t>
      </w:r>
      <w:r>
        <w:t xml:space="preserve"> </w:t>
      </w:r>
      <w:r>
        <w:t>−2</w:t>
      </w:r>
      <w:r>
        <w:t xml:space="preserve"> </w:t>
      </w:r>
      <w:r>
        <w:t>h</w:t>
      </w:r>
      <w:r>
        <w:t xml:space="preserve"> </w:t>
      </w:r>
      <w:r>
        <w:t>−1</w:t>
      </w:r>
      <w:r>
        <w:t xml:space="preserve"> </w:t>
      </w:r>
      <w:r>
        <w:t>under one sun illumination. This work reveals the critical role of cascaded hydration editing in breaking the theoretical limits of interfacial phase transitions.</w:t>
      </w:r>
    </w:p>
    <w:p>
      <w:pPr>
        <w:spacing w:before="120" w:after="120"/>
      </w:pPr>
      <w:r>
        <w:rPr>
          <w:sz w:val="18"/>
        </w:rPr>
        <w:t>——————————————————————————————————————————————————————————————————————</w:t>
      </w:r>
    </w:p>
    <w:p>
      <w:pPr>
        <w:spacing w:before="160" w:after="40" w:line="240" w:lineRule="auto"/>
      </w:pPr>
      <w:r>
        <w:rPr>
          <w:b/>
        </w:rPr>
        <w:t xml:space="preserve">[26] </w:t>
      </w:r>
      <w:hyperlink r:id="rId271">
        <w:r>
          <w:rPr>
            <w:color w:val="1155CC"/>
            <w:u w:val="single"/>
          </w:rPr>
          <w:t>3,4,9,10-苝四甲酸直接激光写入制备聚萘二萘和碳薄膜：加工、结构以及电学和热电性能研究</w:t>
        </w:r>
      </w:hyperlink>
    </w:p>
    <w:p>
      <w:pPr>
        <w:spacing w:before="0" w:after="80"/>
      </w:pPr>
      <w:r>
        <w:rPr>
          <w:i/>
          <w:sz w:val="20"/>
        </w:rPr>
        <w:t>EN: Polyperinaphthalene and Carbon Thin Films Prepared by Direct Laser Writing of 3,4,9,10-Perylene Tetracarboxylic Acid: Processing, Structure, and Electrical and Thermoelectric Property Investigation</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272">
        <w:r>
          <w:rPr>
            <w:color w:val="1155CC"/>
            <w:u w:val="single"/>
          </w:rPr>
          <w:t>10.1021/acsami.6c07881</w:t>
        </w:r>
      </w:hyperlink>
    </w:p>
    <w:p>
      <w:pPr>
        <w:spacing w:before="0" w:after="120"/>
      </w:pPr>
      <w:r>
        <w:rPr>
          <w:b/>
        </w:rPr>
        <w:t xml:space="preserve">Notes: </w:t>
      </w:r>
      <w:r>
        <w:t>abstract_source=pubmed</w:t>
      </w:r>
    </w:p>
    <w:p>
      <w:pPr>
        <w:spacing w:before="0" w:after="80" w:lineRule="auto" w:line="276"/>
      </w:pPr>
      <w:r>
        <w:rPr>
          <w:b/>
        </w:rPr>
        <w:t xml:space="preserve">摘要（ZH）: </w:t>
      </w:r>
      <w:r>
        <w:t>利用3,4,9,10-苝四甲酸（PTCA）在二甲亚砜中的有限溶解度，我们开发了一种直接激光写入（DLW）工艺，用于制造窄带隙导电聚合物聚萘二甲酸（PPN）以及1μm厚度以下的碳薄膜。研究了 CO2 激光功率和前驱体厚度对所得 DLW 产品的结构、形貌和电/热电性能的影响。揭示了激光功率和前驱体厚度对 PPN 到碳转变的复合作用。在最佳工艺条件下，所得DLW薄膜的电导率高达120 S·cm-1，塞贝克系数为8.5 μV·K-1，功率因数为0.96 μW·m-1·K-2。最后，PTCA 衍生的 DLW 薄膜被证明可用于激光功率监测中的自供电传感应用，以及作为用于温度传感的灵活、可穿戴热电传感器。本研究为低成本制造高性能 PPN 和碳薄膜铺平了道路，可为广泛的应用提供多功能平台。</w:t>
      </w:r>
    </w:p>
    <w:p>
      <w:pPr>
        <w:spacing w:before="0" w:after="200" w:lineRule="auto" w:line="276"/>
      </w:pPr>
      <w:r>
        <w:rPr>
          <w:b/>
        </w:rPr>
        <w:t xml:space="preserve">Abstract (EN): </w:t>
      </w:r>
      <w:r>
        <w:t>By leveraging the limited solubility of 3,4,9,10-perylene tetracarboxylic acid (PTCA) in dimethyl sulfoxide, we develop a direct laser writing (DLW) process for fabricating the narrow-bandgap conducting polymer-polyperinaphthalene (PPN) as well as carbon thin films under 1 μm thickness. The effects of CO2 laser power and precursor thickness on the structure, morphology, and electrical/thermoelectric properties of the resultant DLW products are investigated. The compounding role of laser power and precursor thickness on PPN-to-carbon transition is revealed. Under the optimal processing conditions, the resultant DLW film achieves excellent electrical conductivity of 120 S·cm-1 with a Seebeck coefficient of 8.5 μV·K-1 and a power factor of 0.96 μW·m-1·K-2. Last, the PTCA-derived DLW thin film is demonstrated for self-powered sensing applications in laser power monitoring and as a flexible, wearable thermoelectric sensor for temperature sensing. The present study paves a way for low-cost fabricating high-performance PPN and carbon thin films that may offer a versatile platform for a wide range of applications.</w:t>
      </w:r>
    </w:p>
    <w:p>
      <w:pPr>
        <w:spacing w:before="120" w:after="120"/>
      </w:pPr>
      <w:r>
        <w:rPr>
          <w:sz w:val="18"/>
        </w:rPr>
        <w:t>——————————————————————————————————————————————————————————————————————</w:t>
      </w:r>
    </w:p>
    <w:p>
      <w:pPr>
        <w:spacing w:before="160" w:after="40" w:line="240" w:lineRule="auto"/>
      </w:pPr>
      <w:r>
        <w:rPr>
          <w:b/>
        </w:rPr>
        <w:t xml:space="preserve">[27] </w:t>
      </w:r>
      <w:hyperlink r:id="rId273">
        <w:r>
          <w:rPr>
            <w:color w:val="1155CC"/>
            <w:u w:val="single"/>
          </w:rPr>
          <w:t>可扩展的相变纤维具有创纪录的热机械性能，可用于冷却纺织品</w:t>
        </w:r>
      </w:hyperlink>
    </w:p>
    <w:p>
      <w:pPr>
        <w:spacing w:before="0" w:after="80"/>
      </w:pPr>
      <w:r>
        <w:rPr>
          <w:i/>
          <w:sz w:val="20"/>
        </w:rPr>
        <w:t>EN: Scalable phase-change fibres with record thermo-mechanical properties for cooling textiles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服装的有效热调节对于舒适、安全和节能至关重要，但在没有主动冷却的情况下实现这一目标仍然是一个重大挑战。相变材料（PCM）在固液转变过程中储存和释放热量，为日常服装中的被动和持久温度控制提供了一条有前途的途径。由于微尺度液芯的不稳定性以及传统微流体无法维持超过厘米长度的连续注入，因此将液态相变材料嵌入纤维（PCF）本身就具有挑战性，从而限制了可扩展的纤维生产。我们在热拉丝和冷拉丝过程中通过尺寸减小和速度匹配策略克服了这些障碍，产生了均匀的 35 m 长、200 µm 薄的核壳 PCF。该纤维表现出低过冷度（4.2±0.3℃）、高潜热（122.6±1.5Jg⁻1）和创纪录的机械性能（32.1±0.8MPa强度，671±10.2%伸长率）。含有 50% PCF 的织物在实际条件下可实现持续降低 3-6 °C 的温度，被动地散发阳光和电池产生的热点产生的热量，同时性能优于传统棉。这些发现为可提供被动热调节的可扩展、高性能纺织品铺平了道路，提供了减少能源需求和减轻环境影响的实用策略。</w:t>
      </w:r>
    </w:p>
    <w:p>
      <w:pPr>
        <w:spacing w:before="0" w:after="200" w:lineRule="auto" w:line="276"/>
      </w:pPr>
      <w:r>
        <w:rPr>
          <w:b/>
        </w:rPr>
        <w:t xml:space="preserve">Abstract (EN): </w:t>
      </w:r>
      <w:r>
        <w:t>Efficient thermal regulation in clothing is critical for comfort, safety, and energy conservation, yet achieving it without active cooling remains a major challenge. Phase-change materials (PCMs), which store and release heat during solid–liquid transitions, offer a promising route toward passive and durable temperature control in everyday apparel. Embedding liquid-state PCMs into fibres (PCFs) is inherently challenging due to the instability of micro-scale liquid cores and the inability of conventional microfluidics to sustain continuous injection beyond centimetre lengths, limiting scalable fibre production. We overcome these barriers through a size-reduction and speed-matching strategy during thermal and cold fibre drawing, yielding uniform 35 m-long, 200 µm-thin core–shell PCFs. The fibres exhibit low supercooling (4.2 ± 0.3 °C), high latent enthalpy (122.6 ± 1.5 J g⁻¹), and record-level mechanical performance (32.1 ± 0.8 MPa strength, 671 ± 10.2% elongation). Fabrics incorporating 50% PCFs achieve sustained temperature reductions of 3–6 °C under realistic conditions, passively dissipating heat from sunlight and battery-generated hotspots while outperforming conventional cotton. These findings pave the way for scalable, high-performance textiles that provide passive thermal regulation, offering a practical strategy to reduce energy demand and mitigate environmental impact.</w:t>
      </w:r>
    </w:p>
    <w:p>
      <w:pPr>
        <w:spacing w:before="120" w:after="120"/>
      </w:pPr>
      <w:r>
        <w:rPr>
          <w:sz w:val="18"/>
        </w:rPr>
        <w:t>——————————————————————————————————————————————————————————————————————</w:t>
      </w:r>
    </w:p>
    <w:p>
      <w:pPr>
        <w:spacing w:before="160" w:after="40" w:line="240" w:lineRule="auto"/>
      </w:pPr>
      <w:r>
        <w:rPr>
          <w:b/>
        </w:rPr>
        <w:t xml:space="preserve">[28] </w:t>
      </w:r>
      <w:hyperlink r:id="rId274">
        <w:r>
          <w:rPr>
            <w:color w:val="1155CC"/>
            <w:u w:val="single"/>
          </w:rPr>
          <w:t>具有垂直排列通道的植物气凝胶，用于协同太阳能驱动界面蒸发和催化降解</w:t>
        </w:r>
      </w:hyperlink>
    </w:p>
    <w:p>
      <w:pPr>
        <w:spacing w:before="0" w:after="80"/>
      </w:pPr>
      <w:r>
        <w:rPr>
          <w:i/>
          <w:sz w:val="20"/>
        </w:rPr>
        <w:t>EN: Plant-Inspired Aerogels with Vertically Aligned Channels for Synergistic Solar-Driven Interfacial Evaporation and Catalytic Degradation</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275">
        <w:r>
          <w:rPr>
            <w:color w:val="1155CC"/>
            <w:u w:val="single"/>
          </w:rPr>
          <w:t>10.1021/acsami.6c08353</w:t>
        </w:r>
      </w:hyperlink>
    </w:p>
    <w:p>
      <w:pPr>
        <w:spacing w:before="0" w:after="120"/>
      </w:pPr>
      <w:r>
        <w:rPr>
          <w:b/>
        </w:rPr>
        <w:t xml:space="preserve">Notes: </w:t>
      </w:r>
      <w:r>
        <w:t>abstract_source=pubmed</w:t>
      </w:r>
    </w:p>
    <w:p>
      <w:pPr>
        <w:spacing w:before="0" w:after="80" w:lineRule="auto" w:line="276"/>
      </w:pPr>
      <w:r>
        <w:rPr>
          <w:b/>
        </w:rPr>
        <w:t xml:space="preserve">摘要（ZH）: </w:t>
      </w:r>
      <w:r>
        <w:t>太阳能驱动的界面蒸发与光催化的协同耦合已成为同时生产清洁水和去除污染物的一种有前景的策略。然而，其实际应用受到有限的界面蒸发和光催化效率以及现实水环境的复杂性——特别是高盐度和有机污染物的共存——的阻碍。受植物蒸腾作用的启发，通过定向冷冻干燥作为蒸发器，制备了一种具有垂直通道结构的新型仿生碳纳米管（CNT）/壳聚糖（CS）气凝胶。通过耦合光热和光催化功能，该系统提供了卓越的热限制，以提高光热效率并促进催化动力学，同时充当快速毛细管高速公路以加速水和污染物的传输。因此，蒸发器表现出高达94.66%的蒸发效率，在1 kW m-2辐照下蒸发速率为1.71 kg m-2 h-1。同时，该蒸发器对四环素（TC）表现出优异的催化降解性能，在60 min内实现了87.67%的去除率，准一级速率常数为0.0440 min-1。电子顺磁共振 (EPR) 光谱可识别原位产生高选择性、抗干扰非自由基（单线态氧，1O2）的催化系统。这项研究提供了一种创新方法来开发同时产生淡水和再生水的集成蒸发系统</w:t>
      </w:r>
    </w:p>
    <w:p>
      <w:pPr>
        <w:spacing w:before="0" w:after="200" w:lineRule="auto" w:line="276"/>
      </w:pPr>
      <w:r>
        <w:rPr>
          <w:b/>
        </w:rPr>
        <w:t xml:space="preserve">Abstract (EN): </w:t>
      </w:r>
      <w:r>
        <w:t>The synergistic coupling of solar-driven interfacial evaporation with photocatalysis has emerged as a promising strategy for simultaneously producing clean water and removing pollutants. However, their practical application is hindered by limited interfacial evaporation and photocatalysis efficiencies, as well as the complexity of real-world aqueous environments-particularly the coexistence of high salinity and organic pollutants. Herein, inspired by plant transpiration, a novel biomimetic carbon nanotube (CNT)/chitosan (CS) aerogel with a vertical channel structure was fabricated via directional freeze-drying as an evaporator. By coupling photothermal and photocatalytic functionalities, this system provides exceptional thermal confinement to enhance photothermal efficiency and boost catalytic kinetics while simultaneously acting as rapid capillary highways to accelerate the transport of water and contaminants. Consequently, the evaporator exhibits a remarkable evaporation efficiency of 94.66%, with an evaporation rate of 1.71 kg m-2 h-1 under 1 kW m-2 irradiation. Concurrently, the evaporator exhibits excellent catalytic degradation performance for tetracycline (TC), achieving 87.67% removal within 60 min with a pseudo-first-order rate constant of 0.0440 min-1. Electron paramagnetic resonance (EPR) spectroscopy identifies the catalytic system that generates a highly selective, interference-resistant non-radical (singlet oxygen, 1O2) in situ. This study offers an innovative approach to developing integrated evaporation systems that simultaneously generate freshwater and remediate wastewater.</w:t>
      </w:r>
    </w:p>
    <w:p>
      <w:pPr>
        <w:spacing w:before="120" w:after="120"/>
      </w:pPr>
      <w:r>
        <w:rPr>
          <w:sz w:val="18"/>
        </w:rPr>
        <w:t>——————————————————————————————————————————————————————————————————————</w:t>
      </w:r>
    </w:p>
    <w:p>
      <w:pPr>
        <w:spacing w:before="160" w:after="40" w:line="240" w:lineRule="auto"/>
      </w:pPr>
      <w:r>
        <w:rPr>
          <w:b/>
        </w:rPr>
        <w:t xml:space="preserve">[29] </w:t>
      </w:r>
      <w:hyperlink r:id="rId276">
        <w:r>
          <w:rPr>
            <w:color w:val="1155CC"/>
            <w:u w:val="single"/>
          </w:rPr>
          <w:t>湍流离心纺陶瓷气凝胶，具有元素差异最大化设计，可在空气中提供超过 2000 K 的热防护</w:t>
        </w:r>
      </w:hyperlink>
    </w:p>
    <w:p>
      <w:pPr>
        <w:spacing w:before="0" w:after="80"/>
      </w:pPr>
      <w:r>
        <w:rPr>
          <w:i/>
          <w:sz w:val="20"/>
        </w:rPr>
        <w:t>EN: Turbulent-centrifugal-spun ceramic aerogels with elemental difference maximization design for thermal protection over 2000 K in air</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77">
        <w:r>
          <w:rPr>
            <w:color w:val="1155CC"/>
            <w:u w:val="single"/>
          </w:rPr>
          <w:t>10.1126/sciadv.aee9953</w:t>
        </w:r>
      </w:hyperlink>
    </w:p>
    <w:p>
      <w:pPr>
        <w:spacing w:before="0" w:after="120"/>
      </w:pPr>
      <w:r>
        <w:rPr>
          <w:b/>
        </w:rPr>
        <w:t xml:space="preserve">Notes: </w:t>
      </w:r>
      <w:r>
        <w:t>abstract_source=crossref</w:t>
      </w:r>
    </w:p>
    <w:p>
      <w:pPr>
        <w:spacing w:before="0" w:after="80" w:lineRule="auto" w:line="276"/>
      </w:pPr>
      <w:r>
        <w:rPr>
          <w:b/>
        </w:rPr>
        <w:t xml:space="preserve">摘要（ZH）: </w:t>
      </w:r>
      <w:r>
        <w:t>由于氧化物陶瓷晶粒快速生长导致严重的体积收缩和强度下降，可能导致灾难性的热失控，因此空气中超高温下的热防护仍然非常具有挑战性。在这里，我们报告了中熵的元素差异最大化设计（La</w:t>
      </w:r>
      <w:r>
        <w:t xml:space="preserve"> </w:t>
      </w:r>
      <w:r>
        <w:t>0.5</w:t>
      </w:r>
      <w:r>
        <w:t xml:space="preserve"> </w:t>
      </w:r>
      <w:r>
        <w:t>是</w:t>
      </w:r>
      <w:r>
        <w:t xml:space="preserve"> </w:t>
      </w:r>
      <w:r>
        <w:t>0.5</w:t>
      </w:r>
      <w:r>
        <w:t xml:space="preserve"> </w:t>
      </w:r>
      <w:r>
        <w:t>）</w:t>
      </w:r>
      <w:r>
        <w:rPr>
          <w:vertAlign w:val="subscript"/>
        </w:rPr>
        <w:t>2</w:t>
      </w:r>
      <w:r>
        <w:t>锆</w:t>
      </w:r>
      <w:r>
        <w:rPr>
          <w:vertAlign w:val="subscript"/>
        </w:rPr>
        <w:t>2</w:t>
      </w:r>
      <w:r>
        <w:t>氧</w:t>
      </w:r>
      <w:r>
        <w:rPr>
          <w:vertAlign w:val="subscript"/>
        </w:rPr>
        <w:t>7</w:t>
      </w:r>
      <w:r>
        <w:t>采用大规模、低成本的湍流离心纺丝方法制备的纤维气凝胶，可有效抑制空气中2000 K以上超高温下的晶粒生长。所得气凝胶表现出仅405.8 nm的超细晶粒尺寸，长期超高温暴露后体积收缩小（&lt;3%）和较大的强度增加（&gt;26%），以及101.1 mW m的超低导热系数</w:t>
      </w:r>
      <w:r>
        <w:t xml:space="preserve"> </w:t>
      </w:r>
      <w:r>
        <w:t>−1</w:t>
      </w:r>
      <w:r>
        <w:t xml:space="preserve"> </w:t>
      </w:r>
      <w:r>
        <w:t>K</w:t>
      </w:r>
      <w:r>
        <w:t xml:space="preserve"> </w:t>
      </w:r>
      <w:r>
        <w:t>−1</w:t>
      </w:r>
      <w:r>
        <w:t xml:space="preserve"> </w:t>
      </w:r>
      <w:r>
        <w:t>在 1273 K 温度下工作，在空气中超过 2000 K 时具有可靠的防护性能。这项工作不仅为陶瓷气凝胶的材料设计建立了一套基本考虑因素，而且促进了此类气凝胶在极端条件下热防护的大规模制造和实际应用。</w:t>
      </w:r>
    </w:p>
    <w:p>
      <w:pPr>
        <w:spacing w:before="0" w:after="200" w:lineRule="auto" w:line="276"/>
      </w:pPr>
      <w:r>
        <w:rPr>
          <w:b/>
        </w:rPr>
        <w:t xml:space="preserve">Abstract (EN): </w:t>
      </w:r>
      <w:r>
        <w:t>Thermal protection under ultrahigh temperatures in air remains very challenging due to the severe volume shrinkage and strength degradation induced by rapid grain growth in oxide ceramics, which can potentially lead to catastrophic thermal runaway. Here, we report an elemental difference maximization design of medium-entropy (La</w:t>
      </w:r>
      <w:r>
        <w:t xml:space="preserve"> </w:t>
      </w:r>
      <w:r>
        <w:t>0.5</w:t>
      </w:r>
      <w:r>
        <w:t xml:space="preserve"> </w:t>
      </w:r>
      <w:r>
        <w:t>Y</w:t>
      </w:r>
      <w:r>
        <w:t xml:space="preserve"> </w:t>
      </w:r>
      <w:r>
        <w:t>0.5</w:t>
      </w:r>
      <w:r>
        <w:t xml:space="preserve"> </w:t>
      </w:r>
      <w:r>
        <w:t>)</w:t>
      </w:r>
      <w:r>
        <w:rPr>
          <w:vertAlign w:val="subscript"/>
        </w:rPr>
        <w:t>2</w:t>
      </w:r>
      <w:r>
        <w:t>Zr</w:t>
      </w:r>
      <w:r>
        <w:rPr>
          <w:vertAlign w:val="subscript"/>
        </w:rPr>
        <w:t>2</w:t>
      </w:r>
      <w:r>
        <w:t>O</w:t>
      </w:r>
      <w:r>
        <w:rPr>
          <w:vertAlign w:val="subscript"/>
        </w:rPr>
        <w:t>7</w:t>
      </w:r>
      <w:r>
        <w:t>fibrous aerogels made by a large-scale and low-cost turbulent-centrifugal spinning method to effectively suppress the grain growth under ultrahigh temperatures over 2000 K in air. The resulting aerogels show an ultrafine grain size of only 405.8 nm, a small volume shrinkage (&amp;lt;3%), and a large strength increase (&amp;gt;26%) after long-term ultrahigh temperature exposure, as well as an ultralow thermal conductivity of 101.1 mW m</w:t>
      </w:r>
      <w:r>
        <w:t xml:space="preserve"> </w:t>
      </w:r>
      <w:r>
        <w:t>−1</w:t>
      </w:r>
      <w:r>
        <w:t xml:space="preserve"> </w:t>
      </w:r>
      <w:r>
        <w:t>K</w:t>
      </w:r>
      <w:r>
        <w:t xml:space="preserve"> </w:t>
      </w:r>
      <w:r>
        <w:t>−1</w:t>
      </w:r>
      <w:r>
        <w:t xml:space="preserve"> </w:t>
      </w:r>
      <w:r>
        <w:t>at 1273 K and reliable protection performance over 2000 K in air. This work not only establishes a set of fundamental considerations for material design of ceramic aerogels but also promotes large-scale fabrication and practical application of such aerogels for thermal protection under extreme conditions.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278">
        <w:r>
          <w:rPr>
            <w:color w:val="1155CC"/>
            <w:u w:val="single"/>
          </w:rPr>
          <w:t>具有场吸引和原位固定功能的超成本效益且可扩展的亚胺吸附剂，可在工业条件下有效捕获多种碘形态（Adv. Mater. 40/2026）</w:t>
        </w:r>
      </w:hyperlink>
    </w:p>
    <w:p>
      <w:pPr>
        <w:spacing w:before="0" w:after="80"/>
      </w:pPr>
      <w:r>
        <w:rPr>
          <w:i/>
          <w:sz w:val="20"/>
        </w:rPr>
        <w:t>EN: Super Cost‐Effective and Scalable Imine‐Based Sorbent With Field Attraction and In Situ Fixation for Efficient Capture of Diverse Iodine Species under Industrial Conditions (Adv. Mater. 40/2026)</w:t>
      </w:r>
    </w:p>
    <w:p>
      <w:pPr>
        <w:spacing w:before="0" w:after="120"/>
      </w:pPr>
      <w:r>
        <w:rPr>
          <w:b/>
        </w:rPr>
        <w:t xml:space="preserve">Source: </w:t>
      </w:r>
      <w:r>
        <w:t>Wiley: Advanced Materials: Table of Contents</w:t>
      </w:r>
      <w:r>
        <w:t xml:space="preserve">    </w:t>
      </w:r>
      <w:r>
        <w:rPr>
          <w:b/>
        </w:rPr>
        <w:t xml:space="preserve">Pub date: </w:t>
      </w:r>
      <w:r>
        <w:t>2026-07-17 13:23:16+00:00</w:t>
      </w:r>
      <w:r>
        <w:t xml:space="preserve">    </w:t>
      </w:r>
      <w:r>
        <w:rPr>
          <w:b/>
        </w:rPr>
        <w:t xml:space="preserve">DOI: </w:t>
      </w:r>
      <w:hyperlink r:id="rId279">
        <w:r>
          <w:rPr>
            <w:color w:val="1155CC"/>
            <w:u w:val="single"/>
          </w:rPr>
          <w:t>10.1002/adma.74098</w:t>
        </w:r>
      </w:hyperlink>
    </w:p>
    <w:p>
      <w:pPr>
        <w:spacing w:before="0" w:after="120"/>
      </w:pPr>
      <w:r>
        <w:rPr>
          <w:b/>
        </w:rPr>
        <w:t xml:space="preserve">Notes: </w:t>
      </w:r>
      <w:r>
        <w:t>abstract_source=openalex</w:t>
      </w:r>
    </w:p>
    <w:p>
      <w:pPr>
        <w:spacing w:before="0" w:after="80" w:lineRule="auto" w:line="276"/>
      </w:pPr>
      <w:r>
        <w:rPr>
          <w:b/>
        </w:rPr>
        <w:t xml:space="preserve">摘要（ZH）: </w:t>
      </w:r>
      <w:r>
        <w:t>用于碘捕获的超经济高效且可扩展的亚胺基吸附剂 在他们的研究文章（DOI：10.1002/adma.202522566）中，Guo-Hao Zhang 和同事介绍了一种将静电场吸引与原位封装相结合的亚胺基吸附剂。这种协同作用能够在恶劣的工业条件下以超低成本和可扩展性实现创纪录的高碘吸收量，为核废气处理提供了一条实用途径。</w:t>
      </w:r>
    </w:p>
    <w:p>
      <w:pPr>
        <w:spacing w:before="0" w:after="200" w:lineRule="auto" w:line="276"/>
      </w:pPr>
      <w:r>
        <w:rPr>
          <w:b/>
        </w:rPr>
        <w:t xml:space="preserve">Abstract (EN): </w:t>
      </w:r>
      <w:r>
        <w:t>Super Cost-Effective and Scalable Imine-Based Sorbent for Iodine Capture In their Research Article (DOI: 10.1002/adma.202522566), Guo-Hao Zhang and co-workers introduce an imine-based sorbent that combines electrostatic field attraction with in-situ encapsulation. This synergy enables record-high iodine uptake under harsh industrial conditions with ultra-low cost and scalability, offering a practical pathway for nuclear off-gas treatment.</w:t>
      </w:r>
    </w:p>
    <w:p>
      <w:pPr>
        <w:spacing w:before="120" w:after="120"/>
      </w:pPr>
      <w:r>
        <w:rPr>
          <w:sz w:val="18"/>
        </w:rPr>
        <w:t>——————————————————————————————————————————————————————————————————————</w:t>
      </w:r>
    </w:p>
    <w:p>
      <w:pPr>
        <w:spacing w:before="160" w:after="40" w:line="240" w:lineRule="auto"/>
      </w:pPr>
      <w:r>
        <w:rPr>
          <w:b/>
        </w:rPr>
        <w:t xml:space="preserve">[2] </w:t>
      </w:r>
      <w:hyperlink r:id="rId280">
        <w:r>
          <w:rPr>
            <w:color w:val="1155CC"/>
            <w:u w:val="single"/>
          </w:rPr>
          <w:t>亚keV能量体系中的增强核聚变</w:t>
        </w:r>
      </w:hyperlink>
    </w:p>
    <w:p>
      <w:pPr>
        <w:spacing w:before="0" w:after="80"/>
      </w:pPr>
      <w:r>
        <w:rPr>
          <w:i/>
          <w:sz w:val="20"/>
        </w:rPr>
        <w:t>EN: Enhanced nuclear fusion in the sub-keV energy regime</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核聚变需要克服或穿越数百千电子伏的排斥库仑势垒，使得亚keV能量下聚变的可能性变得非常小。然而在凝聚态物质中，反应核的电子和结构环境可以极大地改变聚变速率。在这里，我们证明金属箔内的氘-氘聚变表现出低于 2 keV 的明显反应产率平台（即有限的、非消失的产率下限），与低能量下预期的指数抑制形成鲜明对比。在测量的最低能量下，这对应于相对于裸核（未筛选）预期增加超过 10^8 的聚变产量。使用将电化学氘负载与低能离子束轰击相结合的双室平台，我们在钯氢化物和钛氢化物中观察到了这种行为。这些结果揭示了固体中以前未被认识的低能核反应机制，证明材料自由度可以从根本上重新规范隧道概率和聚变截面。</w:t>
      </w:r>
    </w:p>
    <w:p>
      <w:pPr>
        <w:spacing w:before="0" w:after="200" w:lineRule="auto" w:line="276"/>
      </w:pPr>
      <w:r>
        <w:rPr>
          <w:b/>
        </w:rPr>
        <w:t xml:space="preserve">Abstract (EN): </w:t>
      </w:r>
      <w:r>
        <w:t>Nuclear fusion requires overcoming or traversing a repulsive Coulomb barrier of hundreds of kiloelectronvolts, rendering the probability of fusion at sub-keV energies vanishingly small. Yet in condensed matter, the electronic and structural environment of reacting nuclei can profoundly alter fusion rates. Here we demonstrate that deuterium–deuterium fusion within metallic foils exhibits a pronounced reaction yield plateau (i.e., a finite, non-vanishing yield floor) below 2 keV—in stark contrast to the expected exponential suppression at low energy. At the lowest energies measured, this corresponds to fusion yields enhanced by more than 10¹⁸ relative to bare-nucleus (unscreened) expectations. Using a dual-chamber platform that combines electrochemical deuterium loading with low-energy ion-beam bombardment, we observe this behavior in both palladium and titanium hydrides. These results reveal a previously unrecognized regime of low-energy nuclear reactions in solids, demonstrating that materials degrees of freedom can fundamentally renormalize tunneling probabilities and fusion cross-sections.</w:t>
      </w:r>
    </w:p>
    <w:p>
      <w:pPr>
        <w:spacing w:before="120" w:after="120"/>
      </w:pPr>
      <w:r>
        <w:rPr>
          <w:sz w:val="18"/>
        </w:rPr>
        <w:t>——————————————————————————————————————————————————————————————————————</w:t>
      </w:r>
    </w:p>
    <w:p>
      <w:pPr>
        <w:spacing w:before="160" w:after="40" w:line="240" w:lineRule="auto"/>
      </w:pPr>
      <w:r>
        <w:rPr>
          <w:b/>
        </w:rPr>
        <w:t xml:space="preserve">[3] </w:t>
      </w:r>
      <w:hyperlink r:id="rId281">
        <w:r>
          <w:rPr>
            <w:color w:val="1155CC"/>
            <w:u w:val="single"/>
          </w:rPr>
          <w:t>通过 m/n = 2/2 共振磁扰动抑制锯齿振荡</w:t>
        </w:r>
      </w:hyperlink>
    </w:p>
    <w:p>
      <w:pPr>
        <w:spacing w:before="0" w:after="80"/>
      </w:pPr>
      <w:r>
        <w:rPr>
          <w:i/>
          <w:sz w:val="20"/>
        </w:rPr>
        <w:t>EN: Suppression of sawtooth oscillations by m/n = 2/2 resonant magnetic perturbation</w:t>
      </w:r>
    </w:p>
    <w:p>
      <w:pPr>
        <w:spacing w:before="0" w:after="120"/>
      </w:pPr>
      <w:r>
        <w:rPr>
          <w:b/>
        </w:rPr>
        <w:t xml:space="preserve">Source: </w:t>
      </w:r>
      <w:r>
        <w:t>Nuclear Fusion - latest papers</w:t>
      </w:r>
      <w:r>
        <w:t xml:space="preserve">    </w:t>
      </w:r>
      <w:r>
        <w:rPr>
          <w:b/>
        </w:rPr>
        <w:t xml:space="preserve">Pub date: </w:t>
      </w:r>
      <w:r>
        <w:t>2026-07-19 23:00:00+00:00</w:t>
      </w:r>
      <w:r>
        <w:t xml:space="preserve">    </w:t>
      </w:r>
      <w:r>
        <w:rPr>
          <w:b/>
        </w:rPr>
        <w:t xml:space="preserve">DOI: </w:t>
      </w:r>
      <w:hyperlink r:id="rId282">
        <w:r>
          <w:rPr>
            <w:color w:val="1155CC"/>
            <w:u w:val="single"/>
          </w:rPr>
          <w:t>10.1088/1741-4326/ae827f</w:t>
        </w:r>
      </w:hyperlink>
    </w:p>
    <w:p>
      <w:pPr>
        <w:spacing w:before="0" w:after="120"/>
      </w:pPr>
      <w:r>
        <w:rPr>
          <w:b/>
        </w:rPr>
        <w:t xml:space="preserve">Notes: </w:t>
      </w:r>
      <w:r>
        <w:t>abstract_source=rss_description</w:t>
      </w:r>
    </w:p>
    <w:p>
      <w:pPr>
        <w:spacing w:before="0" w:after="80" w:lineRule="auto" w:line="276"/>
      </w:pPr>
      <w:r>
        <w:rPr>
          <w:b/>
        </w:rPr>
        <w:t xml:space="preserve">摘要（ZH）: </w:t>
      </w:r>
      <w:r>
        <w:t>通过 m/n = 2/2 共振磁扰动 (RMP) 实现了锯齿控制向更高电子密度 (ne) 和边缘安全系数 (qa) 范围的显着扩展，该扰动比之前 J-TEXT 上的鞍型 RMP 线圈 (Li 2020 Nucl. Fusion 60 126002) 生成的 RMP 强约 8 倍。通过使用最近安装的螺旋线圈，即所谓的外部旋转变换线圈（Li 2024 Fusion Eng. Des. 206 114591），在具有反向等离子体电流方向的谐振场模式下运行，2/2 RMP 场可以在短半径 a = 22 cm 的等离子体表面上达到最大 234 高斯。使用新的螺旋线圈，振幅为 130 高斯的 RMP 磁场足以穿透 q = 1 表面，在 qa 高达 4.3 处形成 2/2 磁岛，ne 高达 4 × 1019 m−3，因此减轻了这些参数范围内的锯齿波。此外，利用电子回旋共振加热（ECRH）在 J-TEXT 等离子体中也成功地进行了锯齿抑制。尽管 ECRH 的电子温度 Te 较高，但 RMP 穿透阈值小于仅欧姆加热的情况，这可能是由于 q = 1 表面和 RMP 线圈的几何参数、感应自举电流和较慢的旋转。 2/2 RMP 的锯齿控制可以通过额外的加热方法（如中性束注入和 ECRH）在具有大引导和慢旋转的较大尺寸设备中实现。</w:t>
      </w:r>
    </w:p>
    <w:p>
      <w:pPr>
        <w:spacing w:before="0" w:after="200" w:lineRule="auto" w:line="276"/>
      </w:pPr>
      <w:r>
        <w:rPr>
          <w:b/>
        </w:rPr>
        <w:t xml:space="preserve">Abstract (EN): </w:t>
      </w:r>
      <w:r>
        <w:t>Significant extension of sawtooth control toward higher electron density (ne) and edge safety factor (qa) ranges has been achieved by m/n = 2/2 resonant magnetic perturbation (RMP), which is ∼8 times stronger than the previous RMP generated by saddle-type RMP coils (Li 2020 Nucl. Fusion 60 126002) on J-TEXT. By using the recently installed helical coils, the so-called external rotational transform coils (Li 2024 Fusion Eng. Des. 206 114591) running in resonant field mode with reversed plasma current direction, the 2/2 RMP field can reach a maximal of 234 Gauss on the plasma surface at minor radius a = 22 cm. With the new helical coils, the RMP field with an amplitude of 130 Gauss is strong enough to penetrate at q = 1 surface forming a 2/2 magnetic island at qa as high as 4.3, and ne up to 4 × 1019 m−3, and hence mitigates sawtooth in these parameter ranges. Further, sawtooth suppression has also been successfully carried out in the J-TEXT plasma with electron cyclotron resonance heating (ECRH). Despite the higher electron temperature Te with ECRH, the RMP penetration threshold is smaller than by only ohmically-heating, probably due to the geometrical parameter of the q = 1 surface and RMP coils, induced bootstrap current and slower rotation. Sawtooth control by 2/2 RMP may be realized in larger size devices with large bootstrap and slow rotation by additional heating methods, like Neutral Beam Injection and ECRH.</w:t>
      </w:r>
    </w:p>
    <w:p>
      <w:pPr>
        <w:spacing w:before="120" w:after="120"/>
      </w:pPr>
      <w:r>
        <w:rPr>
          <w:sz w:val="18"/>
        </w:rPr>
        <w:t>——————————————————————————————————————————————————————————————————————</w:t>
      </w:r>
    </w:p>
    <w:p>
      <w:pPr>
        <w:spacing w:before="160" w:after="40" w:line="240" w:lineRule="auto"/>
      </w:pPr>
      <w:r>
        <w:rPr>
          <w:b/>
        </w:rPr>
        <w:t xml:space="preserve">[4] </w:t>
      </w:r>
      <w:hyperlink r:id="rId283">
        <w:r>
          <w:rPr>
            <w:color w:val="1155CC"/>
            <w:u w:val="single"/>
          </w:rPr>
          <w:t>Halo Machine 的概念设计</w:t>
        </w:r>
      </w:hyperlink>
    </w:p>
    <w:p>
      <w:pPr>
        <w:spacing w:before="0" w:after="80"/>
      </w:pPr>
      <w:r>
        <w:rPr>
          <w:i/>
          <w:sz w:val="20"/>
        </w:rPr>
        <w:t>EN: Conceptual design of the Halo Machine</w:t>
      </w:r>
    </w:p>
    <w:p>
      <w:pPr>
        <w:spacing w:before="0" w:after="120"/>
      </w:pPr>
      <w:r>
        <w:rPr>
          <w:b/>
        </w:rPr>
        <w:t xml:space="preserve">Source: </w:t>
      </w:r>
      <w:r>
        <w:t>Nuclear Fusion - latest papers</w:t>
      </w:r>
      <w:r>
        <w:t xml:space="preserve">    </w:t>
      </w:r>
      <w:r>
        <w:rPr>
          <w:b/>
        </w:rPr>
        <w:t xml:space="preserve">Pub date: </w:t>
      </w:r>
      <w:r>
        <w:t>2026-07-19 23:00:00+00:00</w:t>
      </w:r>
      <w:r>
        <w:t xml:space="preserve">    </w:t>
      </w:r>
      <w:r>
        <w:rPr>
          <w:b/>
        </w:rPr>
        <w:t xml:space="preserve">DOI: </w:t>
      </w:r>
      <w:hyperlink r:id="rId284">
        <w:r>
          <w:rPr>
            <w:color w:val="1155CC"/>
            <w:u w:val="single"/>
          </w:rPr>
          <w:t>10.1088/1741-4326/ae8606</w:t>
        </w:r>
      </w:hyperlink>
    </w:p>
    <w:p>
      <w:pPr>
        <w:spacing w:before="0" w:after="120"/>
      </w:pPr>
      <w:r>
        <w:rPr>
          <w:b/>
        </w:rPr>
        <w:t xml:space="preserve">Notes: </w:t>
      </w:r>
      <w:r>
        <w:t>abstract_source=rss_description</w:t>
      </w:r>
    </w:p>
    <w:p>
      <w:pPr>
        <w:spacing w:before="0" w:after="80" w:lineRule="auto" w:line="276"/>
      </w:pPr>
      <w:r>
        <w:rPr>
          <w:b/>
        </w:rPr>
        <w:t xml:space="preserve">摘要（ZH）: </w:t>
      </w:r>
      <w:r>
        <w:t>1996年，当人们首次认识到侧向力的危险时，JET托卡马克的运行窗口受到了极大的限制。对最大磁场和等离子体电流进行限制，以防止真空容器承受过大的应力。尽管经过了三十年的研究，对 ITER 壁上侧向力的预测仍然高度不确定，范围从 2 到 60 MN，估计上限超过了 48 MN 的设计值，这将导致运行限制（可能影响 ITER 最终聚变性能的运行）。为了解决这个问题，ITPA 社区于 2018 年启动了专门的联合实验 MDC-25。虽然已经取得了实质性进展，但最近的研究结果强调需要对专门的线性设备进行补充研究，以研究等离子体壁电流，这是侧向力的关键因素。在这里，我们提出了第一个专门设计用于研究扭结模式存在下的等离子体-壁相互作用的线性装置，目的是解决与等离子体-壁电流和相关侧向力相关的不确定性。预计新设备获得的研究结果将指导未来托卡马克的真空容器和面向等离子体的组件的设计。</w:t>
      </w:r>
    </w:p>
    <w:p>
      <w:pPr>
        <w:spacing w:before="0" w:after="200" w:lineRule="auto" w:line="276"/>
      </w:pPr>
      <w:r>
        <w:rPr>
          <w:b/>
        </w:rPr>
        <w:t xml:space="preserve">Abstract (EN): </w:t>
      </w:r>
      <w:r>
        <w:t>In 1996, when the danger of sideways forces was first recognised, the operational window of the JET tokamak was significantly restricted. Limits were placed on the maximum magnetic field and plasma current to prevent excessive stresses on the vacuum vessel. Despite three decades of research, predictions for the sideways force on the ITER wall remain highly uncertain, ranging from 2 to 60 MN with the upper estimate exceeding the design value of 48 MN, which would result in operational restrictions (operation with potentially affecting ITER’s ultimate fusion performance). To address this issue, the ITPA community launched the dedicated joint experiment MDC-25 in 2018. While substantial progress has been made, recent findings highlight the need for complementary studies on a specialised linear device to investigate plasma–wall currents, key contributors to sideways forces. Here, we propose the first linear device specifically designed to investigate plasma–wall interactions in the presence of kink modes, with the aim of resolving uncertainties related to plasma–wall currents and associated sideways forces. It is expected that the findings obtained with the new device will guide the design of vacuum vessels and plasma facing components for future tokamaks.</w:t>
      </w:r>
    </w:p>
    <w:p>
      <w:pPr>
        <w:spacing w:before="120" w:after="120"/>
      </w:pPr>
      <w:r>
        <w:rPr>
          <w:sz w:val="18"/>
        </w:rPr>
        <w:t>——————————————————————————————————————————————————————————————————————</w:t>
      </w:r>
    </w:p>
    <w:p>
      <w:pPr>
        <w:spacing w:before="160" w:after="40" w:line="240" w:lineRule="auto"/>
      </w:pPr>
      <w:r>
        <w:rPr>
          <w:b/>
        </w:rPr>
        <w:t xml:space="preserve">[5] </w:t>
      </w:r>
      <w:hyperlink r:id="rId285">
        <w:r>
          <w:rPr>
            <w:color w:val="1155CC"/>
            <w:u w:val="single"/>
          </w:rPr>
          <w:t>$^{180}\mathrm{Hg}$区域的裂变模式识别：导数分析方法</w:t>
        </w:r>
      </w:hyperlink>
    </w:p>
    <w:p>
      <w:pPr>
        <w:spacing w:before="0" w:after="80"/>
      </w:pPr>
      <w:r>
        <w:rPr>
          <w:i/>
          <w:sz w:val="20"/>
        </w:rPr>
        <w:t>EN: Fission mode identification in the $^{180}\mathrm{Hg}$ region: Derivative analysis approach</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286">
        <w:r>
          <w:rPr>
            <w:color w:val="1155CC"/>
            <w:u w:val="single"/>
          </w:rPr>
          <w:t>10.1103/qx28-3tkb</w:t>
        </w:r>
      </w:hyperlink>
    </w:p>
    <w:p>
      <w:pPr>
        <w:spacing w:before="0" w:after="120"/>
      </w:pPr>
      <w:r>
        <w:rPr>
          <w:b/>
        </w:rPr>
        <w:t xml:space="preserve">Notes: </w:t>
      </w:r>
      <w:r>
        <w:t>abstract_source=rss_description</w:t>
      </w:r>
    </w:p>
    <w:p>
      <w:pPr>
        <w:spacing w:before="0" w:after="80" w:lineRule="auto" w:line="276"/>
      </w:pPr>
      <w:r>
        <w:rPr>
          <w:b/>
        </w:rPr>
        <w:t xml:space="preserve">摘要（ZH）: </w:t>
      </w:r>
      <w:r>
        <w:t>作者：D. T. Kattikat Melcom、I. Tsekhanovich、F. Guezet、A. Andreyev 和 K. Nishio 背景：通常用于研究奇异中子缺乏 $^{180}\mathrm{Hg}$ 区域中原子核裂变特性的实验装置基于用于裂变产物识别的飞行时间技术。在最好的情况下，获得的碎片质量（FFMD）和总动能......[Phys。 Rev. C 114, 014627] 2026 年 7 月 20 日星期一发布</w:t>
      </w:r>
    </w:p>
    <w:p>
      <w:pPr>
        <w:spacing w:before="0" w:after="200" w:lineRule="auto" w:line="276"/>
      </w:pPr>
      <w:r>
        <w:rPr>
          <w:b/>
        </w:rPr>
        <w:t xml:space="preserve">Abstract (EN): </w:t>
      </w:r>
      <w:r>
        <w:t>Author(s): D. T. Kattikat Melcom, I. Tsekhanovich, F. Guezet, A. Andreyev, and K. NishioBackground: Experimental setups commonly used to study fission properties of nuclei in the exotic neutron-deficient $^{180}\mathrm{Hg}$ region are based on the time-of-flight technique for the fission-product identification. In best cases, the obtained fragments mass (FFMD) and total kinetic energy …[Phys. Rev. C 114, 014627] Published Mon Jul 20, 2026</w:t>
      </w:r>
    </w:p>
    <w:p>
      <w:pPr>
        <w:spacing w:before="120" w:after="120"/>
      </w:pPr>
      <w:r>
        <w:rPr>
          <w:sz w:val="18"/>
        </w:rPr>
        <w:t>——————————————————————————————————————————————————————————————————————</w:t>
      </w:r>
    </w:p>
    <w:p>
      <w:pPr>
        <w:spacing w:before="160" w:after="40" w:line="240" w:lineRule="auto"/>
      </w:pPr>
      <w:r>
        <w:rPr>
          <w:b/>
        </w:rPr>
        <w:t xml:space="preserve">[6] </w:t>
      </w:r>
      <w:hyperlink r:id="rId287">
        <w:r>
          <w:rPr>
            <w:color w:val="1155CC"/>
            <w:u w:val="single"/>
          </w:rPr>
          <w:t>论文：将高能量密度科学的前沿推向未知的物质状态</w:t>
        </w:r>
      </w:hyperlink>
    </w:p>
    <w:p>
      <w:pPr>
        <w:spacing w:before="0" w:after="80"/>
      </w:pPr>
      <w:r>
        <w:rPr>
          <w:i/>
          <w:sz w:val="20"/>
        </w:rPr>
        <w:t>EN: Essay: Pushing the Frontiers of High Energy Density Science toward Unexplored States of Matter</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288">
        <w:r>
          <w:rPr>
            <w:color w:val="1155CC"/>
            <w:u w:val="single"/>
          </w:rPr>
          <w:t>10.1103/1d8y-2cmz</w:t>
        </w:r>
      </w:hyperlink>
    </w:p>
    <w:p>
      <w:pPr>
        <w:spacing w:before="0" w:after="120"/>
      </w:pPr>
      <w:r>
        <w:rPr>
          <w:b/>
        </w:rPr>
        <w:t xml:space="preserve">Notes: </w:t>
      </w:r>
      <w:r>
        <w:t>abstract_source=rss_description</w:t>
      </w:r>
    </w:p>
    <w:p>
      <w:pPr>
        <w:spacing w:before="0" w:after="80" w:lineRule="auto" w:line="276"/>
      </w:pPr>
      <w:r>
        <w:rPr>
          <w:b/>
        </w:rPr>
        <w:t xml:space="preserve">摘要（ZH）: </w:t>
      </w:r>
      <w:r>
        <w:t>作者：Federica Coppari 在这篇前瞻性的 PRL 文章中，Federica Coppari 提出了关于高能量密度科学的令人信服的观点，重点关注极端条件下物质的显着行为（例如非常高的压力和广泛的温度范围），例如在行星、恒星和聚变反应深处发现的情况。莱特牧师。 137, 040001] 2026 年 7 月 20 日星期一发布</w:t>
      </w:r>
    </w:p>
    <w:p>
      <w:pPr>
        <w:spacing w:before="0" w:after="200" w:lineRule="auto" w:line="276"/>
      </w:pPr>
      <w:r>
        <w:rPr>
          <w:b/>
        </w:rPr>
        <w:t xml:space="preserve">Abstract (EN): </w:t>
      </w:r>
      <w:r>
        <w:t>Author(s): Federica CoppariIn this forward-looking PRL Essay, Federica Coppari presents a compelling perspective on high-energy-density science, centering on the remarkable behavior of matter under extreme conditions—such as very high pressures and a wide range of temperatures—like those found deep inside planets, stars, and fusion reactions.[Phys. Rev. Lett. 137, 040001] Published Mon Jul 20, 2026</w:t>
      </w:r>
    </w:p>
    <w:p>
      <w:pPr>
        <w:spacing w:before="120" w:after="120"/>
      </w:pPr>
      <w:r>
        <w:rPr>
          <w:sz w:val="18"/>
        </w:rPr>
        <w:t>——————————————————————————————————————————————————————————————————————</w:t>
      </w:r>
    </w:p>
    <w:p>
      <w:pPr>
        <w:spacing w:before="160" w:after="40" w:line="240" w:lineRule="auto"/>
      </w:pPr>
      <w:r>
        <w:rPr>
          <w:b/>
        </w:rPr>
        <w:t xml:space="preserve">[7] </w:t>
      </w:r>
      <w:hyperlink r:id="rId289">
        <w:r>
          <w:rPr>
            <w:color w:val="1155CC"/>
            <w:u w:val="single"/>
          </w:rPr>
          <w:t>转换电子能谱揭示了缺中子核 $^{179,181}\mathrm{Hg}$ 和 $^{179}\mathrm{Tl}$ 中异构体的内部跃迁路径</w:t>
        </w:r>
      </w:hyperlink>
    </w:p>
    <w:p>
      <w:pPr>
        <w:spacing w:before="0" w:after="80"/>
      </w:pPr>
      <w:r>
        <w:rPr>
          <w:i/>
          <w:sz w:val="20"/>
        </w:rPr>
        <w:t>EN: Conversion electron spectroscopy unveils internal transition pathways of isomers in the neutron-deficient nuclei $^{179,181}\mathrm{Hg}$ and $^{179}\mathrm{Tl}$</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290">
        <w:r>
          <w:rPr>
            <w:color w:val="1155CC"/>
            <w:u w:val="single"/>
          </w:rPr>
          <w:t>10.1103/ggc8-mn83</w:t>
        </w:r>
      </w:hyperlink>
    </w:p>
    <w:p>
      <w:pPr>
        <w:spacing w:before="0" w:after="120"/>
      </w:pPr>
      <w:r>
        <w:rPr>
          <w:b/>
        </w:rPr>
        <w:t xml:space="preserve">Notes: </w:t>
      </w:r>
      <w:r>
        <w:t>abstract_source=rss_description</w:t>
      </w:r>
    </w:p>
    <w:p>
      <w:pPr>
        <w:spacing w:before="0" w:after="80" w:lineRule="auto" w:line="276"/>
      </w:pPr>
      <w:r>
        <w:rPr>
          <w:b/>
        </w:rPr>
        <w:t xml:space="preserve">摘要（ZH）: </w:t>
      </w:r>
      <w:r>
        <w:t>作者：S. Y. 张等人。非常缺中子同位素 $^{179m,181m}\mathrm{Hg}$ 和 $^{179m}\mathrm{Tl}$ 中的异构体是通过聚变蒸发反应填充的$^{78}\mathrm{Kr}+^{107}\mathrm{Ag}\phantom{\rule{0.16em}{0ex}}→\phantom{\rule{0.16em}{0ex}}^{185}\mathrm{Bi}^{*}$。使用充气反冲分离器......[物理。 Rev. C 114, 014325] 2026 年 7 月 20 日星期一发布</w:t>
      </w:r>
    </w:p>
    <w:p>
      <w:pPr>
        <w:spacing w:before="0" w:after="200" w:lineRule="auto" w:line="276"/>
      </w:pPr>
      <w:r>
        <w:rPr>
          <w:b/>
        </w:rPr>
        <w:t xml:space="preserve">Abstract (EN): </w:t>
      </w:r>
      <w:r>
        <w:t>Author(s): S. Y. Zhang et al.The isomers in the very neutron-deficient isotopes $^{179m,181m}\mathrm{Hg}$ and $^{179m}\mathrm{Tl}$ were populated via fusion-evaporation reaction $^{78}\mathrm{Kr}+^{107}\mathrm{Ag}\phantom{\rule{0.16em}{0ex}}→\phantom{\rule{0.16em}{0ex}}^{185}\mathrm{Bi}^{*}$. Using the gas-filled recoil separat…[Phys. Rev. C 114, 014325] Published Mon Jul 20, 2026</w:t>
      </w:r>
    </w:p>
    <w:p>
      <w:pPr>
        <w:spacing w:before="120" w:after="120"/>
      </w:pPr>
      <w:r>
        <w:rPr>
          <w:sz w:val="18"/>
        </w:rPr>
        <w:t>——————————————————————————————————————————————————————————————————————</w:t>
      </w:r>
    </w:p>
    <w:p>
      <w:pPr>
        <w:spacing w:before="160" w:after="40" w:line="240" w:lineRule="auto"/>
      </w:pPr>
      <w:r>
        <w:rPr>
          <w:b/>
        </w:rPr>
        <w:t xml:space="preserve">[8] </w:t>
      </w:r>
      <w:hyperlink r:id="rId291">
        <w:r>
          <w:rPr>
            <w:color w:val="1155CC"/>
            <w:u w:val="single"/>
          </w:rPr>
          <w:t>负离子 NBI 光束通过漂移部分传输时的空间电荷补偿和残余场效应</w:t>
        </w:r>
      </w:hyperlink>
    </w:p>
    <w:p>
      <w:pPr>
        <w:spacing w:before="0" w:after="80"/>
      </w:pPr>
      <w:r>
        <w:rPr>
          <w:i/>
          <w:sz w:val="20"/>
        </w:rPr>
        <w:t>EN: Space charge compensation and residual-field effects in negative-ion NBI beam transport through the drift section</w:t>
      </w:r>
    </w:p>
    <w:p>
      <w:pPr>
        <w:spacing w:before="0" w:after="120"/>
      </w:pPr>
      <w:r>
        <w:rPr>
          <w:b/>
        </w:rPr>
        <w:t xml:space="preserve">Source: </w:t>
      </w:r>
      <w:r>
        <w:t>Nuclear Fusion - latest papers</w:t>
      </w:r>
      <w:r>
        <w:t xml:space="preserve">    </w:t>
      </w:r>
      <w:r>
        <w:rPr>
          <w:b/>
        </w:rPr>
        <w:t xml:space="preserve">Pub date: </w:t>
      </w:r>
      <w:r>
        <w:t>2026-07-20 23:00:00+00:00</w:t>
      </w:r>
      <w:r>
        <w:t xml:space="preserve">    </w:t>
      </w:r>
      <w:r>
        <w:rPr>
          <w:b/>
        </w:rPr>
        <w:t xml:space="preserve">DOI: </w:t>
      </w:r>
      <w:hyperlink r:id="rId292">
        <w:r>
          <w:rPr>
            <w:color w:val="1155CC"/>
            <w:u w:val="single"/>
          </w:rPr>
          <w:t>10.1088/1741-4326/ae7e07</w:t>
        </w:r>
      </w:hyperlink>
    </w:p>
    <w:p>
      <w:pPr>
        <w:spacing w:before="0" w:after="120"/>
      </w:pPr>
      <w:r>
        <w:rPr>
          <w:b/>
        </w:rPr>
        <w:t xml:space="preserve">Notes: </w:t>
      </w:r>
      <w:r>
        <w:t>abstract_source=rss_description</w:t>
      </w:r>
    </w:p>
    <w:p>
      <w:pPr>
        <w:spacing w:before="0" w:after="80" w:lineRule="auto" w:line="276"/>
      </w:pPr>
      <w:r>
        <w:rPr>
          <w:b/>
        </w:rPr>
        <w:t xml:space="preserve">摘要（ZH）: </w:t>
      </w:r>
      <w:r>
        <w:t>束流传输过程在用于热核聚变的负离子中性束注入（N-NBI）系统的设计和实现中起着至关重要的作用。特别是，空间电荷补偿（SCC），即负离子与背景气体碰撞产生的正离子减轻空间电荷效应，是影响光束发散和包络演变的关键机制。在这项工作中，使用基于 Vlasov 光束追踪算法的 3D 仿真模型研究了 N-NBI 系统中的 SCC 过程及其对光束传输的影响。系统模拟表明，SCC 演化和下游光束光学器件由背景气压和光束能量共同控制，较高的压力和较高的能量会增强 SCC，并减轻提取系统下游的发散和包络增长。一个关键的物理观察结果是，无碰撞相混合将二次离子的横向速度分布推向麦克斯韦分布，从而实现与 SCC 程度定量相关的有效横向离子温度。提取系统下游泄漏的残余电场在有限范围内局部削弱 SCC，在 和 压力下对 ITER 相关情况产生可忽略不计的光束光学影响，但在相同压力范围下产生不可忽略的输运灵敏度。这些结果为 SCC、二次离子动力学和束流传输之间的相互作用提供了新的见解，与高能 NBI 束线的建模和优化直接相关。</w:t>
      </w:r>
    </w:p>
    <w:p>
      <w:pPr>
        <w:spacing w:before="0" w:after="200" w:lineRule="auto" w:line="276"/>
      </w:pPr>
      <w:r>
        <w:rPr>
          <w:b/>
        </w:rPr>
        <w:t xml:space="preserve">Abstract (EN): </w:t>
      </w:r>
      <w:r>
        <w:t>The beam transport process plays a crucial role in the design and realization of negative-ion-based neutral beam injection (N-NBI) systems for thermonuclear fusion. In particular, space charge compensation (SCC), where positive ions generated by collisions between negative ions and background gas mitigate space charge effects, serves as a critical mechanism influencing beam divergence and envelope evolution. In this work, the SCC process in N-NBI systems and its impact on beam transport are investigated using a 3D simulation model based on a Vlasov beam-tracing algorithm. Systematic simulations show that SCC evolution and downstream beam optics are jointly controlled by background gas pressure and beam energy, with higher pressure and higher energy strengthening SCC and mitigating divergence and envelope growth downstream of the extraction system. A key physical observation is that collisionless phase mixing drives the transverse velocity distribution of secondary ions toward a Maxwellian distribution, enabling an effective transverse ion temperature that quantitatively correlates with SCC degree. The residual electric field leaking downstream of the extraction system locally weakens SCC over a finite extent, producing negligible beam optics impact for the ITER-relevant case at pressures of and , but non-negligible transport sensitivity at under the same pressure range. These results provide new insight into the interplay between SCC, secondary-ion dynamics, and beam transport, with direct relevance to the modeling and optimization of high-energy NBI beamlines.</w:t>
      </w:r>
    </w:p>
    <w:p>
      <w:pPr>
        <w:spacing w:before="120" w:after="120"/>
      </w:pPr>
      <w:r>
        <w:rPr>
          <w:sz w:val="18"/>
        </w:rPr>
        <w:t>——————————————————————————————————————————————————————————————————————</w:t>
      </w:r>
    </w:p>
    <w:p>
      <w:pPr>
        <w:spacing w:before="160" w:after="40" w:line="240" w:lineRule="auto"/>
      </w:pPr>
      <w:r>
        <w:rPr>
          <w:b/>
        </w:rPr>
        <w:t xml:space="preserve">[9] </w:t>
      </w:r>
      <w:hyperlink r:id="rId293">
        <w:r>
          <w:rPr>
            <w:color w:val="1155CC"/>
            <w:u w:val="single"/>
          </w:rPr>
          <w:t>低温泵和加氢位置对 MAST-Upgrade 上游密度和脱离的影响</w:t>
        </w:r>
      </w:hyperlink>
    </w:p>
    <w:p>
      <w:pPr>
        <w:spacing w:before="0" w:after="80"/>
      </w:pPr>
      <w:r>
        <w:rPr>
          <w:i/>
          <w:sz w:val="20"/>
        </w:rPr>
        <w:t>EN: Cryopump and fuelling location impacts on upstream density and detachment on MAST-Upgrade</w:t>
      </w:r>
    </w:p>
    <w:p>
      <w:pPr>
        <w:spacing w:before="0" w:after="120"/>
      </w:pPr>
      <w:r>
        <w:rPr>
          <w:b/>
        </w:rPr>
        <w:t xml:space="preserve">Source: </w:t>
      </w:r>
      <w:r>
        <w:t>Nuclear Fusion - latest papers</w:t>
      </w:r>
      <w:r>
        <w:t xml:space="preserve">    </w:t>
      </w:r>
      <w:r>
        <w:rPr>
          <w:b/>
        </w:rPr>
        <w:t xml:space="preserve">Pub date: </w:t>
      </w:r>
      <w:r>
        <w:t>2026-07-20 23:00:00+00:00</w:t>
      </w:r>
      <w:r>
        <w:t xml:space="preserve">    </w:t>
      </w:r>
      <w:r>
        <w:rPr>
          <w:b/>
        </w:rPr>
        <w:t xml:space="preserve">DOI: </w:t>
      </w:r>
      <w:hyperlink r:id="rId294">
        <w:r>
          <w:rPr>
            <w:color w:val="1155CC"/>
            <w:u w:val="single"/>
          </w:rPr>
          <w:t>10.1088/1741-4326/ae845c</w:t>
        </w:r>
      </w:hyperlink>
    </w:p>
    <w:p>
      <w:pPr>
        <w:spacing w:before="0" w:after="120"/>
      </w:pPr>
      <w:r>
        <w:rPr>
          <w:b/>
        </w:rPr>
        <w:t xml:space="preserve">Notes: </w:t>
      </w:r>
      <w:r>
        <w:t>abstract_source=rss_description</w:t>
      </w:r>
    </w:p>
    <w:p>
      <w:pPr>
        <w:spacing w:before="0" w:after="80" w:lineRule="auto" w:line="276"/>
      </w:pPr>
      <w:r>
        <w:rPr>
          <w:b/>
        </w:rPr>
        <w:t xml:space="preserve">摘要（ZH）: </w:t>
      </w:r>
      <w:r>
        <w:t>在第四次科学活动 (MU04) 开始时，在 MAST 升级 (MAST-U) 下部偏滤器中安装了低温泵，以增强密度控制、分离前管理和杂质去除，同时将操作空间扩展到较低密度区域。紧密挡板的偏滤器室将偏滤器中性环境与主室准隔离，通过偏滤器燃料和低温泵操作实现局部中性压力 ( ) 调节，对上游等离子体密度的影响最小。 MU04 实验和 SOLPS-ITER 模拟均证实，激活低温泵可减少外部下部偏滤器 ，同时保持线平均密度 ( ) 和中平面 。低温泵有助于降低偏滤器，帮助等离子体附着并将分离前沿拉近目标。建模表明，在传统偏滤器 (CD) 和超级 X 偏滤器 (SXD) 配置中，翻转开始所需的上游密度有所增加，从而能够实现从附着条件到分离到辐射塌陷的更广泛的操作扫描。偏滤器加料表现出较低的加料效率（注入的中性物质到达分界线），导致上游分界线密度和偏滤器中性压力之间的微弱缩放（ ），与其他设备上的观察结果一致。相比之下，主室燃料加注实现了显着更高的效率（对于 LFS 和高场侧 (HFS) 燃料加注），并产生更强的密度缩放（指数 ），反映了与燃料加注位置相关的不同等离子体-中性耦合路径。</w:t>
      </w:r>
    </w:p>
    <w:p>
      <w:pPr>
        <w:spacing w:before="0" w:after="200" w:lineRule="auto" w:line="276"/>
      </w:pPr>
      <w:r>
        <w:rPr>
          <w:b/>
        </w:rPr>
        <w:t xml:space="preserve">Abstract (EN): </w:t>
      </w:r>
      <w:r>
        <w:t>A cryopump was installed in the MAST Upgrade (MAST-U) lower divertor at the start of its fourth scientific campaign (MU04) to enhance density control, detachment front management, and impurity removal, while expanding the operational space to lower-density regimes. The tightly baffled divertor chamber quasi-isolates the divertor neutral environment from the main chamber, enabling localised neutral pressure ( ) tuning via divertor fuelling and cryopump operation, with minimal impact on upstream plasma density. MU04 experiments and SOLPS-ITER simulations both confirm that activating the cryopump reduces the outer lower divertor by , while maintaining line-averaged density ( ) and midplane . The cryopump facilitates lower divertor , aiding plasma attachment and drawing the detachment front closer to the target. Modelling indicates a increase in upstream density required for rollover onset in both conventional divertor (CD) and super-X divertor (SXD) configurations, enabling a broader operational scan from attached conditions through detached to radiative collapse. Divertor fuelling exhibits a low fuelling efficiency ( of injected neutrals reach the separatrix), resulting in a weak scaling between upstream separatrix density and divertor neutral pressure ( ), consistent with observations on other devices. In contrast, main-chamber fuelling achieves substantially higher efficiency ( for LFS and up to for high-field side (HFS) fuelling) and yields a stronger density scaling (exponent ), reflecting the different plasma–neutral coupling pathways associated with the fuelling location. These findings demonstrate that the combined use of different fuelling locations and cryopumping provides complementary control of upstream density and divertor detachment, with direct relevance for exhaust optimisation in future fusion devices.</w:t>
      </w:r>
    </w:p>
    <w:p>
      <w:pPr>
        <w:spacing w:before="120" w:after="120"/>
      </w:pPr>
      <w:r>
        <w:rPr>
          <w:sz w:val="18"/>
        </w:rPr>
        <w:t>——————————————————————————————————————————————————————————————————————</w:t>
      </w:r>
    </w:p>
    <w:p>
      <w:pPr>
        <w:spacing w:before="160" w:after="40" w:line="240" w:lineRule="auto"/>
      </w:pPr>
      <w:r>
        <w:rPr>
          <w:b/>
        </w:rPr>
        <w:t xml:space="preserve">[10] </w:t>
      </w:r>
      <w:hyperlink r:id="rId295">
        <w:r>
          <w:rPr>
            <w:color w:val="1155CC"/>
            <w:u w:val="single"/>
          </w:rPr>
          <w:t>J-TEXT 托卡马克上 3D 磁场的物理学和应用的最新进展</w:t>
        </w:r>
      </w:hyperlink>
    </w:p>
    <w:p>
      <w:pPr>
        <w:spacing w:before="0" w:after="80"/>
      </w:pPr>
      <w:r>
        <w:rPr>
          <w:i/>
          <w:sz w:val="20"/>
        </w:rPr>
        <w:t>EN: Recent advances in physics and applications of 3D magnetic fields on the J-TEXT tokamak</w:t>
      </w:r>
    </w:p>
    <w:p>
      <w:pPr>
        <w:spacing w:before="0" w:after="120"/>
      </w:pPr>
      <w:r>
        <w:rPr>
          <w:b/>
        </w:rPr>
        <w:t xml:space="preserve">Source: </w:t>
      </w:r>
      <w:r>
        <w:t>Nuclear Fusion - latest papers</w:t>
      </w:r>
      <w:r>
        <w:t xml:space="preserve">    </w:t>
      </w:r>
      <w:r>
        <w:rPr>
          <w:b/>
        </w:rPr>
        <w:t xml:space="preserve">Pub date: </w:t>
      </w:r>
      <w:r>
        <w:t>2026-07-20 23:00:00+00:00</w:t>
      </w:r>
      <w:r>
        <w:t xml:space="preserve">    </w:t>
      </w:r>
      <w:r>
        <w:rPr>
          <w:b/>
        </w:rPr>
        <w:t xml:space="preserve">DOI: </w:t>
      </w:r>
      <w:hyperlink r:id="rId296">
        <w:r>
          <w:rPr>
            <w:color w:val="1155CC"/>
            <w:u w:val="single"/>
          </w:rPr>
          <w:t>10.1088/1741-4326/ae81c5</w:t>
        </w:r>
      </w:hyperlink>
    </w:p>
    <w:p>
      <w:pPr>
        <w:spacing w:before="0" w:after="120"/>
      </w:pPr>
      <w:r>
        <w:rPr>
          <w:b/>
        </w:rPr>
        <w:t xml:space="preserve">Notes: </w:t>
      </w:r>
      <w:r>
        <w:t>abstract_source=rss_description</w:t>
      </w:r>
    </w:p>
    <w:p>
      <w:pPr>
        <w:spacing w:before="0" w:after="80" w:lineRule="auto" w:line="276"/>
      </w:pPr>
      <w:r>
        <w:rPr>
          <w:b/>
        </w:rPr>
        <w:t xml:space="preserve">摘要（ZH）: </w:t>
      </w:r>
      <w:r>
        <w:t>本文总结了过去两年 J-TEXT 托卡马克装置取得的最新实验和理论进展，重点是三维（3D）磁场的物理和应用。关键硬件升级包括新的 ICRF 系统和先进的 3D 磁线圈系统，由谐振磁扰 (RMP) 线圈、岛偏滤器 (ID) 线圈和外部旋转变换 (ERT) 线圈组成。这些升级可以对 MHD 不稳定性、中断、传输和偏滤器解决方案进行新颖的研究。一项重大发现是新古典撕裂模式（NTM）触发了电子内部传输势垒的形成，其中磁岛与湍流非线性相互作用以抑制传输并使核心温度梯度变陡，并揭示了一种改善限制的新机制。此外，内部扭结模式驱动的新古典环形粘度扭矩被认为是控制固有旋转的关键机制。 ERT线圈的应用成功地创建了托卡马克-仿星器混合配置，证明了NTM的完全抑制以及稳定等离子体电流增加了20%。为了进行边界控制，建立了 ID 配置，将峰值热负荷减少约 50%，并通过超音速分子束注入燃料实现分离。在破坏物理学中，使用 RMP 和 O 点对齐电子回旋加速器共振加热的协同控制可有效抑制锁定模式和破坏，而低 n 磁扰动能够抑制失控电子。瑟玛</w:t>
      </w:r>
    </w:p>
    <w:p>
      <w:pPr>
        <w:spacing w:before="0" w:after="200" w:lineRule="auto" w:line="276"/>
      </w:pPr>
      <w:r>
        <w:rPr>
          <w:b/>
        </w:rPr>
        <w:t xml:space="preserve">Abstract (EN): </w:t>
      </w:r>
      <w:r>
        <w:t>This paper summarizes recent experimental and theoretical progress achieved on the J-TEXT tokamak during the past two years, with an emphasis on the physics and applications of three-dimensional (3D) magnetic fields. Key hardware upgrades include a new ICRF system and the advanced 3D magnetic coil systems, consisting of the resonant magnetic perturbation (RMP) coils, the island divertor (ID) coils and the external rotational transform (ERT) coils. And these upgrades enable novel investigations into MHD instabilities, disruptions, transport, and divertor solutions. A major finding is the neoclassical tearing mode (NTM) triggered formation of electron internal transport barrier, where magnetic island nonlinearly interacts with turbulence to suppress transport and steepen core temperature gradients, and reveals a new mechanism for confinement improvement. Furthermore, internal kink mode driven neoclassical toroidal viscosity torque is identified as a key mechanism governing intrinsic rotation. The application of ERT coils successfully creates a Tokamak-Stellarator hybrid configuration, demonstrating complete suppression of NTMs and a 20% increase in stable plasma current. For boundary control, an ID configuration is established, reducing peak heat loads by ∼50% and enabling detachment via supersonic molecular beam injection fuelling. In disruption physics, synergetic control using RMP and O-point aligned electron cyclotron resonance heating efficiently suppresses locked modes and disruption, while low-n magnetic perturbations are capable of runaway electron suppression. Thermal quench timescale, estimated by a unified model with stochastic magnetic field and turbulence, matches experimental observations. Additionally, AI-driven disruption prediction frameworks, incorporating adaptive anomaly detection and cross-machine domain adaptation, are developed, with interpretability analyses linking predictions to physical mechanisms. Studies on turbulence and transport elucidate the role of electrode biasing, turbulence spreading on the edge cooling, density limit, while helium ash removal dynamics are also investigated. The unique up-down symmetric poloidal divertor configuration is measured and modelling to identify the electric field induced drift effect as a key driver for asymmetry, and hence target biasing is designed and experimentally studied for control these asymmetries. These collective advances in heating, 3D field control, stability, and AI forecasting provide critical solutions for managing plasma confinement and mitigating risks in future MCF devices.</w:t>
      </w:r>
    </w:p>
    <w:p>
      <w:pPr>
        <w:spacing w:before="120" w:after="120"/>
      </w:pPr>
      <w:r>
        <w:rPr>
          <w:sz w:val="18"/>
        </w:rPr>
        <w:t>——————————————————————————————————————————————————————————————————————</w:t>
      </w:r>
    </w:p>
    <w:p>
      <w:pPr>
        <w:spacing w:before="160" w:after="40" w:line="240" w:lineRule="auto"/>
      </w:pPr>
      <w:r>
        <w:rPr>
          <w:b/>
        </w:rPr>
        <w:t xml:space="preserve">[11] </w:t>
      </w:r>
      <w:hyperlink r:id="rId297">
        <w:r>
          <w:rPr>
            <w:color w:val="1155CC"/>
            <w:u w:val="single"/>
          </w:rPr>
          <w:t>KSTAR实验概述和未来计划</w:t>
        </w:r>
      </w:hyperlink>
    </w:p>
    <w:p>
      <w:pPr>
        <w:spacing w:before="0" w:after="80"/>
      </w:pPr>
      <w:r>
        <w:rPr>
          <w:i/>
          <w:sz w:val="20"/>
        </w:rPr>
        <w:t>EN: Overview of the KSTAR experiments and future plan</w:t>
      </w:r>
    </w:p>
    <w:p>
      <w:pPr>
        <w:spacing w:before="0" w:after="120"/>
      </w:pPr>
      <w:r>
        <w:rPr>
          <w:b/>
        </w:rPr>
        <w:t xml:space="preserve">Source: </w:t>
      </w:r>
      <w:r>
        <w:t>Nuclear Fusion - latest papers</w:t>
      </w:r>
      <w:r>
        <w:t xml:space="preserve">    </w:t>
      </w:r>
      <w:r>
        <w:rPr>
          <w:b/>
        </w:rPr>
        <w:t xml:space="preserve">Pub date: </w:t>
      </w:r>
      <w:r>
        <w:t>2026-07-20 23:00:00+00:00</w:t>
      </w:r>
      <w:r>
        <w:t xml:space="preserve">    </w:t>
      </w:r>
      <w:r>
        <w:rPr>
          <w:b/>
        </w:rPr>
        <w:t xml:space="preserve">DOI: </w:t>
      </w:r>
      <w:hyperlink r:id="rId298">
        <w:r>
          <w:rPr>
            <w:color w:val="1155CC"/>
            <w:u w:val="single"/>
          </w:rPr>
          <w:t>10.1088/1741-4326/ae8283</w:t>
        </w:r>
      </w:hyperlink>
    </w:p>
    <w:p>
      <w:pPr>
        <w:spacing w:before="0" w:after="120"/>
      </w:pPr>
      <w:r>
        <w:rPr>
          <w:b/>
        </w:rPr>
        <w:t xml:space="preserve">Notes: </w:t>
      </w:r>
      <w:r>
        <w:t>abstract_source=rss_description</w:t>
      </w:r>
    </w:p>
    <w:p>
      <w:pPr>
        <w:spacing w:before="0" w:after="80" w:lineRule="auto" w:line="276"/>
      </w:pPr>
      <w:r>
        <w:rPr>
          <w:b/>
        </w:rPr>
        <w:t xml:space="preserve">摘要（ZH）: </w:t>
      </w:r>
      <w:r>
        <w:t>韩国超导托卡马克先进研究（KSTAR）装置在安装钨整体偏滤器后最近进入了一个新的运行阶段，为研究未来反应堆的高性能、长脉冲等离子体场景提供了一个独特的平台。 2023-2024 年的实验活动证明了在调试钨偏滤器、开发等离子体操作场景和实现实时控制方面取得了重大进展。比较研究表明，相对于碳滤除器环境，核心辐射损失增加，相关性能下降。优化的中性束注入时间、硼粉晶种和通过充气控制杂质等缓解策略已被证明可以减少钨的积累并延长高性能阶段，包括创纪录的超过 100 秒的 H 模式运行。国际合作首次在 KSTAR 上演示了具有内部传输障碍的高极向β场景。控制方面的进步包括升级的实时谐振磁扰方案和干扰预测。此外，使用基于替代模型的新方法和实时辐射成像的偏滤器脱离控制证明了主动杂质和热通量管理。在增强的加热、电流驱动和诊断系统的支持下，这些成就为包括 ITER 在内的未来反应堆的钨杂质行为、输运物理和控制策略提供了宝贵的见解。计划升级为全钨墙和符合 ITER 的实时标准</w:t>
      </w:r>
    </w:p>
    <w:p>
      <w:pPr>
        <w:spacing w:before="0" w:after="200" w:lineRule="auto" w:line="276"/>
      </w:pPr>
      <w:r>
        <w:rPr>
          <w:b/>
        </w:rPr>
        <w:t xml:space="preserve">Abstract (EN): </w:t>
      </w:r>
      <w:r>
        <w:t>The Korea Superconducting Tokamak Advanced Research (KSTAR) device has recently entered a new phase of operation following the installation of a tungsten mono-block divertor, providing a unique platform to investigate high-performance, long-pulse plasma scenarios for future reactors. The 2023–2024 experimental campaigns demonstrated significant progress in commissioning the tungsten divertor, developing plasma operation scenarios, and achieving real-time control. Comparative studies revealed increased core radiation losses and associated performance degradation relative to the carbon divertor environment. Alleviation strategies, such as optimized neutral beam injection timing, boron powder seeding, and impurity control through gas puffing, were shown to reduce tungsten accumulation and extend high-performance phases, including record H-mode operation exceeding 100 s. International collaboration enabled the first demonstration of high poloidal beta scenarios with an internal transport barrier on KSTAR. Advances in control included upgraded real-time resonant magnetic perturbation schemes and disruption forecasting. Furthermore, divertor detachment control using a new surrogate-model-based approach with real-time radiation imaging demonstrated active impurity and heat flux management. Supported by enhanced heating, current drive, and diagnostic systems, these achievements offer valuable insights into tungsten impurity behavior, transport physics, and control strategies for future reactors including ITER. Planned upgrades toward a full-tungsten wall and ITER-aligned real-time plasma control will further establish KSTAR as a leading experimental platform for developing operational scenarios required to achieve steady-state, burning plasma conditions.</w:t>
      </w:r>
    </w:p>
    <w:p>
      <w:pPr>
        <w:spacing w:before="120" w:after="120"/>
      </w:pPr>
      <w:r>
        <w:rPr>
          <w:sz w:val="18"/>
        </w:rPr>
        <w:t>——————————————————————————————————————————————————————————————————————</w:t>
      </w:r>
    </w:p>
    <w:p>
      <w:pPr>
        <w:spacing w:before="160" w:after="40" w:line="240" w:lineRule="auto"/>
      </w:pPr>
      <w:r>
        <w:rPr>
          <w:b/>
        </w:rPr>
        <w:t xml:space="preserve">[12] </w:t>
      </w:r>
      <w:hyperlink r:id="rId299">
        <w:r>
          <w:rPr>
            <w:color w:val="1155CC"/>
            <w:u w:val="single"/>
          </w:rPr>
          <w:t>欧洲体积中子源 (EU-VNS) 的排气操作空间评估</w:t>
        </w:r>
      </w:hyperlink>
    </w:p>
    <w:p>
      <w:pPr>
        <w:spacing w:before="0" w:after="80"/>
      </w:pPr>
      <w:r>
        <w:rPr>
          <w:i/>
          <w:sz w:val="20"/>
        </w:rPr>
        <w:t>EN: Exhaust operational space assessment for the European Volumetric Neutron Source (EU-VNS)</w:t>
      </w:r>
    </w:p>
    <w:p>
      <w:pPr>
        <w:spacing w:before="0" w:after="120"/>
      </w:pPr>
      <w:r>
        <w:rPr>
          <w:b/>
        </w:rPr>
        <w:t xml:space="preserve">Source: </w:t>
      </w:r>
      <w:r>
        <w:t>Nuclear Fusion - latest papers</w:t>
      </w:r>
      <w:r>
        <w:t xml:space="preserve">    </w:t>
      </w:r>
      <w:r>
        <w:rPr>
          <w:b/>
        </w:rPr>
        <w:t xml:space="preserve">Pub date: </w:t>
      </w:r>
      <w:r>
        <w:t>2026-07-20 23:00:00+00:00</w:t>
      </w:r>
      <w:r>
        <w:t xml:space="preserve">    </w:t>
      </w:r>
      <w:r>
        <w:rPr>
          <w:b/>
        </w:rPr>
        <w:t xml:space="preserve">DOI: </w:t>
      </w:r>
      <w:hyperlink r:id="rId300">
        <w:r>
          <w:rPr>
            <w:color w:val="1155CC"/>
            <w:u w:val="single"/>
          </w:rPr>
          <w:t>10.1088/1741-4326/ae8869</w:t>
        </w:r>
      </w:hyperlink>
    </w:p>
    <w:p>
      <w:pPr>
        <w:spacing w:before="0" w:after="120"/>
      </w:pPr>
      <w:r>
        <w:rPr>
          <w:b/>
        </w:rPr>
        <w:t xml:space="preserve">Notes: </w:t>
      </w:r>
      <w:r>
        <w:t>abstract_source=rss_description</w:t>
      </w:r>
    </w:p>
    <w:p>
      <w:pPr>
        <w:spacing w:before="0" w:after="80" w:lineRule="auto" w:line="276"/>
      </w:pPr>
      <w:r>
        <w:rPr>
          <w:b/>
        </w:rPr>
        <w:t xml:space="preserve">摘要（ZH）: </w:t>
      </w:r>
      <w:r>
        <w:t>SOLPS-ITER 边缘等离子体数值模型用于预测目前正在研究的小型托卡马克装置的排气操作空间，该装置是拟议的欧洲体积中子源（EU-VNS），其功率尺寸比为 。之前的工作通过允许氪晶种代替氩气来消散和重新分配热量而得以扩展。所发现的有限操作空间受到以下两个方面的限制：偏滤器等离子体面对组件处预期的峰值热通量的工程限制，同时需要核心区域中足够低的有效电荷和高电子温度以保持束靶聚变的中子壁负载。使用氪晶种的操作空间似乎比使用氩气的要大，同时与之前的研究相比，氚的吞吐量可以减少一半。所需的总 T 吞吐量是一个数量级，并且观察到，颗粒燃料供给（忽略烧蚀阶段涉及的任何动态）被认为是有效的，并且需要同时为核心密度和分界线密度提供燃料。我们发现偏滤器中的氪富集度与由颗粒有效推动的上游密度的增加之间存在正相关关系。的低水平以及实现这一目标所需格林沃尔德分数为 50% 的观察结果与 ASTRA/METIS 对当前 EU-VNS 设计点的核心等离子体条件的预测一致。在 SOLPS-ITER 中所做的模型假设内，观察到核心电子温度下降</w:t>
      </w:r>
    </w:p>
    <w:p>
      <w:pPr>
        <w:spacing w:before="0" w:after="200" w:lineRule="auto" w:line="276"/>
      </w:pPr>
      <w:r>
        <w:rPr>
          <w:b/>
        </w:rPr>
        <w:t xml:space="preserve">Abstract (EN): </w:t>
      </w:r>
      <w:r>
        <w:t>The SOLPS-ITER edge plasma numerical model is employed to predict the exhaust operational space in a small-scale tokamak device currently being investigated as the proposed European Volumetric Neutron Source (EU-VNS) with large power-to-size ratio of . Previous work is extended by allowing krypton seeding to dissipate and redistribute heat instead of argon. The found finite operational space is limited by both, engineering limits for the peak heat-flux expected at the divertor plasma facing components , and at the same time requiring a low enough effective charge and high electron temperature in the core region to keep up the neutron wall load from beam-target fusion. With krypton seeding the operational space seems to be larger than with argon and at the same time the amount of tritium throughput can be halved compared to the previous study. The required total T-throughput rate is of the order and it is observed that pellet fuelling (neglecting any dynamics involved during the ablation phases) is deemed to be as efficient and required to fuel both the core density and the separatrix density at the same time. A positive correlation is found between the krypton enrichment in the divertor and the increase of upstream density effectively fuelled by pellets. A low level of , and the observation of the required Greenwald fraction of 50% to achieve this, is compatible with the predictions of the core plasma conditions for the current EU-VNS design point from ASTRA/METIS. Within the model assumptions made in SOLPS-ITER, the observation of a depression of the core electron temperature below 1 keV is critical to maintain the NWL as anticipated from the ASTRA/METIS simulations and thus potentially requires more ECRH power in EU-VNS driving the overall operating costs.</w:t>
      </w:r>
    </w:p>
    <w:p>
      <w:pPr>
        <w:spacing w:before="120" w:after="120"/>
      </w:pPr>
      <w:r>
        <w:rPr>
          <w:sz w:val="18"/>
        </w:rPr>
        <w:t>——————————————————————————————————————————————————————————————————————</w:t>
      </w:r>
    </w:p>
    <w:p>
      <w:pPr>
        <w:spacing w:before="160" w:after="40" w:line="240" w:lineRule="auto"/>
      </w:pPr>
      <w:r>
        <w:rPr>
          <w:b/>
        </w:rPr>
        <w:t xml:space="preserve">[13] </w:t>
      </w:r>
      <w:hyperlink r:id="rId301">
        <w:r>
          <w:rPr>
            <w:color w:val="1155CC"/>
            <w:u w:val="single"/>
          </w:rPr>
          <w:t>KSTAR 边缘谐振的时空结构及其在无 ELM QH 模式中的作用</w:t>
        </w:r>
      </w:hyperlink>
    </w:p>
    <w:p>
      <w:pPr>
        <w:spacing w:before="0" w:after="80"/>
      </w:pPr>
      <w:r>
        <w:rPr>
          <w:i/>
          <w:sz w:val="20"/>
        </w:rPr>
        <w:t>EN: Spatiotemporal structure of edge harmonic oscillation and its role in ELM-free QH-mode at KSTAR</w:t>
      </w:r>
    </w:p>
    <w:p>
      <w:pPr>
        <w:spacing w:before="0" w:after="120"/>
      </w:pPr>
      <w:r>
        <w:rPr>
          <w:b/>
        </w:rPr>
        <w:t xml:space="preserve">Source: </w:t>
      </w:r>
      <w:r>
        <w:t>Nuclear Fusion - latest papers</w:t>
      </w:r>
      <w:r>
        <w:t xml:space="preserve">    </w:t>
      </w:r>
      <w:r>
        <w:rPr>
          <w:b/>
        </w:rPr>
        <w:t xml:space="preserve">Pub date: </w:t>
      </w:r>
      <w:r>
        <w:t>2026-07-20 23:00:00+00:00</w:t>
      </w:r>
      <w:r>
        <w:t xml:space="preserve">    </w:t>
      </w:r>
      <w:r>
        <w:rPr>
          <w:b/>
        </w:rPr>
        <w:t xml:space="preserve">DOI: </w:t>
      </w:r>
      <w:hyperlink r:id="rId302">
        <w:r>
          <w:rPr>
            <w:color w:val="1155CC"/>
            <w:u w:val="single"/>
          </w:rPr>
          <w:t>10.1088/1741-4326/ae8679</w:t>
        </w:r>
      </w:hyperlink>
    </w:p>
    <w:p>
      <w:pPr>
        <w:spacing w:before="0" w:after="120"/>
      </w:pPr>
      <w:r>
        <w:rPr>
          <w:b/>
        </w:rPr>
        <w:t xml:space="preserve">Notes: </w:t>
      </w:r>
      <w:r>
        <w:t>abstract_source=rss_description</w:t>
      </w:r>
    </w:p>
    <w:p>
      <w:pPr>
        <w:spacing w:before="0" w:after="80" w:lineRule="auto" w:line="276"/>
      </w:pPr>
      <w:r>
        <w:rPr>
          <w:b/>
        </w:rPr>
        <w:t xml:space="preserve">摘要（ZH）: </w:t>
      </w:r>
      <w:r>
        <w:t>在静态 H 模式（QH 模式）中，边缘局域模式 (ELM) 自然地被低边缘谐波振荡 (EHO) 取代，但 EHO 驱动的自调节传输机制仍然没有得到充分理解。利用 KSTAR 的高时空分辨率成像诊断（电子回旋发射成像和宽带电子回旋发射成像），我们解析了 EHO 的本征模式结构，并阐明了其在边缘传输中的调节作用。 EHO 位于最大压力梯度附近的基座内，沿离子抗磁方向传播，其径向包络随着剪切力的增加而膨胀，表明旋转剪切与 EHO 的结构演化密切相关。信息论传递熵分析确定了一种独特的“双稳定”调节相互作用模式：EHO 与增强的向外能量传输以限制压力梯度相关，而背景剪切流与对 EHO 饱和幅度和能量通量的优先调节影响相关。这些结果表明，QH 模式基座由剪切相关调节机制维持，其中旋转剪切和模式结构之间的耦合似乎与持续的 ELM 无状态密切相关。</w:t>
      </w:r>
    </w:p>
    <w:p>
      <w:pPr>
        <w:spacing w:before="0" w:after="200" w:lineRule="auto" w:line="276"/>
      </w:pPr>
      <w:r>
        <w:rPr>
          <w:b/>
        </w:rPr>
        <w:t xml:space="preserve">Abstract (EN): </w:t>
      </w:r>
      <w:r>
        <w:t>In Quiescent H-mode (QH-mode), edge-localized modes (ELMs) are naturally replaced by a low- edge harmonic oscillation (EHO), yet the self-regulating transport mechanism driven by the EHO remains insufficiently understood. Using high-spatiotemporal-resolution imaging diagnostics on KSTAR—electron cyclotron emission imaging and broadband electron cyclotron emission—we resolve the eigenmode structure of the EHO and elucidate its regulatory role in edge transport. The EHO is localized within the pedestal near the maximum pressure gradient, propagates in the ion-diamagnetic direction, and its radial envelope expands with increasing shear, suggesting that rotational shear is closely associated with the structural evolution of the EHO. Information-theoretic Transfer Entropy analysis identifies a distinct ‘dual-stabilization’ regulatory interaction pattern: the EHO is associated with enhanced outward energy transport to limit the pressure gradient, while the background shear flow is associated with preferential regulatory influence on the EHO saturation amplitude and energy flux. These results demonstrate that the QH-mode pedestal is sustained by a shear-associated regulation mechanism, where the coupling between rotational shear and mode structure appears closely linked to the sustained ELM-free state.</w:t>
      </w:r>
    </w:p>
    <w:p>
      <w:pPr>
        <w:spacing w:before="120" w:after="120"/>
      </w:pPr>
      <w:r>
        <w:rPr>
          <w:sz w:val="18"/>
        </w:rPr>
        <w:t>——————————————————————————————————————————————————————————————————————</w:t>
      </w:r>
    </w:p>
    <w:p>
      <w:pPr>
        <w:spacing w:before="160" w:after="40" w:line="240" w:lineRule="auto"/>
      </w:pPr>
      <w:r>
        <w:rPr>
          <w:b/>
        </w:rPr>
        <w:t xml:space="preserve">[14] </w:t>
      </w:r>
      <w:hyperlink r:id="rId303">
        <w:r>
          <w:rPr>
            <w:color w:val="1155CC"/>
            <w:u w:val="single"/>
          </w:rPr>
          <w:t>偏滤器托卡马克测试设施研究计划</w:t>
        </w:r>
      </w:hyperlink>
    </w:p>
    <w:p>
      <w:pPr>
        <w:spacing w:before="0" w:after="80"/>
      </w:pPr>
      <w:r>
        <w:rPr>
          <w:i/>
          <w:sz w:val="20"/>
        </w:rPr>
        <w:t>EN: The Divertor Tokamak Test facility research plan</w:t>
      </w:r>
    </w:p>
    <w:p>
      <w:pPr>
        <w:spacing w:before="0" w:after="120"/>
      </w:pPr>
      <w:r>
        <w:rPr>
          <w:b/>
        </w:rPr>
        <w:t xml:space="preserve">Source: </w:t>
      </w:r>
      <w:r>
        <w:t>Nuclear Fusion - latest papers</w:t>
      </w:r>
      <w:r>
        <w:t xml:space="preserve">    </w:t>
      </w:r>
      <w:r>
        <w:rPr>
          <w:b/>
        </w:rPr>
        <w:t xml:space="preserve">Pub date: </w:t>
      </w:r>
      <w:r>
        <w:t>2026-07-20 23:00:00+00:00</w:t>
      </w:r>
      <w:r>
        <w:t xml:space="preserve">    </w:t>
      </w:r>
      <w:r>
        <w:rPr>
          <w:b/>
        </w:rPr>
        <w:t xml:space="preserve">DOI: </w:t>
      </w:r>
      <w:hyperlink r:id="rId304">
        <w:r>
          <w:rPr>
            <w:color w:val="1155CC"/>
            <w:u w:val="single"/>
          </w:rPr>
          <w:t>10.1088/1741-4326/ae7a8d</w:t>
        </w:r>
      </w:hyperlink>
    </w:p>
    <w:p>
      <w:pPr>
        <w:spacing w:before="0" w:after="120"/>
      </w:pPr>
      <w:r>
        <w:rPr>
          <w:b/>
        </w:rPr>
        <w:t xml:space="preserve">Notes: </w:t>
      </w:r>
      <w:r>
        <w:t>abstract_source=rss_description</w:t>
      </w:r>
    </w:p>
    <w:p>
      <w:pPr>
        <w:spacing w:before="0" w:after="80" w:lineRule="auto" w:line="276"/>
      </w:pPr>
      <w:r>
        <w:rPr>
          <w:b/>
        </w:rPr>
        <w:t xml:space="preserve">摘要（ZH）: </w:t>
      </w:r>
      <w:r>
        <w:t>偏滤器托卡马克测试设施 (DTT) 是目前在意大利弗拉斯卡蒂 ENEA 基地在公私联合合作框架下建设的设备。它被设计为具有盈亏平衡级性能的超导托卡马克，其主要目标是开发可靠的热量和粒子排放解决方案，这是未来聚变反应堆面临的关键挑战。这需要通过堆芯边缘集成方法来解决，以评估排气解决方案与反应堆相关堆芯性能的兼容性。本文概述了国际团队最近制定的 DTT 研究计划。它涵盖了与器件特性相关的DTT计划目标、研究策略和预期科学贡献，不仅涉及排热和边缘等离子体物理的关键领域，还涉及其他与聚变高度相关的主题，例如高性能场景中的MHD稳定性、输运和湍流、高能粒子物理、先进理论发展的验证以及反应堆相关组件的技术解决方案的测试。</w:t>
      </w:r>
    </w:p>
    <w:p>
      <w:pPr>
        <w:spacing w:before="0" w:after="200" w:lineRule="auto" w:line="276"/>
      </w:pPr>
      <w:r>
        <w:rPr>
          <w:b/>
        </w:rPr>
        <w:t xml:space="preserve">Abstract (EN): </w:t>
      </w:r>
      <w:r>
        <w:t>The Divertor Tokamak Test facility (DTT) is a device presently under construction at the ENEA site in Frascati (Italy) in the framework of a joint public/private partnership. It has been designed as a superconducting tokamak with breakeven class performance, with the main objective of developing credible solutions for heat and particle exhaust, a key challenge in view of future fusion reactors. This needs to be addressed in a core-edge integrated approach, to assess the compatibility of exhaust solutions with reactor relevant core performance. In this paper, an overview is provided of the DTT research plan, recently developed by an international team. It covers the DTT programmatic objectives, research strategy and expected scientific contributions connected with the device characteristics, not only in the key area of heat exhaust and edge plasma physics, but also on other subjects of high fusion relevance, such as MHD stability in high performance scenarios, transport and turbulence, energetic particle physics, validation of advanced theoretical developments, as well as tests of technological solutions for reactor relevant components.</w:t>
      </w:r>
    </w:p>
    <w:p>
      <w:pPr>
        <w:spacing w:before="120" w:after="120"/>
      </w:pPr>
      <w:r>
        <w:rPr>
          <w:sz w:val="18"/>
        </w:rPr>
        <w:t>——————————————————————————————————————————————————————————————————————</w:t>
      </w:r>
    </w:p>
    <w:p>
      <w:pPr>
        <w:spacing w:before="160" w:after="40" w:line="240" w:lineRule="auto"/>
      </w:pPr>
      <w:r>
        <w:rPr>
          <w:b/>
        </w:rPr>
        <w:t xml:space="preserve">[15] </w:t>
      </w:r>
      <w:hyperlink r:id="rId305">
        <w:r>
          <w:rPr>
            <w:color w:val="1155CC"/>
            <w:u w:val="single"/>
          </w:rPr>
          <w:t>EAST 中锂颗粒诱导 ELM 电磁扰动下 W 输运的粒子追踪模拟</w:t>
        </w:r>
      </w:hyperlink>
    </w:p>
    <w:p>
      <w:pPr>
        <w:spacing w:before="0" w:after="80"/>
      </w:pPr>
      <w:r>
        <w:rPr>
          <w:i/>
          <w:sz w:val="20"/>
        </w:rPr>
        <w:t>EN: Particle tracing simulation of W transport under electromagnetic perturbation of Li pellet-induced ELMs in EAST</w:t>
      </w:r>
    </w:p>
    <w:p>
      <w:pPr>
        <w:spacing w:before="0" w:after="120"/>
      </w:pPr>
      <w:r>
        <w:rPr>
          <w:b/>
        </w:rPr>
        <w:t xml:space="preserve">Source: </w:t>
      </w:r>
      <w:r>
        <w:t>Nuclear Fusion - latest papers</w:t>
      </w:r>
      <w:r>
        <w:t xml:space="preserve">    </w:t>
      </w:r>
      <w:r>
        <w:rPr>
          <w:b/>
        </w:rPr>
        <w:t xml:space="preserve">Pub date: </w:t>
      </w:r>
      <w:r>
        <w:t>2026-07-20 23:00:00+00:00</w:t>
      </w:r>
      <w:r>
        <w:t xml:space="preserve">    </w:t>
      </w:r>
      <w:r>
        <w:rPr>
          <w:b/>
        </w:rPr>
        <w:t xml:space="preserve">DOI: </w:t>
      </w:r>
      <w:hyperlink r:id="rId306">
        <w:r>
          <w:rPr>
            <w:color w:val="1155CC"/>
            <w:u w:val="single"/>
          </w:rPr>
          <w:t>10.1088/1741-4326/ae88e1</w:t>
        </w:r>
      </w:hyperlink>
    </w:p>
    <w:p>
      <w:pPr>
        <w:spacing w:before="0" w:after="120"/>
      </w:pPr>
      <w:r>
        <w:rPr>
          <w:b/>
        </w:rPr>
        <w:t xml:space="preserve">Notes: </w:t>
      </w:r>
      <w:r>
        <w:t>abstract_source=rss_description</w:t>
      </w:r>
    </w:p>
    <w:p>
      <w:pPr>
        <w:spacing w:before="0" w:after="80" w:lineRule="auto" w:line="276"/>
      </w:pPr>
      <w:r>
        <w:rPr>
          <w:b/>
        </w:rPr>
        <w:t xml:space="preserve">摘要（ZH）: </w:t>
      </w:r>
      <w:r>
        <w:t>采用粒子追踪方法来研究受 EAST 中锂颗粒诱导 ELM 产生的电磁扰动影响的 W 离子的输运动力学。从 BOUT++ 三场模拟中获得的 ELM 的电磁扰动，通过粒子追踪代码插值到网格上，作为 W 离子全轨道模拟的输入。研究发现，离子的分布可以很好地代表具有多个但接近的电荷态的W离子的分布。结果表明，漂移是 ELM 期间 W 离子输运的主要驱动力，而扰动电场是主要决定因素。对颗粒沉积位置影响的进一步研究表明，沉积在基座顶部的颗粒在从核心等离子体区域驱逐 W 离子和筛选 W 离子流入方面更有效。径向速度分析表明，ELM 扰动往往会增加 W 离子的平均速度幅度和扩散系数。还观察到，当 W 离子接近分界线时，它们具有更高的径向速度大小，这有利于它们从边界区域排出。对 W 离子分布在不同初始极向位置的放电情况的模拟表明，最初沉积在低场侧的那些最容易损失 W 离子。</w:t>
      </w:r>
    </w:p>
    <w:p>
      <w:pPr>
        <w:spacing w:before="0" w:after="200" w:lineRule="auto" w:line="276"/>
      </w:pPr>
      <w:r>
        <w:rPr>
          <w:b/>
        </w:rPr>
        <w:t xml:space="preserve">Abstract (EN): </w:t>
      </w:r>
      <w:r>
        <w:t>A particle-tracing approach is employed to investigate the transport dynamics of W ions affected by electromagnetic perturbation produced by a Li pellet induced ELM in EAST. The electromagnetic perturbations from ELMs obtained from BOUT++ three-field simulations, are interpolated onto the grid using by particle tracing code as input for full-orbit simulation of W ions. It is found that a distribution of ions can be a good representative for the distribution of W ions with multiple but close charge states. The results reveal that the drift is the primary driving force for W ions transport during the ELM and that the perturbed electric field is a dominant determining factor. Further study on the effects of pellet deposition location indicates that pellets deposited on the pedestal top are more effective in expelling W ions from the core plasma region and screening W ions from influx. Radial velocity analysis indicates that ELM perturbations tend to increase the average velocity magnitude and diffusion coefficients of W ions. It is also observed that W ions have higher radial velocity magnitude as they approach the separatrix, which facilitates their expulsion from the boundary region. Simulations of discharge scenarios with W ions distributing at different initial poloidal locations reveal that those initially deposited on the low-field side are the most prone to the loss of W ions.</w:t>
      </w:r>
    </w:p>
    <w:p>
      <w:pPr>
        <w:spacing w:before="120" w:after="120"/>
      </w:pPr>
      <w:r>
        <w:rPr>
          <w:sz w:val="18"/>
        </w:rPr>
        <w:t>——————————————————————————————————————————————————————————————————————</w:t>
      </w:r>
    </w:p>
    <w:p>
      <w:pPr>
        <w:spacing w:before="160" w:after="40" w:line="240" w:lineRule="auto"/>
      </w:pPr>
      <w:r>
        <w:rPr>
          <w:b/>
        </w:rPr>
        <w:t xml:space="preserve">[16] </w:t>
      </w:r>
      <w:hyperlink r:id="rId307">
        <w:r>
          <w:rPr>
            <w:color w:val="1155CC"/>
            <w:u w:val="single"/>
          </w:rPr>
          <w:t>JET He 和 D 等离子体中质子-铍聚变的实验观察和集成建模</w:t>
        </w:r>
      </w:hyperlink>
    </w:p>
    <w:p>
      <w:pPr>
        <w:spacing w:before="0" w:after="80"/>
      </w:pPr>
      <w:r>
        <w:rPr>
          <w:i/>
          <w:sz w:val="20"/>
        </w:rPr>
        <w:t>EN: Experimental observation and integrated modelling of proton-beryllium fusion in He and D plasmas at JET</w:t>
      </w:r>
    </w:p>
    <w:p>
      <w:pPr>
        <w:spacing w:before="0" w:after="120"/>
      </w:pPr>
      <w:r>
        <w:rPr>
          <w:b/>
        </w:rPr>
        <w:t xml:space="preserve">Source: </w:t>
      </w:r>
      <w:r>
        <w:t>Nuclear Fusion - latest papers</w:t>
      </w:r>
      <w:r>
        <w:t xml:space="preserve">    </w:t>
      </w:r>
      <w:r>
        <w:rPr>
          <w:b/>
        </w:rPr>
        <w:t xml:space="preserve">Pub date: </w:t>
      </w:r>
      <w:r>
        <w:t>2026-07-20 23:00:00+00:00</w:t>
      </w:r>
      <w:r>
        <w:t xml:space="preserve">    </w:t>
      </w:r>
      <w:r>
        <w:rPr>
          <w:b/>
        </w:rPr>
        <w:t xml:space="preserve">DOI: </w:t>
      </w:r>
      <w:hyperlink r:id="rId308">
        <w:r>
          <w:rPr>
            <w:color w:val="1155CC"/>
            <w:u w:val="single"/>
          </w:rPr>
          <w:t>10.1088/1741-4326/ae870b</w:t>
        </w:r>
      </w:hyperlink>
    </w:p>
    <w:p>
      <w:pPr>
        <w:spacing w:before="0" w:after="120"/>
      </w:pPr>
      <w:r>
        <w:rPr>
          <w:b/>
        </w:rPr>
        <w:t xml:space="preserve">Notes: </w:t>
      </w:r>
      <w:r>
        <w:t>abstract_source=rss_description</w:t>
      </w:r>
    </w:p>
    <w:p>
      <w:pPr>
        <w:spacing w:before="0" w:after="80" w:lineRule="auto" w:line="276"/>
      </w:pPr>
      <w:r>
        <w:rPr>
          <w:b/>
        </w:rPr>
        <w:t xml:space="preserve">摘要（ZH）: </w:t>
      </w:r>
      <w:r>
        <w:t>提出了经过验证的类 JET ITER 壁实验的集成模型，其中聚变性能由快离子和固有存在的金属壁杂质之间的反应驱动。通过对 H 少数进行射频加热，在 He 和 D 中形成了一种稳态 L 模式等离子体，其主要是质子-铍聚变，中子产额高达 6·10。中性粒子分析仪、快速离子损失探测器和γ射线诊断明确地证实了聚变驱动。通过集成建模框架对实验进行分析，该框架旨在对两级质子铍聚变链进行建模并产生高保真聚变产物源项。建模链包括用于等离子体核心建模的 TRANSP 和 JETTO、用于全轨道产物跟踪和碰撞减速的 LOCUST、用于解析两体和三体聚变运动学的 DRESS 以及用于中子输运计算的 MCNP。建模表明，在这些实验中，在自然存在的铍浓度下，主要的 Be(p,n) B 反应是主要的中子发射体。聚变产物和铍、Be(d,n) B 和 Be( ,n) C 之间的二次反应对产率的贡献可以忽略不计。对 D 等离子体中的质子-氘核碰撞效应进行了建模，计算出其对总中子产额的贡献为 25%。对于 He 和 D 放电，计算出的总中子速率与实验和计算不确定性相结合的裂变室 (FC) 测量值相匹配，平均差异为 20%。现实的质子铍中子源通过</w:t>
      </w:r>
    </w:p>
    <w:p>
      <w:pPr>
        <w:spacing w:before="0" w:after="200" w:lineRule="auto" w:line="276"/>
      </w:pPr>
      <w:r>
        <w:rPr>
          <w:b/>
        </w:rPr>
        <w:t xml:space="preserve">Abstract (EN): </w:t>
      </w:r>
      <w:r>
        <w:t>Validated integrated modelling of JET ITER-like wall experiments in which fusion performance is driven by reactions between fast ions and intrinsically present metal wall impurities is presented. A steady-state L-mode plasma with dominant proton-beryllium fusion and neutron yields of up to 6 10 is developed in He and D, via radiofrequency heating of a H minority. The fusion drive is unambiguously confirmed by the neutral particle analyser, fast ion loss detector, and -ray diagnostics. Experiments are analysed via an integrated modelling framework, developed to model the two-stage proton beryllium-fusion chain and produce high-fidelity fusion product source terms. The modelling chain comprises TRANSP and JETTO for plasma core modelling, LOCUST for full orbit product tracking and collisional slowing-down, DRESS to resolve two- and three-body fusion kinematics, and MCNP for neutron transport calculations. Modelling shows that the primary Be(p,n) B reaction is the dominant neutron emitter at naturally present concentrations of beryllium in these experiments. The yield contribution of secondary reactions between fusion products and beryllium, Be(d,n) B and Be( ,n) C, is found to be negligible. The proton-deuteron knock-on effect in D plasmas is modelled, which is calculated to contribute 25% to the total neutron yield. For both He and D discharges the total computed neutron rates match fission chamber (FC) measurements within the combined experimental and computational uncertainty, with an average discrepancy of 20%. Realistic proton-beryllium neutron sources are propagated through JET’s MCNP neutron transport model which shows that U FCs’ response is sensitive to p–Be source changes, with up to 10% variation compared to a D–D neutron source. We show that the high-energy tail of the fast proton minority can be studied with multi-foil neutron activation. The framework is also applied to the study of interactions between fast protons and boron impurities, of relevance to ITER. We calculate that in JET conditions a significant alpha source with DT-like energies could be generated through B(p, )2 fusion, and detected via -emission in secondary interactions between fast alphas and boron. The work represents an important step towards validating predictive integrated modelling capabilities for non-standard fusion reactions.</w:t>
      </w:r>
    </w:p>
    <w:p>
      <w:pPr>
        <w:spacing w:before="120" w:after="120"/>
      </w:pPr>
      <w:r>
        <w:rPr>
          <w:sz w:val="18"/>
        </w:rPr>
        <w:t>——————————————————————————————————————————————————————————————————————</w:t>
      </w:r>
    </w:p>
    <w:p>
      <w:pPr>
        <w:spacing w:before="160" w:after="40" w:line="240" w:lineRule="auto"/>
      </w:pPr>
      <w:r>
        <w:rPr>
          <w:b/>
        </w:rPr>
        <w:t xml:space="preserve">[17] </w:t>
      </w:r>
      <w:hyperlink r:id="rId309">
        <w:r>
          <w:rPr>
            <w:color w:val="1155CC"/>
            <w:u w:val="single"/>
          </w:rPr>
          <w:t>纬向场如何抑制托卡马克等离子体中的逆剪切阿尔文本征模</w:t>
        </w:r>
      </w:hyperlink>
    </w:p>
    <w:p>
      <w:pPr>
        <w:spacing w:before="0" w:after="80"/>
      </w:pPr>
      <w:r>
        <w:rPr>
          <w:i/>
          <w:sz w:val="20"/>
        </w:rPr>
        <w:t>EN: How Zonal Fields Suppress Reversed Shear Alfvén Eigenmode in Tokamak Plasmas</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310">
        <w:r>
          <w:rPr>
            <w:color w:val="1155CC"/>
            <w:u w:val="single"/>
          </w:rPr>
          <w:t>10.1103/hh65-rgwv</w:t>
        </w:r>
      </w:hyperlink>
    </w:p>
    <w:p>
      <w:pPr>
        <w:spacing w:before="0" w:after="120"/>
      </w:pPr>
      <w:r>
        <w:rPr>
          <w:b/>
        </w:rPr>
        <w:t xml:space="preserve">Notes: </w:t>
      </w:r>
      <w:r>
        <w:t>abstract_source=rss_description</w:t>
      </w:r>
    </w:p>
    <w:p>
      <w:pPr>
        <w:spacing w:before="0" w:after="80" w:lineRule="auto" w:line="276"/>
      </w:pPr>
      <w:r>
        <w:rPr>
          <w:b/>
        </w:rPr>
        <w:t xml:space="preserve">摘要（ZH）: </w:t>
      </w:r>
      <w:r>
        <w:t>作者：马瑞瑞、刘鹏飞、陈刘、Fulvio Zonca 和邱志勇 了解托卡马克中反剪切阿尔文本征模 (RSAE) 的非线性饱和对于高性能燃烧等离子体至关重要。采用非线性回旋运动模拟和理论分析，我们发现了新的结果，即高能粒子动力学保持线性……[物理。莱特牧师。 137, 045101] 2026 年 7 月 21 日星期二发布</w:t>
      </w:r>
    </w:p>
    <w:p>
      <w:pPr>
        <w:spacing w:before="0" w:after="200" w:lineRule="auto" w:line="276"/>
      </w:pPr>
      <w:r>
        <w:rPr>
          <w:b/>
        </w:rPr>
        <w:t xml:space="preserve">Abstract (EN): </w:t>
      </w:r>
      <w:r>
        <w:t>Author(s): Ruirui Ma, Pengfei Liu, Liu Chen, Fulvio Zonca, and Zhiyong QiuUnderstanding nonlinear saturation of reversed-shear Alfvén eigenmodes (RSAEs) in tokamaks is crucial for high-performance burning plasmas. Employing both nonlinear gyrokinetic simulations and theoretical analyses, we have discovered the novel result that, with energetic particle dynamics kept linea…[Phys. Rev. Lett. 137, 045101] Published Tue Jul 21, 2026</w:t>
      </w:r>
    </w:p>
    <w:p>
      <w:pPr>
        <w:spacing w:before="120" w:after="120"/>
      </w:pPr>
      <w:r>
        <w:rPr>
          <w:sz w:val="18"/>
        </w:rPr>
        <w:t>——————————————————————————————————————————————————————————————————————</w:t>
      </w:r>
    </w:p>
    <w:p>
      <w:pPr>
        <w:spacing w:before="160" w:after="40" w:line="240" w:lineRule="auto"/>
      </w:pPr>
      <w:r>
        <w:rPr>
          <w:b/>
        </w:rPr>
        <w:t xml:space="preserve">[18] </w:t>
      </w:r>
      <w:hyperlink r:id="rId311">
        <w:r>
          <w:rPr>
            <w:color w:val="1155CC"/>
            <w:u w:val="single"/>
          </w:rPr>
          <w:t>钨的初级辐射损伤的四种状态</w:t>
        </w:r>
      </w:hyperlink>
    </w:p>
    <w:p>
      <w:pPr>
        <w:spacing w:before="0" w:after="80"/>
      </w:pPr>
      <w:r>
        <w:rPr>
          <w:i/>
          <w:sz w:val="20"/>
        </w:rPr>
        <w:t>EN: Four Regimes of Primary Radiation Damage in Tungsten</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312">
        <w:r>
          <w:rPr>
            <w:color w:val="1155CC"/>
            <w:u w:val="single"/>
          </w:rPr>
          <w:t>10.1103/1kyk-k6n5</w:t>
        </w:r>
      </w:hyperlink>
    </w:p>
    <w:p>
      <w:pPr>
        <w:spacing w:before="0" w:after="120"/>
      </w:pPr>
      <w:r>
        <w:rPr>
          <w:b/>
        </w:rPr>
        <w:t xml:space="preserve">Notes: </w:t>
      </w:r>
      <w:r>
        <w:t>abstract_source=rss_description</w:t>
      </w:r>
    </w:p>
    <w:p>
      <w:pPr>
        <w:spacing w:before="0" w:after="80" w:lineRule="auto" w:line="276"/>
      </w:pPr>
      <w:r>
        <w:rPr>
          <w:b/>
        </w:rPr>
        <w:t xml:space="preserve">摘要（ZH）: </w:t>
      </w:r>
      <w:r>
        <w:t>作者：J. Byggmästar，V-M。 Yli-Suutala、A. Fellman、J. Åström、J. Westerholm 和 F. Granberg 我们首次在计算机中观察到钨的初级损伤产生向线性状态的转变。作为聚变反应堆中关键的面向等离子体的材料，钨的辐射损伤已在实验和模拟中得到广泛研究。辐照实验常规...[物理。莱特牧师。 137, 046101] 2026 年 7 月 21 日星期二发布</w:t>
      </w:r>
    </w:p>
    <w:p>
      <w:pPr>
        <w:spacing w:before="0" w:after="200" w:lineRule="auto" w:line="276"/>
      </w:pPr>
      <w:r>
        <w:rPr>
          <w:b/>
        </w:rPr>
        <w:t xml:space="preserve">Abstract (EN): </w:t>
      </w:r>
      <w:r>
        <w:t>Author(s): J. Byggmästar, V-M. Yli-Suutala, A. Fellman, J. Åström, J. Westerholm, and F. GranbergWe observe for the first time in silico the transition to a linear regime in the primary damage production in tungsten. As the critical plasma-facing material in fusion reactors, radiation damage in tungsten has been studied extensively in experiments and simulations. Irradiation experiments routine…[Phys. Rev. Lett. 137, 046101] Published Tue Jul 21, 2026</w:t>
      </w:r>
    </w:p>
    <w:p>
      <w:pPr>
        <w:spacing w:before="120" w:after="120"/>
      </w:pPr>
      <w:r>
        <w:rPr>
          <w:sz w:val="18"/>
        </w:rPr>
        <w:t>——————————————————————————————————————————————————————————————————————</w:t>
      </w:r>
    </w:p>
    <w:p>
      <w:pPr>
        <w:spacing w:before="160" w:after="40" w:line="240" w:lineRule="auto"/>
      </w:pPr>
      <w:r>
        <w:rPr>
          <w:b/>
        </w:rPr>
        <w:t xml:space="preserve">[19] </w:t>
      </w:r>
      <w:hyperlink r:id="rId313">
        <w:r>
          <w:rPr>
            <w:color w:val="1155CC"/>
            <w:u w:val="single"/>
          </w:rPr>
          <w:t>存在非局域电的情况下高 Z 掺杂剂对直接驱动内爆的影响</w:t>
        </w:r>
      </w:hyperlink>
    </w:p>
    <w:p>
      <w:pPr>
        <w:spacing w:before="0" w:after="80"/>
      </w:pPr>
      <w:r>
        <w:rPr>
          <w:i/>
          <w:sz w:val="20"/>
        </w:rPr>
        <w:t>EN: Influences of high- Z dopant on the direct-drive implosion in the presence of non-local e...</w:t>
      </w:r>
    </w:p>
    <w:p>
      <w:pPr>
        <w:spacing w:before="0" w:after="120"/>
      </w:pPr>
      <w:r>
        <w:rPr>
          <w:b/>
        </w:rPr>
        <w:t xml:space="preserve">Source: </w:t>
      </w:r>
      <w:r>
        <w:t>Nuclear Fusion - latest papers</w:t>
      </w:r>
      <w:r>
        <w:t xml:space="preserve">    </w:t>
      </w:r>
      <w:r>
        <w:rPr>
          <w:b/>
        </w:rPr>
        <w:t xml:space="preserve">Pub date: </w:t>
      </w:r>
      <w:r>
        <w:t>2026-07-21 23:00:00+00:00</w:t>
      </w:r>
      <w:r>
        <w:t xml:space="preserve">    </w:t>
      </w:r>
      <w:r>
        <w:rPr>
          <w:b/>
        </w:rPr>
        <w:t xml:space="preserve">DOI: </w:t>
      </w:r>
      <w:hyperlink r:id="rId314">
        <w:r>
          <w:rPr>
            <w:color w:val="1155CC"/>
            <w:u w:val="single"/>
          </w:rPr>
          <w:t>10.1088/1741-4326/ae8314</w:t>
        </w:r>
      </w:hyperlink>
    </w:p>
    <w:p>
      <w:pPr>
        <w:spacing w:before="0" w:after="120"/>
      </w:pPr>
      <w:r>
        <w:rPr>
          <w:b/>
        </w:rPr>
        <w:t xml:space="preserve">Notes: </w:t>
      </w:r>
      <w:r>
        <w:t>abstract_source=rss_description</w:t>
      </w:r>
    </w:p>
    <w:p>
      <w:pPr>
        <w:spacing w:before="0" w:after="80" w:lineRule="auto" w:line="276"/>
      </w:pPr>
      <w:r>
        <w:rPr>
          <w:b/>
        </w:rPr>
        <w:t xml:space="preserve">摘要（ZH）: </w:t>
      </w:r>
      <w:r>
        <w:t>在直接驱动惯性约束聚变（ICF）中，通常在外部烧蚀体中掺杂硅（Si）等高元素，以平滑激光的不均匀性。然而，它们对内爆性能的具体影响尚不清楚。本文通过二维辐射流体动力学模拟研究了不同Si掺杂比例（0%、6.25%、12.5%）靶材的直接驱动内爆，其中考虑了非局域电子输运。随着掺杂比例的增加，向内电子热通量减少，而辐射温度升高。这导致两个掺杂靶材的预热燃料温度分别增加了 9.30% 和 18.6%。此外，最大扰动幅度也降低了39.5%和66.3%。滞点热点压力分别增加8.35%和9.09%，滞点面密度分别增加10.3%和13.8%。这些发现表明，高掺杂剂可以通过显着抑制流体动力学不稳定性来提高内爆性能，并以增强预热为代价。因此，适当提高掺杂浓度可以提高内爆性能。上述发现增进了对直接驱动内爆中高掺杂效应的理解，并为 ICF 靶材的设计提供了宝贵的见解。</w:t>
      </w:r>
    </w:p>
    <w:p>
      <w:pPr>
        <w:spacing w:before="0" w:after="200" w:lineRule="auto" w:line="276"/>
      </w:pPr>
      <w:r>
        <w:rPr>
          <w:b/>
        </w:rPr>
        <w:t xml:space="preserve">Abstract (EN): </w:t>
      </w:r>
      <w:r>
        <w:t>High- elements, such as silicon (Si), are usually doped in the outer ablator in direct-drive inertial confinement fusion (ICF) to smooth the laser non-uniformity. However, their specific effects on the implosion performance are not well understood. In this article, the direct-drive implosions of targets with varying Si doping ratios (0%, 6.25%, 12.5%) are studied through 2D radiation hydrodynamic simulations, in which the non-local electron transport is considered. As the doping ratio increases, the inward electron heat flux is reduced, while the radiation temperature is enhanced. This leads to a 9.30% and 18.6% increase in the preheat fuel temperature for the two doped targets. Besides, the maximum perturbation amplitude is also decreased by 39.5% and 66.3%. Consequently, the stagnation hot spot pressure rises by 8.35% and 9.09%, and the stagnation areal density increases by 10.3% and 13.8%, respectively. These findings indicate that high- dopant can improve implosion performance through significant suppression of hydrodynamic instability, with the trade-off of enhanced preheating. Therefore, appropriately increasing the doping concentration may improve implosion performance. Above findings advance the understanding of high- dopant effects in direct-drive implosions and offer valuable insights for the design of ICF targets.</w:t>
      </w:r>
    </w:p>
    <w:p>
      <w:pPr>
        <w:spacing w:before="120" w:after="120"/>
      </w:pPr>
      <w:r>
        <w:rPr>
          <w:sz w:val="18"/>
        </w:rPr>
        <w:t>——————————————————————————————————————————————————————————————————————</w:t>
      </w:r>
    </w:p>
    <w:p>
      <w:pPr>
        <w:spacing w:before="160" w:after="40" w:line="240" w:lineRule="auto"/>
      </w:pPr>
      <w:r>
        <w:rPr>
          <w:b/>
        </w:rPr>
        <w:t xml:space="preserve">[20] </w:t>
      </w:r>
      <w:hyperlink r:id="rId315">
        <w:r>
          <w:rPr>
            <w:color w:val="1155CC"/>
            <w:u w:val="single"/>
          </w:rPr>
          <w:t>用于回旋模拟的最近正则平衡提取</w:t>
        </w:r>
      </w:hyperlink>
    </w:p>
    <w:p>
      <w:pPr>
        <w:spacing w:before="0" w:after="80"/>
      </w:pPr>
      <w:r>
        <w:rPr>
          <w:i/>
          <w:sz w:val="20"/>
        </w:rPr>
        <w:t>EN: Nearest canonical equilibrium extraction for gyrokinetic simulations</w:t>
      </w:r>
    </w:p>
    <w:p>
      <w:pPr>
        <w:spacing w:before="0" w:after="120"/>
      </w:pPr>
      <w:r>
        <w:rPr>
          <w:b/>
        </w:rPr>
        <w:t xml:space="preserve">Source: </w:t>
      </w:r>
      <w:r>
        <w:t>Nuclear Fusion - latest papers</w:t>
      </w:r>
      <w:r>
        <w:t xml:space="preserve">    </w:t>
      </w:r>
      <w:r>
        <w:rPr>
          <w:b/>
        </w:rPr>
        <w:t xml:space="preserve">Pub date: </w:t>
      </w:r>
      <w:r>
        <w:t>2026-07-21 23:00:00+00:00</w:t>
      </w:r>
      <w:r>
        <w:t xml:space="preserve">    </w:t>
      </w:r>
      <w:r>
        <w:rPr>
          <w:b/>
        </w:rPr>
        <w:t xml:space="preserve">DOI: </w:t>
      </w:r>
      <w:hyperlink r:id="rId316">
        <w:r>
          <w:rPr>
            <w:color w:val="1155CC"/>
            <w:u w:val="single"/>
          </w:rPr>
          <w:t>10.1088/1741-4326/ae7984</w:t>
        </w:r>
      </w:hyperlink>
    </w:p>
    <w:p>
      <w:pPr>
        <w:spacing w:before="0" w:after="120"/>
      </w:pPr>
      <w:r>
        <w:rPr>
          <w:b/>
        </w:rPr>
        <w:t xml:space="preserve">Notes: </w:t>
      </w:r>
      <w:r>
        <w:t>abstract_source=rss_description</w:t>
      </w:r>
    </w:p>
    <w:p>
      <w:pPr>
        <w:spacing w:before="0" w:after="80" w:lineRule="auto" w:line="276"/>
      </w:pPr>
      <w:r>
        <w:rPr>
          <w:b/>
        </w:rPr>
        <w:t xml:space="preserve">摘要（ZH）: </w:t>
      </w:r>
      <w:r>
        <w:t>我们提出了一种从任意参考分布构建物理一致平衡的通用方法。该方法通过沿着未扰动轨迹的迭代扩散过程放松参考状态来提取最近的正则平衡，收敛到轨道平均分布而无需显式轨道积分。因此，该过程在弹跳点附近和跨越捕获通过边界时具有数值鲁棒性，同时适当的预处理进一步加速了收敛。演示了该算法的两个应用。首先，在具有平衡更新的离子温度梯度模拟中，提取的平衡使区域分量能够一致地吸收到背景分布中，从而保留框架固有的微扰排序，并显着放松 Courant-Friedrichs-Lewy 稳定性约束。与此同时，短时湍流输运水平与使用传统固定平衡基准获得的水平仍然非常一致。这些结果表明，以与方法（而不是完整方法）相当的计算成本执行运输规模模拟的潜力。其次，提取器提供了后饱和扰动到运动常数空间的有效且准确的映射，产生非常适合简化分析和综合诊断的轨道不变表示。</w:t>
      </w:r>
    </w:p>
    <w:p>
      <w:pPr>
        <w:spacing w:before="0" w:after="200" w:lineRule="auto" w:line="276"/>
      </w:pPr>
      <w:r>
        <w:rPr>
          <w:b/>
        </w:rPr>
        <w:t xml:space="preserve">Abstract (EN): </w:t>
      </w:r>
      <w:r>
        <w:t>We present a general method for constructing a physically consistent equilibrium from an arbitrary reference distribution. The method extracts the nearest canonical equilibrium by relaxing the reference state through an iterative diffusion process along unperturbed trajectories, converging to the orbit-averaged distribution without explicit orbit integration. As a result, the procedure is numerically robust near bounce points and across the trapped–passing boundary, while suitable preconditioning further accelerates convergence. Two applications of this algorithm are demonstrated. First, in an ion-temperature-gradient simulation with equilibrium updating, the extracted equilibrium enables the zonal component to be consistently absorbed into the background distribution, thereby preserving the perturbative ordering inherent to the framework and substantially relaxing the Courant–Friedrichs–Lewy stability constraint. At the same time, short-time turbulent transport levels remain in good agreement with those obtained using the conventional fixed-equilibrium benchmark. These results indicate the potential to perform transport-scale simulations at a computational cost comparable to that of methods, rather than full- approaches. Second, the extractor provides an efficient and accurate mapping of the post-saturation perturbation into constants-of-motion space , yielding an orbit-invariant representation that is well suited for reduced analysis and synthetic diagnostics.</w:t>
      </w:r>
    </w:p>
    <w:p>
      <w:pPr>
        <w:spacing w:before="120" w:after="120"/>
      </w:pPr>
      <w:r>
        <w:rPr>
          <w:sz w:val="18"/>
        </w:rPr>
        <w:t>——————————————————————————————————————————————————————————————————————</w:t>
      </w:r>
    </w:p>
    <w:p>
      <w:pPr>
        <w:spacing w:before="160" w:after="40" w:line="240" w:lineRule="auto"/>
      </w:pPr>
      <w:r>
        <w:rPr>
          <w:b/>
        </w:rPr>
        <w:t xml:space="preserve">[21] </w:t>
      </w:r>
      <w:hyperlink r:id="rId317">
        <w:r>
          <w:rPr>
            <w:color w:val="1155CC"/>
            <w:u w:val="single"/>
          </w:rPr>
          <w:t>磁剪切对动力气球模式和电磁仿星器湍流的影响</w:t>
        </w:r>
      </w:hyperlink>
    </w:p>
    <w:p>
      <w:pPr>
        <w:spacing w:before="0" w:after="80"/>
      </w:pPr>
      <w:r>
        <w:rPr>
          <w:i/>
          <w:sz w:val="20"/>
        </w:rPr>
        <w:t>EN: Influence of magnetic shear on kinetic ballooning modes and electromagnetic stellarator turbulence</w:t>
      </w:r>
    </w:p>
    <w:p>
      <w:pPr>
        <w:spacing w:before="0" w:after="120"/>
      </w:pPr>
      <w:r>
        <w:rPr>
          <w:b/>
        </w:rPr>
        <w:t xml:space="preserve">Source: </w:t>
      </w:r>
      <w:r>
        <w:t>Nuclear Fusion - latest papers</w:t>
      </w:r>
      <w:r>
        <w:t xml:space="preserve">    </w:t>
      </w:r>
      <w:r>
        <w:rPr>
          <w:b/>
        </w:rPr>
        <w:t xml:space="preserve">Pub date: </w:t>
      </w:r>
      <w:r>
        <w:t>2026-07-22 23:00:00+00:00</w:t>
      </w:r>
      <w:r>
        <w:t xml:space="preserve">    </w:t>
      </w:r>
      <w:r>
        <w:rPr>
          <w:b/>
        </w:rPr>
        <w:t xml:space="preserve">DOI: </w:t>
      </w:r>
      <w:hyperlink r:id="rId318">
        <w:r>
          <w:rPr>
            <w:color w:val="1155CC"/>
            <w:u w:val="single"/>
          </w:rPr>
          <w:t>10.1088/1741-4326/ae89ca</w:t>
        </w:r>
      </w:hyperlink>
    </w:p>
    <w:p>
      <w:pPr>
        <w:spacing w:before="0" w:after="120"/>
      </w:pPr>
      <w:r>
        <w:rPr>
          <w:b/>
        </w:rPr>
        <w:t xml:space="preserve">Notes: </w:t>
      </w:r>
      <w:r>
        <w:t>abstract_source=rss_description</w:t>
      </w:r>
    </w:p>
    <w:p>
      <w:pPr>
        <w:spacing w:before="0" w:after="80" w:lineRule="auto" w:line="276"/>
      </w:pPr>
      <w:r>
        <w:rPr>
          <w:b/>
        </w:rPr>
        <w:t xml:space="preserve">摘要（ZH）: </w:t>
      </w:r>
      <w:r>
        <w:t>Wendelstein 7-X (W7-X) 和 Heliotron-J (H-J) 仿星器中报道了磁剪切对动能气球模式 (KBM) 和电磁湍流的影响。有限标准化等离子体压力下的回旋动力学模拟表明，亚阈值 KBM (stKBM) 存在于所有配置中，即远低于 iMHD 极限的共振失稳 KBM。简化的 KBM 模型表明，增强磁剪切和减弱不良曲率可以稳定仿星器几何结构中的 (st)KBM。在非线性模拟中，当 stKBM 失稳时，W7-X 中的湍流通量会增加，而不是经历非线性电磁稳定。研究发现，W7-X 的低磁剪切配置会产生较低的传输，因为会产生更强的层流。在 H-J 中，尽管存在 stKBM，湍流通量仍会减少，因为较高的层流响应会增强。这凸显了在提高反应堆性能时考虑线性和非线性动力学的重要性。</w:t>
      </w:r>
    </w:p>
    <w:p>
      <w:pPr>
        <w:spacing w:before="0" w:after="200" w:lineRule="auto" w:line="276"/>
      </w:pPr>
      <w:r>
        <w:rPr>
          <w:b/>
        </w:rPr>
        <w:t xml:space="preserve">Abstract (EN): </w:t>
      </w:r>
      <w:r>
        <w:t>The influence of magnetic shear on kinetic ballooning modes (KBMs) and electromagnetic turbulence is reported in the Wendelstein 7-X (W7-X) and Heliotron-J (H-J) stellarators. Gyrokinetic simulations at finite normalized plasma pressure reveal that sub-threshold KBMs (stKBMs) are present in all configurations, i.e. KBMs that are resonantly destabilized far below the iMHD limit. A reduced KBM model shows that boosting magnetic shear and weakening bad curvature stabilizes (st)KBMs in stellarator geometry. In nonlinear simulations, instead of undergoing nonlinear electromagnetic stabilization, turbulent fluxes in W7-X increase with when stKBMs are destabilized. Lower-magnetic-shear configurations of W7-X are found to produce lower transport, due to the generation of stronger zonal flows. In H-J, turbulent fluxes reduce with —despite hosting stKBMs—due to a boosted zonal-flow response at higher . This highlights the importance of accounting for both linear and nonlinear dynamics when aiming to improve reactor performance.</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319">
        <w:r>
          <w:rPr>
            <w:color w:val="1155CC"/>
            <w:u w:val="single"/>
          </w:rPr>
          <w:t>基于惩罚敏感区域的鲁棒优化氢集成孤岛微电网的精细化PEMEL运行</w:t>
        </w:r>
      </w:hyperlink>
    </w:p>
    <w:p>
      <w:pPr>
        <w:spacing w:before="0" w:after="80"/>
      </w:pPr>
      <w:r>
        <w:rPr>
          <w:i/>
          <w:sz w:val="20"/>
        </w:rPr>
        <w:t>EN: Refined PEMEL operation of hydrogen-integrated islanded microgrid via penalized sensitivity region-based robust optimization</w:t>
      </w:r>
    </w:p>
    <w:p>
      <w:pPr>
        <w:spacing w:before="0" w:after="120"/>
      </w:pPr>
      <w:r>
        <w:rPr>
          <w:b/>
        </w:rPr>
        <w:t xml:space="preserve">Source: </w:t>
      </w:r>
      <w:r>
        <w:t>ScienceDirect Publication: Applied Energy</w:t>
      </w:r>
      <w:r>
        <w:t xml:space="preserve">    </w:t>
      </w:r>
      <w:r>
        <w:rPr>
          <w:b/>
        </w:rPr>
        <w:t xml:space="preserve">Pub date: </w:t>
      </w:r>
      <w:r>
        <w:t>2026-07-17 00:00:00+00:00</w:t>
      </w:r>
      <w:r>
        <w:t xml:space="preserve">    </w:t>
      </w:r>
      <w:r>
        <w:rPr>
          <w:b/>
        </w:rPr>
        <w:t xml:space="preserve">DOI: </w:t>
      </w:r>
      <w:hyperlink r:id="rId320">
        <w:r>
          <w:rPr>
            <w:color w:val="1155CC"/>
            <w:u w:val="single"/>
          </w:rPr>
          <w:t>10.1016/j.apenergy.2026.128465</w:t>
        </w:r>
      </w:hyperlink>
    </w:p>
    <w:p>
      <w:pPr>
        <w:spacing w:before="0" w:after="120"/>
      </w:pPr>
      <w:r>
        <w:rPr>
          <w:b/>
        </w:rPr>
        <w:t xml:space="preserve">Notes: </w:t>
      </w:r>
      <w:r>
        <w:t>abstract_source=openalex</w:t>
      </w:r>
    </w:p>
    <w:p>
      <w:pPr>
        <w:spacing w:before="0" w:after="80" w:lineRule="auto" w:line="276"/>
      </w:pPr>
      <w:r>
        <w:rPr>
          <w:b/>
        </w:rPr>
        <w:t xml:space="preserve">摘要（ZH）: </w:t>
      </w:r>
      <w:r>
        <w:t>分布式可再生能源发电机对于孤岛微电网（IMG）至关重要，但其间歇性和不确定性可能会增加运营成本并引发频率和电压问题。质子交换膜电解槽（PEMEL）作为一种可控的需求侧资源，可以消耗剩余的可再生能源并生产绿色氢气。然而，现有的 PEMEL 模型依赖于固定转换率的假设，或者缺乏电网运行中设备级行为的基于物理的表征。同时，传统的IMG操作侧重于保持操作约束，忽略了目标对不确定性的鲁棒性，而氢气需求并未被视为明确的不确定性源。为了解决这些差距，本文提出了一种通过新的基于惩罚敏感区域的鲁棒优化（PSRRO）的氢集成 IMG 的改进 PEMEL 操作方法。首先，开发了功率响应 PEMEL 模型来捕获由电流密度驱动的非线性器件级特性。其次，提出了一种PSRRO方法，用于在可再生能源发电、电力负荷和氢气需求的多维不确定性下优化IMG运行。最后，开发了一种有效的求解算法来减少计算负担并增强PSRRO方法的适用性。数值结果验证了该方法能够在保持狭窄的客观变化和针对多维不确定性的操作约束的情况下实现稳健的性能，并且在实际使用中具有较高的计算效率。</w:t>
      </w:r>
    </w:p>
    <w:p>
      <w:pPr>
        <w:spacing w:before="0" w:after="200" w:lineRule="auto" w:line="276"/>
      </w:pPr>
      <w:r>
        <w:rPr>
          <w:b/>
        </w:rPr>
        <w:t xml:space="preserve">Abstract (EN): </w:t>
      </w:r>
      <w:r>
        <w:t>Distributed renewable generators are essential for islanded microgrids (IMGs), yet their intermittency and uncertainty may increase operating costs and induce frequency and voltage issues. Proton exchange membrane electrolyzers (PEMELs) as a controllable demand-side resource can consume surplus renewables and produce green hydrogen. However, existing PEMEL models rely on the assumption of fixed conversion rate or lack physics-grounded characterization of device-level behaviors in power grid operation. Meanwhile, conventional IMG operation focuses on keeping operating constraints and ignores robustness on objectives against uncertainties, while hydrogen demand is not treated as an explicit uncertainty source. To address these gaps, this paper proposes a refined PEMEL operation method for a hydrogen-integrated IMG via new penalized sensitivity region based robust optimization (PSRRO). First, a power-responsive PEMEL model is developed to capture nonlinear device-level characteristics driven by current density. Second, a PSRRO method is proposed to optimize IMG operation under multi-dimensional uncertainties of renewable generation, electrical load, and hydrogen demand. Lastly, an efficient solution algorithm is developed to reduce computational burdens and enhance the applicability of the PSRRO method. Numerical results verify that the proposed method can achieve robust performance by keeping both narrow objective variations and operating constraints against multi-dimensional uncertainties, with high computing efficiency for practical use.</w:t>
      </w:r>
    </w:p>
    <w:p>
      <w:pPr>
        <w:spacing w:before="120" w:after="120"/>
      </w:pPr>
      <w:r>
        <w:rPr>
          <w:sz w:val="18"/>
        </w:rPr>
        <w:t>——————————————————————————————————————————————————————————————————————</w:t>
      </w:r>
    </w:p>
    <w:p>
      <w:pPr>
        <w:spacing w:before="160" w:after="40" w:line="240" w:lineRule="auto"/>
      </w:pPr>
      <w:r>
        <w:rPr>
          <w:b/>
        </w:rPr>
        <w:t xml:space="preserve">[2] </w:t>
      </w:r>
      <w:hyperlink r:id="rId321">
        <w:r>
          <w:rPr>
            <w:color w:val="1155CC"/>
            <w:u w:val="single"/>
          </w:rPr>
          <w:t>低折射率铜单晶电化学硝酸盐还原：碱性溶液中的选择性趋势</w:t>
        </w:r>
      </w:hyperlink>
    </w:p>
    <w:p>
      <w:pPr>
        <w:spacing w:before="0" w:after="80"/>
      </w:pPr>
      <w:r>
        <w:rPr>
          <w:i/>
          <w:sz w:val="20"/>
        </w:rPr>
        <w:t>EN: Electrochemical Nitrate Reduction with Low-Index Cu Single Crystals: Selectivity Trends in Alkaline Solution</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322">
        <w:r>
          <w:rPr>
            <w:color w:val="1155CC"/>
            <w:u w:val="single"/>
          </w:rPr>
          <w:t>10.1021/jacs.6c05147</w:t>
        </w:r>
      </w:hyperlink>
    </w:p>
    <w:p>
      <w:pPr>
        <w:spacing w:before="0" w:after="120"/>
      </w:pPr>
      <w:r>
        <w:rPr>
          <w:b/>
        </w:rPr>
        <w:t xml:space="preserve">Notes: </w:t>
      </w:r>
      <w:r>
        <w:t>abstract_source=pubmed</w:t>
      </w:r>
    </w:p>
    <w:p>
      <w:pPr>
        <w:spacing w:before="0" w:after="80" w:lineRule="auto" w:line="276"/>
      </w:pPr>
      <w:r>
        <w:rPr>
          <w:b/>
        </w:rPr>
        <w:t xml:space="preserve">摘要（ZH）: </w:t>
      </w:r>
      <w:r>
        <w:t>电化学硝酸盐（NO3-）还原是生产氨（NH3）的一种有前景的途径。虽然铜 (Cu) 电极常用于该反应，但人们对 Cu 表面结构对反应选择性的影响知之甚少。在这里，我们使用 Cu(100)、Cu(110) 和 Cu(111) 单晶电极在碱性电解质中进行电化学 NO3-还原，并量化了一系列施加电位下的产物分布。我们对电催化 NO3 还原的系统研究表明，Cu(100) 和 Cu(110) 表面对 NH3 产生表现出相似的选择性和速率，但 Cu(100) 表面在最广泛的应用电位范围内对 NH3 提供 &gt;95% 的法拉第效率。相比之下，Cu(111) 表面对 NH3 生成的选择性明显较低。进一步比较铜单晶的电化学行为及其相应的产物分布表明，亚硝酸盐 (NO2-) 还原伏安图是碱性电解质中所有三种低指数铜表面电催化性能的有力预测指标。量子力学计算表明，Cu(100) 表面表现出 NO3 还原为 NH3 的最低电位决定步骤，支持了我们的实验结果。对金属-吸附物相互作用的详细分析还揭示了 Cu 表面结构在稳定关键反应中间体以促进选择性 NH3 生产中的作用。我们的实验和计算相结合的研究确定了低指数铜面对 NH3 sy 的电催化选择性</w:t>
      </w:r>
    </w:p>
    <w:p>
      <w:pPr>
        <w:spacing w:before="0" w:after="200" w:lineRule="auto" w:line="276"/>
      </w:pPr>
      <w:r>
        <w:rPr>
          <w:b/>
        </w:rPr>
        <w:t xml:space="preserve">Abstract (EN): </w:t>
      </w:r>
      <w:r>
        <w:t>Electrochemical nitrate (NO3-) reduction is a promising pathway toward the production of ammonia (NH3). While copper (Cu) electrodes are commonly used for this reaction, the influence of Cu surface structure on reaction selectivity is poorly understood. Here, we performed electrochemical NO3- reduction in alkaline electrolytes with Cu(100), Cu(110), and Cu(111) single-crystal electrodes and quantified the product distributions across a range of applied potentials. Our systematic study of electrocatalytic NO3- reduction demonstrated that the Cu(100) and Cu(110) surfaces exhibited similar selectivity and rates for NH3 production, but the Cu(100) surface provided &gt;95% Faradaic efficiency toward NH3 over the broadest range of applied potentials. In contrast, the Cu(111) surface was significantly less selective for NH3 production. Further comparing the electrochemical behavior of Cu single crystals to their corresponding product distributions revealed that nitrite (NO2-) reduction voltammograms were strong predictors of electrocatalytic performance for all three low-index Cu surfaces in alkaline electrolytes. Quantum mechanical calculations indicate that the Cu(100) surface exhibits the lowest potential-determining step for NO3- reduction to NH3, supporting our experimental findings. Detailed analysis of metal-adsorbate interactions also revealed the role of Cu surface structure in stabilizing key reaction intermediates to promote selective NH3 production. Our combined experimental and computational study establishes electrocatalytic selectivity of low-index Cu facets for NH3 synthesis and offers practical guidelines for the design of Cu-based electrocatalysts capable of selective electrochemical NO3- reduction in alkaline solutions.</w:t>
      </w:r>
    </w:p>
    <w:p>
      <w:pPr>
        <w:spacing w:before="120" w:after="120"/>
      </w:pPr>
      <w:r>
        <w:rPr>
          <w:sz w:val="18"/>
        </w:rPr>
        <w:t>——————————————————————————————————————————————————————————————————————</w:t>
      </w:r>
    </w:p>
    <w:p>
      <w:pPr>
        <w:spacing w:before="160" w:after="40" w:line="240" w:lineRule="auto"/>
      </w:pPr>
      <w:r>
        <w:rPr>
          <w:b/>
        </w:rPr>
        <w:t xml:space="preserve">[3] </w:t>
      </w:r>
      <w:hyperlink r:id="rId323">
        <w:r>
          <w:rPr>
            <w:color w:val="1155CC"/>
            <w:u w:val="single"/>
          </w:rPr>
          <w:t>氢能连接欧洲：不同补贴政策下跨境管道联盟的成本分配分析</w:t>
        </w:r>
      </w:hyperlink>
    </w:p>
    <w:p>
      <w:pPr>
        <w:spacing w:before="0" w:after="80"/>
      </w:pPr>
      <w:r>
        <w:rPr>
          <w:i/>
          <w:sz w:val="20"/>
        </w:rPr>
        <w:t>EN: Connecting Europe through hydrogen: Cost allocation analysis of cross-border pipeline coalitions under varying subsidy policies</w:t>
      </w:r>
    </w:p>
    <w:p>
      <w:pPr>
        <w:spacing w:before="0" w:after="120"/>
      </w:pPr>
      <w:r>
        <w:rPr>
          <w:b/>
        </w:rPr>
        <w:t xml:space="preserve">Source: </w:t>
      </w:r>
      <w:r>
        <w:t>ScienceDirect Publication: Energy Policy</w:t>
      </w:r>
      <w:r>
        <w:t xml:space="preserve">    </w:t>
      </w:r>
      <w:r>
        <w:rPr>
          <w:b/>
        </w:rPr>
        <w:t xml:space="preserve">Pub date: </w:t>
      </w:r>
      <w:r>
        <w:t>2026-07-17 00:00:00+00:00</w:t>
      </w:r>
      <w:r>
        <w:t xml:space="preserve">    </w:t>
      </w:r>
      <w:r>
        <w:rPr>
          <w:b/>
        </w:rPr>
        <w:t xml:space="preserve">DOI: </w:t>
      </w:r>
      <w:hyperlink r:id="rId324">
        <w:r>
          <w:rPr>
            <w:color w:val="1155CC"/>
            <w:u w:val="single"/>
          </w:rPr>
          <w:t>10.1016/j.enpol.2026.115492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325">
        <w:r>
          <w:rPr>
            <w:color w:val="1155CC"/>
            <w:u w:val="single"/>
          </w:rPr>
          <w:t>多中心电子相互作用驱动阴离子交换膜水电解 NiFe-MOF 中活性相的形成</w:t>
        </w:r>
      </w:hyperlink>
    </w:p>
    <w:p>
      <w:pPr>
        <w:spacing w:before="0" w:after="80"/>
      </w:pPr>
      <w:r>
        <w:rPr>
          <w:i/>
          <w:sz w:val="20"/>
        </w:rPr>
        <w:t>EN: Multicenter Electronic Interactions Driving Active Phase Formation in NiFe-MOFs for Anion-Exchange Membrane Water Electrolysis</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326">
        <w:r>
          <w:rPr>
            <w:color w:val="1155CC"/>
            <w:u w:val="single"/>
          </w:rPr>
          <w:t>10.1021/jacs.6c09107</w:t>
        </w:r>
      </w:hyperlink>
    </w:p>
    <w:p>
      <w:pPr>
        <w:spacing w:before="0" w:after="120"/>
      </w:pPr>
      <w:r>
        <w:rPr>
          <w:b/>
        </w:rPr>
        <w:t xml:space="preserve">Notes: </w:t>
      </w:r>
      <w:r>
        <w:t>abstract_source=pubmed</w:t>
      </w:r>
    </w:p>
    <w:p>
      <w:pPr>
        <w:spacing w:before="0" w:after="80" w:lineRule="auto" w:line="276"/>
      </w:pPr>
      <w:r>
        <w:rPr>
          <w:b/>
        </w:rPr>
        <w:t xml:space="preserve">摘要（ZH）: </w:t>
      </w:r>
      <w:r>
        <w:t>多金属掺杂被广泛用于增强析氧反应的电催化；然而，由于复杂的相互作用，其根本机制仍然知之甚少。在此，我们将稀土Ce和过渡金属Ru合理地整合到NiFe-MOFs（Ce,Ru-NiFe-MOFs）中，以实现局域4f和离域4d态之间的轨道互补，从而实现超越传统电荷转移的根本不同的电子调节策略。这种耦合效应通过加速 NiFe-MOF 转化为活性 NiFeOOH 物质，从根本上改变了催化剂的动态演化。我们进一步证明，Ce/Ru共掺杂诱导氧桥多中心轨道耦合（3d-4d-4f），如软和硬X射线吸收光谱和像差校正高角度环形暗场扫描透射电子显微镜以及密度泛函理论计算所证明，从而建立非加性电子相互作用和多级电子转移途径。因此，重构的催化剂表现出优化的电子结构，增强了 OH 吸附，抑制了质子诱发的腐蚀，并降低了速率决定步骤的能垒。因此，该催化剂在 10 mA cm-2 下具有 199 mV 的过电势，在 400 mA cm-2 下具有超过 1600 小时的出色耐久性。此外，当集成到阴离子交换膜水电解系统中时，它在1000 mA cm-2下可实现1.747 V的低电池电压（满足美国能源部2026年目标）并保持稳定</w:t>
      </w:r>
    </w:p>
    <w:p>
      <w:pPr>
        <w:spacing w:before="0" w:after="200" w:lineRule="auto" w:line="276"/>
      </w:pPr>
      <w:r>
        <w:rPr>
          <w:b/>
        </w:rPr>
        <w:t xml:space="preserve">Abstract (EN): </w:t>
      </w:r>
      <w:r>
        <w:t>Multimetal doping is widely employed to enhance oxygen evolution reaction electrocatalysis; however, the underlying mechanism remains poorly understood due to the complex interplay. Herein, we rationally integrate rare-earth Ce and transition-metal Ru into NiFe-MOFs (Ce,Ru-NiFe-MOFs) to achieve orbital complementarity between localized 4f and delocalized 4d states, thereby enabling a fundamentally distinct electronic regulation strategy beyond conventional charge transfer. This coupling effect fundamentally alters the dynamic evolution of the catalyst by accelerating the transformation of NiFe-MOFs into active NiFeOOH species. We further demonstrate that Ce/Ru codoping induces oxygen-bridged multicenter orbital coupling (3d-4d-4f), as evidenced by soft- and hard-X-ray absorption spectroscopy and aberration-corrected high-angle annular dark-field scanning transmission electron microscopy, together with density functional theory calculations, thereby establishing nonadditive electronic interactions and multilevel electron-transfer pathways. Consequently, the reconstructed catalyst exhibits an optimized electronic structure with enhanced OH- adsorption, suppressed proton-induced corrosion, and reduced energy barrier for the rate-determining step. Therefore, the catalyst delivers an overpotential of 199 mV at 10 mA cm-2 and outstanding durability exceeding 1600 h at 400 mA cm-2. Additionally, when integrated into an anion-exchange membrane water electrolysis system, it achieves a low cell voltage of 1.747 V at 1000 mA cm-2 (meeting the U.S. DOE 2026 target) and maintains stable operation for over 95 h at 500 mA cm-2. This work establishes a clear mechanistic framework linking orbital-level coupling, reconstruction kinetics, and catalytic performance, and provides a general design principle for engineering advanced electrocatalysts via multicenter orbital interactions.</w:t>
      </w:r>
    </w:p>
    <w:p>
      <w:pPr>
        <w:spacing w:before="120" w:after="120"/>
      </w:pPr>
      <w:r>
        <w:rPr>
          <w:sz w:val="18"/>
        </w:rPr>
        <w:t>——————————————————————————————————————————————————————————————————————</w:t>
      </w:r>
    </w:p>
    <w:p>
      <w:pPr>
        <w:spacing w:before="160" w:after="40" w:line="240" w:lineRule="auto"/>
      </w:pPr>
      <w:r>
        <w:rPr>
          <w:b/>
        </w:rPr>
        <w:t xml:space="preserve">[5] </w:t>
      </w:r>
      <w:hyperlink r:id="rId327">
        <w:r>
          <w:rPr>
            <w:color w:val="1155CC"/>
            <w:u w:val="single"/>
          </w:rPr>
          <w:t>用于质子交换膜燃料电池在线降解预测的面向未来的知识蒸馏框架</w:t>
        </w:r>
      </w:hyperlink>
    </w:p>
    <w:p>
      <w:pPr>
        <w:spacing w:before="0" w:after="80"/>
      </w:pPr>
      <w:r>
        <w:rPr>
          <w:i/>
          <w:sz w:val="20"/>
        </w:rPr>
        <w:t>EN: A future-guided knowledge distillation framework for online degradation prognostics of proton exchange membrane fuel cells</w:t>
      </w:r>
    </w:p>
    <w:p>
      <w:pPr>
        <w:spacing w:before="0" w:after="120"/>
      </w:pPr>
      <w:r>
        <w:rPr>
          <w:b/>
        </w:rPr>
        <w:t xml:space="preserve">Source: </w:t>
      </w:r>
      <w:r>
        <w:t>ScienceDirect Publication: Applied Energy</w:t>
      </w:r>
      <w:r>
        <w:t xml:space="preserve">    </w:t>
      </w:r>
      <w:r>
        <w:rPr>
          <w:b/>
        </w:rPr>
        <w:t xml:space="preserve">Pub date: </w:t>
      </w:r>
      <w:r>
        <w:t>2026-07-17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328">
        <w:r>
          <w:rPr>
            <w:color w:val="1155CC"/>
            <w:u w:val="single"/>
          </w:rPr>
          <w:t>氢成为焦点</w:t>
        </w:r>
      </w:hyperlink>
    </w:p>
    <w:p>
      <w:pPr>
        <w:spacing w:before="0" w:after="80"/>
      </w:pPr>
      <w:r>
        <w:rPr>
          <w:i/>
          <w:sz w:val="20"/>
        </w:rPr>
        <w:t>EN: Hydrogen in focus</w:t>
      </w:r>
    </w:p>
    <w:p>
      <w:pPr>
        <w:spacing w:before="0" w:after="120"/>
      </w:pPr>
      <w:r>
        <w:rPr>
          <w:b/>
        </w:rPr>
        <w:t xml:space="preserve">Source: </w:t>
      </w:r>
      <w:r>
        <w:t>Nature Reviews Clean Technology</w:t>
      </w:r>
      <w:r>
        <w:t xml:space="preserve">    </w:t>
      </w:r>
      <w:r>
        <w:rPr>
          <w:b/>
        </w:rPr>
        <w:t xml:space="preserve">Pub date: </w:t>
      </w:r>
      <w:r>
        <w:t>2026-07-17 00:00:00+00:00</w:t>
      </w:r>
      <w:r>
        <w:t xml:space="preserve">    </w:t>
      </w:r>
      <w:r>
        <w:rPr>
          <w:b/>
        </w:rPr>
        <w:t xml:space="preserve">DOI: </w:t>
      </w:r>
      <w:hyperlink r:id="rId329">
        <w:r>
          <w:rPr>
            <w:color w:val="1155CC"/>
            <w:u w:val="single"/>
          </w:rPr>
          <w:t>10.1038/s44359-026-00196-9</w:t>
        </w:r>
      </w:hyperlink>
    </w:p>
    <w:p>
      <w:pPr>
        <w:spacing w:before="0" w:after="120"/>
      </w:pPr>
      <w:r>
        <w:rPr>
          <w:b/>
        </w:rPr>
        <w:t xml:space="preserve">Notes: </w:t>
      </w:r>
      <w:r>
        <w:t>abstract_source=nature_html</w:t>
      </w:r>
    </w:p>
    <w:p>
      <w:pPr>
        <w:spacing w:before="0" w:after="80" w:lineRule="auto" w:line="276"/>
      </w:pPr>
      <w:r>
        <w:rPr>
          <w:b/>
        </w:rPr>
        <w:t xml:space="preserve">摘要（ZH）: </w:t>
      </w:r>
      <w:r>
        <w:t>在难以减少的行业中使用绿色氢作为燃料或原料是许多能源和产业政策的特色。正如本期《焦点》所强调的那样，这种势头带来了机遇和问题。</w:t>
      </w:r>
    </w:p>
    <w:p>
      <w:pPr>
        <w:spacing w:before="0" w:after="200" w:lineRule="auto" w:line="276"/>
      </w:pPr>
      <w:r>
        <w:rPr>
          <w:b/>
        </w:rPr>
        <w:t xml:space="preserve">Abstract (EN): </w:t>
      </w:r>
      <w:r>
        <w:t>The use of green hydrogen as a fuel or feedstock in hard-to-abate sectors features in many energy and industrial policies. As highlighted in this Focus issue, this momentum brings opportunities and questions.</w:t>
      </w:r>
    </w:p>
    <w:p>
      <w:pPr>
        <w:spacing w:before="120" w:after="120"/>
      </w:pPr>
      <w:r>
        <w:rPr>
          <w:sz w:val="18"/>
        </w:rPr>
        <w:t>——————————————————————————————————————————————————————————————————————</w:t>
      </w:r>
    </w:p>
    <w:p>
      <w:pPr>
        <w:spacing w:before="160" w:after="40" w:line="240" w:lineRule="auto"/>
      </w:pPr>
      <w:r>
        <w:rPr>
          <w:b/>
        </w:rPr>
        <w:t xml:space="preserve">[7] </w:t>
      </w:r>
      <w:hyperlink r:id="rId330">
        <w:r>
          <w:rPr>
            <w:color w:val="1155CC"/>
            <w:u w:val="single"/>
          </w:rPr>
          <w:t>稀土掺入引起的界面重建稳定了高配位 Cu + 位点，用于有效电化学硝酸盐还原为氨</w:t>
        </w:r>
      </w:hyperlink>
    </w:p>
    <w:p>
      <w:pPr>
        <w:spacing w:before="0" w:after="80"/>
      </w:pPr>
      <w:r>
        <w:rPr>
          <w:i/>
          <w:sz w:val="20"/>
        </w:rPr>
        <w:t>EN: Interface Reconstruction Induced by Rare-Earth Incorporation Stabilizes High-Coordination Cu + Sites for Efficient Electrochemical Nitrate Reduction to Ammonia</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331">
        <w:r>
          <w:rPr>
            <w:color w:val="1155CC"/>
            <w:u w:val="single"/>
          </w:rPr>
          <w:t>10.1021/acsami.6c09661</w:t>
        </w:r>
      </w:hyperlink>
    </w:p>
    <w:p>
      <w:pPr>
        <w:spacing w:before="0" w:after="120"/>
      </w:pPr>
      <w:r>
        <w:rPr>
          <w:b/>
        </w:rPr>
        <w:t xml:space="preserve">Notes: </w:t>
      </w:r>
      <w:r>
        <w:t>abstract_source=pubmed</w:t>
      </w:r>
    </w:p>
    <w:p>
      <w:pPr>
        <w:spacing w:before="0" w:after="80" w:lineRule="auto" w:line="276"/>
      </w:pPr>
      <w:r>
        <w:rPr>
          <w:b/>
        </w:rPr>
        <w:t xml:space="preserve">摘要（ZH）: </w:t>
      </w:r>
      <w:r>
        <w:t>电化学硝酸盐还原反应（eNO3-RR）代表了同步废水处理和可持续氨合成的一条有前途的途径。虽然具有缺电子 Cu+ 位点的 Cu2O 催化剂已被广泛研究用于 eNO3-RR，但其实际应用受到自还原和结构不稳定的阻碍。构建可增强电荷转移并稳定催化位点的 Cu-O-M 界面位点，为解决这些挑战提供了有效的策略。在这里，我们报告了一种 La 掺入策略，以创建 Cu2O-LayO 异质界面 (Cu1La4)，以实现 NH3 的高效转化。实验和理论研究表明，Cu2O/La2O2(CO3)界面上的高配位Cu+活性位点，加上La引入引入的空间位阻，优化了关键中间体的吸附能，从而规避了传统低配位Cu+位点上与*NH3→NH3转变相关的高能垒。此外，共价Cu-O-La界面键合抑制了Cu+还原并稳定了催化体系。优化后的 Cu1La4 催化剂表现出出色的 eNO3-RR 性能，在 -0.6 V 下实现了 94% 的法拉第效率 (FE)，NH3 产率为 234 μmol h-1 cm-2。值得注意的是，Cu1La4 催化剂在膜电极组件 (MEA) 中表现出卓越的稳定性，在 400 mA 电流下 150 小时内可维持约 7.8 mg h-1 cm-2 NH3 的产量和约 85% 的高 FE。</w:t>
      </w:r>
    </w:p>
    <w:p>
      <w:pPr>
        <w:spacing w:before="0" w:after="200" w:lineRule="auto" w:line="276"/>
      </w:pPr>
      <w:r>
        <w:rPr>
          <w:b/>
        </w:rPr>
        <w:t xml:space="preserve">Abstract (EN): </w:t>
      </w:r>
      <w:r>
        <w:t>The electrochemical nitrate reduction reaction (eNO3-RR) represents a promising route for simultaneous wastewater treatment and sustainable ammonia synthesis. While Cu2O catalysts featuring electron-deficient Cu+ sites have been widely studied for eNO3-RR, their practical implementation is hindered by self-reduction and structural instability. Constructing Cu-O-M interfacial sites, which enhance charge transfer and stabilize catalytic sites, presents an effective strategy for addressing these challenges. Here, we report a La incorporation strategy to create Cu2O-LayO heterointerfaces (Cu1La4) for highly efficient conversion of NH3. Experimental and theoretical studies indicate that the high-coordinated Cu+ active sites at the Cu2O/La2O2(CO3) interface, together with the steric hindrance introduced by La incorporation, optimize the adsorption energy of key intermediates, thereby circumventing the high energy barrier associated with the *NH3→NH3 transition on traditional low-coordination Cu+ sites. Furthermore, the covalent Cu-O-La interfacial bonding inhibits Cu+ reduction and stabilizes the catalytic system. The optimized Cu1La4 catalyst demonstrates outstanding eNO3-RR performance, achieving a Faradaic efficiency (FE) of 94% at -0.6 V and an NH3 yield rate of 234 μmol h-1 cm-2. Significantly, the Cu1La4 catalyst exhibited exceptional stability in a membrane electrode assembly (MEA), sustaining ∼7.8 mg h-1 cm-2 NH3 production and high FE of ∼85% over 150 h at 400 mA.</w:t>
      </w:r>
    </w:p>
    <w:p>
      <w:pPr>
        <w:spacing w:before="120" w:after="120"/>
      </w:pPr>
      <w:r>
        <w:rPr>
          <w:sz w:val="18"/>
        </w:rPr>
        <w:t>——————————————————————————————————————————————————————————————————————</w:t>
      </w:r>
    </w:p>
    <w:p>
      <w:pPr>
        <w:spacing w:before="160" w:after="40" w:line="240" w:lineRule="auto"/>
      </w:pPr>
      <w:r>
        <w:rPr>
          <w:b/>
        </w:rPr>
        <w:t xml:space="preserve">[8] </w:t>
      </w:r>
      <w:hyperlink r:id="rId332">
        <w:r>
          <w:rPr>
            <w:color w:val="1155CC"/>
            <w:u w:val="single"/>
          </w:rPr>
          <w:t>拓扑工程金属玻璃超材料支持的 NiMo 纳米玻璃催化剂用于超高效水分解</w:t>
        </w:r>
      </w:hyperlink>
    </w:p>
    <w:p>
      <w:pPr>
        <w:spacing w:before="0" w:after="80"/>
      </w:pPr>
      <w:r>
        <w:rPr>
          <w:i/>
          <w:sz w:val="20"/>
        </w:rPr>
        <w:t>EN: Topology-engineered metallic glass metamaterial-supported NiMo nanoglass catalysts for ultra-efficient water splitting</w:t>
      </w:r>
    </w:p>
    <w:p>
      <w:pPr>
        <w:spacing w:before="0" w:after="120"/>
      </w:pPr>
      <w:r>
        <w:rPr>
          <w:b/>
        </w:rPr>
        <w:t xml:space="preserve">Source: </w:t>
      </w:r>
      <w:r>
        <w:t>National Science Review Advance Access</w:t>
      </w:r>
      <w:r>
        <w:t xml:space="preserve">    </w:t>
      </w:r>
      <w:r>
        <w:rPr>
          <w:b/>
        </w:rPr>
        <w:t xml:space="preserve">Pub date: </w:t>
      </w:r>
      <w:r>
        <w:t>2026-07-17 00:00:00+00:00</w:t>
      </w:r>
      <w:r>
        <w:t xml:space="preserve">    </w:t>
      </w:r>
      <w:r>
        <w:rPr>
          <w:b/>
        </w:rPr>
        <w:t xml:space="preserve">DOI: </w:t>
      </w:r>
      <w:hyperlink r:id="rId333">
        <w:r>
          <w:rPr>
            <w:color w:val="1155CC"/>
            <w:u w:val="single"/>
          </w:rPr>
          <w:t>10.1093/nsr/nwag442</w:t>
        </w:r>
      </w:hyperlink>
    </w:p>
    <w:p>
      <w:pPr>
        <w:spacing w:before="0" w:after="120"/>
      </w:pPr>
      <w:r>
        <w:rPr>
          <w:b/>
        </w:rPr>
        <w:t xml:space="preserve">Notes: </w:t>
      </w:r>
      <w:r>
        <w:t>abstract_source=rss_oup</w:t>
      </w:r>
    </w:p>
    <w:p>
      <w:pPr>
        <w:spacing w:before="0" w:after="80" w:lineRule="auto" w:line="276"/>
      </w:pPr>
      <w:r>
        <w:rPr>
          <w:b/>
        </w:rPr>
        <w:t xml:space="preserve">摘要（ZH）: </w:t>
      </w:r>
      <w:r>
        <w:t>电催化水分解是可持续制氢的基石，但其工业实施仍然受到活性、稳定性和传质效率之间固有权衡的限制。在集成催化剂中实现这些特性的同时优化具有挑战性，因为它们是由跨多个长度尺度的结构决定的。在这里，我们报告了一种多尺度超材料催化剂设计策略，该策略将拓扑工程传输路径与纳米玻璃异质界面调节的催化活性结合起来。具体来说，多尺度超材料催化剂（NiMo@Zr MMC）是通过将μLPBF制造的Zr基金属玻璃三周期最小表面（TPMS）支架与脉冲电沉积衍生的NiMo纳米玻璃异质结构集成而构建的。 Gyroid 结构提供了增强的渗透性、高效的电解质/气体传输和机械鲁棒性，而 NiMo 纳米玻璃异质结构内丰富的非晶-非晶界面优化了局部电子环境和催化活性。通过拓扑工程、金属玻璃支架和纳米玻璃界面工程的协同集成，所得的 NiMo@G 催化剂可为整体水分解提供创纪录的低电池电压（1 M KOH 中 100 mA cm−2 时为 1.438 V）和出色的长期耐用性（&gt; 200 小时）。这项工作将超材料催化剂的概念从拓扑控制的传输设计扩展到跨多个长度尺度的传输和催化界面工程的耦合，</w:t>
      </w:r>
    </w:p>
    <w:p>
      <w:pPr>
        <w:spacing w:before="0" w:after="200" w:lineRule="auto" w:line="276"/>
      </w:pPr>
      <w:r>
        <w:rPr>
          <w:b/>
        </w:rPr>
        <w:t xml:space="preserve">Abstract (EN): </w:t>
      </w:r>
      <w:r>
        <w:t>Electrocatalytic water splitting represents a cornerstone for sustainable hydrogen production, yet its industrial implementation remains constrained by inherent trade-offs among activity, stability, and mass transport efficiency. Achieving concurrent optimization of these properties in an integrated catalyst is challenging, as they are dictated by structures spanning multiple length scales. Here, we report a multiscale metamaterial catalyst design strategy that couples topology-engineered transport pathways with nanoglass heterointerface-regulated catalytic activity. Specifically, multiscale metamaterial catalysts (NiMo@Zr MMCs) are constructed by integrating μLPBF-fabricated Zr-based metallic-glass triply periodic minimal surface (TPMS) scaffolds with pulsed-electrodeposition-derived NiMo nanoglass heterostructures. The Gyroid architecture provides enhanced permeability, efficient electrolyte/gas transport, and mechanical robustness, while the abundant amorphous–amorphous interfaces within the NiMo nanoglass heterostructure optimize the local electronic environment and catalytic activity. Through the synergistic integration of topology engineering, metallic-glass scaffolds, and nanoglass interface engineering, the resulting NiMo@G catalyst delivers record-low cell voltages for overall water splitting (1.438 V at 100 mA cm−2 in 1 M KOH) and outstanding long-term durability (&gt;200 h). This work extends the concept of metamaterial catalysts from topology-controlled transport design to the coupling of transport and catalytic-interface engineering across multiple length scales, providing a generalizable framework for next-generation electrocatalysts.</w:t>
      </w:r>
    </w:p>
    <w:p>
      <w:pPr>
        <w:spacing w:before="120" w:after="120"/>
      </w:pPr>
      <w:r>
        <w:rPr>
          <w:sz w:val="18"/>
        </w:rPr>
        <w:t>——————————————————————————————————————————————————————————————————————</w:t>
      </w:r>
    </w:p>
    <w:p>
      <w:pPr>
        <w:spacing w:before="160" w:after="40" w:line="240" w:lineRule="auto"/>
      </w:pPr>
      <w:r>
        <w:rPr>
          <w:b/>
        </w:rPr>
        <w:t xml:space="preserve">[9] </w:t>
      </w:r>
      <w:hyperlink r:id="rId334">
        <w:r>
          <w:rPr>
            <w:color w:val="1155CC"/>
            <w:u w:val="single"/>
          </w:rPr>
          <w:t>CeOx诱导的空间和电子调制用于过渡金属氢氧化物中的一般直接氧耦合</w:t>
        </w:r>
      </w:hyperlink>
    </w:p>
    <w:p>
      <w:pPr>
        <w:spacing w:before="0" w:after="80"/>
      </w:pPr>
      <w:r>
        <w:rPr>
          <w:i/>
          <w:sz w:val="20"/>
        </w:rPr>
        <w:t>EN: CeOx‐Induced Spatial and Electronic Modulation for General Direct Oxo Coupling in Transition Metal Hydroxides</w:t>
      </w:r>
    </w:p>
    <w:p>
      <w:pPr>
        <w:spacing w:before="0" w:after="120"/>
      </w:pPr>
      <w:r>
        <w:rPr>
          <w:b/>
        </w:rPr>
        <w:t xml:space="preserve">Source: </w:t>
      </w:r>
      <w:r>
        <w:t>Wiley: Angewandte Chemie International Edition: Table of Contents</w:t>
      </w:r>
      <w:r>
        <w:t xml:space="preserve">    </w:t>
      </w:r>
      <w:r>
        <w:rPr>
          <w:b/>
        </w:rPr>
        <w:t xml:space="preserve">Pub date: </w:t>
      </w:r>
      <w:r>
        <w:t>2026-07-17 07:23:32+00:00</w:t>
      </w:r>
      <w:r>
        <w:t xml:space="preserve">    </w:t>
      </w:r>
      <w:r>
        <w:rPr>
          <w:b/>
        </w:rPr>
        <w:t xml:space="preserve">DOI: </w:t>
      </w:r>
      <w:hyperlink r:id="rId335">
        <w:r>
          <w:rPr>
            <w:color w:val="1155CC"/>
            <w:u w:val="single"/>
          </w:rPr>
          <w:t>10.1002/anie.6104492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电化学水分解已成为一种可持续的制氢范例，其中过渡金属基材料催化的析氧反应（OER）的缓慢动力学仍然是关键瓶颈。在此，我们提出了一种锚定 CeO 的策略</w:t>
      </w:r>
      <w:r>
        <w:t xml:space="preserve"> </w:t>
      </w:r>
      <w:r>
        <w:t>x</w:t>
      </w:r>
      <w:r>
        <w:t xml:space="preserve"> </w:t>
      </w:r>
      <w:r>
        <w:t>二维 Ni(OH) 上的纳米颗粒（∼2 nm）</w:t>
      </w:r>
      <w:r>
        <w:rPr>
          <w:vertAlign w:val="subscript"/>
        </w:rPr>
        <w:t>2</w:t>
      </w:r>
      <w:r>
        <w:t>纳米片，实现空间构型和电子态的双重调制，以加速 O-O 耦合。空间上，CeO 之间的界面晶格畸变</w:t>
      </w:r>
      <w:r>
        <w:t xml:space="preserve"> </w:t>
      </w:r>
      <w:r>
        <w:t>x</w:t>
      </w:r>
      <w:r>
        <w:t xml:space="preserve"> </w:t>
      </w:r>
      <w:r>
        <w:t>和镍(OH)</w:t>
      </w:r>
      <w:r>
        <w:rPr>
          <w:vertAlign w:val="subscript"/>
        </w:rPr>
        <w:t>2</w:t>
      </w:r>
      <w:r>
        <w:t>优化 Ni-Ni 双金属位点，减少原子间距。通过可逆 Ce 进行电子动态调制</w:t>
      </w:r>
      <w:r>
        <w:t xml:space="preserve"> </w:t>
      </w:r>
      <w:r>
        <w:t>3+</w:t>
      </w:r>
      <w:r>
        <w:t xml:space="preserve"> </w:t>
      </w:r>
      <w:r>
        <w:t>/Ce</w:t>
      </w:r>
      <w:r>
        <w:t xml:space="preserve"> </w:t>
      </w:r>
      <w:r>
        <w:t>4+</w:t>
      </w:r>
      <w:r>
        <w:t xml:space="preserve"> </w:t>
      </w:r>
      <w:r>
        <w:t>氧化还原循环将 Ce 定位为电子调节中心，通过 Ce─O─Ni 相互作用将 Ni 物质稳定在催化有利的 +3 氧化态。这种协同效应将吸附质演化机制（AEM）转变为氧化物途径机制（OPM）。制备的CeO</w:t>
      </w:r>
      <w:r>
        <w:t xml:space="preserve"> </w:t>
      </w:r>
      <w:r>
        <w:t>x</w:t>
      </w:r>
      <w:r>
        <w:t xml:space="preserve"> </w:t>
      </w:r>
      <w:r>
        <w:t>@镍(OH)</w:t>
      </w:r>
      <w:r>
        <w:rPr>
          <w:vertAlign w:val="subscript"/>
        </w:rPr>
        <w:t>2</w:t>
      </w:r>
      <w:r>
        <w:t>在 10 mA cm 时实现 152 mV 的过电势</w:t>
      </w:r>
      <w:r>
        <w:t xml:space="preserve"> </w:t>
      </w:r>
      <w:r>
        <w:t>−2</w:t>
      </w:r>
      <w:r>
        <w:t xml:space="preserve"> </w:t>
      </w:r>
      <w:r>
        <w:t>连续运行2000小时以上</w:t>
      </w:r>
    </w:p>
    <w:p>
      <w:pPr>
        <w:spacing w:before="0" w:after="200" w:lineRule="auto" w:line="276"/>
      </w:pPr>
      <w:r>
        <w:rPr>
          <w:b/>
        </w:rPr>
        <w:t xml:space="preserve">Abstract (EN): </w:t>
      </w:r>
      <w:r>
        <w:t>Electrochemical water splitting has emerged as a sustainable paradigm for hydrogen generation, where sluggish kinetics of the oxygen evolution reaction (OER) catalyzed by transition metal‐based materials remain the critical bottleneck. Herein, we present a strategy that anchors CeO</w:t>
      </w:r>
      <w:r>
        <w:t xml:space="preserve"> </w:t>
      </w:r>
      <w:r>
        <w:t>x</w:t>
      </w:r>
      <w:r>
        <w:t xml:space="preserve"> </w:t>
      </w:r>
      <w:r>
        <w:t>nanoparticles (∼2 nm) onto two‐dimensional Ni(OH)</w:t>
      </w:r>
      <w:r>
        <w:rPr>
          <w:vertAlign w:val="subscript"/>
        </w:rPr>
        <w:t>2</w:t>
      </w:r>
      <w:r>
        <w:t>nanosheets, enabling dual modulation of spatial configuration and electronic states to accelerate O–O coupling. Spatially, interfacial lattice distortion between CeO</w:t>
      </w:r>
      <w:r>
        <w:t xml:space="preserve"> </w:t>
      </w:r>
      <w:r>
        <w:t>x</w:t>
      </w:r>
      <w:r>
        <w:t xml:space="preserve"> </w:t>
      </w:r>
      <w:r>
        <w:t>and Ni(OH)</w:t>
      </w:r>
      <w:r>
        <w:rPr>
          <w:vertAlign w:val="subscript"/>
        </w:rPr>
        <w:t>2</w:t>
      </w:r>
      <w:r>
        <w:t>optimizes Ni–Ni dual‐metal sites with reduced interatomic spacing. Electronically, dynamic modulation through reversible Ce</w:t>
      </w:r>
      <w:r>
        <w:t xml:space="preserve"> </w:t>
      </w:r>
      <w:r>
        <w:t>3+</w:t>
      </w:r>
      <w:r>
        <w:t xml:space="preserve"> </w:t>
      </w:r>
      <w:r>
        <w:t>/Ce</w:t>
      </w:r>
      <w:r>
        <w:t xml:space="preserve"> </w:t>
      </w:r>
      <w:r>
        <w:t>4+</w:t>
      </w:r>
      <w:r>
        <w:t xml:space="preserve"> </w:t>
      </w:r>
      <w:r>
        <w:t>redox cycling positions Ce as an electronic regulation hub, stabilizing Ni species at the catalytically favorable +3 oxidation state through Ce─O─Ni interactions. This synergistic effect shifts the pathway from adsorbate evolution mechanism (AEM) to oxide pathway mechanism (OPM). The prepared CeO</w:t>
      </w:r>
      <w:r>
        <w:t xml:space="preserve"> </w:t>
      </w:r>
      <w:r>
        <w:t>x</w:t>
      </w:r>
      <w:r>
        <w:t xml:space="preserve"> </w:t>
      </w:r>
      <w:r>
        <w:t>@Ni(OH)</w:t>
      </w:r>
      <w:r>
        <w:rPr>
          <w:vertAlign w:val="subscript"/>
        </w:rPr>
        <w:t>2</w:t>
      </w:r>
      <w:r>
        <w:t>achieves an overpotential of 152 mV at 10 mA cm</w:t>
      </w:r>
      <w:r>
        <w:t xml:space="preserve"> </w:t>
      </w:r>
      <w:r>
        <w:t>−2</w:t>
      </w:r>
      <w:r>
        <w:t xml:space="preserve"> </w:t>
      </w:r>
      <w:r>
        <w:t>and operates continuously over 2000 h with limited performance decay. When integrated into an alkaline anion exchange membrane water electrolyzer (AEMWE), it requires 1.91 V to attain 1 A cm</w:t>
      </w:r>
      <w:r>
        <w:t xml:space="preserve"> </w:t>
      </w:r>
      <w:r>
        <w:t>−2</w:t>
      </w:r>
      <w:r>
        <w:t xml:space="preserve"> </w:t>
      </w:r>
      <w:r>
        <w:t>and maintains stable operation for 450 h. This OPM activation strategy shows potential applicability across CeO</w:t>
      </w:r>
      <w:r>
        <w:t xml:space="preserve"> </w:t>
      </w:r>
      <w:r>
        <w:t>x</w:t>
      </w:r>
      <w:r>
        <w:t xml:space="preserve"> </w:t>
      </w:r>
      <w:r>
        <w:t>‐loaded transition metal hydroxides, including Ni(OH)</w:t>
      </w:r>
      <w:r>
        <w:rPr>
          <w:vertAlign w:val="subscript"/>
        </w:rPr>
        <w:t>2</w:t>
      </w:r>
      <w:r>
        <w:t>, Co(OH)</w:t>
      </w:r>
      <w:r>
        <w:rPr>
          <w:vertAlign w:val="subscript"/>
        </w:rPr>
        <w:t>2</w:t>
      </w:r>
      <w:r>
        <w:t>, NiCo, and NiFe layered double hydroxides, offering a promising approach for alkaline OER enhancement.</w:t>
      </w:r>
    </w:p>
    <w:p>
      <w:pPr>
        <w:spacing w:before="120" w:after="120"/>
      </w:pPr>
      <w:r>
        <w:rPr>
          <w:sz w:val="18"/>
        </w:rPr>
        <w:t>——————————————————————————————————————————————————————————————————————</w:t>
      </w:r>
    </w:p>
    <w:p>
      <w:pPr>
        <w:spacing w:before="160" w:after="40" w:line="240" w:lineRule="auto"/>
      </w:pPr>
      <w:r>
        <w:rPr>
          <w:b/>
        </w:rPr>
        <w:t xml:space="preserve">[10] </w:t>
      </w:r>
      <w:hyperlink r:id="rId336">
        <w:r>
          <w:rPr>
            <w:color w:val="1155CC"/>
            <w:u w:val="single"/>
          </w:rPr>
          <w:t>中性介质中增强脱氢催化的界面局部碱度工程</w:t>
        </w:r>
      </w:hyperlink>
    </w:p>
    <w:p>
      <w:pPr>
        <w:spacing w:before="0" w:after="80"/>
      </w:pPr>
      <w:r>
        <w:rPr>
          <w:i/>
          <w:sz w:val="20"/>
        </w:rPr>
        <w:t>EN: Interface Local‐Alkalinity Engineering for Enhanced Dehydrogenation Catalysis in Neutral Media</w:t>
      </w:r>
    </w:p>
    <w:p>
      <w:pPr>
        <w:spacing w:before="0" w:after="120"/>
      </w:pPr>
      <w:r>
        <w:rPr>
          <w:b/>
        </w:rPr>
        <w:t xml:space="preserve">Source: </w:t>
      </w:r>
      <w:r>
        <w:t>Wiley: Angewandte Chemie International Edition: Table of Contents</w:t>
      </w:r>
      <w:r>
        <w:t xml:space="preserve">    </w:t>
      </w:r>
      <w:r>
        <w:rPr>
          <w:b/>
        </w:rPr>
        <w:t xml:space="preserve">Pub date: </w:t>
      </w:r>
      <w:r>
        <w:t>2026-07-17 07:29:30+00:00</w:t>
      </w:r>
      <w:r>
        <w:t xml:space="preserve">    </w:t>
      </w:r>
      <w:r>
        <w:rPr>
          <w:b/>
        </w:rPr>
        <w:t xml:space="preserve">DOI: </w:t>
      </w:r>
      <w:hyperlink r:id="rId337">
        <w:r>
          <w:rPr>
            <w:color w:val="1155CC"/>
            <w:u w:val="single"/>
          </w:rPr>
          <w:t>10.1002/anie.7897749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水合肼已成为一种有前途的液相储氢材料，但其实际应用长期以来一直受到中性条件下反应动力学缓慢的限制。从界面工程中汲取灵感，我们设计了 NiPt-Ni(OH)</w:t>
      </w:r>
      <w:r>
        <w:rPr>
          <w:vertAlign w:val="subscript"/>
        </w:rPr>
        <w:t>2</w:t>
      </w:r>
      <w:r>
        <w:t>调节局部微环境的界面，使得水合肼在室温中性条件下高效产氢。在界面处，建立了强电子耦合，并且肼的吸附也发生了改变。所得 NiPt-Ni(OH)</w:t>
      </w:r>
      <w:r>
        <w:rPr>
          <w:vertAlign w:val="subscript"/>
        </w:rPr>
        <w:t>2</w:t>
      </w:r>
      <w:r>
        <w:t>催化剂的表观周转频率高达 310.7 小时</w:t>
      </w:r>
      <w:r>
        <w:t xml:space="preserve"> </w:t>
      </w:r>
      <w:r>
        <w:t>−1</w:t>
      </w:r>
      <w:r>
        <w:t xml:space="preserve"> </w:t>
      </w:r>
      <w:r>
        <w:t>在 298 K 下，代表了迄今为止报道的在催化过程中无需添加外部碱的水合肼脱氢的最高性能。结合光谱分析和密度泛函理论计算表明界面 Ni(OH)</w:t>
      </w:r>
      <w:r>
        <w:rPr>
          <w:vertAlign w:val="subscript"/>
        </w:rPr>
        <w:t>2</w:t>
      </w:r>
      <w:r>
        <w:t>不仅向 NiPt 合金提供电子，调节其电子结构，而且还提供布朗斯台德碱性位点，促进肼的有利线性吸附构型。这种电子和化学双重调制降低了脱氢的能垒并加速了析氢动力学。我们的研究结果建立了一种可推广的界面工程范例，用于在温和条件下不依赖外部碱的催化增强</w:t>
      </w:r>
    </w:p>
    <w:p>
      <w:pPr>
        <w:spacing w:before="0" w:after="200" w:lineRule="auto" w:line="276"/>
      </w:pPr>
      <w:r>
        <w:rPr>
          <w:b/>
        </w:rPr>
        <w:t xml:space="preserve">Abstract (EN): </w:t>
      </w:r>
      <w:r>
        <w:t>Hydrous hydrazine has emerged as a promising liquid‐phase hydrogen storage material, but its practical application has long been constrained by sluggish reaction kinetics under neutral conditions. Drawing inspiration from interfacial engineering, we designed a NiPt‐Ni(OH)</w:t>
      </w:r>
      <w:r>
        <w:rPr>
          <w:vertAlign w:val="subscript"/>
        </w:rPr>
        <w:t>2</w:t>
      </w:r>
      <w:r>
        <w:t>interface that regulates the local microenvironment, enabling highly efficient hydrogen production from hydrous hydrazine under neutral conditions at room temperature. At the interfaces, strong electronic coupling is established and the adsorption of hydrazine is also altered. The resulting NiPt‐Ni(OH)</w:t>
      </w:r>
      <w:r>
        <w:rPr>
          <w:vertAlign w:val="subscript"/>
        </w:rPr>
        <w:t>2</w:t>
      </w:r>
      <w:r>
        <w:t>catalyst achieves a remarkable apparent turnover frequency of 310.7 h</w:t>
      </w:r>
      <w:r>
        <w:t xml:space="preserve"> </w:t>
      </w:r>
      <w:r>
        <w:t>−1</w:t>
      </w:r>
      <w:r>
        <w:t xml:space="preserve"> </w:t>
      </w:r>
      <w:r>
        <w:t>at 298 K, representing the highest performance reported to date for hydrous hydrazine dehydrogenation without external base added during catalysis. Combined spectroscopic analysis and density functional theory calculations reveal that the interfacial Ni(OH)</w:t>
      </w:r>
      <w:r>
        <w:rPr>
          <w:vertAlign w:val="subscript"/>
        </w:rPr>
        <w:t>2</w:t>
      </w:r>
      <w:r>
        <w:t>not only donates electrons to the NiPt alloy, modulating its electronic structure but also provides Brønsted basic sites that promote a favorable linear adsorption configuration of hydrazine. This dual electronic and chemical modulation lowers the energy barrier for dehydrogenation and accelerates hydrogen evolution kinetics. Our findings establish a generalizable interface engineering paradigm for catalytic enhancement under mild conditions without relying on external alkaline additives.</w:t>
      </w:r>
    </w:p>
    <w:p>
      <w:pPr>
        <w:spacing w:before="120" w:after="120"/>
      </w:pPr>
      <w:r>
        <w:rPr>
          <w:sz w:val="18"/>
        </w:rPr>
        <w:t>——————————————————————————————————————————————————————————————————————</w:t>
      </w:r>
    </w:p>
    <w:p>
      <w:pPr>
        <w:spacing w:before="160" w:after="40" w:line="240" w:lineRule="auto"/>
      </w:pPr>
      <w:r>
        <w:rPr>
          <w:b/>
        </w:rPr>
        <w:t xml:space="preserve">[11] </w:t>
      </w:r>
      <w:hyperlink r:id="rId338">
        <w:r>
          <w:rPr>
            <w:color w:val="1155CC"/>
            <w:u w:val="single"/>
          </w:rPr>
          <w:t>鲁棒双键共价有机框架的水相级联合成，用于在工业级电流密度下高效析氢和析氧</w:t>
        </w:r>
      </w:hyperlink>
    </w:p>
    <w:p>
      <w:pPr>
        <w:spacing w:before="0" w:after="80"/>
      </w:pPr>
      <w:r>
        <w:rPr>
          <w:i/>
          <w:sz w:val="20"/>
        </w:rPr>
        <w:t>EN: Aqueous Cascade Synthesis of Robust Dual‐Linkage Covalent Organic Frameworks for Efficient Hydrogen and Oxygen Evolution at an Industrial‐Level Current Density</w:t>
      </w:r>
    </w:p>
    <w:p>
      <w:pPr>
        <w:spacing w:before="0" w:after="120"/>
      </w:pPr>
      <w:r>
        <w:rPr>
          <w:b/>
        </w:rPr>
        <w:t xml:space="preserve">Source: </w:t>
      </w:r>
      <w:r>
        <w:t>Wiley: Angewandte Chemie International Edition: Table of Contents</w:t>
      </w:r>
      <w:r>
        <w:t xml:space="preserve">    </w:t>
      </w:r>
      <w:r>
        <w:rPr>
          <w:b/>
        </w:rPr>
        <w:t xml:space="preserve">Pub date: </w:t>
      </w:r>
      <w:r>
        <w:t>2026-07-17 07:31:20+00:00</w:t>
      </w:r>
      <w:r>
        <w:t xml:space="preserve">    </w:t>
      </w:r>
      <w:r>
        <w:rPr>
          <w:b/>
        </w:rPr>
        <w:t xml:space="preserve">DOI: </w:t>
      </w:r>
      <w:hyperlink r:id="rId339">
        <w:r>
          <w:rPr>
            <w:color w:val="1155CC"/>
            <w:u w:val="single"/>
          </w:rPr>
          <w:t>10.1002/anie.8042334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将稳健的双键一步整合到 H 中的共价有机框架 (COF) 中</w:t>
      </w:r>
      <w:r>
        <w:rPr>
          <w:vertAlign w:val="subscript"/>
        </w:rPr>
        <w:t>2</w:t>
      </w:r>
      <w:r>
        <w:t>O 仍然是一个重大挑战。在此，我们报告了一种水相合成策略，用于构建含有丙烯酮和</w:t>
      </w:r>
      <w:r>
        <w:t xml:space="preserve"> </w:t>
      </w:r>
      <w:r>
        <w:t>元</w:t>
      </w:r>
      <w:r>
        <w:t xml:space="preserve"> </w:t>
      </w:r>
      <w:r>
        <w:t>通过一锅级联反应形成-吡啶基键。这种方法巧妙地将可逆羟醛缩合与不可逆 Chichibabin 吡啶合成结合起来，利用查耳酮单元的中间作用来促进结晶误差修正。由此产生的双键联COF（称为PYP-1、-2、-3）表现出明确的晶体结构。当作为无金属电催化剂进行评估时，PYP-3 具有卓越的性能，在 10 mA cm 下的析氢反应 (HER) 实现了 46 mV 的低过电势</w:t>
      </w:r>
      <w:r>
        <w:t xml:space="preserve"> </w:t>
      </w:r>
      <w:r>
        <w:t>−2</w:t>
      </w:r>
      <w:r>
        <w:t xml:space="preserve"> </w:t>
      </w:r>
      <w:r>
        <w:t>在 500 mA cm 的工业电流密度下，析氧反应 (OER) 超过 600 小时，具有出色的耐久性</w:t>
      </w:r>
      <w:r>
        <w:t xml:space="preserve"> </w:t>
      </w:r>
      <w:r>
        <w:t>−2</w:t>
      </w:r>
      <w:r>
        <w:t xml:space="preserve"> </w:t>
      </w:r>
      <w:r>
        <w:t>。原位 FTIR 光谱和密度泛函理论计算表明，高密度吡啶氮位点起到分子内质子中继的作用，促进协调的质子耦合电子转移并通过供体-受体相互作用优化中间体吸附。这项工作建立了一个用于构建双联动COF的绿色多功能平台，并突出了它们作为可持续能源节约的先进电催化剂的潜力</w:t>
      </w:r>
    </w:p>
    <w:p>
      <w:pPr>
        <w:spacing w:before="0" w:after="200" w:lineRule="auto" w:line="276"/>
      </w:pPr>
      <w:r>
        <w:rPr>
          <w:b/>
        </w:rPr>
        <w:t xml:space="preserve">Abstract (EN): </w:t>
      </w:r>
      <w:r>
        <w:t>One‐step integration of robust dual linkages into a covalent organic framework (COF) in H</w:t>
      </w:r>
      <w:r>
        <w:rPr>
          <w:vertAlign w:val="subscript"/>
        </w:rPr>
        <w:t>2</w:t>
      </w:r>
      <w:r>
        <w:t>O remains a significant challenge. Herein, we report an aqueous‐phase synthesis strategy for constructing crystalline COFs containing both propenone and</w:t>
      </w:r>
      <w:r>
        <w:t xml:space="preserve"> </w:t>
      </w:r>
      <w:r>
        <w:t>meta</w:t>
      </w:r>
      <w:r>
        <w:t xml:space="preserve"> </w:t>
      </w:r>
      <w:r>
        <w:t>‐pyridyl linkages via a one‐pot cascade reaction. This approach ingeniously combines reversible aldol condensation with irreversible Chichibabin pyridine synthesis, leveraging the intermediate role of chalcone units to promote error corrections for crystallization. The resulting dual‐linkage COFs (termed PYP‐1, ‐2, ‐3) exhibit well‐defined crystalline structures. When evaluated as metal‐free electrocatalysts, PYP‐3 delivers superior performance, achieving a low overpotential of 46 mV for the hydrogen evolution reaction (HER) at 10 mA cm</w:t>
      </w:r>
      <w:r>
        <w:t xml:space="preserve"> </w:t>
      </w:r>
      <w:r>
        <w:t>−2</w:t>
      </w:r>
      <w:r>
        <w:t xml:space="preserve"> </w:t>
      </w:r>
      <w:r>
        <w:t>and outstanding durability for the oxygen evolution reaction (OER) exceeding 600 h at an industrial current density of 500 mA cm</w:t>
      </w:r>
      <w:r>
        <w:t xml:space="preserve"> </w:t>
      </w:r>
      <w:r>
        <w:t>−2</w:t>
      </w:r>
      <w:r>
        <w:t xml:space="preserve"> </w:t>
      </w:r>
      <w:r>
        <w:t>. In situ FTIR spectra and density functional theory calculations reveal that the high‐density pyridinic nitrogen sites function as intramolecular proton relays, facilitating concerted proton‐coupled electron transfer and optimizing intermediate adsorption via donor‐acceptor interactions. This work establishes a green and versatile platform for constructing dual‐linkage COFs and highlights their potential as advanced electrocatalysts for sustainable energy conversion.</w:t>
      </w:r>
    </w:p>
    <w:p>
      <w:pPr>
        <w:spacing w:before="120" w:after="120"/>
      </w:pPr>
      <w:r>
        <w:rPr>
          <w:sz w:val="18"/>
        </w:rPr>
        <w:t>——————————————————————————————————————————————————————————————————————</w:t>
      </w:r>
    </w:p>
    <w:p>
      <w:pPr>
        <w:spacing w:before="160" w:after="40" w:line="240" w:lineRule="auto"/>
      </w:pPr>
      <w:r>
        <w:rPr>
          <w:b/>
        </w:rPr>
        <w:t xml:space="preserve">[12] </w:t>
      </w:r>
      <w:hyperlink r:id="rId340">
        <w:r>
          <w:rPr>
            <w:color w:val="1155CC"/>
            <w:u w:val="single"/>
          </w:rPr>
          <w:t>微环境工程作为抑制催化剂金属损失的设计原理</w:t>
        </w:r>
      </w:hyperlink>
    </w:p>
    <w:p>
      <w:pPr>
        <w:spacing w:before="0" w:after="80"/>
      </w:pPr>
      <w:r>
        <w:rPr>
          <w:i/>
          <w:sz w:val="20"/>
        </w:rPr>
        <w:t>EN: Microenvironment Engineering as a Design Principle for Suppressing Catalyst Metal Loss</w:t>
      </w:r>
    </w:p>
    <w:p>
      <w:pPr>
        <w:spacing w:before="0" w:after="120"/>
      </w:pPr>
      <w:r>
        <w:rPr>
          <w:b/>
        </w:rPr>
        <w:t xml:space="preserve">Source: </w:t>
      </w:r>
      <w:r>
        <w:t>Wiley: Angewandte Chemie International Edition: Table of Contents</w:t>
      </w:r>
      <w:r>
        <w:t xml:space="preserve">    </w:t>
      </w:r>
      <w:r>
        <w:rPr>
          <w:b/>
        </w:rPr>
        <w:t xml:space="preserve">Pub date: </w:t>
      </w:r>
      <w:r>
        <w:t>2026-07-17 07:34:23+00:00</w:t>
      </w:r>
      <w:r>
        <w:t xml:space="preserve">    </w:t>
      </w:r>
      <w:r>
        <w:rPr>
          <w:b/>
        </w:rPr>
        <w:t xml:space="preserve">DOI: </w:t>
      </w:r>
      <w:hyperlink r:id="rId341">
        <w:r>
          <w:rPr>
            <w:color w:val="1155CC"/>
            <w:u w:val="single"/>
          </w:rPr>
          <w:t>10.1002/anie.3661635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铂电催化剂的稳定性损失是由催化剂微环境强烈影响的溶解、再沉积和重组过程引起的。然而，离聚物化学和载体孔隙率共同控制真正的铂质量平衡的程度仍未解决。在这里，通过整合</w:t>
      </w:r>
      <w:r>
        <w:t xml:space="preserve"> </w:t>
      </w:r>
      <w:r>
        <w:t>操作</w:t>
      </w:r>
      <w:r>
        <w:t xml:space="preserve"> </w:t>
      </w:r>
      <w:r>
        <w:t>ICP-MS 采用离子交换方法量化离聚物内保留的铂物质，我们将模型多晶铂和负载纳米粒子的表观溶解与实际金属损失区分开来。我们发现，离聚物-铂的直接接触增强了固有溶解，同时捕获溶解的铂离子，导致测量的铂损失与实际的铂损失之间明显不匹配。将这一框架扩展到多孔和无孔碳载体表明，孔隙限制从根本上改变了降解途径，促进局部再沉积并抑制净金属损失。我们的结果表明，管理催化剂微环境内的离聚物进入和纳米级传输是提高电催化剂耐久性的关键实际因素。</w:t>
      </w:r>
    </w:p>
    <w:p>
      <w:pPr>
        <w:spacing w:before="0" w:after="200" w:lineRule="auto" w:line="276"/>
      </w:pPr>
      <w:r>
        <w:rPr>
          <w:b/>
        </w:rPr>
        <w:t xml:space="preserve">Abstract (EN): </w:t>
      </w:r>
      <w:r>
        <w:t>Stability losses in platinum electrocatalysts arise from dissolution, redeposition, and restructuring processes that are strongly shaped by the catalyst microenvironment. Yet the degree to which ionomer chemistry and support porosity jointly govern the true platinum mass balance remains unresolved. Here, by integrating</w:t>
      </w:r>
      <w:r>
        <w:t xml:space="preserve"> </w:t>
      </w:r>
      <w:r>
        <w:t>operando</w:t>
      </w:r>
      <w:r>
        <w:t xml:space="preserve"> </w:t>
      </w:r>
      <w:r>
        <w:t>ICP‐MS with an ion‑exchange approach that quantifies platinum species retained within the ionomer, we distinguish apparent dissolution from actual metal loss across model polycrystalline platinum and supported nanoparticles. We find that direct ionomer‐platinum contact enhances intrinsic dissolution while simultaneously trapping dissolved platinum ions, leading to a pronounced mismatch between measured and actual platinum loss. Extending this framework to porous and nonporous carbon supports reveals that pore‐confinement fundamentally alters degradation pathways, promoting local redeposition and suppressing net metal loss. Our results show that managing ionomer access and nanoscale transport within the catalyst microenvironment is a key practical factor in improving electrocatalyst durability.</w:t>
      </w:r>
    </w:p>
    <w:p>
      <w:pPr>
        <w:spacing w:before="120" w:after="120"/>
      </w:pPr>
      <w:r>
        <w:rPr>
          <w:sz w:val="18"/>
        </w:rPr>
        <w:t>——————————————————————————————————————————————————————————————————————</w:t>
      </w:r>
    </w:p>
    <w:p>
      <w:pPr>
        <w:spacing w:before="160" w:after="40" w:line="240" w:lineRule="auto"/>
      </w:pPr>
      <w:r>
        <w:rPr>
          <w:b/>
        </w:rPr>
        <w:t xml:space="preserve">[13] </w:t>
      </w:r>
      <w:hyperlink r:id="rId342">
        <w:r>
          <w:rPr>
            <w:color w:val="1155CC"/>
            <w:u w:val="single"/>
          </w:rPr>
          <w:t>用于高选择性、安培级乙二醇电氧化的反应物持续动态稳定的界面氢键网络</w:t>
        </w:r>
      </w:hyperlink>
    </w:p>
    <w:p>
      <w:pPr>
        <w:spacing w:before="0" w:after="80"/>
      </w:pPr>
      <w:r>
        <w:rPr>
          <w:i/>
          <w:sz w:val="20"/>
        </w:rPr>
        <w:t>EN: Reactant‐Sustained Dynamically Stable Interfacial Hydrogen‐Bond Network for Highly Selective, Ampere‐Level Ethylene Glycol Electrooxidation</w:t>
      </w:r>
    </w:p>
    <w:p>
      <w:pPr>
        <w:spacing w:before="0" w:after="120"/>
      </w:pPr>
      <w:r>
        <w:rPr>
          <w:b/>
        </w:rPr>
        <w:t xml:space="preserve">Source: </w:t>
      </w:r>
      <w:r>
        <w:t>Wiley: Angewandte Chemie International Edition: Table of Contents</w:t>
      </w:r>
      <w:r>
        <w:t xml:space="preserve">    </w:t>
      </w:r>
      <w:r>
        <w:rPr>
          <w:b/>
        </w:rPr>
        <w:t xml:space="preserve">Pub date: </w:t>
      </w:r>
      <w:r>
        <w:t>2026-07-17 12:19:58+00:00</w:t>
      </w:r>
      <w:r>
        <w:t xml:space="preserve">    </w:t>
      </w:r>
      <w:r>
        <w:rPr>
          <w:b/>
        </w:rPr>
        <w:t xml:space="preserve">DOI: </w:t>
      </w:r>
      <w:hyperlink r:id="rId343">
        <w:r>
          <w:rPr>
            <w:color w:val="1155CC"/>
            <w:u w:val="single"/>
          </w:rPr>
          <w:t>10.1002/anie.7083269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催化剂-电解质界面微环境从根本上控制着电化学反应的活性和选择性。然而，设计一个能够维持连续反应物输送并促进质子耦合电子转移的动态稳定界面仍然具有挑战性，特别是在安培级电流密度下。在此，在超薄金属有机骨架（MOF）衍生的电催化剂（Co-PET@NF）上构建的反应物增强氢键网络能够实现高选择性乙二醇电氧化（EGOR）。机理研究表明，丰富的暴露不饱和Co位点促进了EG的优先吸附，从而增加了EG表面覆盖度并加速了补充动力学，确保了界面氢键网络的连通性和完整性。这种动态增强的网络促进质子从催化剂表面快速转移到本体电解质中，稳定脱氢活性位点，同时保持局部碱性表面微环境。因此，Co-PET@NF 实现了甲酸盐的高法拉第效率 (FE</w:t>
      </w:r>
      <w:r>
        <w:t xml:space="preserve"> </w:t>
      </w:r>
      <w:r>
        <w:t>FA</w:t>
      </w:r>
      <w:r>
        <w:t xml:space="preserve"> </w:t>
      </w:r>
      <w:r>
        <w:t>) 1.0 A cm 时为 92.8%</w:t>
      </w:r>
      <w:r>
        <w:t xml:space="preserve"> </w:t>
      </w:r>
      <w:r>
        <w:t>−2</w:t>
      </w:r>
      <w:r>
        <w:t xml:space="preserve"> </w:t>
      </w:r>
      <w:r>
        <w:t>。在耦合氢联产系统中，电池电压在 1.0 A cm 时降低 260 mV</w:t>
      </w:r>
      <w:r>
        <w:t xml:space="preserve"> </w:t>
      </w:r>
      <w:r>
        <w:t>−2</w:t>
      </w:r>
      <w:r>
        <w:t xml:space="preserve"> </w:t>
      </w:r>
      <w:r>
        <w:t>与水电解相比，可稳定运行超过 120 小时，同时提供 FE</w:t>
      </w:r>
      <w:r>
        <w:t xml:space="preserve"> </w:t>
      </w:r>
      <w:r>
        <w:t>FA</w:t>
      </w:r>
      <w:r>
        <w:t xml:space="preserve"> </w:t>
      </w:r>
      <w:r>
        <w:t>96.9%。而且，这个机</w:t>
      </w:r>
    </w:p>
    <w:p>
      <w:pPr>
        <w:spacing w:before="0" w:after="200" w:lineRule="auto" w:line="276"/>
      </w:pPr>
      <w:r>
        <w:rPr>
          <w:b/>
        </w:rPr>
        <w:t xml:space="preserve">Abstract (EN): </w:t>
      </w:r>
      <w:r>
        <w:t>The catalyst‐electrolyte interfacial microenvironment fundamentally governs the activity and selectivity of electrochemical reactions. However, engineering a dynamically stable interface capable of sustaining continuous reactant delivery and facilitating proton‐coupled electron transfer remains challenging, particularly under ampere‐level current densities. Herein, a reactant‐enhanced hydrogen‐bond network constructed on an ultrathin metal‐organic framework (MOF)‐derived electrocatalyst (Co‐PET@NF) enables highly selective ethylene glycol electrooxidation (EGOR). Mechanistic investigations reveal that abundant exposed unsaturated Co sites promote preferential EG adsorption for increased EG surface coverage and accelerated replenishment dynamics, ensuring the connectivity and integrity of the interfacial hydrogen‐bond network. This dynamically reinforced network facilitates rapid proton transfer from the catalyst surface into the bulk electrolyte, stabilizing the dehydrogenated active sites while preserving a localized alkaline surface microenvironment. Consequently, Co‑PET@NF achieves a high Faradaic efficiency for formate (FE</w:t>
      </w:r>
      <w:r>
        <w:t xml:space="preserve"> </w:t>
      </w:r>
      <w:r>
        <w:t>FA</w:t>
      </w:r>
      <w:r>
        <w:t xml:space="preserve"> </w:t>
      </w:r>
      <w:r>
        <w:t>) of 92.8% at 1.0 A cm</w:t>
      </w:r>
      <w:r>
        <w:t xml:space="preserve"> </w:t>
      </w:r>
      <w:r>
        <w:t>−2</w:t>
      </w:r>
      <w:r>
        <w:t xml:space="preserve"> </w:t>
      </w:r>
      <w:r>
        <w:t>. In a coupled hydrogen co‑production system, the cell voltage is reduced by 260 mV at 1.0 A cm</w:t>
      </w:r>
      <w:r>
        <w:t xml:space="preserve"> </w:t>
      </w:r>
      <w:r>
        <w:t>−2</w:t>
      </w:r>
      <w:r>
        <w:t xml:space="preserve"> </w:t>
      </w:r>
      <w:r>
        <w:t>compared to water electrolysis, with stable operation over 120 h while delivering an FE</w:t>
      </w:r>
      <w:r>
        <w:t xml:space="preserve"> </w:t>
      </w:r>
      <w:r>
        <w:t>FA</w:t>
      </w:r>
      <w:r>
        <w:t xml:space="preserve"> </w:t>
      </w:r>
      <w:r>
        <w:t>of 96.9%. Moreover, this mechanism can be extended to other alcohol‐based substances (e.g., methanol and glycerol), elucidating the importance of reactant‐catalyst interfacial hydrogen‐bond interactions in steering alcohol oxidation selectivity and providing a sustainable strategy for biomass and plastic upgrading.</w:t>
      </w:r>
    </w:p>
    <w:p>
      <w:pPr>
        <w:spacing w:before="120" w:after="120"/>
      </w:pPr>
      <w:r>
        <w:rPr>
          <w:sz w:val="18"/>
        </w:rPr>
        <w:t>——————————————————————————————————————————————————————————————————————</w:t>
      </w:r>
    </w:p>
    <w:p>
      <w:pPr>
        <w:spacing w:before="160" w:after="40" w:line="240" w:lineRule="auto"/>
      </w:pPr>
      <w:r>
        <w:rPr>
          <w:b/>
        </w:rPr>
        <w:t xml:space="preserve">[14] </w:t>
      </w:r>
      <w:hyperlink r:id="rId344">
        <w:r>
          <w:rPr>
            <w:color w:val="1155CC"/>
            <w:u w:val="single"/>
          </w:rPr>
          <w:t>使用镓进行特定地点的 d 波段中心工程，实现从海水中高效、持久地析氢</w:t>
        </w:r>
      </w:hyperlink>
    </w:p>
    <w:p>
      <w:pPr>
        <w:spacing w:before="0" w:after="80"/>
      </w:pPr>
      <w:r>
        <w:rPr>
          <w:i/>
          <w:sz w:val="20"/>
        </w:rPr>
        <w:t>EN: Site‐Specific d‐Band Center Engineering With Gallium Enabling Efficient and Durable Hydrogen Evolution From Seawater</w:t>
      </w:r>
    </w:p>
    <w:p>
      <w:pPr>
        <w:spacing w:before="0" w:after="120"/>
      </w:pPr>
      <w:r>
        <w:rPr>
          <w:b/>
        </w:rPr>
        <w:t xml:space="preserve">Source: </w:t>
      </w:r>
      <w:r>
        <w:t>Wiley: Advanced Energy Materials: Table of Contents</w:t>
      </w:r>
      <w:r>
        <w:t xml:space="preserve">    </w:t>
      </w:r>
      <w:r>
        <w:rPr>
          <w:b/>
        </w:rPr>
        <w:t xml:space="preserve">Pub date: </w:t>
      </w:r>
      <w:r>
        <w:t>2026-07-17 12:47:36+00:00</w:t>
      </w:r>
      <w:r>
        <w:t xml:space="preserve">    </w:t>
      </w:r>
      <w:r>
        <w:rPr>
          <w:b/>
        </w:rPr>
        <w:t xml:space="preserve">DOI: </w:t>
      </w:r>
      <w:hyperlink r:id="rId345">
        <w:r>
          <w:rPr>
            <w:color w:val="1155CC"/>
            <w:u w:val="single"/>
          </w:rPr>
          <w:t>10.1002/aenm.71310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碱性析氢反应（HER）的效率从根本上受到水离解和氢吸附/解吸步骤之间的比例关系的限制。为了实现反应路径的差异化优化，本工作通过引入Ga，构建了具有功能分区活性位点的Ni-Ga-Pt三元催化剂。通过Ga介导，位点特异性</w:t>
      </w:r>
      <w:r>
        <w:t xml:space="preserve"> </w:t>
      </w:r>
      <w:r>
        <w:t>d</w:t>
      </w:r>
      <w:r>
        <w:t xml:space="preserve"> </w:t>
      </w:r>
      <w:r>
        <w:t>Ni位点的能带中心上移增强了羟基（OH）的吸附，从而加速了水的解离。与此同时，降档</w:t>
      </w:r>
      <w:r>
        <w:t xml:space="preserve"> </w:t>
      </w:r>
      <w:r>
        <w:t>d</w:t>
      </w:r>
      <w:r>
        <w:t xml:space="preserve"> </w:t>
      </w:r>
      <w:r>
        <w:t>‐Pt 位点处的能带中心提高了 0.22 eV，优化了氢吸附能 (ΔG</w:t>
      </w:r>
      <w:r>
        <w:t xml:space="preserve"> </w:t>
      </w:r>
      <w:r>
        <w:t>H*</w:t>
      </w:r>
      <w:r>
        <w:t xml:space="preserve"> </w:t>
      </w:r>
      <w:r>
        <w:t>）到接近热中性的值 -0.08 eV。这种协同机制将水解离能垒降低了 24.5%，使催化剂能够在 10 mA cm 电流下实现 26 mV 的超低过电势</w:t>
      </w:r>
      <w:r>
        <w:t xml:space="preserve"> </w:t>
      </w:r>
      <w:r>
        <w:t>−2</w:t>
      </w:r>
      <w:r>
        <w:t xml:space="preserve"> </w:t>
      </w:r>
      <w:r>
        <w:t>。当集成到使用模拟海水的阴离子交换膜 (AEM) 电解槽中时，Ni-Ga-Pt 基阴极通过在 500 mA cm 下保持连续运行而表现出长期稳定性</w:t>
      </w:r>
      <w:r>
        <w:t xml:space="preserve"> </w:t>
      </w:r>
      <w:r>
        <w:t>−2</w:t>
      </w:r>
      <w:r>
        <w:t xml:space="preserve"> </w:t>
      </w:r>
      <w:r>
        <w:t>超过 600 小时，同时显着优于 Pt/C ||镍铁氧体</w:t>
      </w:r>
      <w:r>
        <w:t xml:space="preserve"> </w:t>
      </w:r>
      <w:r>
        <w:t>x</w:t>
      </w:r>
      <w:r>
        <w:t xml:space="preserve"> </w:t>
      </w:r>
      <w:r>
        <w:t>基于基准装置——从而凸显了其在工业规模海水电解方面的巨大潜力。这项研究阐明了一个</w:t>
      </w:r>
      <w:r>
        <w:t xml:space="preserve"> </w:t>
      </w:r>
      <w:r>
        <w:t>d</w:t>
      </w:r>
      <w:r>
        <w:t xml:space="preserve"> </w:t>
      </w:r>
      <w:r>
        <w:t>‐能带划分</w:t>
      </w:r>
    </w:p>
    <w:p>
      <w:pPr>
        <w:spacing w:before="0" w:after="200" w:lineRule="auto" w:line="276"/>
      </w:pPr>
      <w:r>
        <w:rPr>
          <w:b/>
        </w:rPr>
        <w:t xml:space="preserve">Abstract (EN): </w:t>
      </w:r>
      <w:r>
        <w:t>The efficiency of the alkaline hydrogen evolution reaction (HER) is fundamentally constrained by the scaling relationship between water dissociation and hydrogen adsorption/desorption steps. To achieve differentiated optimization of the reaction pathway, a Ni‐Ga‐Pt ternary catalyst with function‐partitioned active sites was constructed in this work by introducing Ga. Through Ga mediation, a site‐specific</w:t>
      </w:r>
      <w:r>
        <w:t xml:space="preserve"> </w:t>
      </w:r>
      <w:r>
        <w:t>d</w:t>
      </w:r>
      <w:r>
        <w:t xml:space="preserve"> </w:t>
      </w:r>
      <w:r>
        <w:t>‐band center upshift at Ni sites enhanced hydroxyl (OH) adsorption, thereby accelerating water dissociation. Meanwhile, a downshifted</w:t>
      </w:r>
      <w:r>
        <w:t xml:space="preserve"> </w:t>
      </w:r>
      <w:r>
        <w:t>d</w:t>
      </w:r>
      <w:r>
        <w:t xml:space="preserve"> </w:t>
      </w:r>
      <w:r>
        <w:t>‐band center by 0.22 eV at Pt sites optimized the hydrogen adsorption energy (ΔG</w:t>
      </w:r>
      <w:r>
        <w:t xml:space="preserve"> </w:t>
      </w:r>
      <w:r>
        <w:t>H*</w:t>
      </w:r>
      <w:r>
        <w:t xml:space="preserve"> </w:t>
      </w:r>
      <w:r>
        <w:t>) to a near‐thermoneutral value of −0.08 eV. This synergistic mechanism reduced the water dissociation energy barrier by 24.5%, enabling the catalyst to achieve an ultralow overpotential of 26 mV at 10 mA cm</w:t>
      </w:r>
      <w:r>
        <w:t xml:space="preserve"> </w:t>
      </w:r>
      <w:r>
        <w:t>−2</w:t>
      </w:r>
      <w:r>
        <w:t xml:space="preserve"> </w:t>
      </w:r>
      <w:r>
        <w:t>. When integrated into an anion exchange membrane (AEM) electrolyzer using simulated seawater, the Ni‐Ga‐Pt‐based cathode exhibits long‐term stability by maintaining continuous operation at 500 mA cm</w:t>
      </w:r>
      <w:r>
        <w:t xml:space="preserve"> </w:t>
      </w:r>
      <w:r>
        <w:t>−2</w:t>
      </w:r>
      <w:r>
        <w:t xml:space="preserve"> </w:t>
      </w:r>
      <w:r>
        <w:t>for over 600 h, while significantly outperforming the Pt/C || NiFeO</w:t>
      </w:r>
      <w:r>
        <w:t xml:space="preserve"> </w:t>
      </w:r>
      <w:r>
        <w:t>x</w:t>
      </w:r>
      <w:r>
        <w:t xml:space="preserve"> </w:t>
      </w:r>
      <w:r>
        <w:t>‐based benchmark device—thus highlighting its significant potential for industrial‐scale seawater electrolysis. This study elucidates a</w:t>
      </w:r>
      <w:r>
        <w:t xml:space="preserve"> </w:t>
      </w:r>
      <w:r>
        <w:t>d</w:t>
      </w:r>
      <w:r>
        <w:t xml:space="preserve"> </w:t>
      </w:r>
      <w:r>
        <w:t>‐band partitioning strategy from the perspective of orbital hybridization, providing a generalizable approach to the design of efficient and durable multi‐step electrocatalysts.</w:t>
      </w:r>
    </w:p>
    <w:p>
      <w:pPr>
        <w:spacing w:before="120" w:after="120"/>
      </w:pPr>
      <w:r>
        <w:rPr>
          <w:sz w:val="18"/>
        </w:rPr>
        <w:t>——————————————————————————————————————————————————————————————————————</w:t>
      </w:r>
    </w:p>
    <w:p>
      <w:pPr>
        <w:spacing w:before="160" w:after="40" w:line="240" w:lineRule="auto"/>
      </w:pPr>
      <w:r>
        <w:rPr>
          <w:b/>
        </w:rPr>
        <w:t xml:space="preserve">[15] </w:t>
      </w:r>
      <w:hyperlink r:id="rId346">
        <w:r>
          <w:rPr>
            <w:color w:val="1155CC"/>
            <w:u w:val="single"/>
          </w:rPr>
          <w:t>高自旋锰促进共价有机框架上的光磁催化析氢</w:t>
        </w:r>
      </w:hyperlink>
    </w:p>
    <w:p>
      <w:pPr>
        <w:spacing w:before="0" w:after="80"/>
      </w:pPr>
      <w:r>
        <w:rPr>
          <w:i/>
          <w:sz w:val="20"/>
        </w:rPr>
        <w:t>EN: High Spin Manganese Boosting Photo‐Magnetic Catalytic Hydrogen Evolution Over Covalent Organic Frameworks</w:t>
      </w:r>
    </w:p>
    <w:p>
      <w:pPr>
        <w:spacing w:before="0" w:after="120"/>
      </w:pPr>
      <w:r>
        <w:rPr>
          <w:b/>
        </w:rPr>
        <w:t xml:space="preserve">Source: </w:t>
      </w:r>
      <w:r>
        <w:t>Wiley: Advanced Materials: Table of Contents</w:t>
      </w:r>
      <w:r>
        <w:t xml:space="preserve">    </w:t>
      </w:r>
      <w:r>
        <w:rPr>
          <w:b/>
        </w:rPr>
        <w:t xml:space="preserve">Pub date: </w:t>
      </w:r>
      <w:r>
        <w:t>2026-07-17 13:19:45+00:00</w:t>
      </w:r>
      <w:r>
        <w:t xml:space="preserve">    </w:t>
      </w:r>
      <w:r>
        <w:rPr>
          <w:b/>
        </w:rPr>
        <w:t xml:space="preserve">DOI: </w:t>
      </w:r>
      <w:hyperlink r:id="rId347">
        <w:r>
          <w:rPr>
            <w:color w:val="1155CC"/>
            <w:u w:val="single"/>
          </w:rPr>
          <w:t>10.1002/adma.74205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电子自旋抑制光生载流子复合代表了光催化析氢领域相对尚未开发的前沿领域。然而，传统的光催化剂主要是抗磁性的，对外部磁场的响应较弱，限制了自旋相关载流子动力学的利用。在这里，我们首次报道了共价有机框架（COF）在光磁耦合析氢中的应用。具体来说，开发了一种后合成金属化策略来引入高自旋锰</w:t>
      </w:r>
      <w:r>
        <w:t xml:space="preserve"> </w:t>
      </w:r>
      <w:r>
        <w:t>2+</w:t>
      </w:r>
      <w:r>
        <w:t xml:space="preserve"> </w:t>
      </w:r>
      <w:r>
        <w:t>离子（3d</w:t>
      </w:r>
      <w:r>
        <w:rPr>
          <w:vertAlign w:val="subscript"/>
        </w:rPr>
        <w:t>5</w:t>
      </w:r>
      <w:r>
        <w:t>，半填充配置）成化学稳定的sp</w:t>
      </w:r>
      <w:r>
        <w:rPr>
          <w:vertAlign w:val="subscript"/>
        </w:rPr>
        <w:t>2</w:t>
      </w:r>
      <w:r>
        <w:t>‐碳连接COF（sp</w:t>
      </w:r>
      <w:r>
        <w:rPr>
          <w:vertAlign w:val="subscript"/>
        </w:rPr>
        <w:t>2</w:t>
      </w:r>
      <w:r>
        <w:t>c-COF</w:t>
      </w:r>
      <w:r>
        <w:t xml:space="preserve"> </w:t>
      </w:r>
      <w:r>
        <w:t>dpy</w:t>
      </w:r>
      <w:r>
        <w:t xml:space="preserve"> </w:t>
      </w:r>
      <w:r>
        <w:t>）。由此产生的 sp</w:t>
      </w:r>
      <w:r>
        <w:rPr>
          <w:vertAlign w:val="subscript"/>
        </w:rPr>
        <w:t>2</w:t>
      </w:r>
      <w:r>
        <w:t>c-COF</w:t>
      </w:r>
      <w:r>
        <w:t xml:space="preserve"> </w:t>
      </w:r>
      <w:r>
        <w:t>dpy</w:t>
      </w:r>
      <w:r>
        <w:t xml:space="preserve"> </w:t>
      </w:r>
      <w:r>
        <w:t>‐密度泛函理论计算表明，Mn 在费米能级表现出前所未有的 100% 自旋极化程度。在500 mT的外磁场下，该材料实现了创纪录的光催化析氢速率208.48 mmol·g</w:t>
      </w:r>
      <w:r>
        <w:t xml:space="preserve"> </w:t>
      </w:r>
      <w:r>
        <w:t>−1</w:t>
      </w:r>
      <w:r>
        <w:t xml:space="preserve"> </w:t>
      </w:r>
      <w:r>
        <w:t>·小时</w:t>
      </w:r>
      <w:r>
        <w:t xml:space="preserve"> </w:t>
      </w:r>
      <w:r>
        <w:t>−1</w:t>
      </w:r>
      <w:r>
        <w:t xml:space="preserve"> </w:t>
      </w:r>
      <w:r>
        <w:t>。结合实验和理论分析表明，半填充 d</w:t>
      </w:r>
      <w:r>
        <w:rPr>
          <w:vertAlign w:val="subscript"/>
        </w:rPr>
        <w:t>5</w:t>
      </w:r>
      <w:r>
        <w:t>锰的构型</w:t>
      </w:r>
      <w:r>
        <w:t xml:space="preserve"> </w:t>
      </w:r>
      <w:r>
        <w:t>2+</w:t>
      </w:r>
    </w:p>
    <w:p>
      <w:pPr>
        <w:spacing w:before="0" w:after="200" w:lineRule="auto" w:line="276"/>
      </w:pPr>
      <w:r>
        <w:rPr>
          <w:b/>
        </w:rPr>
        <w:t xml:space="preserve">Abstract (EN): </w:t>
      </w:r>
      <w:r>
        <w:t>Harnessing electron spin to suppress photogenerated carrier recombination represents a relatively underexplored frontier in photocatalytic hydrogen evolution. However, conventional photocatalysts are predominantly diamagnetic and respond weakly to external magnetic fields, limiting the exploitation of spin‐dependent carrier dynamics. Here, we report for the first time the application of covalent organic frameworks (COFs) in photo‐magnetic coupled hydrogen evolution. Specifically, a post‐synthetic metalation strategy is developed to introduce high‐spin Mn</w:t>
      </w:r>
      <w:r>
        <w:t xml:space="preserve"> </w:t>
      </w:r>
      <w:r>
        <w:t>2+</w:t>
      </w:r>
      <w:r>
        <w:t xml:space="preserve"> </w:t>
      </w:r>
      <w:r>
        <w:t>ions (3d</w:t>
      </w:r>
      <w:r>
        <w:rPr>
          <w:vertAlign w:val="subscript"/>
        </w:rPr>
        <w:t>5</w:t>
      </w:r>
      <w:r>
        <w:t>, half‐filled configuration) into a chemically robust sp</w:t>
      </w:r>
      <w:r>
        <w:rPr>
          <w:vertAlign w:val="subscript"/>
        </w:rPr>
        <w:t>2</w:t>
      </w:r>
      <w:r>
        <w:t>‐carbon‐linked COF (sp</w:t>
      </w:r>
      <w:r>
        <w:rPr>
          <w:vertAlign w:val="subscript"/>
        </w:rPr>
        <w:t>2</w:t>
      </w:r>
      <w:r>
        <w:t>c‐COF</w:t>
      </w:r>
      <w:r>
        <w:t xml:space="preserve"> </w:t>
      </w:r>
      <w:r>
        <w:t>dpy</w:t>
      </w:r>
      <w:r>
        <w:t xml:space="preserve"> </w:t>
      </w:r>
      <w:r>
        <w:t>). The resulting sp</w:t>
      </w:r>
      <w:r>
        <w:rPr>
          <w:vertAlign w:val="subscript"/>
        </w:rPr>
        <w:t>2</w:t>
      </w:r>
      <w:r>
        <w:t>c‐COF</w:t>
      </w:r>
      <w:r>
        <w:t xml:space="preserve"> </w:t>
      </w:r>
      <w:r>
        <w:t>dpy</w:t>
      </w:r>
      <w:r>
        <w:t xml:space="preserve"> </w:t>
      </w:r>
      <w:r>
        <w:t>‐Mn exhibits intrinsic spin polarization with an unprecedented 100% spin polarization degree at the Fermi level, as revealed by density functional theory calculations. Under an external magnetic field of 500 mT, the material achieves a record photocatalytic hydrogen evolution rate of 208.48 mmol·g</w:t>
      </w:r>
      <w:r>
        <w:t xml:space="preserve"> </w:t>
      </w:r>
      <w:r>
        <w:t>−1</w:t>
      </w:r>
      <w:r>
        <w:t xml:space="preserve"> </w:t>
      </w:r>
      <w:r>
        <w:t>·h</w:t>
      </w:r>
      <w:r>
        <w:t xml:space="preserve"> </w:t>
      </w:r>
      <w:r>
        <w:t>−1</w:t>
      </w:r>
      <w:r>
        <w:t xml:space="preserve"> </w:t>
      </w:r>
      <w:r>
        <w:t>. Combined experimental and theoretical analyses demonstrate that the half‐filled d</w:t>
      </w:r>
      <w:r>
        <w:rPr>
          <w:vertAlign w:val="subscript"/>
        </w:rPr>
        <w:t>5</w:t>
      </w:r>
      <w:r>
        <w:t>configuration of Mn</w:t>
      </w:r>
      <w:r>
        <w:t xml:space="preserve"> </w:t>
      </w:r>
      <w:r>
        <w:t>2+</w:t>
      </w:r>
      <w:r>
        <w:t xml:space="preserve"> </w:t>
      </w:r>
      <w:r>
        <w:t>maximizes unpaired electrons, inducing strong spin polarization and a large magnetic moment. The external magnetic field further activates negative magnetoresistance and spin‐flip processes, synergistically suppressing electron‐hole recombination and accelerating interfacial charge transfer to Pt cocatalyst sites. This work not only establishes the first example of COFs in photo‐magnetic catalytic hydrogen evolution but also provides a general spin‐engineering strategy for designing high‐performance magnetically responsive photocatalysts.</w:t>
      </w:r>
    </w:p>
    <w:p>
      <w:pPr>
        <w:spacing w:before="120" w:after="120"/>
      </w:pPr>
      <w:r>
        <w:rPr>
          <w:sz w:val="18"/>
        </w:rPr>
        <w:t>——————————————————————————————————————————————————————————————————————</w:t>
      </w:r>
    </w:p>
    <w:p>
      <w:pPr>
        <w:spacing w:before="160" w:after="40" w:line="240" w:lineRule="auto"/>
      </w:pPr>
      <w:r>
        <w:rPr>
          <w:b/>
        </w:rPr>
        <w:t xml:space="preserve">[16] </w:t>
      </w:r>
      <w:hyperlink r:id="rId348">
        <w:r>
          <w:rPr>
            <w:color w:val="1155CC"/>
            <w:u w:val="single"/>
          </w:rPr>
          <w:t>通过布朗斯台德酸位点诱导桥接氧辅助去质子化促进酸性整体水分解</w:t>
        </w:r>
      </w:hyperlink>
    </w:p>
    <w:p>
      <w:pPr>
        <w:spacing w:before="0" w:after="80"/>
      </w:pPr>
      <w:r>
        <w:rPr>
          <w:i/>
          <w:sz w:val="20"/>
        </w:rPr>
        <w:t>EN: Boosting Acidic Overall Water Splitting via Brønsted Acid Site‐Induced Bridging‐Oxygen‐Assisted Deprotonation</w:t>
      </w:r>
    </w:p>
    <w:p>
      <w:pPr>
        <w:spacing w:before="0" w:after="120"/>
      </w:pPr>
      <w:r>
        <w:rPr>
          <w:b/>
        </w:rPr>
        <w:t xml:space="preserve">Source: </w:t>
      </w:r>
      <w:r>
        <w:t>Wiley: Advanced Materials: Table of Contents</w:t>
      </w:r>
      <w:r>
        <w:t xml:space="preserve">    </w:t>
      </w:r>
      <w:r>
        <w:rPr>
          <w:b/>
        </w:rPr>
        <w:t xml:space="preserve">Pub date: </w:t>
      </w:r>
      <w:r>
        <w:t>2026-07-17 14:58:35+00:00</w:t>
      </w:r>
      <w:r>
        <w:t xml:space="preserve">    </w:t>
      </w:r>
      <w:r>
        <w:rPr>
          <w:b/>
        </w:rPr>
        <w:t xml:space="preserve">DOI: </w:t>
      </w:r>
      <w:hyperlink r:id="rId349">
        <w:r>
          <w:rPr>
            <w:color w:val="1155CC"/>
            <w:u w:val="single"/>
          </w:rPr>
          <w:t>10.1002/adma.74182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开发用于酸性整体水分解的高效稳定的电催化剂对于质子交换膜水电解（PEMWE）至关重要，但仍然是一个重大挑战。在这项工作中，Ir 纳米颗粒被固定在 Fe 掺杂的 MoO 上</w:t>
      </w:r>
      <w:r>
        <w:rPr>
          <w:vertAlign w:val="subscript"/>
        </w:rPr>
        <w:t>2</w:t>
      </w:r>
      <w:r>
        <w:t>，产生一种新型材料（Ir/Fe-MoO</w:t>
      </w:r>
      <w:r>
        <w:rPr>
          <w:vertAlign w:val="subscript"/>
        </w:rPr>
        <w:t>2</w:t>
      </w:r>
      <w:r>
        <w:t>）对于酸性析氧反应（OER）和析氢反应（HER）均具有高性能。 Fe 掺杂稳定 MoO</w:t>
      </w:r>
      <w:r>
        <w:rPr>
          <w:vertAlign w:val="subscript"/>
        </w:rPr>
        <w:t>2</w:t>
      </w:r>
      <w:r>
        <w:t>通过形成Mo─O─Fe键，提高Mo价态，有效抑制过度氧化和溶解。形成的 Ir─O─Fe 界面结构可实现双向电子转移，降低 Ir 氧化态以防止失活，并激活桥接氧作为布朗斯台德酸位点。这些位点通过桥接氧辅助去质子化机制促进含氧中间体的去质子化，绕过传统吸附质演化途径的限速步骤。结果，Ir/Fe-MoO</w:t>
      </w:r>
      <w:r>
        <w:rPr>
          <w:vertAlign w:val="subscript"/>
        </w:rPr>
        <w:t>2</w:t>
      </w:r>
      <w:r>
        <w:t>在 0.5 M H 下实现超低 OER 和 HER 过电势</w:t>
      </w:r>
      <w:r>
        <w:rPr>
          <w:vertAlign w:val="subscript"/>
        </w:rPr>
        <w:t>2</w:t>
      </w:r>
      <w:r>
        <w:t>SO</w:t>
      </w:r>
      <w:r>
        <w:rPr>
          <w:vertAlign w:val="subscript"/>
        </w:rPr>
        <w:t>4</w:t>
      </w:r>
      <w:r>
        <w:t>，以及采用 Ir/Fe-MoO 的 PEMWE 装置</w:t>
      </w:r>
      <w:r>
        <w:rPr>
          <w:vertAlign w:val="subscript"/>
        </w:rPr>
        <w:t>2</w:t>
      </w:r>
      <w:r>
        <w:t>因为阳极和阴极仅需要 1.60 V 即可达到 500 mA cm</w:t>
      </w:r>
      <w:r>
        <w:t xml:space="preserve"> </w:t>
      </w:r>
      <w:r>
        <w:t>−2</w:t>
      </w:r>
      <w:r>
        <w:t xml:space="preserve"> </w:t>
      </w:r>
      <w:r>
        <w:t>在 80°C 下并保持此性能 350 小时。这项工作开创了 Brøn</w:t>
      </w:r>
    </w:p>
    <w:p>
      <w:pPr>
        <w:spacing w:before="0" w:after="200" w:lineRule="auto" w:line="276"/>
      </w:pPr>
      <w:r>
        <w:rPr>
          <w:b/>
        </w:rPr>
        <w:t xml:space="preserve">Abstract (EN): </w:t>
      </w:r>
      <w:r>
        <w:t>Developing efficient and stable electrocatalysts for acidic overall water splitting is essential for proton exchange membrane water electrolysis (PEMWE), yet remains a significant challenge. In this work, Ir nanoparticles are anchored onto Fe‐doped MoO</w:t>
      </w:r>
      <w:r>
        <w:rPr>
          <w:vertAlign w:val="subscript"/>
        </w:rPr>
        <w:t>2</w:t>
      </w:r>
      <w:r>
        <w:t>, yielding a novel material (Ir/Fe–MoO</w:t>
      </w:r>
      <w:r>
        <w:rPr>
          <w:vertAlign w:val="subscript"/>
        </w:rPr>
        <w:t>2</w:t>
      </w:r>
      <w:r>
        <w:t>) with high performance for both acidic oxygen evolution reaction (OER) and hydrogen evolution reaction (HER). Fe doping stabilizes the MoO</w:t>
      </w:r>
      <w:r>
        <w:rPr>
          <w:vertAlign w:val="subscript"/>
        </w:rPr>
        <w:t>2</w:t>
      </w:r>
      <w:r>
        <w:t>lattice by forming Mo─O─Fe bonds and increases the Mo valence state, effectively suppressing over‐oxidation and dissolution. The formed Ir─O─Fe interfacial structures enable bidirectional electron transfer, lowering the Ir oxidation state to prevent deactivation and activating bridging oxygen as Brønsted acid sites. These sites facilitate the deprotonation of oxygenated intermediates via a bridging‐oxygen‐assisted deprotonation mechanism, bypassing the rate‐limiting steps of conventional adsorbate evolution pathways. As a result, Ir/Fe–MoO</w:t>
      </w:r>
      <w:r>
        <w:rPr>
          <w:vertAlign w:val="subscript"/>
        </w:rPr>
        <w:t>2</w:t>
      </w:r>
      <w:r>
        <w:t>achieves ultralow OER and HER overpotential in 0.5 M H</w:t>
      </w:r>
      <w:r>
        <w:rPr>
          <w:vertAlign w:val="subscript"/>
        </w:rPr>
        <w:t>2</w:t>
      </w:r>
      <w:r>
        <w:t>SO</w:t>
      </w:r>
      <w:r>
        <w:rPr>
          <w:vertAlign w:val="subscript"/>
        </w:rPr>
        <w:t>4</w:t>
      </w:r>
      <w:r>
        <w:t>, and a PEMWE device employing Ir/Fe–MoO</w:t>
      </w:r>
      <w:r>
        <w:rPr>
          <w:vertAlign w:val="subscript"/>
        </w:rPr>
        <w:t>2</w:t>
      </w:r>
      <w:r>
        <w:t>as both anode and cathode requires only 1.60 V to reach 500 mA cm</w:t>
      </w:r>
      <w:r>
        <w:t xml:space="preserve"> </w:t>
      </w:r>
      <w:r>
        <w:t>−2</w:t>
      </w:r>
      <w:r>
        <w:t xml:space="preserve"> </w:t>
      </w:r>
      <w:r>
        <w:t>at 80°C and sustains this performance for 350 h. This work pioneers Brønsted acid sites in a Mo oxide‐based matrix, offering a new design concept for cost‐effective, highly active acidic OER and HER electrocatalysts.</w:t>
      </w:r>
    </w:p>
    <w:p>
      <w:pPr>
        <w:spacing w:before="120" w:after="120"/>
      </w:pPr>
      <w:r>
        <w:rPr>
          <w:sz w:val="18"/>
        </w:rPr>
        <w:t>——————————————————————————————————————————————————————————————————————</w:t>
      </w:r>
    </w:p>
    <w:p>
      <w:pPr>
        <w:spacing w:before="160" w:after="40" w:line="240" w:lineRule="auto"/>
      </w:pPr>
      <w:r>
        <w:rPr>
          <w:b/>
        </w:rPr>
        <w:t xml:space="preserve">[17] </w:t>
      </w:r>
      <w:hyperlink r:id="rId350">
        <w:r>
          <w:rPr>
            <w:color w:val="1155CC"/>
            <w:u w:val="single"/>
          </w:rPr>
          <w:t>工艺集成工程静息细胞，用于从单一甲醇分子生物催化生产稀有天然糖</w:t>
        </w:r>
      </w:hyperlink>
    </w:p>
    <w:p>
      <w:pPr>
        <w:spacing w:before="0" w:after="80"/>
      </w:pPr>
      <w:r>
        <w:rPr>
          <w:i/>
          <w:sz w:val="20"/>
        </w:rPr>
        <w:t>EN: Process-integrated engineered resting cells for biocatalytic production of rare natural sugars from sole methanol molecules</w:t>
      </w:r>
    </w:p>
    <w:p>
      <w:pPr>
        <w:spacing w:before="0" w:after="120"/>
      </w:pPr>
      <w:r>
        <w:rPr>
          <w:b/>
        </w:rPr>
        <w:t xml:space="preserve">Source: </w:t>
      </w:r>
      <w:r>
        <w:t>Biological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将绿色甲醇（一种有前途的原料）生物催化转化为高附加值产品被视为建立可持续生物制造的一种有吸引力的方式。尽管天然和工程微生物可以利用甲醇，但在生长细胞中有效地将 C1 碳转化为有价值的化学物质仍然具有挑战性，因为非天然途径通常受到低碳利用和有限的催化稳定性的影响。在这里，我们报告了将工程酶级联整合到静息细胞中，并与筛选的醇氧化酶偶联，开发出高效稳定的酶静息细胞级联系统，用于甲醇转化，实现L-赤藓酮糖（C4糖）或L-山梨糖（C6糖）的定制生产。该系统显示出从甲醇生产L-赤藓酮糖的碳原子经济性得到了刺激，并且与游离酶催化相比稳定性显着提高。通过将酶级联与持久的静息细胞相结合，该策略提供了一个多功能平台，用于将甲醇和其他 C1 底物转化为增值产品。</w:t>
      </w:r>
    </w:p>
    <w:p>
      <w:pPr>
        <w:spacing w:before="0" w:after="200" w:lineRule="auto" w:line="276"/>
      </w:pPr>
      <w:r>
        <w:rPr>
          <w:b/>
        </w:rPr>
        <w:t xml:space="preserve">Abstract (EN): </w:t>
      </w:r>
      <w:r>
        <w:t>The biocatalytic conversion of green methanol, a promising feedstock, into high value-added products is seen as an attractive way to establish sustainable biomanufacturing. Although natural and engineered microorganisms can utilize methanol, efficiently converting C1 carbon into valuable chemicals in growing cells remains challenging because non-native pathways often suffer from low carbon utilization and limited catalytic stability. Here, we report the integration of an engineered enzyme cascade into resting cells and its coupling with a screened alcohol oxidase enzyme to develop an efficient and stable enzyme-resting cell cascade system for methanol conversion, achieving customizable production of L-erythrulose (C4 sugar) or L-sorbose (C6 sugar). This system shows a stimulated carbon atom economy for L-erythrulose production from methanol and significantly improved stability compared to free enzyme catalysis. By integrating enzyme cascades with durable resting cells, this strategy provides a versatile platform for converting methanol and other C1 substrates into value-added products.</w:t>
      </w:r>
    </w:p>
    <w:p>
      <w:pPr>
        <w:spacing w:before="120" w:after="120"/>
      </w:pPr>
      <w:r>
        <w:rPr>
          <w:sz w:val="18"/>
        </w:rPr>
        <w:t>——————————————————————————————————————————————————————————————————————</w:t>
      </w:r>
    </w:p>
    <w:p>
      <w:pPr>
        <w:spacing w:before="160" w:after="40" w:line="240" w:lineRule="auto"/>
      </w:pPr>
      <w:r>
        <w:rPr>
          <w:b/>
        </w:rPr>
        <w:t xml:space="preserve">[18] </w:t>
      </w:r>
      <w:hyperlink r:id="rId351">
        <w:r>
          <w:rPr>
            <w:color w:val="1155CC"/>
            <w:u w:val="single"/>
          </w:rPr>
          <w:t>具有协调线路组和罐车效应的电-氢-气一体化系统的低碳调度</w:t>
        </w:r>
      </w:hyperlink>
    </w:p>
    <w:p>
      <w:pPr>
        <w:spacing w:before="0" w:after="80"/>
      </w:pPr>
      <w:r>
        <w:rPr>
          <w:i/>
          <w:sz w:val="20"/>
        </w:rPr>
        <w:t>EN: Low-carbon scheduling for integrated electricity-hydrogen-gas systems with coordinated line-pack and tank-truck effects</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352">
        <w:r>
          <w:rPr>
            <w:color w:val="1155CC"/>
            <w:u w:val="single"/>
          </w:rPr>
          <w:t>10.1016/j.apenergy.2026.128468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353">
        <w:r>
          <w:rPr>
            <w:color w:val="1155CC"/>
            <w:u w:val="single"/>
          </w:rPr>
          <w:t>典型船舶运行条件下 PEMFC 电池堆的早期退化机制和基于 PINN 的健康状态预测</w:t>
        </w:r>
      </w:hyperlink>
    </w:p>
    <w:p>
      <w:pPr>
        <w:spacing w:before="0" w:after="80"/>
      </w:pPr>
      <w:r>
        <w:rPr>
          <w:i/>
          <w:sz w:val="20"/>
        </w:rPr>
        <w:t>EN: Early-stage degradation mechanism and PINN-based state-of-health prediction of a PEMFC stack under typical ship operating conditions</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354">
        <w:r>
          <w:rPr>
            <w:color w:val="1155CC"/>
            <w:u w:val="single"/>
          </w:rPr>
          <w:t>10.1016/j.apenergy.2026.128422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355">
        <w:r>
          <w:rPr>
            <w:color w:val="1155CC"/>
            <w:u w:val="single"/>
          </w:rPr>
          <w:t>零间隙碱性水电解槽中大气泡运动行为对槽电压的影响</w:t>
        </w:r>
      </w:hyperlink>
    </w:p>
    <w:p>
      <w:pPr>
        <w:spacing w:before="0" w:after="80"/>
      </w:pPr>
      <w:r>
        <w:rPr>
          <w:i/>
          <w:sz w:val="20"/>
        </w:rPr>
        <w:t>EN: Effect of macrobubbles motion behavior on cell voltage in a zero-gap alkaline water electrolysis cell</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356">
        <w:r>
          <w:rPr>
            <w:color w:val="1155CC"/>
            <w:u w:val="single"/>
          </w:rPr>
          <w:t>10.1016/j.apenergy.2026.128471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357">
        <w:r>
          <w:rPr>
            <w:color w:val="1155CC"/>
            <w:u w:val="single"/>
          </w:rPr>
          <w:t>电流波动下碱性水电解集群的功率分配：基于模型的效率提升方法</w:t>
        </w:r>
      </w:hyperlink>
    </w:p>
    <w:p>
      <w:pPr>
        <w:spacing w:before="0" w:after="80"/>
      </w:pPr>
      <w:r>
        <w:rPr>
          <w:i/>
          <w:sz w:val="20"/>
        </w:rPr>
        <w:t>EN: Power allocation for alkaline water electrolysis clusters under current fluctuations: a model-based method for efficiency enhancement</w:t>
      </w:r>
    </w:p>
    <w:p>
      <w:pPr>
        <w:spacing w:before="0" w:after="120"/>
      </w:pPr>
      <w:r>
        <w:rPr>
          <w:b/>
        </w:rPr>
        <w:t xml:space="preserve">Source: </w:t>
      </w:r>
      <w:r>
        <w:t>ScienceDirect Publication: Applied Energy</w:t>
      </w:r>
      <w:r>
        <w:t xml:space="preserve">    </w:t>
      </w:r>
      <w:r>
        <w:rPr>
          <w:b/>
        </w:rPr>
        <w:t xml:space="preserve">Pub date: </w:t>
      </w:r>
      <w:r>
        <w:t>2026-07-18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358">
        <w:r>
          <w:rPr>
            <w:color w:val="1155CC"/>
            <w:u w:val="single"/>
          </w:rPr>
          <w:t>将风电波动与 PEM 水电解槽退化联系起来</w:t>
        </w:r>
      </w:hyperlink>
    </w:p>
    <w:p>
      <w:pPr>
        <w:spacing w:before="0" w:after="80"/>
      </w:pPr>
      <w:r>
        <w:rPr>
          <w:i/>
          <w:sz w:val="20"/>
        </w:rPr>
        <w:t>EN: Linking wind-power fluctuation to degradation of PEM water electrolyzer</w:t>
      </w:r>
    </w:p>
    <w:p>
      <w:pPr>
        <w:spacing w:before="0" w:after="120"/>
      </w:pPr>
      <w:r>
        <w:rPr>
          <w:b/>
        </w:rPr>
        <w:t xml:space="preserve">Source: </w:t>
      </w:r>
      <w:r>
        <w:t>ScienceDirect Publication: Applied Energy</w:t>
      </w:r>
      <w:r>
        <w:t xml:space="preserve">    </w:t>
      </w:r>
      <w:r>
        <w:rPr>
          <w:b/>
        </w:rPr>
        <w:t xml:space="preserve">Pub date: </w:t>
      </w:r>
      <w:r>
        <w:t>2026-07-18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59">
        <w:r>
          <w:rPr>
            <w:color w:val="1155CC"/>
            <w:u w:val="single"/>
          </w:rPr>
          <w:t>用于直接乙二醇燃料电池的中熵非晶合金单原子钯催化剂</w:t>
        </w:r>
      </w:hyperlink>
    </w:p>
    <w:p>
      <w:pPr>
        <w:spacing w:before="0" w:after="80"/>
      </w:pPr>
      <w:r>
        <w:rPr>
          <w:i/>
          <w:sz w:val="20"/>
        </w:rPr>
        <w:t>EN: Medium‐Entropy Amorphous Alloyed Single‐Atom Pd Catalysts for Direct Ethylene Glycol Fuel Cells</w:t>
      </w:r>
    </w:p>
    <w:p>
      <w:pPr>
        <w:spacing w:before="0" w:after="120"/>
      </w:pPr>
      <w:r>
        <w:rPr>
          <w:b/>
        </w:rPr>
        <w:t xml:space="preserve">Source: </w:t>
      </w:r>
      <w:r>
        <w:t>Wiley: Advanced Materials: Table of Contents</w:t>
      </w:r>
      <w:r>
        <w:t xml:space="preserve">    </w:t>
      </w:r>
      <w:r>
        <w:rPr>
          <w:b/>
        </w:rPr>
        <w:t xml:space="preserve">Pub date: </w:t>
      </w:r>
      <w:r>
        <w:t>2026-07-18 11:48:58+00:00</w:t>
      </w:r>
      <w:r>
        <w:t xml:space="preserve">    </w:t>
      </w:r>
      <w:r>
        <w:rPr>
          <w:b/>
        </w:rPr>
        <w:t xml:space="preserve">DOI: </w:t>
      </w:r>
      <w:hyperlink r:id="rId360">
        <w:r>
          <w:rPr>
            <w:color w:val="1155CC"/>
            <w:u w:val="single"/>
          </w:rPr>
          <w:t>10.1002/adma.74103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精确调控钯（Pd）的 d 带中心以实现靶向电催化具有巨大的科学和技术潜力，但通过合理的结构设计实现这一目标仍然具有挑战性。在此，我们提出了中熵非晶合金单原子（MEAASA）Pd纳米片（NSs），其中Pd的d带中心通过中熵合金化、单原子配位和亲氧Cr/Mo/W改性的协同效应被精细地调制到最佳值。合成的 PdCrMoW MEAASA NSs 表现出 2.15 和 15.19 A mg 的出色质量活性</w:t>
      </w:r>
      <w:r>
        <w:t xml:space="preserve"> </w:t>
      </w:r>
      <w:r>
        <w:t>-</w:t>
      </w:r>
      <w:r>
        <w:rPr>
          <w:vertAlign w:val="subscript"/>
        </w:rPr>
        <w:t>1</w:t>
      </w:r>
      <w:r>
        <w:t>氧还原反应（ORR）和乙二醇氧化反应（EGOR）分别比商业Pt/C高15.4和4.4倍。实验结果表明，优化的 d 带中心不仅平衡了关键中间体的吸附和活化，而且还通过非 CO 主导的途径抑制了 CO 的形成，从而实现了 4 e</w:t>
      </w:r>
      <w:r>
        <w:t xml:space="preserve"> </w:t>
      </w:r>
      <w:r>
        <w:t>-</w:t>
      </w:r>
      <w:r>
        <w:t>ORR 流程和近乎完整的 10 e</w:t>
      </w:r>
      <w:r>
        <w:t xml:space="preserve"> </w:t>
      </w:r>
      <w:r>
        <w:t>-</w:t>
      </w:r>
      <w:r>
        <w:t>EGOR 工艺的 C1 选择性为 91.5%。在实际的直接乙二醇燃料电池 (DEGFC) 中，PdCrMoW MEAASA NS 提供了 117 mW·cm 的峰值功率密度</w:t>
      </w:r>
      <w:r>
        <w:t xml:space="preserve"> </w:t>
      </w:r>
      <w:r>
        <w:t>-</w:t>
      </w:r>
      <w:r>
        <w:rPr>
          <w:vertAlign w:val="subscript"/>
        </w:rPr>
        <w:t>2</w:t>
      </w:r>
      <w:r>
        <w:t>，明显优于最先进的商用 Pt/C 催化剂。</w:t>
      </w:r>
    </w:p>
    <w:p>
      <w:pPr>
        <w:spacing w:before="0" w:after="200" w:lineRule="auto" w:line="276"/>
      </w:pPr>
      <w:r>
        <w:rPr>
          <w:b/>
        </w:rPr>
        <w:t xml:space="preserve">Abstract (EN): </w:t>
      </w:r>
      <w:r>
        <w:t>Precise regulation of the d‐band center of palladium (Pd) for targeted electrocatalysis held tremendous scientific and technological potential, yet achieving this via rational structural design remained challenging. Herein, we present medium‐entropy amorphous alloyed single‐atom (MEAASA) Pd nanosheets (NSs), wherein the d‐band center of Pd was delicately modulated to an optimal value via the synergistic effect of medium‐entropy alloying, single‐atom coordination, and oxyphilic Cr/Mo/W modification. The as‐synthesized PdCrMoW MEAASA NSs exhibited exceptional mass activities of 2.15 and 15.19 A mg</w:t>
      </w:r>
      <w:r>
        <w:t xml:space="preserve"> </w:t>
      </w:r>
      <w:r>
        <w:t>−</w:t>
      </w:r>
      <w:r>
        <w:rPr>
          <w:vertAlign w:val="subscript"/>
        </w:rPr>
        <w:t>1</w:t>
      </w:r>
      <w:r>
        <w:t>for the oxygen reduction reaction (ORR) and ethylene glycol oxidation reaction (EGOR), respectively, which were 15.4 and 4.4 times higher than those of commercial Pt/C. Experimental results suggested that the optimized d‐band center not only balanced the adsorption and activation of key intermediates but also suppressed CO formation via a non‐CO dominated pathway, enabling a 4 e</w:t>
      </w:r>
      <w:r>
        <w:t xml:space="preserve"> </w:t>
      </w:r>
      <w:r>
        <w:t>−</w:t>
      </w:r>
      <w:r>
        <w:t>ORR process and a nearly complete 10 e</w:t>
      </w:r>
      <w:r>
        <w:t xml:space="preserve"> </w:t>
      </w:r>
      <w:r>
        <w:t>−</w:t>
      </w:r>
      <w:r>
        <w:t>EGOR process with 91.5% C1 selectivity. In practical direct ethylene glycol fuel cells (DEGFCs), the PdCrMoW MEAASA NSs delivered a peak power density of 117 mW·cm</w:t>
      </w:r>
      <w:r>
        <w:t xml:space="preserve"> </w:t>
      </w:r>
      <w:r>
        <w:t>−</w:t>
      </w:r>
      <w:r>
        <w:rPr>
          <w:vertAlign w:val="subscript"/>
        </w:rPr>
        <w:t>2</w:t>
      </w:r>
      <w:r>
        <w:t>, markedly outperforming the state‐of‐the‐art commercial Pt/C catalyst.</w:t>
      </w:r>
    </w:p>
    <w:p>
      <w:pPr>
        <w:spacing w:before="120" w:after="120"/>
      </w:pPr>
      <w:r>
        <w:rPr>
          <w:sz w:val="18"/>
        </w:rPr>
        <w:t>——————————————————————————————————————————————————————————————————————</w:t>
      </w:r>
    </w:p>
    <w:p>
      <w:pPr>
        <w:spacing w:before="160" w:after="40" w:line="240" w:lineRule="auto"/>
      </w:pPr>
      <w:r>
        <w:rPr>
          <w:b/>
        </w:rPr>
        <w:t xml:space="preserve">[24] </w:t>
      </w:r>
      <w:hyperlink r:id="rId361">
        <w:r>
          <w:rPr>
            <w:color w:val="1155CC"/>
            <w:u w:val="single"/>
          </w:rPr>
          <w:t>电可持续航空燃料（e-SAF）的综合工艺设计和技术经济评估</w:t>
        </w:r>
      </w:hyperlink>
    </w:p>
    <w:p>
      <w:pPr>
        <w:spacing w:before="0" w:after="80"/>
      </w:pPr>
      <w:r>
        <w:rPr>
          <w:i/>
          <w:sz w:val="20"/>
        </w:rPr>
        <w:t>EN: Integrated process design and techno-economic evaluation of electro-sustainable aviation fuel (e-SAF)</w:t>
      </w:r>
    </w:p>
    <w:p>
      <w:pPr>
        <w:spacing w:before="0" w:after="120"/>
      </w:pPr>
      <w:r>
        <w:rPr>
          <w:b/>
        </w:rPr>
        <w:t xml:space="preserve">Source: </w:t>
      </w:r>
      <w:r>
        <w:t>ScienceDirect Publication: Applied Energy</w:t>
      </w:r>
      <w:r>
        <w:t xml:space="preserve">    </w:t>
      </w:r>
      <w:r>
        <w:rPr>
          <w:b/>
        </w:rPr>
        <w:t xml:space="preserve">Pub date: </w:t>
      </w:r>
      <w:r>
        <w:t>2026-07-19 00:00:00+00:00</w:t>
      </w:r>
      <w:r>
        <w:t xml:space="preserve">    </w:t>
      </w:r>
      <w:r>
        <w:rPr>
          <w:b/>
        </w:rPr>
        <w:t xml:space="preserve">DOI: </w:t>
      </w:r>
      <w:hyperlink r:id="rId362">
        <w:r>
          <w:rPr>
            <w:color w:val="1155CC"/>
            <w:u w:val="single"/>
          </w:rPr>
          <w:t>10.1016/j.apenergy.2026.128439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363">
        <w:r>
          <w:rPr>
            <w:color w:val="1155CC"/>
            <w:u w:val="single"/>
          </w:rPr>
          <w:t>氢混合海洋能源系统的退化感知设计和寿命评估</w:t>
        </w:r>
      </w:hyperlink>
    </w:p>
    <w:p>
      <w:pPr>
        <w:spacing w:before="0" w:after="80"/>
      </w:pPr>
      <w:r>
        <w:rPr>
          <w:i/>
          <w:sz w:val="20"/>
        </w:rPr>
        <w:t>EN: Degradation-aware design and lifetime evaluation of hydrogen hybrid marine energy systems</w:t>
      </w:r>
    </w:p>
    <w:p>
      <w:pPr>
        <w:spacing w:before="0" w:after="120"/>
      </w:pPr>
      <w:r>
        <w:rPr>
          <w:b/>
        </w:rPr>
        <w:t xml:space="preserve">Source: </w:t>
      </w:r>
      <w:r>
        <w:t>ScienceDirect Publication: Applied Energy</w:t>
      </w:r>
      <w:r>
        <w:t xml:space="preserve">    </w:t>
      </w:r>
      <w:r>
        <w:rPr>
          <w:b/>
        </w:rPr>
        <w:t xml:space="preserve">Pub date: </w:t>
      </w:r>
      <w:r>
        <w:t>2026-07-19 00:00:00+00:00</w:t>
      </w:r>
      <w:r>
        <w:t xml:space="preserve">    </w:t>
      </w:r>
      <w:r>
        <w:rPr>
          <w:b/>
        </w:rPr>
        <w:t xml:space="preserve">DOI: </w:t>
      </w:r>
      <w:hyperlink r:id="rId364">
        <w:r>
          <w:rPr>
            <w:color w:val="1155CC"/>
            <w:u w:val="single"/>
          </w:rPr>
          <w:t>10.1016/j.apenergy.2026.128473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65">
        <w:r>
          <w:rPr>
            <w:color w:val="1155CC"/>
            <w:u w:val="single"/>
          </w:rPr>
          <w:t>用于高效制氢的阴离子交换膜水电解的综合系统级建模</w:t>
        </w:r>
      </w:hyperlink>
    </w:p>
    <w:p>
      <w:pPr>
        <w:spacing w:before="0" w:after="80"/>
      </w:pPr>
      <w:r>
        <w:rPr>
          <w:i/>
          <w:sz w:val="20"/>
        </w:rPr>
        <w:t>EN: Comprehensive system level modeling of anion exchange membrane water electrolysis for high efficiency hydrogen production</w:t>
      </w:r>
    </w:p>
    <w:p>
      <w:pPr>
        <w:spacing w:before="0" w:after="120"/>
      </w:pPr>
      <w:r>
        <w:rPr>
          <w:b/>
        </w:rPr>
        <w:t xml:space="preserve">Source: </w:t>
      </w:r>
      <w:r>
        <w:t>ScienceDirect Publication: Applied Energy</w:t>
      </w:r>
      <w:r>
        <w:t xml:space="preserve">    </w:t>
      </w:r>
      <w:r>
        <w:rPr>
          <w:b/>
        </w:rPr>
        <w:t xml:space="preserve">Pub date: </w:t>
      </w:r>
      <w:r>
        <w:t>2026-07-19 00:00:00+00:00</w:t>
      </w:r>
      <w:r>
        <w:t xml:space="preserve">    </w:t>
      </w:r>
      <w:r>
        <w:rPr>
          <w:b/>
        </w:rPr>
        <w:t xml:space="preserve">DOI: </w:t>
      </w:r>
      <w:hyperlink r:id="rId366">
        <w:r>
          <w:rPr>
            <w:color w:val="1155CC"/>
            <w:u w:val="single"/>
          </w:rPr>
          <w:t>10.1016/j.apenergy.2026.128480</w:t>
        </w:r>
      </w:hyperlink>
    </w:p>
    <w:p>
      <w:pPr>
        <w:spacing w:before="0" w:after="120"/>
      </w:pPr>
      <w:r>
        <w:rPr>
          <w:b/>
        </w:rPr>
        <w:t xml:space="preserve">Notes: </w:t>
      </w:r>
      <w:r>
        <w:t>abstract_source=openalex</w:t>
      </w:r>
    </w:p>
    <w:p>
      <w:pPr>
        <w:spacing w:before="0" w:after="80" w:lineRule="auto" w:line="276"/>
      </w:pPr>
      <w:r>
        <w:rPr>
          <w:b/>
        </w:rPr>
        <w:t xml:space="preserve">摘要（ZH）: </w:t>
      </w:r>
      <w:r>
        <w:t>阴离子交换膜水电解（AEMWE）被认为是低成本、高效率绿色制氢的有前途的途径。在 Aspen Plus® 中开发并实现了一个综合系统模型，其中通过 Fortran 子程序嵌入了零维电化学堆栈，并在子程序中实现了迭代解决方案。该框架揭示了质量平衡和控制水管理的运行条件之间的耦合相互作用，并定量解决了以前通过数值方法在概念上处理的现象，从而能够直接量化水输送和系统行为的预测分析。展示了完整的工厂平衡 (BOP)（分离器、加热器、热交换器、泵、冷却器、冷凝器和干燥器），并在各种操作条件（电流密度、温度、压力）下进行了模拟。从电池电压、氢气纯度、水传输和 BOP 功耗方面对结果进行分析。主要发现包括：（1）随着电流密度从0.4增加到1.8 A/cm 2 ，阴极出口水流量减少了54.62%，强调了阴极水管理的必要性； (2)冷凝器的氢气纯度随操作条件变化很大，在0.4 A/cm 2 、40℃和50 bar下达到99.84%； (3) 对于具有适度能量损失的高产氢率，在 80°C 和 25 bar 下高电流密度下操作被认为是优选的。开发的建模框架作为 AEMWE 系统的可靠工具提供</w:t>
      </w:r>
    </w:p>
    <w:p>
      <w:pPr>
        <w:spacing w:before="0" w:after="200" w:lineRule="auto" w:line="276"/>
      </w:pPr>
      <w:r>
        <w:rPr>
          <w:b/>
        </w:rPr>
        <w:t xml:space="preserve">Abstract (EN): </w:t>
      </w:r>
      <w:r>
        <w:t>Anion exchange membrane water electrolysis (AEMWE) is recognized as a promising route to low cost, high efficiency green hydrogen production. A comprehensive system model was developed and implemented in Aspen Plus®, in which a zero dimensional electrochemical stack was embedded via a Fortran subroutine, along with an iterative solution scheme implemented within the subroutine. The framework reveals the coupled interaction between mass balance and operating conditions governing water management, and quantitatively resolves phenomena that were previously treated conceptually through a numerical method, enabling direct quantification of water transport and predictive analysis of system behavior. The full Balance of Plant (BOP) (separator, heater, heat exchanger, pumps, chiller, condenser, and dryer) was represented, and simulations were performed across various operating conditions (current density, temperature, pressure). The results are analyzed in terms of the cell voltage, hydrogen purity, water transport, and BOP power consumption. Key findings include: (1) the cathode outlet water flow was reduced by 54.62% as current density increased from 0.4 to 1.8 A/cm 2 , underscoring the necessity of cathode water management; (2) hydrogen purity at the condenser varied widely with operating conditions, reaching 99.84% at 0.4 A/cm 2 , 40 °C and 50 bar; and (3) for high hydrogen production with a moderate energy penalty, operating at 80 °C and 25 bar under high current density was identified as preferable. The developed modeling framework is provided as a reliable tool for AEMWE system design and optimization, enabling systematic evaluation of tradeoffs among efficiency, purity, and production rate.</w:t>
      </w:r>
    </w:p>
    <w:p>
      <w:pPr>
        <w:spacing w:before="120" w:after="120"/>
      </w:pPr>
      <w:r>
        <w:rPr>
          <w:sz w:val="18"/>
        </w:rPr>
        <w:t>——————————————————————————————————————————————————————————————————————</w:t>
      </w:r>
    </w:p>
    <w:p>
      <w:pPr>
        <w:spacing w:before="160" w:after="40" w:line="240" w:lineRule="auto"/>
      </w:pPr>
      <w:r>
        <w:rPr>
          <w:b/>
        </w:rPr>
        <w:t xml:space="preserve">[27] </w:t>
      </w:r>
      <w:hyperlink r:id="rId367">
        <w:r>
          <w:rPr>
            <w:color w:val="1155CC"/>
            <w:u w:val="single"/>
          </w:rPr>
          <w:t>异核 Rh-La 双原子位点实现乙醇蒸汽重整中路径控制的氢气生产</w:t>
        </w:r>
      </w:hyperlink>
    </w:p>
    <w:p>
      <w:pPr>
        <w:spacing w:before="0" w:after="80"/>
      </w:pPr>
      <w:r>
        <w:rPr>
          <w:i/>
          <w:sz w:val="20"/>
        </w:rPr>
        <w:t>EN: Heteronuclear Rh‐La Dual‐Atom Sites Enable Pathway‐Controlled Hydrogen Production in Ethanol Steam Reforming</w:t>
      </w:r>
    </w:p>
    <w:p>
      <w:pPr>
        <w:spacing w:before="0" w:after="120"/>
      </w:pPr>
      <w:r>
        <w:rPr>
          <w:b/>
        </w:rPr>
        <w:t xml:space="preserve">Source: </w:t>
      </w:r>
      <w:r>
        <w:t>Wiley: Angewandte Chemie International Edition: Table of Contents</w:t>
      </w:r>
      <w:r>
        <w:t xml:space="preserve">    </w:t>
      </w:r>
      <w:r>
        <w:rPr>
          <w:b/>
        </w:rPr>
        <w:t xml:space="preserve">Pub date: </w:t>
      </w:r>
      <w:r>
        <w:t>2026-07-19 10:24:36+00:00</w:t>
      </w:r>
      <w:r>
        <w:t xml:space="preserve">    </w:t>
      </w:r>
      <w:r>
        <w:rPr>
          <w:b/>
        </w:rPr>
        <w:t xml:space="preserve">DOI: </w:t>
      </w:r>
      <w:hyperlink r:id="rId368">
        <w:r>
          <w:rPr>
            <w:color w:val="1155CC"/>
            <w:u w:val="single"/>
          </w:rPr>
          <w:t>10.1002/anie.2800335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基本步骤之间的动力学匹配对于优化复杂反应中的催化性能至关重要，但合理设计活性位点来调节不同的步骤动力学仍然是一个挑战。在乙醇蒸汽重整（ESR）中，可持续制氢的重要途径，C-C裂解和水活化的内在无效动力学耦合常常导致副反应和失活。在这里，我们设计了具有互补功能的异核Rh-La双原子位点，其中Rh控制C-C键活化和碳中间体转化，而La促进水活化。这些位点是通过电子金属-载体相互作用 (EMSI) 构建的，其中孤立的 La 原子锚定在 Al 上</w:t>
      </w:r>
      <w:r>
        <w:rPr>
          <w:vertAlign w:val="subscript"/>
        </w:rPr>
        <w:t>2</w:t>
      </w:r>
      <w:r>
        <w:t>氧</w:t>
      </w:r>
      <w:r>
        <w:rPr>
          <w:vertAlign w:val="subscript"/>
        </w:rPr>
        <w:t>3</w:t>
      </w:r>
      <w:r>
        <w:t>电子稳定相邻的 Rh 原子，形成明确的 Rh-La 对。这种电子合作增强了水的活化，并将水煤气变换反应从氧化还原路线重定向到较低势垒的羧酸盐介导的路线。因此，下游 CO 转化加速，以匹配上游 C-C 裂解产生的 CO，从而实现关键顺序步骤的动力学同步。这导致途径控制的氢气生产，具有最高报道的 H</w:t>
      </w:r>
      <w:r>
        <w:rPr>
          <w:vertAlign w:val="subscript"/>
        </w:rPr>
        <w:t>2</w:t>
      </w:r>
      <w:r>
        <w:t>生产率 (80.5 L g</w:t>
      </w:r>
      <w:r>
        <w:t xml:space="preserve"> </w:t>
      </w:r>
      <w:r>
        <w:t>−1</w:t>
      </w:r>
      <w:r>
        <w:t xml:space="preserve"> </w:t>
      </w:r>
      <w:r>
        <w:t>小时</w:t>
      </w:r>
      <w:r>
        <w:t xml:space="preserve"> </w:t>
      </w:r>
      <w:r>
        <w:t>−1</w:t>
      </w:r>
      <w:r>
        <w:t xml:space="preserve"> </w:t>
      </w:r>
      <w:r>
        <w:t>）迄今为止和卓越的长期稳定性。此外，该策略可以</w:t>
      </w:r>
    </w:p>
    <w:p>
      <w:pPr>
        <w:spacing w:before="0" w:after="200" w:lineRule="auto" w:line="276"/>
      </w:pPr>
      <w:r>
        <w:rPr>
          <w:b/>
        </w:rPr>
        <w:t xml:space="preserve">Abstract (EN): </w:t>
      </w:r>
      <w:r>
        <w:t>Achieving kinetic matching among elementary steps is critical for optimizing catalytic performance in complex reactions, yet rationally designing active sites to regulate distinct step kinetics remains a challenge. In ethanol steam reforming (ESR), an important route for sustainable hydrogen production, intrinsic ineffective kinetic coupling of C–C cleavage and water activation often leads to side reactions and deactivation. Here, we designed heteronuclear Rh–La dual‐atom sites with complementary functions, where Rh governs C–C bond activation and carbon‐intermediate transformation, while La promotes water activation. These sites are constructed via electronic metal–support interactions (EMSIs), where isolated La atoms anchored on Al</w:t>
      </w:r>
      <w:r>
        <w:rPr>
          <w:vertAlign w:val="subscript"/>
        </w:rPr>
        <w:t>2</w:t>
      </w:r>
      <w:r>
        <w:t>O</w:t>
      </w:r>
      <w:r>
        <w:rPr>
          <w:vertAlign w:val="subscript"/>
        </w:rPr>
        <w:t>3</w:t>
      </w:r>
      <w:r>
        <w:t>electronically stabilize adjacent Rh atoms to form well‐defined Rh–La pairs. This electronic cooperation enhances water activation and redirects the water–gas shift reaction from a redox route to a lower‐barrier carboxylate‐mediated route. Consequently, downstream CO conversion is accelerated to match upstream CO generation from C‐C cleavage, enabling kinetic synchronization of key sequential steps. This leads to pathway‐controlled hydrogen production with the highest reported H</w:t>
      </w:r>
      <w:r>
        <w:rPr>
          <w:vertAlign w:val="subscript"/>
        </w:rPr>
        <w:t>2</w:t>
      </w:r>
      <w:r>
        <w:t>production rate (80.5 L g</w:t>
      </w:r>
      <w:r>
        <w:t xml:space="preserve"> </w:t>
      </w:r>
      <w:r>
        <w:t>−1</w:t>
      </w:r>
      <w:r>
        <w:t xml:space="preserve"> </w:t>
      </w:r>
      <w:r>
        <w:t>h</w:t>
      </w:r>
      <w:r>
        <w:t xml:space="preserve"> </w:t>
      </w:r>
      <w:r>
        <w:t>−1</w:t>
      </w:r>
      <w:r>
        <w:t xml:space="preserve"> </w:t>
      </w:r>
      <w:r>
        <w:t>) to date and exceptional long‐term stability. Furthermore, this strategy can be extended to other metal combinations, including Pd–La, Pt–La, and Ir–La, suggesting a general approach for designing cooperative catalytic sites for complex multistep reactions.</w:t>
      </w:r>
    </w:p>
    <w:p>
      <w:pPr>
        <w:spacing w:before="120" w:after="120"/>
      </w:pPr>
      <w:r>
        <w:rPr>
          <w:sz w:val="18"/>
        </w:rPr>
        <w:t>——————————————————————————————————————————————————————————————————————</w:t>
      </w:r>
    </w:p>
    <w:p>
      <w:pPr>
        <w:spacing w:before="160" w:after="40" w:line="240" w:lineRule="auto"/>
      </w:pPr>
      <w:r>
        <w:rPr>
          <w:b/>
        </w:rPr>
        <w:t xml:space="preserve">[28] </w:t>
      </w:r>
      <w:hyperlink r:id="rId369">
        <w:r>
          <w:rPr>
            <w:color w:val="1155CC"/>
            <w:u w:val="single"/>
          </w:rPr>
          <w:t>解偶联分子基序和超分子二聚体，用于中性生物质高效合成 FDCA</w:t>
        </w:r>
      </w:hyperlink>
    </w:p>
    <w:p>
      <w:pPr>
        <w:spacing w:before="0" w:after="80"/>
      </w:pPr>
      <w:r>
        <w:rPr>
          <w:i/>
          <w:sz w:val="20"/>
        </w:rPr>
        <w:t>EN: Decoupled Molecular Motifs and Supramolecular Dimers for Highly Efficient FDCA Synthesis from Neutral Biomass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370">
        <w:r>
          <w:rPr>
            <w:color w:val="1155CC"/>
            <w:u w:val="single"/>
          </w:rPr>
          <w:t>10.1021/jacs.6c03282</w:t>
        </w:r>
      </w:hyperlink>
    </w:p>
    <w:p>
      <w:pPr>
        <w:spacing w:before="0" w:after="120"/>
      </w:pPr>
      <w:r>
        <w:rPr>
          <w:b/>
        </w:rPr>
        <w:t xml:space="preserve">Notes: </w:t>
      </w:r>
      <w:r>
        <w:t>abstract_source=pubmed</w:t>
      </w:r>
    </w:p>
    <w:p>
      <w:pPr>
        <w:spacing w:before="0" w:after="80" w:lineRule="auto" w:line="276"/>
      </w:pPr>
      <w:r>
        <w:rPr>
          <w:b/>
        </w:rPr>
        <w:t xml:space="preserve">摘要（ZH）: </w:t>
      </w:r>
      <w:r>
        <w:t>太阳能驱动的生物质增值对于化学工业去石化至关重要。将丰富、低成本的 5-羟甲基糠醛 (HMF) 氧化为 2,5-呋喃二甲酸 (FDCA)（下一代生物塑料的关键单体）是一个长期追求的目标，但由于动力学缓慢、选择性差和碱性依赖性而受到阻碍。在这里，空间解耦的催化位点被设计在二维氮化碳（CN）上：边缘处的共价接枝氰胺（CA）基序和平面上的π-π堆叠J型镍酞菁（NiPc）二聚体。该设计具有时空级联电荷转移和双位点催化功能，在纯水中 HMF 重整过程中，与原始 CN 相比，HMF 转化率和 H2 析出率分别提高了 54 倍和 160 倍。 FDCA 产率达到 2.14 mmol g-1 h-1，选择性为 98.2%，优于基准系统。从根本上来说，CA 基序引导超快空穴引发的选择性 HMF 氧化，空穴转移速率为 2.4 × 1010 s-1（比 CN 快一个数量级）。由此产生的长寿命电子被底层 NiPc 提取，并通过其单个 Ni 原子转移到顶层单个 Ni 原子进行质子还原，电子转移率为 7.4 × 104 s-1。不对称电荷动力学抑制电荷复合，电荷转移效率高达 98.9%。</w:t>
      </w:r>
    </w:p>
    <w:p>
      <w:pPr>
        <w:spacing w:before="0" w:after="200" w:lineRule="auto" w:line="276"/>
      </w:pPr>
      <w:r>
        <w:rPr>
          <w:b/>
        </w:rPr>
        <w:t xml:space="preserve">Abstract (EN): </w:t>
      </w:r>
      <w:r>
        <w:t>Solar-driven biomass valorization is pivotal for defossilizing the chemical industry. The oxidation of abundant, low-cost 5-hydroxymethylfurfural (HMF) to 2,5-furandicarboxylic acid (FDCA)─a key monomer for next-generation bioplastics─is a long-sought goal yet hampered by sluggish kinetics, poor selectivity, and alkaline dependency. Here, spatially decoupled catalytic sites are engineered on two-dimensional carbon nitride (CN): covalently grafted cyanamide (CA) motifs at the edges and π-π stacked J-type nickel phthalocyanine (NiPc) dimers on the planes. This design features spatiotemporally cascaded charge transfer and dual-site catalysis, achieving 54- and 160-fold enhancements in the HMF conversion rate and H2 evolution rate, respectively, versus pristine CN, during HMF reforming in pure water. The FDCA production rate reaches 2.14 mmol g-1 h-1 with 98.2% selectivity, outperforming benchmark systems. Fundamentally, CA motifs steer an ultrafast hole-initiated selective HMF oxidation with a hole transfer rate of 2.4 × 1010 s-1 (an order of magnitude faster than CN). The resulting long-lived electrons are extracted by the bottom-layer NiPc and transferred via its single Ni atom to the top-layer single Ni atom for proton reduction, with an electron transfer rate of 7.4 × 104 s-1. The asymmetric charge kinetics suppresses charge recombination, yielding a charge transfer efficiency of 98.9%.</w:t>
      </w:r>
    </w:p>
    <w:p>
      <w:pPr>
        <w:spacing w:before="120" w:after="120"/>
      </w:pPr>
      <w:r>
        <w:rPr>
          <w:sz w:val="18"/>
        </w:rPr>
        <w:t>——————————————————————————————————————————————————————————————————————</w:t>
      </w:r>
    </w:p>
    <w:p>
      <w:pPr>
        <w:spacing w:before="160" w:after="40" w:line="240" w:lineRule="auto"/>
      </w:pPr>
      <w:r>
        <w:rPr>
          <w:b/>
        </w:rPr>
        <w:t xml:space="preserve">[29] </w:t>
      </w:r>
      <w:hyperlink r:id="rId371">
        <w:r>
          <w:rPr>
            <w:color w:val="1155CC"/>
            <w:u w:val="single"/>
          </w:rPr>
          <w:t>铂整体异质性实现高效无溶剂氢气生产</w:t>
        </w:r>
      </w:hyperlink>
    </w:p>
    <w:p>
      <w:pPr>
        <w:spacing w:before="0" w:after="80"/>
      </w:pPr>
      <w:r>
        <w:rPr>
          <w:i/>
          <w:sz w:val="20"/>
        </w:rPr>
        <w:t>EN: Platinum Ensemble Heterogeneity Enables Efficient Solvent-Free Hydrogen Production</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372">
        <w:r>
          <w:rPr>
            <w:color w:val="1155CC"/>
            <w:u w:val="single"/>
          </w:rPr>
          <w:t>10.1021/jacs.6c09904</w:t>
        </w:r>
      </w:hyperlink>
    </w:p>
    <w:p>
      <w:pPr>
        <w:spacing w:before="0" w:after="120"/>
      </w:pPr>
      <w:r>
        <w:rPr>
          <w:b/>
        </w:rPr>
        <w:t xml:space="preserve">Notes: </w:t>
      </w:r>
      <w:r>
        <w:t>abstract_source=pubmed</w:t>
      </w:r>
    </w:p>
    <w:p>
      <w:pPr>
        <w:spacing w:before="0" w:after="80" w:lineRule="auto" w:line="276"/>
      </w:pPr>
      <w:r>
        <w:rPr>
          <w:b/>
        </w:rPr>
        <w:t xml:space="preserve">摘要（ZH）: </w:t>
      </w:r>
      <w:r>
        <w:t>基于环烷烃/芳香族对的液态有机氢载体（LOHC）有望用于安全的氢储存和运输，但其实际应用受到脱氢动力学缓慢和工作条件下催化剂失活的限制。在此，我们报告了一种合理设计的负载在弯曲石墨烯涂层纳米金刚石（ND@G）上的铂催化剂，其中完全暴露的亚纳米Pt簇（Ptn）和三维Pt簇（Ptc）紧密集成在载体（Ptn+c/ND@G）上，它在双环己基和其他代表性环烷烃的无溶剂脱氢中显着提高了氢气产量，优于单一对应催化剂或其物理混合物，同时保持良好的可回收性。机理研究与密度泛函理论计算相结合表明，这种协同效应源于这些各自的 Pt 团簇之间的合作：Ptc 位点比 Ptn 团簇具有更高的 C-H 键激活内在活性，但更容易中毒。相比之下，Ptn 簇虽然对底物活化活性较低，但在芳香族吸附物存在的情况下仍然有效。 Ptn 簇上产生的氢可以通过支持介导的溢出来削弱邻近 Ptc 位点上的产物结合。结果，中毒得到缓解，活性 Ptc 位点不断再生，整体脱氢性能得到增强。这些发现为开发高性能 LOHC 脱水机提供了一般设计原则</w:t>
      </w:r>
    </w:p>
    <w:p>
      <w:pPr>
        <w:spacing w:before="0" w:after="200" w:lineRule="auto" w:line="276"/>
      </w:pPr>
      <w:r>
        <w:rPr>
          <w:b/>
        </w:rPr>
        <w:t xml:space="preserve">Abstract (EN): </w:t>
      </w:r>
      <w:r>
        <w:t>Liquid organic hydrogen carriers (LOHCs) based on cycloalkane/aromatic pairs are promising for safe hydrogen storage and transportation, but their practical implementation is limited by sluggish dehydrogenation kinetics and catalyst deactivation under working conditions. Herein, we report a rationally designed platinum catalyst supported on curved graphene-coated nanodiamond (ND@G), in which fully exposed subnanometric Pt clusters (Ptn) and three-dimensional Pt clusters (Ptc) are integrated in close proximity on the support (Ptn+c/ND@G), which delivers remarkably enhanced hydrogen production in the solvent-free dehydrogenation of bicyclohexyl and other representative cycloalkanes, outperforming either single-counterpart catalysts or their physical mixtures while maintaining good recyclability. Mechanistic investigations combined with density functional theory calculations demonstrate that this synergistic effect originates from the cooperation between these respective Pt ensembles: Ptc sites possess higher intrinsic activity for C-H bond activation than Ptn clusters, yet are more susceptible to poisoning. By contrast, Ptn clusters, although less active for substrate activation, remain operative in the presence of aromatic adsorbates. Hydrogen generated on Ptn clusters can weaken product binding on adjacent Ptc sites via support-mediated spillover. As a result, poisoning is mitigated, active Ptc sites are continuously regenerated, and overall dehydrogenation performance is enhanced. These findings provide a general design principle for developing high-performance LOHC dehydrogenation catalysts through Pt ensemble engineering and support-mediated hydrogen management.</w:t>
      </w:r>
    </w:p>
    <w:p>
      <w:pPr>
        <w:spacing w:before="120" w:after="120"/>
      </w:pPr>
      <w:r>
        <w:rPr>
          <w:sz w:val="18"/>
        </w:rPr>
        <w:t>——————————————————————————————————————————————————————————————————————</w:t>
      </w:r>
    </w:p>
    <w:p>
      <w:pPr>
        <w:spacing w:before="160" w:after="40" w:line="240" w:lineRule="auto"/>
      </w:pPr>
      <w:r>
        <w:rPr>
          <w:b/>
        </w:rPr>
        <w:t xml:space="preserve">[30] </w:t>
      </w:r>
      <w:hyperlink r:id="rId373">
        <w:r>
          <w:rPr>
            <w:color w:val="1155CC"/>
            <w:u w:val="single"/>
          </w:rPr>
          <w:t>用 H2 热化学还原 CO2 生成甲醇的综述：重点是克服平衡限制</w:t>
        </w:r>
      </w:hyperlink>
    </w:p>
    <w:p>
      <w:pPr>
        <w:spacing w:before="0" w:after="80"/>
      </w:pPr>
      <w:r>
        <w:rPr>
          <w:i/>
          <w:sz w:val="20"/>
        </w:rPr>
        <w:t>EN: A review on thermochemical reduction of CO2 with H2 to methanol: focusing on overcoming equilibrium limitations</w:t>
      </w:r>
    </w:p>
    <w:p>
      <w:pPr>
        <w:spacing w:before="0" w:after="120"/>
      </w:pPr>
      <w:r>
        <w:rPr>
          <w:b/>
        </w:rPr>
        <w:t xml:space="preserve">Source: </w:t>
      </w:r>
      <w:r>
        <w:t>ScienceDirect Publication: Applied Energy</w:t>
      </w:r>
      <w:r>
        <w:t xml:space="preserve">    </w:t>
      </w:r>
      <w:r>
        <w:rPr>
          <w:b/>
        </w:rPr>
        <w:t xml:space="preserve">Pub date: </w:t>
      </w:r>
      <w:r>
        <w:t>2026-07-20 00:00:00+00:00</w:t>
      </w:r>
      <w:r>
        <w:t xml:space="preserve">    </w:t>
      </w:r>
      <w:r>
        <w:rPr>
          <w:b/>
        </w:rPr>
        <w:t xml:space="preserve">DOI: </w:t>
      </w:r>
      <w:hyperlink r:id="rId374">
        <w:r>
          <w:rPr>
            <w:color w:val="1155CC"/>
            <w:u w:val="single"/>
          </w:rPr>
          <w:t>10.1016/j.apenergy.2026.128455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375">
        <w:r>
          <w:rPr>
            <w:color w:val="1155CC"/>
            <w:u w:val="single"/>
          </w:rPr>
          <w:t>使用镧功能化 MXene 衍生催化剂在中温下实现 Mg-Ni-Y 合金的优异加氢性能</w:t>
        </w:r>
      </w:hyperlink>
    </w:p>
    <w:p>
      <w:pPr>
        <w:spacing w:before="0" w:after="80"/>
      </w:pPr>
      <w:r>
        <w:rPr>
          <w:i/>
          <w:sz w:val="20"/>
        </w:rPr>
        <w:t>EN: Superior Hydrogenation Performance of Mg-Ni-Y Alloys at a Moderate Temperature with Lanthanum-Functionalized MXene-Derived Catalysts</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376">
        <w:r>
          <w:rPr>
            <w:color w:val="1155CC"/>
            <w:u w:val="single"/>
          </w:rPr>
          <w:t>10.1021/acsami.6c02820</w:t>
        </w:r>
      </w:hyperlink>
    </w:p>
    <w:p>
      <w:pPr>
        <w:spacing w:before="0" w:after="120"/>
      </w:pPr>
      <w:r>
        <w:rPr>
          <w:b/>
        </w:rPr>
        <w:t xml:space="preserve">Notes: </w:t>
      </w:r>
      <w:r>
        <w:t>abstract_source=pubmed</w:t>
      </w:r>
    </w:p>
    <w:p>
      <w:pPr>
        <w:spacing w:before="0" w:after="80" w:lineRule="auto" w:line="276"/>
      </w:pPr>
      <w:r>
        <w:rPr>
          <w:b/>
        </w:rPr>
        <w:t xml:space="preserve">摘要（ZH）: </w:t>
      </w:r>
      <w:r>
        <w:t>尽管镁基合金具有有吸引力的储氢能力和经济优势，但其实际应用仍面临脱氢温度高和吸附动力学不足等关键障碍。为了克服这些障碍，开发了一种二维层状 Lax@Ti3C2 衍生催化剂，它对 Mg-4Ni-2Y 合金表现出高催化活性。 Mg-4Ni-2Y + 10 wt% La0.2@Ti3C2 复合材料不仅将起始吸收/解吸温度降低至 23.3 °C 和 265.5 °C，而且使复合材料能够实现优异的吸附动力学，在 150 °C 下 1 分钟内吸收 4.80 wt% H2，并在 350 °C 下 4 分钟内释放 5.16 wt% H2。 °C。此外，复合材料的表观活化能（Ea）大幅降低至85.22±2.38 kJ/mol，从而降低了脱氢温度并加速了动力学。系统分析表明，催化增强主要与高度分散的 TiO 物质有关，这些物质被认为是氢解离和重组的主要活性位点。 La装饰被认为作为电子促进剂，调节Ti位点的电子结构并稳定界面环境。这种协同的 Ti-La 相互作用促进氢活化和界面转移，而不改变固有的 Mg/MgH2 热力学，从而显着加速氢吸附动力学。</w:t>
      </w:r>
    </w:p>
    <w:p>
      <w:pPr>
        <w:spacing w:before="0" w:after="200" w:lineRule="auto" w:line="276"/>
      </w:pPr>
      <w:r>
        <w:rPr>
          <w:b/>
        </w:rPr>
        <w:t xml:space="preserve">Abstract (EN): </w:t>
      </w:r>
      <w:r>
        <w:t>The practical deployment of magnesium-based alloys, despite their attractive hydrogen-storage capacity and economical advantage, faces critical barriers in the form of high dehydrogenation temperatures and inadequate sorption kinetics. To overcome these barriers, a two-dimensional layered Lax@Ti3C2-derived catalyst was therefore developed, which exhibits high catalytic activity toward the Mg-4Ni-2Y alloy. The Mg-4Ni-2Y + 10 wt % La0.2@Ti3C2 composite not only lowered the onset absorption/desorption temperatures to 23.3 °C and 265.5 °C but also enabled the composite to achieve superior sorption kinetics, absorbing 4.80 wt % H2 in 1 min at 150 °C and releasing 5.16 wt % H2 in 4 min at 350 °C. Furthermore, the apparent activation energy (Ea) was substantially reduced to 85.22 ± 2.38 kJ/mol for the composite, thereby decreasing the dehydrogenation temperature and accelerating the kinetics. Systematic analysis suggests that the catalytic enhancement is primarily associated with highly dispersed Ti0 species, which are proposed to act as the primary active sites for hydrogen dissociation and recombination. La decoration is suggested to serve as an electronic promoter, modulating the electronic structure of Ti sites and stabilizing the interfacial environment. This synergistic Ti-La interaction facilitates hydrogen activation and interfacial transfer without altering the intrinsic Mg/MgH2 thermodynamics, thereby significantly accelerating hydrogen sorption kinetics.</w:t>
      </w:r>
    </w:p>
    <w:p>
      <w:pPr>
        <w:spacing w:before="120" w:after="120"/>
      </w:pPr>
      <w:r>
        <w:rPr>
          <w:sz w:val="18"/>
        </w:rPr>
        <w:t>——————————————————————————————————————————————————————————————————————</w:t>
      </w:r>
    </w:p>
    <w:p>
      <w:pPr>
        <w:spacing w:before="160" w:after="40" w:line="240" w:lineRule="auto"/>
      </w:pPr>
      <w:r>
        <w:rPr>
          <w:b/>
        </w:rPr>
        <w:t xml:space="preserve">[32] </w:t>
      </w:r>
      <w:hyperlink r:id="rId377">
        <w:r>
          <w:rPr>
            <w:color w:val="1155CC"/>
            <w:u w:val="single"/>
          </w:rPr>
          <w:t>用于太阳能驱动的燃料和化学品生产的废物原料的光重整和光电重整</w:t>
        </w:r>
      </w:hyperlink>
    </w:p>
    <w:p>
      <w:pPr>
        <w:spacing w:before="0" w:after="80"/>
      </w:pPr>
      <w:r>
        <w:rPr>
          <w:i/>
          <w:sz w:val="20"/>
        </w:rPr>
        <w:t>EN: Photoreforming and Photoelectroreforming of Waste‐Derived Feedstocks for Solar‐Driven Production of Fuels and Chemicals</w:t>
      </w:r>
    </w:p>
    <w:p>
      <w:pPr>
        <w:spacing w:before="0" w:after="120"/>
      </w:pPr>
      <w:r>
        <w:rPr>
          <w:b/>
        </w:rPr>
        <w:t xml:space="preserve">Source: </w:t>
      </w:r>
      <w:r>
        <w:t>Wiley: Advanced Materials: Table of Contents</w:t>
      </w:r>
      <w:r>
        <w:t xml:space="preserve">    </w:t>
      </w:r>
      <w:r>
        <w:rPr>
          <w:b/>
        </w:rPr>
        <w:t xml:space="preserve">Pub date: </w:t>
      </w:r>
      <w:r>
        <w:t>2026-07-20 11:55:54+00:00</w:t>
      </w:r>
      <w:r>
        <w:t xml:space="preserve">    </w:t>
      </w:r>
      <w:r>
        <w:rPr>
          <w:b/>
        </w:rPr>
        <w:t xml:space="preserve">DOI: </w:t>
      </w:r>
      <w:hyperlink r:id="rId378">
        <w:r>
          <w:rPr>
            <w:color w:val="1155CC"/>
            <w:u w:val="single"/>
          </w:rPr>
          <w:t>10.1002/adma.74030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重整和光电重整已成为太阳能驱动的废物原料增值的有前途的策略，为燃料和商品化学品提供了可持续的途径。与传统的热化学和生物过程不同，这些光催化和光电催化方法在温和的条件下运行，利用太阳能来激活复杂的有机底物。人工光合作用的最新进展，包括催化剂设计、反应工程和界面电荷动力学，在提高选择性和效率方面显示出了希望，但基本挑战仍然存在。由于复杂的电荷转移动力学、竞争性表面反应以及操作条件下有限的稳定性，精确控制反应路径和抑制不良副反应仍然很困难。应对这些挑战需要合理的催化剂设计以优化电荷传输，调节氧化还原环境以提高选择性，以及开发最大化光子利用率和传质效率的反应器架构。这篇综述批判性地研究了光催化和光电催化废物增值的机械原理，并讨论了主要的催化挑战。最后，评估了工艺集成和放大过程中的关键挑战，并概述了循环碳和氢系统中光重整实际实施的未来方向。</w:t>
      </w:r>
    </w:p>
    <w:p>
      <w:pPr>
        <w:spacing w:before="0" w:after="200" w:lineRule="auto" w:line="276"/>
      </w:pPr>
      <w:r>
        <w:rPr>
          <w:b/>
        </w:rPr>
        <w:t xml:space="preserve">Abstract (EN): </w:t>
      </w:r>
      <w:r>
        <w:t>Photoreforming and photoelectroreforming have emerged as promising strategies for the solar‐driven valorization of waste‐derived feedstocks, offering a sustainable route to fuels and commodity chemicals. Unlike conventional thermochemical and biological processes, these photocatalytic and photoelectrocatalytic approaches operate under mild conditions, leveraging solar energy to activate complex organic substrates. Recent advances in artificial photosynthesis, including catalyst design, reaction engineering, and interfacial charge dynamics, have shown promise in improving selectivity and efficiency, yet fundamental challenges remain. Precise control over reaction pathways and suppression of undesirable side reactions remain difficult due to complex charge transfer kinetics, competing surface reactions, and limited stability under operational conditions. Addressing these challenges requires rational catalyst design to optimize charge transport, modulation of redox environments to enhance selectivity, and development of reactor architectures that maximize photon utilization and mass transfer efficiency. This review critically examines the mechanistic principles governing photocatalytic and photoelectrocatalytic waste valorization and discusses the central catalytic challenges. Finally, key challenges in process integration and scale‐up are assessed, and future directions are outlined for practical implementation of photoreforming in circular carbon and hydrogen systems.</w:t>
      </w:r>
    </w:p>
    <w:p>
      <w:pPr>
        <w:spacing w:before="120" w:after="120"/>
      </w:pPr>
      <w:r>
        <w:rPr>
          <w:sz w:val="18"/>
        </w:rPr>
        <w:t>——————————————————————————————————————————————————————————————————————</w:t>
      </w:r>
    </w:p>
    <w:p>
      <w:pPr>
        <w:spacing w:before="160" w:after="40" w:line="240" w:lineRule="auto"/>
      </w:pPr>
      <w:r>
        <w:rPr>
          <w:b/>
        </w:rPr>
        <w:t xml:space="preserve">[33] </w:t>
      </w:r>
      <w:hyperlink r:id="rId379">
        <w:r>
          <w:rPr>
            <w:color w:val="1155CC"/>
            <w:u w:val="single"/>
          </w:rPr>
          <w:t>π共轭对齐极性[CO3]三角形协同羟基化使氢压电演化的应力增强几何电子不对称性成为可能</w:t>
        </w:r>
      </w:hyperlink>
    </w:p>
    <w:p>
      <w:pPr>
        <w:spacing w:before="0" w:after="80"/>
      </w:pPr>
      <w:r>
        <w:rPr>
          <w:i/>
          <w:sz w:val="20"/>
        </w:rPr>
        <w:t>EN: π‐Conjugated Aligned Polar [CO3] Triangulars Synergizing Hydroxylation Enables Stress‐Enhanced Geometric–Electronic Asymmetries for Hydrogen Piezoevolution</w:t>
      </w:r>
    </w:p>
    <w:p>
      <w:pPr>
        <w:spacing w:before="0" w:after="120"/>
      </w:pPr>
      <w:r>
        <w:rPr>
          <w:b/>
        </w:rPr>
        <w:t xml:space="preserve">Source: </w:t>
      </w:r>
      <w:r>
        <w:t>Wiley: Advanced Materials: Table of Contents</w:t>
      </w:r>
      <w:r>
        <w:t xml:space="preserve">    </w:t>
      </w:r>
      <w:r>
        <w:rPr>
          <w:b/>
        </w:rPr>
        <w:t xml:space="preserve">Pub date: </w:t>
      </w:r>
      <w:r>
        <w:t>2026-07-20 11:58:22+00:00</w:t>
      </w:r>
      <w:r>
        <w:t xml:space="preserve">    </w:t>
      </w:r>
      <w:r>
        <w:rPr>
          <w:b/>
        </w:rPr>
        <w:t xml:space="preserve">DOI: </w:t>
      </w:r>
      <w:hyperlink r:id="rId380">
        <w:r>
          <w:rPr>
            <w:color w:val="1155CC"/>
            <w:u w:val="single"/>
          </w:rPr>
          <w:t>10.1002/adma.74229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压电催化水分解为析氢提供了可持续的途径，但受到弱极性和压力下缓慢的电荷分离动力学的挑战。在此，我们报道了强极性羟基化Bi</w:t>
      </w:r>
      <w:r>
        <w:rPr>
          <w:vertAlign w:val="subscript"/>
        </w:rPr>
        <w:t>2</w:t>
      </w:r>
      <w:r>
        <w:t>氧</w:t>
      </w:r>
      <w:r>
        <w:rPr>
          <w:vertAlign w:val="subscript"/>
        </w:rPr>
        <w:t>2</w:t>
      </w:r>
      <w:r>
        <w:t>一氧化碳</w:t>
      </w:r>
      <w:r>
        <w:rPr>
          <w:vertAlign w:val="subscript"/>
        </w:rPr>
        <w:t>3</w:t>
      </w:r>
      <w:r>
        <w:t>（BOC）可扩展合成，其特征为非中心对称（NCS）平面三角形[CO</w:t>
      </w:r>
      <w:r>
        <w:rPr>
          <w:vertAlign w:val="subscript"/>
        </w:rPr>
        <w:t>3</w:t>
      </w:r>
      <w:r>
        <w:t>]基团和表面羟基，可用作析氢的强大压电催化剂。对齐的 NCS 平面 [CO</w:t>
      </w:r>
      <w:r>
        <w:rPr>
          <w:vertAlign w:val="subscript"/>
        </w:rPr>
        <w:t>3</w:t>
      </w:r>
      <w:r>
        <w:t>] BOC中的三角形能够定向积累偶极矩以产生强烈的自发极化，并且固有的离域</w:t>
      </w:r>
      <w:r>
        <w:t xml:space="preserve"> </w:t>
      </w:r>
      <w:r>
        <w:t>π</w:t>
      </w:r>
      <w:r>
        <w:t xml:space="preserve"> </w:t>
      </w:r>
      <w:r>
        <w:t>‐这些结构单元内的电子构建了一条共轭高速公路，最大限度地减少了电荷迁移阻力。进一步的外部机械应力会引发高度各向异性的晶格响应；具体来说，沿着</w:t>
      </w:r>
      <w:r>
        <w:t xml:space="preserve"> </w:t>
      </w:r>
      <w:r>
        <w:t>乙</w:t>
      </w:r>
      <w:r>
        <w:t xml:space="preserve"> </w:t>
      </w:r>
      <w:r>
        <w:t>‐轴引起极端的几何和电子不对称性，从而放大层间内部电场（IEF）以进行电荷分离。当与表面羟基化协同作用时，这种应力引起的结构变形显着降低了电子逃逸的功函数和界面动力学势垒。因此，羟基化的BOC催化剂实现了超高压电催化H</w:t>
      </w:r>
      <w:r>
        <w:rPr>
          <w:vertAlign w:val="subscript"/>
        </w:rPr>
        <w:t>2</w:t>
      </w:r>
    </w:p>
    <w:p>
      <w:pPr>
        <w:spacing w:before="0" w:after="200" w:lineRule="auto" w:line="276"/>
      </w:pPr>
      <w:r>
        <w:rPr>
          <w:b/>
        </w:rPr>
        <w:t xml:space="preserve">Abstract (EN): </w:t>
      </w:r>
      <w:r>
        <w:t>Piezocatalytic water splitting offers a sustainable route for hydrogen evolution, yet is challenged by weak polarity and slow charge separation kinetics under stress. Herein, we report strong polar hydroxylated Bi</w:t>
      </w:r>
      <w:r>
        <w:rPr>
          <w:vertAlign w:val="subscript"/>
        </w:rPr>
        <w:t>2</w:t>
      </w:r>
      <w:r>
        <w:t>O</w:t>
      </w:r>
      <w:r>
        <w:rPr>
          <w:vertAlign w:val="subscript"/>
        </w:rPr>
        <w:t>2</w:t>
      </w:r>
      <w:r>
        <w:t>CO</w:t>
      </w:r>
      <w:r>
        <w:rPr>
          <w:vertAlign w:val="subscript"/>
        </w:rPr>
        <w:t>3</w:t>
      </w:r>
      <w:r>
        <w:t>(BOC) synthesized scalably, characterized by noncentrosymmetric (NCS) planar triangular [CO</w:t>
      </w:r>
      <w:r>
        <w:rPr>
          <w:vertAlign w:val="subscript"/>
        </w:rPr>
        <w:t>3</w:t>
      </w:r>
      <w:r>
        <w:t>] groups and surface hydroxyls, which applies as a robust piezocatalyst for hydrogen evolution. The aligned NCS planar [CO</w:t>
      </w:r>
      <w:r>
        <w:rPr>
          <w:vertAlign w:val="subscript"/>
        </w:rPr>
        <w:t>3</w:t>
      </w:r>
      <w:r>
        <w:t>] triangulars in BOC enable oriented accumulation of dipole moments to produce strong spontaneous polarization, and the intrinsic delocalized</w:t>
      </w:r>
      <w:r>
        <w:t xml:space="preserve"> </w:t>
      </w:r>
      <w:r>
        <w:t>π</w:t>
      </w:r>
      <w:r>
        <w:t xml:space="preserve"> </w:t>
      </w:r>
      <w:r>
        <w:t>‐electrons within these structural units construct a conjugation freeway that minimizes charge migration resistance. Further external mechanical stress triggers a highly anisotropic lattice response; specifically, compression along the</w:t>
      </w:r>
      <w:r>
        <w:t xml:space="preserve"> </w:t>
      </w:r>
      <w:r>
        <w:t>b</w:t>
      </w:r>
      <w:r>
        <w:t xml:space="preserve"> </w:t>
      </w:r>
      <w:r>
        <w:t>‐axis induces extreme geometric and electronic asymmetries that amplify the interlayer internal electric field (IEF) for charge separation. When synergistically coupled with surface hydroxylation, this stress‐induced structural distortion significantly lowers the work function and interfacial kinetic barrier for electron escape. Consequently, the hydroxylated BOC catalyst achieves an ultrahigh piezocatalytic H</w:t>
      </w:r>
      <w:r>
        <w:rPr>
          <w:vertAlign w:val="subscript"/>
        </w:rPr>
        <w:t>2</w:t>
      </w:r>
      <w:r>
        <w:t>evolution rate of 3055 µmol·g</w:t>
      </w:r>
      <w:r>
        <w:t xml:space="preserve"> </w:t>
      </w:r>
      <w:r>
        <w:t>−1</w:t>
      </w:r>
      <w:r>
        <w:t xml:space="preserve"> </w:t>
      </w:r>
      <w:r>
        <w:t>·h</w:t>
      </w:r>
      <w:r>
        <w:t xml:space="preserve"> </w:t>
      </w:r>
      <w:r>
        <w:t>−1</w:t>
      </w:r>
      <w:r>
        <w:t xml:space="preserve"> </w:t>
      </w:r>
      <w:r>
        <w:t>and a record mechanical‐to‐hydrogen (MTH) energy conversion efficiency of 0.31% in pure water. It also maintains robust H</w:t>
      </w:r>
      <w:r>
        <w:rPr>
          <w:vertAlign w:val="subscript"/>
        </w:rPr>
        <w:t>2</w:t>
      </w:r>
      <w:r>
        <w:t>evolution from real‐world aquatic matrices, including rainwater, seawater, and antibiotic wastewater. This work establishes a polar group design‐oriented paradigm for exploiting advanced piezocatalysts.</w:t>
      </w:r>
    </w:p>
    <w:p>
      <w:pPr>
        <w:spacing w:before="120" w:after="120"/>
      </w:pPr>
      <w:r>
        <w:rPr>
          <w:sz w:val="18"/>
        </w:rPr>
        <w:t>——————————————————————————————————————————————————————————————————————</w:t>
      </w:r>
    </w:p>
    <w:p>
      <w:pPr>
        <w:spacing w:before="160" w:after="40" w:line="240" w:lineRule="auto"/>
      </w:pPr>
      <w:r>
        <w:rPr>
          <w:b/>
        </w:rPr>
        <w:t xml:space="preserve">[34] </w:t>
      </w:r>
      <w:hyperlink r:id="rId381">
        <w:r>
          <w:rPr>
            <w:color w:val="1155CC"/>
            <w:u w:val="single"/>
          </w:rPr>
          <w:t>在含水层驱动的储层中实现大规模地下储氢：综合技术和经济可行性</w:t>
        </w:r>
      </w:hyperlink>
    </w:p>
    <w:p>
      <w:pPr>
        <w:spacing w:before="0" w:after="80"/>
      </w:pPr>
      <w:r>
        <w:rPr>
          <w:i/>
          <w:sz w:val="20"/>
        </w:rPr>
        <w:t>EN: Enabling large-scale underground hydrogen storage in aquifer-driven reservoirs: Integrated technology and economic feasibility</w:t>
      </w:r>
    </w:p>
    <w:p>
      <w:pPr>
        <w:spacing w:before="0" w:after="120"/>
      </w:pPr>
      <w:r>
        <w:rPr>
          <w:b/>
        </w:rPr>
        <w:t xml:space="preserve">Source: </w:t>
      </w:r>
      <w:r>
        <w:t>ScienceDirect Publication: Applied Energy</w:t>
      </w:r>
      <w:r>
        <w:t xml:space="preserve">    </w:t>
      </w:r>
      <w:r>
        <w:rPr>
          <w:b/>
        </w:rPr>
        <w:t xml:space="preserve">Pub date: </w:t>
      </w:r>
      <w:r>
        <w:t>2026-07-21 00:00:00+00:00</w:t>
      </w:r>
      <w:r>
        <w:t xml:space="preserve">    </w:t>
      </w:r>
      <w:r>
        <w:rPr>
          <w:b/>
        </w:rPr>
        <w:t xml:space="preserve">DOI: </w:t>
      </w:r>
      <w:hyperlink r:id="rId382">
        <w:r>
          <w:rPr>
            <w:color w:val="1155CC"/>
            <w:u w:val="single"/>
          </w:rPr>
          <w:t>10.1016/j.apenergy.2026.128476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383">
        <w:r>
          <w:rPr>
            <w:color w:val="1155CC"/>
            <w:u w:val="single"/>
          </w:rPr>
          <w:t>缺陷工程 FeMoO 4 /CeS 2 双相中的协同活性位点用于高效常温电催化氨合成</w:t>
        </w:r>
      </w:hyperlink>
    </w:p>
    <w:p>
      <w:pPr>
        <w:spacing w:before="0" w:after="80"/>
      </w:pPr>
      <w:r>
        <w:rPr>
          <w:i/>
          <w:sz w:val="20"/>
        </w:rPr>
        <w:t>EN: Synergistic Active Sites in a Defect-Engineered FeMoO 4 /CeS 2 Diphase for Highly Efficient Ambient Electrocatalytic Ammonia Synthesis</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384">
        <w:r>
          <w:rPr>
            <w:color w:val="1155CC"/>
            <w:u w:val="single"/>
          </w:rPr>
          <w:t>10.1021/acsami.6c07254</w:t>
        </w:r>
      </w:hyperlink>
    </w:p>
    <w:p>
      <w:pPr>
        <w:spacing w:before="0" w:after="120"/>
      </w:pPr>
      <w:r>
        <w:rPr>
          <w:b/>
        </w:rPr>
        <w:t xml:space="preserve">Notes: </w:t>
      </w:r>
      <w:r>
        <w:t>abstract_source=pubmed</w:t>
      </w:r>
    </w:p>
    <w:p>
      <w:pPr>
        <w:spacing w:before="0" w:after="80" w:lineRule="auto" w:line="276"/>
      </w:pPr>
      <w:r>
        <w:rPr>
          <w:b/>
        </w:rPr>
        <w:t xml:space="preserve">摘要（ZH）: </w:t>
      </w:r>
      <w:r>
        <w:t>由于氮气活化缓慢和竞争性析氢反应（HER），开发用于环境氮还原反应（NRR）的高效电催化剂仍然具有挑战性。在这里，我们报告了直接在泡沫镍（NF）上生长的缺陷工程 FeMoO4/CeS2 双相，用于在环境条件下高效电化学氨合成。 Fe/Mo/Ce 摩尔比的系统调节建立了清晰的成分-活性关系，优化的 FeMoCe (2:4:1) (2-FeMoCe) 催化剂可提供 5124 μg cm-2 h-1 (1139 μg mgcat-1 h-1) 的 NH3 产率，-0.70 V 时的法拉第效率 (FE) 为 46%（相对于中性 0.5 M 的 RHE）硫酸钠。在膜分离的单堆电池配置中，催化剂保持了强大的性能，达到 2451 μg cm-2 h-1 (613 μg mgcat-1 h-1)，FE 为 35.01%，突出了其实际相关性。全面的结构和电子分析揭示了一种富含缺陷的氧化物-硫化物双相，具有丰富的氧空位 (VO2+)、混合价 Fe2+/Fe3+ 和 Ce3+/Ce4+ 物质以及增强的界面电子耦合。光谱和电化学结果证实了 Fe 掺入后缺陷富集，伴随着电化学活性表面积的增加和电荷转移电阻 (Rct) 的降低。原位振动分析识别了表面结合的 -NHx 中间体，与吸附的氮物质向 NH3 形成的顺序氢化一致。卓越的 NRR 性能归因于协同界面活性位点，可促进缺陷介导的 N2 激活</w:t>
      </w:r>
    </w:p>
    <w:p>
      <w:pPr>
        <w:spacing w:before="0" w:after="200" w:lineRule="auto" w:line="276"/>
      </w:pPr>
      <w:r>
        <w:rPr>
          <w:b/>
        </w:rPr>
        <w:t xml:space="preserve">Abstract (EN): </w:t>
      </w:r>
      <w:r>
        <w:t>The development of efficient electrocatalysts for the ambient nitrogen reduction reaction (NRR) remains challenging due to sluggish N2 activation and the competing hydrogen evolution reaction (HER). Here, we report a defect-engineered FeMoO4/CeS2 diphase grown directly on nickel foam (NF) for efficient electrochemical ammonia synthesis under ambient conditions. Systematic tuning of the Fe/Mo/Ce molar ratio establishes a clear composition-activity relationship, with the optimized FeMoCe (2:4:1) (2-FeMoCe) catalyst delivering an NH3 yield rate of 5124 μg cm-2 h-1 (1139 μg mgcat-1 h-1) and a Faradaic efficiency (FE) of 46% at -0.70 V vs RHE in neutral 0.5 M Na2SO4. In a membrane-separated single stack-cell configuration, the catalyst maintains strong performance, achieving 2451 μg cm-2 h-1 (613 μg mgcat-1 h-1) with an FE of 35.01%, highlighting its practical relevance. Comprehensive structural and electronic analyses reveal a defect-rich oxide-sulfide diphase featuring abundant oxygen vacancies (VO2+), mixed-valence Fe2+/Fe3+ and Ce3+/Ce4+ species, and enhanced interfacial electronic coupling. Spectroscopic and electrochemical results confirm defect enrichment upon Fe incorporation, accompanied by increased electrochemically active surface area and lower charge-transfer resistance (Rct). In situ vibrational analysis identifies surface-bound -NHx intermediates, consistent with the sequential hydrogenation of adsorbed nitrogen species toward NH3 formation. The superior NRR performance is attributed to synergistic interfacial active sites that promote defect-mediated N2 activation, facilitate charge redistribution, and suppress HER. This work demonstrates that rational defects and diphase engineering are an effective strategy for advancing sustainable ammonia electrosynthesis.</w:t>
      </w:r>
    </w:p>
    <w:p>
      <w:pPr>
        <w:spacing w:before="120" w:after="120"/>
      </w:pPr>
      <w:r>
        <w:rPr>
          <w:sz w:val="18"/>
        </w:rPr>
        <w:t>——————————————————————————————————————————————————————————————————————</w:t>
      </w:r>
    </w:p>
    <w:p>
      <w:pPr>
        <w:spacing w:before="160" w:after="40" w:line="240" w:lineRule="auto"/>
      </w:pPr>
      <w:r>
        <w:rPr>
          <w:b/>
        </w:rPr>
        <w:t xml:space="preserve">[36] </w:t>
      </w:r>
      <w:hyperlink r:id="rId385">
        <w:r>
          <w:rPr>
            <w:color w:val="1155CC"/>
            <w:u w:val="single"/>
          </w:rPr>
          <w:t>揭示高性能干阴极 AEMWE 的设计原理：3D 多物理场建模和电压击穿分析的见解</w:t>
        </w:r>
      </w:hyperlink>
    </w:p>
    <w:p>
      <w:pPr>
        <w:spacing w:before="0" w:after="80"/>
      </w:pPr>
      <w:r>
        <w:rPr>
          <w:i/>
          <w:sz w:val="20"/>
        </w:rPr>
        <w:t>EN: Unveiling design principles for high performance dry-cathode AEMWE: Insights from 3D Multiphysics Modeling and voltage breakdown analysis</w:t>
      </w:r>
    </w:p>
    <w:p>
      <w:pPr>
        <w:spacing w:before="0" w:after="120"/>
      </w:pPr>
      <w:r>
        <w:rPr>
          <w:b/>
        </w:rPr>
        <w:t xml:space="preserve">Source: </w:t>
      </w:r>
      <w:r>
        <w:t>ScienceDirect Publication: Applied Energy</w:t>
      </w:r>
      <w:r>
        <w:t xml:space="preserve">    </w:t>
      </w:r>
      <w:r>
        <w:rPr>
          <w:b/>
        </w:rPr>
        <w:t xml:space="preserve">Pub date: </w:t>
      </w:r>
      <w:r>
        <w:t>2026-07-21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386">
        <w:r>
          <w:rPr>
            <w:color w:val="1155CC"/>
            <w:u w:val="single"/>
          </w:rPr>
          <w:t>从头设计的卟啉结合蛋白光催化氮还原反应</w:t>
        </w:r>
      </w:hyperlink>
    </w:p>
    <w:p>
      <w:pPr>
        <w:spacing w:before="0" w:after="80"/>
      </w:pPr>
      <w:r>
        <w:rPr>
          <w:i/>
          <w:sz w:val="20"/>
        </w:rPr>
        <w:t>EN: De Novo Designed Porphyrin-Binding Proteins Photocatalyze the Nitrogen Reduction Reaction</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387">
        <w:r>
          <w:rPr>
            <w:color w:val="1155CC"/>
            <w:u w:val="single"/>
          </w:rPr>
          <w:t>10.1021/acsami.6c05576</w:t>
        </w:r>
      </w:hyperlink>
    </w:p>
    <w:p>
      <w:pPr>
        <w:spacing w:before="0" w:after="120"/>
      </w:pPr>
      <w:r>
        <w:rPr>
          <w:b/>
        </w:rPr>
        <w:t xml:space="preserve">Notes: </w:t>
      </w:r>
      <w:r>
        <w:t>abstract_source=pubmed</w:t>
      </w:r>
    </w:p>
    <w:p>
      <w:pPr>
        <w:spacing w:before="0" w:after="80" w:lineRule="auto" w:line="276"/>
      </w:pPr>
      <w:r>
        <w:rPr>
          <w:b/>
        </w:rPr>
        <w:t xml:space="preserve">摘要（ZH）: </w:t>
      </w:r>
      <w:r>
        <w:t>在这项工作中，我们从头设计了一种能够形成二聚体的双螺旋α-螺旋蛋白，其具有容纳卟啉分子的中心空腔。通过将卟啉与二聚体蛋白混合形成的卟啉结合蛋白表现出可见光驱动的氮还原反应催化活性。为了进一步优化蛋白质，我们选择了三个突变层并预测了它们的结构。由此，我们鉴定了七个保留了原始蛋白质折叠结构的突变体，这些突变体用于在结合卟啉后从氮光催化生产氨。其中，表现最好的突变体对氨合成的催化率为9.704 mg gcat-1 h-1，高于目前报道的大多数人工催化剂。这项工作为从头设计卟啉结合蛋白作为温和条件下固氮催化剂提供了一种有前途的策略。</w:t>
      </w:r>
    </w:p>
    <w:p>
      <w:pPr>
        <w:spacing w:before="0" w:after="200" w:lineRule="auto" w:line="276"/>
      </w:pPr>
      <w:r>
        <w:rPr>
          <w:b/>
        </w:rPr>
        <w:t xml:space="preserve">Abstract (EN): </w:t>
      </w:r>
      <w:r>
        <w:t>In this work, we de novo designed a two-helix α-helical protein capable of forming dimers, which features a central cavity that accommodates porphyrin molecules. The resulting porphyrin-binding protein, formed by mixing the porphyrin with the dimer protein, exhibits visible-light-driven catalytic activity for the nitrogen reduction reaction. To further optimize the protein, we selected three mutation layers and predicted their structures. From these, we identified seven mutants that retained the original protein folding structure, which are used for the photocatalytic ammonia production from nitrogen after binding porphyrin. Among them, the best-performing mutant achieved a catalytic rate of 9.704 mg gcat-1 h-1 for ammonia synthesis, which is higher than most of the current reported artificial catalysts. This work provides a promising strategy for the de novo design of porphyrin-binding proteins as catalysts for nitrogen fixation under mild conditions.</w:t>
      </w:r>
    </w:p>
    <w:p>
      <w:pPr>
        <w:spacing w:before="120" w:after="120"/>
      </w:pPr>
      <w:r>
        <w:rPr>
          <w:sz w:val="18"/>
        </w:rPr>
        <w:t>——————————————————————————————————————————————————————————————————————</w:t>
      </w:r>
    </w:p>
    <w:p>
      <w:pPr>
        <w:spacing w:before="160" w:after="40" w:line="240" w:lineRule="auto"/>
      </w:pPr>
      <w:r>
        <w:rPr>
          <w:b/>
        </w:rPr>
        <w:t xml:space="preserve">[38] </w:t>
      </w:r>
      <w:hyperlink r:id="rId388">
        <w:r>
          <w:rPr>
            <w:color w:val="1155CC"/>
            <w:u w:val="single"/>
          </w:rPr>
          <w:t>液体碱性电解槽中连续沉积和脉冲沉积氢氧化镍铁阳极的活性收敛</w:t>
        </w:r>
      </w:hyperlink>
    </w:p>
    <w:p>
      <w:pPr>
        <w:spacing w:before="0" w:after="80"/>
      </w:pPr>
      <w:r>
        <w:rPr>
          <w:i/>
          <w:sz w:val="20"/>
        </w:rPr>
        <w:t>EN: Activity Convergence between Continuous- and Pulsed-Deposition NiFe Hydroxide Anodes in Liquid Alkaline Electrolyzers</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389">
        <w:r>
          <w:rPr>
            <w:color w:val="1155CC"/>
            <w:u w:val="single"/>
          </w:rPr>
          <w:t>10.1021/acsami.6c05938</w:t>
        </w:r>
      </w:hyperlink>
    </w:p>
    <w:p>
      <w:pPr>
        <w:spacing w:before="0" w:after="120"/>
      </w:pPr>
      <w:r>
        <w:rPr>
          <w:b/>
        </w:rPr>
        <w:t xml:space="preserve">Notes: </w:t>
      </w:r>
      <w:r>
        <w:t>abstract_source=pubmed</w:t>
      </w:r>
    </w:p>
    <w:p>
      <w:pPr>
        <w:spacing w:before="0" w:after="80" w:lineRule="auto" w:line="276"/>
      </w:pPr>
      <w:r>
        <w:rPr>
          <w:b/>
        </w:rPr>
        <w:t xml:space="preserve">摘要（ZH）: </w:t>
      </w:r>
      <w:r>
        <w:t>由于碱性析氧反应（OER）在电化学技术中的重要性，提高阳极的活性引起了人们的兴趣。大量研究证实，通常通过电沉积制备的氢氧化镍铁是碱性 OER 中最活跃的催化剂。对最佳 OER 催化剂化学的这种相对较高的信心表明，探索改进薄膜化学以外的特征（例如其微观结构）的方法可以达到新的活性高度。在本研究中，研究了脉冲电流沉积相对于传统连续电流沉积 NiFe 氢氧化物的可能优势。脉冲沉积通过防止成膜过程中电极表面的金属离子耗尽来使薄膜表面致密化。相对于连续沉积薄膜，脉冲沉积薄膜的 Fe 含量、氧化还原可逆性和 OER 活性更高。尽管与三电极水平的连续沉积相比，脉冲沉积赋予了薄膜更高的 OER 性能，但这种改进的性能在电解槽操作期间并未保留。相反，无论沉积方法如何，都可以看到电池性能的收敛。这种现象归因于电解槽条件（相对较高的温度、碱浓度和电流密度）可以驱动观察到的性能的替代机制。</w:t>
      </w:r>
    </w:p>
    <w:p>
      <w:pPr>
        <w:spacing w:before="0" w:after="200" w:lineRule="auto" w:line="276"/>
      </w:pPr>
      <w:r>
        <w:rPr>
          <w:b/>
        </w:rPr>
        <w:t xml:space="preserve">Abstract (EN): </w:t>
      </w:r>
      <w:r>
        <w:t>Improving the activity of anodes for the alkaline oxygen evolution reaction (OER) is of interest because of the importance of the reaction in electrochemical technology. There is an abundance of studies which confirm that NiFe hydroxide, often prepared by electrodeposition, is the most active catalyst for the alkaline OER. This relatively high level of confidence in the optimal OER catalyst chemistry suggests that exploration of methods which improve on features besides the chemistry of the films, such as their microstructure, could access new heights of activity. In this study, the possible benefits of pulsed current deposition relative to the conventional continuous current approach to the deposition of NiFe hydroxides were investigated. Pulsed deposition densified the film surfaces by preventing metal ion depletion at the electrode surface during film formation. The Fe content, redox reversibility, and OER activity were higher for the pulsed deposition films relative to their continuous deposition counterparts. Though pulsed deposition imparted a higher OER performance of the films compared to continuous deposition at the three-electrode level, this improved performance was not retained during electrolyzer operation. Rather, a convergence of the cell performance is seen irrespective of the deposition approach. This phenomenon was attributed to the way electrolyzer conditions─relatively high temperature, base concentration, and current density─can drive alternate mechanisms for observed performance.</w:t>
      </w:r>
    </w:p>
    <w:p>
      <w:pPr>
        <w:spacing w:before="120" w:after="120"/>
      </w:pPr>
      <w:r>
        <w:rPr>
          <w:sz w:val="18"/>
        </w:rPr>
        <w:t>——————————————————————————————————————————————————————————————————————</w:t>
      </w:r>
    </w:p>
    <w:p>
      <w:pPr>
        <w:spacing w:before="160" w:after="40" w:line="240" w:lineRule="auto"/>
      </w:pPr>
      <w:r>
        <w:rPr>
          <w:b/>
        </w:rPr>
        <w:t xml:space="preserve">[39] </w:t>
      </w:r>
      <w:hyperlink r:id="rId390">
        <w:r>
          <w:rPr>
            <w:color w:val="1155CC"/>
            <w:u w:val="single"/>
          </w:rPr>
          <w:t>用于高效光电化学水分解的 NiSe 2 助催化剂改性 WO 3</w:t>
        </w:r>
      </w:hyperlink>
    </w:p>
    <w:p>
      <w:pPr>
        <w:spacing w:before="0" w:after="80"/>
      </w:pPr>
      <w:r>
        <w:rPr>
          <w:i/>
          <w:sz w:val="20"/>
        </w:rPr>
        <w:t>EN: NiSe 2 Cocatalyst-Modified WO 3 for Efficient Photoelectrochemical Water Splitting</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391">
        <w:r>
          <w:rPr>
            <w:color w:val="1155CC"/>
            <w:u w:val="single"/>
          </w:rPr>
          <w:t>10.1021/acsami.6c07146</w:t>
        </w:r>
      </w:hyperlink>
    </w:p>
    <w:p>
      <w:pPr>
        <w:spacing w:before="0" w:after="120"/>
      </w:pPr>
      <w:r>
        <w:rPr>
          <w:b/>
        </w:rPr>
        <w:t xml:space="preserve">Notes: </w:t>
      </w:r>
      <w:r>
        <w:t>abstract_source=pubmed</w:t>
      </w:r>
    </w:p>
    <w:p>
      <w:pPr>
        <w:spacing w:before="0" w:after="80" w:lineRule="auto" w:line="276"/>
      </w:pPr>
      <w:r>
        <w:rPr>
          <w:b/>
        </w:rPr>
        <w:t xml:space="preserve">摘要（ZH）: </w:t>
      </w:r>
      <w:r>
        <w:t>能够吸收足够的可见光、有效分离光生电荷载流子并将其快速传输到表面的光阳极仍然是实现高效水分解的主要障碍。在此，由于 WO3 半导体和金属 NiSe2 之间的异质结，NiSe2 纳米颗粒助催化剂修饰的 WO3 被证明是具有出色光电化学（PEC）水分解性能的光阳极。凭借最佳的 NiSe2 负载量，WO3/NiSe2 光阳极在 1.23 V 照射下相对于 RHE 的光电流密度为 1.66 mA cm-2，超过原始 WO3 光阳极的性能七倍以上。 WO3/NiSe2 优异的 PEC 性能归因于电极/电解质界面处电荷载流子传输的改善以及异质结导致的电荷载流子分离和迁移的增强，实验数据和密度泛函理论 (DFT) 计算证实了这一点。 DFT 研究表明，与 WO3 相比，WO3/NiSe2 异质结构上的电势决定步骤 (*O → *OOH) 的吉布斯自由能变化较低，表明高效的析氧反应活性，从而增强了水分解性能。此外，该混合催化剂具有优异的法拉第制氢效率（94.4%）和显着的结构稳定性。这项工作概述了一种简单的技术，可实现高效太阳能水分解所需的助催化剂/半导体耦合。</w:t>
      </w:r>
    </w:p>
    <w:p>
      <w:pPr>
        <w:spacing w:before="0" w:after="200" w:lineRule="auto" w:line="276"/>
      </w:pPr>
      <w:r>
        <w:rPr>
          <w:b/>
        </w:rPr>
        <w:t xml:space="preserve">Abstract (EN): </w:t>
      </w:r>
      <w:r>
        <w:t>Photoanodes that can absorb sufficient visible light, separate photogenerated charge carriers efficiently, and transport them quickly to the surface remain the primary obstacles to achieving high-efficiency water splitting. Herein, a NiSe2 nanoparticle-cocatalyst-modified WO3 is demonstrated as a photoanode with outstanding photoelectrochemical (PEC) water splitting performance, owing to a heterojunction between the WO3 semiconductor and metallic NiSe2. With an optimal NiSe2 loading, the WO3/NiSe2 photoanode exhibits a photocurrent density of 1.66 mA cm-2 at 1.23 V versus RHE under irradiation, surpassing the performance of the pristine WO3 photoanode by over seven-fold. The superior PEC performance of WO3/NiSe2 is ascribed to improved charge-carrier transfer at the electrode/electrolyte interface and enhanced charge-carrier separation and migration resulting from the heterojunction, as corroborated by experimental data and density functional theory (DFT) calculations. The DFT study shows a lower Gibbs free energy change for the potential-determining step (*O → *OOH) on the WO3/NiSe2 heterostructure, as compared to WO3, suggesting efficient oxygen evolution reaction activity and consequently enhanced water splitting performance. Additionally, the hybrid catalyst exhibits an excellent Faradaic efficiency of 94.4% for hydrogen generation and notable structural stability. This work outlines a simple technique for achieving the desired cocatalyst/semiconductor coupling toward highly efficient solar water splitting.</w:t>
      </w:r>
    </w:p>
    <w:p>
      <w:pPr>
        <w:spacing w:before="120" w:after="120"/>
      </w:pPr>
      <w:r>
        <w:rPr>
          <w:sz w:val="18"/>
        </w:rPr>
        <w:t>——————————————————————————————————————————————————————————————————————</w:t>
      </w:r>
    </w:p>
    <w:p>
      <w:pPr>
        <w:spacing w:before="160" w:after="40" w:line="240" w:lineRule="auto"/>
      </w:pPr>
      <w:r>
        <w:rPr>
          <w:b/>
        </w:rPr>
        <w:t xml:space="preserve">[40] </w:t>
      </w:r>
      <w:hyperlink r:id="rId392">
        <w:r>
          <w:rPr>
            <w:color w:val="1155CC"/>
            <w:u w:val="single"/>
          </w:rPr>
          <w:t>用于太阳能转换的基于光系统的生物光电极</w:t>
        </w:r>
      </w:hyperlink>
    </w:p>
    <w:p>
      <w:pPr>
        <w:spacing w:before="0" w:after="80"/>
      </w:pPr>
      <w:r>
        <w:rPr>
          <w:i/>
          <w:sz w:val="20"/>
        </w:rPr>
        <w:t>EN: Photosystem-Based Biophotoelectrodes for Solar Energy Conversion</w:t>
      </w:r>
    </w:p>
    <w:p>
      <w:pPr>
        <w:spacing w:before="0" w:after="120"/>
      </w:pPr>
      <w:r>
        <w:rPr>
          <w:b/>
        </w:rPr>
        <w:t xml:space="preserve">Source: </w:t>
      </w:r>
      <w:r>
        <w:t>Chemical Reviews: Latest Articles (ACS Publications)</w:t>
      </w:r>
      <w:r>
        <w:t xml:space="preserve">    </w:t>
      </w:r>
      <w:r>
        <w:rPr>
          <w:b/>
        </w:rPr>
        <w:t xml:space="preserve">Pub date: </w:t>
      </w:r>
      <w:r>
        <w:t>2026-07-21 00:00:00+00:00</w:t>
      </w:r>
      <w:r>
        <w:t xml:space="preserve">    </w:t>
      </w:r>
      <w:r>
        <w:rPr>
          <w:b/>
        </w:rPr>
        <w:t xml:space="preserve">DOI: </w:t>
      </w:r>
      <w:hyperlink r:id="rId393">
        <w:r>
          <w:rPr>
            <w:color w:val="1155CC"/>
            <w:u w:val="single"/>
          </w:rPr>
          <w:t>10.1021/acs.chemrev.6c00021</w:t>
        </w:r>
      </w:hyperlink>
    </w:p>
    <w:p>
      <w:pPr>
        <w:spacing w:before="0" w:after="120"/>
      </w:pPr>
      <w:r>
        <w:rPr>
          <w:b/>
        </w:rPr>
        <w:t xml:space="preserve">Notes: </w:t>
      </w:r>
      <w:r>
        <w:t>abstract_source=pubmed</w:t>
      </w:r>
    </w:p>
    <w:p>
      <w:pPr>
        <w:spacing w:before="0" w:after="80" w:lineRule="auto" w:line="276"/>
      </w:pPr>
      <w:r>
        <w:rPr>
          <w:b/>
        </w:rPr>
        <w:t xml:space="preserve">摘要（ZH）: </w:t>
      </w:r>
      <w:r>
        <w:t>光系统改良电极已被开发为经典半导体系统的替代品，用于将太阳能转化为化学品或电力。光系统是自然光合作用的光活性蛋白质，具有卓越的光捕获效率和大电荷分离能力，并且完全由地球上丰富的元素组成。它们的主要局限性仍然是其有限的稳健性以及难以与电极有效连接。在这里，我们回顾了将三大类光系统（光系统 II、光系统 I 和细菌反应中心）集成到功能器件中的策略。我们研究了生物光阳极和生物光阴极等电极结构，以及使用各种旨在最大化光电流和能量效率的蛋白质固定方法将它们组装成有偏压和无偏压生物光电化学电池。特别强调了解电极和光系统之间的电子转移途径，包括潜在的短路途径。最后，我们重点介绍对于识别瓶颈和指导优化至关重要的关键表征工具和性能指标。</w:t>
      </w:r>
    </w:p>
    <w:p>
      <w:pPr>
        <w:spacing w:before="0" w:after="200" w:lineRule="auto" w:line="276"/>
      </w:pPr>
      <w:r>
        <w:rPr>
          <w:b/>
        </w:rPr>
        <w:t xml:space="preserve">Abstract (EN): </w:t>
      </w:r>
      <w:r>
        <w:t>Photosystem-modified electrodes have been developed as alternatives to classical semiconductor-based systems for solar energy conversion into chemicals or electricity. Photosystems, the photoactive proteins of natural photosynthesis, offer exceptional light-harvesting efficiency and large charge separation and are composed entirely of earth-abundant elements. Their main limitations remain their limited robustness and difficulty of efficiently interfacing them with electrodes. Here, we review the strategies for integrating the three major classes of photosystems (photosystem II, photosystem I, and bacterial reaction centers) into functional devices. We examine electrode architectures such as biophotoanodes and biophotocathodes as well as their assembly into biased and bias-free biophotoelectrochemical cells using various protein immobilization approaches aimed at maximizing photocurrent and energy efficiency. Particular emphasis is placed on understanding electron-transfer pathways between electrodes and photosystems, including potential short-circuiting pathways. Finally, we highlight key characterization tools and performance metrics that are essential for identifying bottlenecks and guiding optimization.</w:t>
      </w:r>
    </w:p>
    <w:p>
      <w:pPr>
        <w:spacing w:before="120" w:after="120"/>
      </w:pPr>
      <w:r>
        <w:rPr>
          <w:sz w:val="18"/>
        </w:rPr>
        <w:t>——————————————————————————————————————————————————————————————————————</w:t>
      </w:r>
    </w:p>
    <w:p>
      <w:pPr>
        <w:spacing w:before="160" w:after="40" w:line="240" w:lineRule="auto"/>
      </w:pPr>
      <w:r>
        <w:rPr>
          <w:b/>
        </w:rPr>
        <w:t xml:space="preserve">[41] </w:t>
      </w:r>
      <w:hyperlink r:id="rId394">
        <w:r>
          <w:rPr>
            <w:color w:val="1155CC"/>
            <w:u w:val="single"/>
          </w:rPr>
          <w:t>基于随机森林特征频率提取的 PEMFC 冷启动条件的替代实验引导快速 EIS 测试方法</w:t>
        </w:r>
      </w:hyperlink>
    </w:p>
    <w:p>
      <w:pPr>
        <w:spacing w:before="0" w:after="80"/>
      </w:pPr>
      <w:r>
        <w:rPr>
          <w:i/>
          <w:sz w:val="20"/>
        </w:rPr>
        <w:t>EN: Surrogate-experiment-guided fast EIS testing method for PEMFC cold start condition via random-forest-based feature frequency extraction</w:t>
      </w:r>
    </w:p>
    <w:p>
      <w:pPr>
        <w:spacing w:before="0" w:after="120"/>
      </w:pPr>
      <w:r>
        <w:rPr>
          <w:b/>
        </w:rPr>
        <w:t xml:space="preserve">Source: </w:t>
      </w:r>
      <w:r>
        <w:t>ScienceDirect Publication: Applied Energy</w:t>
      </w:r>
      <w:r>
        <w:t xml:space="preserve">    </w:t>
      </w:r>
      <w:r>
        <w:rPr>
          <w:b/>
        </w:rPr>
        <w:t xml:space="preserve">Pub date: </w:t>
      </w:r>
      <w:r>
        <w:t>2026-07-21 00:00:00+00:00</w:t>
      </w:r>
      <w:r>
        <w:t xml:space="preserve">    </w:t>
      </w:r>
      <w:r>
        <w:rPr>
          <w:b/>
        </w:rPr>
        <w:t xml:space="preserve">DOI: </w:t>
      </w:r>
      <w:hyperlink r:id="rId395">
        <w:r>
          <w:rPr>
            <w:color w:val="1155CC"/>
            <w:u w:val="single"/>
          </w:rPr>
          <w:t>10.1016/j.apenergy.2026.128494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396">
        <w:r>
          <w:rPr>
            <w:color w:val="1155CC"/>
            <w:u w:val="single"/>
          </w:rPr>
          <w:t>氨处于净零十字路口</w:t>
        </w:r>
      </w:hyperlink>
    </w:p>
    <w:p>
      <w:pPr>
        <w:spacing w:before="0" w:after="80"/>
      </w:pPr>
      <w:r>
        <w:rPr>
          <w:i/>
          <w:sz w:val="20"/>
        </w:rPr>
        <w:t>EN: Ammonia at the net-zero crossroads</w:t>
      </w:r>
    </w:p>
    <w:p>
      <w:pPr>
        <w:spacing w:before="0" w:after="120"/>
      </w:pPr>
      <w:r>
        <w:rPr>
          <w:b/>
        </w:rPr>
        <w:t xml:space="preserve">Source: </w:t>
      </w:r>
      <w:r>
        <w:t>Earth and environmental sciences : Nature Communications subject feeds</w:t>
      </w:r>
      <w:r>
        <w:t xml:space="preserve">    </w:t>
      </w:r>
      <w:r>
        <w:rPr>
          <w:b/>
        </w:rPr>
        <w:t xml:space="preserve">Pub date: </w:t>
      </w:r>
      <w:r>
        <w:t>2026-07-21 00:00:00+00:00</w:t>
      </w:r>
    </w:p>
    <w:p>
      <w:pPr>
        <w:spacing w:before="0" w:after="120"/>
      </w:pPr>
      <w:r>
        <w:rPr>
          <w:b/>
        </w:rPr>
        <w:t xml:space="preserve">Notes: </w:t>
      </w:r>
      <w:r>
        <w:t>abstract_source=nature_html</w:t>
      </w:r>
    </w:p>
    <w:p>
      <w:pPr>
        <w:spacing w:before="0" w:after="80" w:lineRule="auto" w:line="276"/>
      </w:pPr>
      <w:r>
        <w:rPr>
          <w:b/>
        </w:rPr>
        <w:t xml:space="preserve">摘要（ZH）: </w:t>
      </w:r>
      <w:r>
        <w:t>氨对于食品生产和新兴的无碳能源载体是不可或缺的，但它通过化石燃料哈伯-博世工艺合成，使其成为二氧化碳的主要来源。我们介绍了氨彩虹，这是一个结合了基于物理的建模、学习曲线分析和生命周期可持续性评估的分类框架，用于评估八种氨生产技术的净零转型。在这里，我们表明，假设全球氨需求量增加一倍以满足预计的粮食和能源需求，那么在任何当前政策或技术情景下，到 2050 年都无法实现净零氨。即使是乐观的绿色路线部署也需要广泛的基础设施，消耗超过 40% 的可用绿色氢以及大量碳捕获和可再生能源容量。电化学路线具有长期前景，但如果没有颠覆性创新，不太可能在 2070 年之前实现商业可行性。通过揭露这些隐藏的系统级负担，我们挑战了需求增长不受控制的普遍假设，并主张采取需求方措施、提高效率和替代脱碳策略。</w:t>
      </w:r>
    </w:p>
    <w:p>
      <w:pPr>
        <w:spacing w:before="0" w:after="200" w:lineRule="auto" w:line="276"/>
      </w:pPr>
      <w:r>
        <w:rPr>
          <w:b/>
        </w:rPr>
        <w:t xml:space="preserve">Abstract (EN): </w:t>
      </w:r>
      <w:r>
        <w:t>Ammonia is indispensable for food production and an emerging carbon-free energy vector, yet its synthesis via the fossil-fuelled Haber–Bosch process makes it a major source of carbon dioxide. We introduce the Ammonia Rainbow, a classification framework combining physics-based modelling, learning-curve analysis, and life-cycle sustainability assessment to evaluate net-zero transitions across eight ammonia production technologies. Here we show that, assuming global ammonia demand doubles to meet projected food and energy needs, net-zero ammonia is not achievable by 2050 under any current policy or technological scenario. Even optimistic deployment of green routes demands extensive infrastructure, consuming over 40 percent of available green hydrogen alongside large fractions of carbon capture and renewable energy capacity. Electrochemical routes offer long-term promise but are unlikely to reach commercial viability before 2070 without disruptive innovation. By exposing these hidden systems-level burdens, we challenge the prevailing assumption of unchecked demand growth and argue for demand-side measures, efficiency improvements, and alternative decarbonisation strategies.</w:t>
      </w:r>
    </w:p>
    <w:p>
      <w:pPr>
        <w:spacing w:before="120" w:after="120"/>
      </w:pPr>
      <w:r>
        <w:rPr>
          <w:sz w:val="18"/>
        </w:rPr>
        <w:t>——————————————————————————————————————————————————————————————————————</w:t>
      </w:r>
    </w:p>
    <w:p>
      <w:pPr>
        <w:spacing w:before="160" w:after="40" w:line="240" w:lineRule="auto"/>
      </w:pPr>
      <w:r>
        <w:rPr>
          <w:b/>
        </w:rPr>
        <w:t xml:space="preserve">[43] </w:t>
      </w:r>
      <w:hyperlink r:id="rId397">
        <w:r>
          <w:rPr>
            <w:color w:val="1155CC"/>
            <w:u w:val="single"/>
          </w:rPr>
          <w:t>使用量子点-维氏固氮菌杂交体进行光驱动氨生产的碳介导可充电操作</w:t>
        </w:r>
      </w:hyperlink>
    </w:p>
    <w:p>
      <w:pPr>
        <w:spacing w:before="0" w:after="80"/>
      </w:pPr>
      <w:r>
        <w:rPr>
          <w:i/>
          <w:sz w:val="20"/>
        </w:rPr>
        <w:t>EN: Carbon-Mediated Rechargeable Operation for Light-Driven Ammonia Production Using Quantum Dot- Azotobacter vinelandii Hybrids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398">
        <w:r>
          <w:rPr>
            <w:color w:val="1155CC"/>
            <w:u w:val="single"/>
          </w:rPr>
          <w:t>10.1021/jacs.6c09735</w:t>
        </w:r>
      </w:hyperlink>
    </w:p>
    <w:p>
      <w:pPr>
        <w:spacing w:before="0" w:after="120"/>
      </w:pPr>
      <w:r>
        <w:rPr>
          <w:b/>
        </w:rPr>
        <w:t xml:space="preserve">Notes: </w:t>
      </w:r>
      <w:r>
        <w:t>abstract_source=pubmed</w:t>
      </w:r>
    </w:p>
    <w:p>
      <w:pPr>
        <w:spacing w:before="0" w:after="80" w:lineRule="auto" w:line="276"/>
      </w:pPr>
      <w:r>
        <w:rPr>
          <w:b/>
        </w:rPr>
        <w:t xml:space="preserve">摘要（ZH）: </w:t>
      </w:r>
      <w:r>
        <w:t>将固氮微生物与半导体纳米材料相结合，可以在环境条件下将氮 (N2) 转化为氨 (NH3)，但大多数研究都是使用无碳缓冲液中的洗涤细胞进行评估，从而模糊了可扩展操作的代谢控制。在这里，我们报道了在量子点（QD）-维氏固氮菌杂交体中，中等碳状态控制着光驱动的细胞外 NH4+ 积累和长期生产。该杂交体在光照下表现出增加的膜极化，伴随着细胞内 NADH/NAD+ 和 ATP 的升高，并且 NH4+ 的产生受到质子载体的强烈抑制，该质子载体耗散膜电化学梯度并阻断 ATP 合成，表明 ATP 依赖性固氮酶催化。在富含蔗糖的培养基中，细胞外 NH4+ 积累仍然较低，因为固定氮优先被同化为生物质，而过量的碳则以聚羟基丁酸酯 (PHB) 的形式储存。蔗糖耗尽后，PHB 被动员，细胞外 NH4+ 积累变得明显。使用这种碳开关，在 12 小时黑暗间隔期间间歇性添加蔗糖（1 g L-1）可实现可再充电循环，并在 108 小时内将累计 NH4+ 产量增加约 2.4 倍。这些结果将量子点光氧化还原输入与介体辅助电子转移、细胞生物能学、碳储备代谢和固定氮分配联系起来，为半导体固氮菌平台提供了设计原理。</w:t>
      </w:r>
    </w:p>
    <w:p>
      <w:pPr>
        <w:spacing w:before="0" w:after="200" w:lineRule="auto" w:line="276"/>
      </w:pPr>
      <w:r>
        <w:rPr>
          <w:b/>
        </w:rPr>
        <w:t xml:space="preserve">Abstract (EN): </w:t>
      </w:r>
      <w:r>
        <w:t>Integrating diazotrophic microorganisms with semiconductor nanomaterials enables nitrogen (N2)-to-ammonia (NH3) conversion under ambient conditions, yet most studies are evaluated using washed cells in carbon-free buffers, obscuring metabolic controls for scalable operation. Here we report that medium carbon status governs light-driven extracellular NH4+ accumulation and long-term production in a quantum dot (QD)-Azotobacter vinelandii hybrid. The hybrid exhibits increased membrane polarization under illumination, accompanied by elevated intracellular NADH/NAD+ and ATP, and NH4+ production is strongly inhibited by a protonophore that dissipates the membrane electrochemical gradient and blocks ATP synthesis, indicating ATP-dependent nitrogenase catalysis. In sucrose-rich medium, extracellular NH4+ accumulation remains low as fixed nitrogen is preferentially assimilated into biomass, while excess carbon is stored as polyhydroxybutyrate (PHB). Upon sucrose depletion, PHB is mobilized and extracellular NH4+ accumulation becomes apparent. Using this carbon switch, intermittent sucrose feeding (1 g L-1) during 12 h dark intervals enabled rechargeable cycling and increased cumulative NH4+ production by ∼2.4-fold over 108 h. These results link QD photoredox input to mediator-assisted electron transfer, cellular bioenergetics, and carbon reserve metabolism and fixed-nitrogen allocation, providing design principles for semiconductor-diazotroph platforms.</w:t>
      </w:r>
    </w:p>
    <w:p>
      <w:pPr>
        <w:spacing w:before="120" w:after="120"/>
      </w:pPr>
      <w:r>
        <w:rPr>
          <w:sz w:val="18"/>
        </w:rPr>
        <w:t>——————————————————————————————————————————————————————————————————————</w:t>
      </w:r>
    </w:p>
    <w:p>
      <w:pPr>
        <w:spacing w:before="160" w:after="40" w:line="240" w:lineRule="auto"/>
      </w:pPr>
      <w:r>
        <w:rPr>
          <w:b/>
        </w:rPr>
        <w:t xml:space="preserve">[44] </w:t>
      </w:r>
      <w:hyperlink r:id="rId399">
        <w:r>
          <w:rPr>
            <w:color w:val="1155CC"/>
            <w:u w:val="single"/>
          </w:rPr>
          <w:t>CO 2 耦合加氢常压合成氨</w:t>
        </w:r>
      </w:hyperlink>
    </w:p>
    <w:p>
      <w:pPr>
        <w:spacing w:before="0" w:after="80"/>
      </w:pPr>
      <w:r>
        <w:rPr>
          <w:i/>
          <w:sz w:val="20"/>
        </w:rPr>
        <w:t>EN: Atmospheric Pressure Ammonia Synthesis via CO 2 -Coupled 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400">
        <w:r>
          <w:rPr>
            <w:color w:val="1155CC"/>
            <w:u w:val="single"/>
          </w:rPr>
          <w:t>10.1021/jacs.6c11181</w:t>
        </w:r>
      </w:hyperlink>
    </w:p>
    <w:p>
      <w:pPr>
        <w:spacing w:before="0" w:after="120"/>
      </w:pPr>
      <w:r>
        <w:rPr>
          <w:b/>
        </w:rPr>
        <w:t xml:space="preserve">Notes: </w:t>
      </w:r>
      <w:r>
        <w:t>abstract_source=pubmed</w:t>
      </w:r>
    </w:p>
    <w:p>
      <w:pPr>
        <w:spacing w:before="0" w:after="80" w:lineRule="auto" w:line="276"/>
      </w:pPr>
      <w:r>
        <w:rPr>
          <w:b/>
        </w:rPr>
        <w:t xml:space="preserve">摘要（ZH）: </w:t>
      </w:r>
      <w:r>
        <w:t>哈伯-博世氨合成是全球农业和化学工业的基石，但它从根本上受到内在规模关系的限制，需要与大量碳足迹相关的能源密集型条件。在此，我们报告了一种表面氧化还原介导的化学循环策略，该策略利用二氧化碳氢化反应作为化学触发器，在大气压下驱动钴钼双金属氮化物（Co3Mo3N）氮载体上的氨合成。机理研究表明，CO2 会引发动态表面氧化，从而削弱固有的 Mo-N 键，并促进晶格氮的氢化和以 NH3 形式释放。该循环通过随后的氮化步骤结束，该步骤去除表面氧并再生氮化物晶格。这种氧化还原介导的机制使得NH3峰值浓度达到前所未有的~2.3%，在500°C和大气压下释放速率达到12.4 mmol·gcat-1·h-1，规避了历史上阻碍低压氨合成的热力学限制。我们的研究结果证明了动态表面工程如何将动力学限制与热力学约束解耦，为可持续固氮与碳利用提供了一种新的范例。</w:t>
      </w:r>
    </w:p>
    <w:p>
      <w:pPr>
        <w:spacing w:before="0" w:after="200" w:lineRule="auto" w:line="276"/>
      </w:pPr>
      <w:r>
        <w:rPr>
          <w:b/>
        </w:rPr>
        <w:t xml:space="preserve">Abstract (EN): </w:t>
      </w:r>
      <w:r>
        <w:t>The Haber-Bosch ammonia synthesis is a cornerstone of global agriculture and the chemical industry, yet it is fundamentally constrained by intrinsic scaling relations, necessitating energy-intensive conditions associated with a significant carbon footprint. Herein, we report a surface redox-mediated chemical looping strategy that utilizes the CO2 hydrogenation reaction as a chemical trigger to drive ammonia synthesis at atmospheric pressure over a cobalt-molybdenum bimetallic nitride (Co3Mo3N) nitrogen carrier. Mechanistic investigations reveal that CO2 induces a dynamic surface oxidation that weakens the intrinsic Mo-N bonds and facilitates the hydrogenation and release of lattice nitrogen as NH3. The cycle is closed by a subsequent nitridation step that removes surface oxygen and regenerates the nitride lattice. This redox-mediated mechanism enables an unprecedented NH3 peak concentration of ∼2.3% and a release rate of 12.4 mmol·gcat-1·h-1 at 500 °C under atmospheric pressure, circumventing the thermodynamic limitations that historically hinder low-pressure ammonia synthesis. Our findings demonstrate how dynamic surface engineering can decouple kinetic limitations from thermodynamic constraints, offering a novel paradigm for sustainable nitrogen fixation coupled with carbon utilization.</w:t>
      </w:r>
    </w:p>
    <w:p>
      <w:pPr>
        <w:spacing w:before="120" w:after="120"/>
      </w:pPr>
      <w:r>
        <w:rPr>
          <w:sz w:val="18"/>
        </w:rPr>
        <w:t>——————————————————————————————————————————————————————————————————————</w:t>
      </w:r>
    </w:p>
    <w:p>
      <w:pPr>
        <w:spacing w:before="160" w:after="40" w:line="240" w:lineRule="auto"/>
      </w:pPr>
      <w:r>
        <w:rPr>
          <w:b/>
        </w:rPr>
        <w:t xml:space="preserve">[45] </w:t>
      </w:r>
      <w:hyperlink r:id="rId401">
        <w:r>
          <w:rPr>
            <w:color w:val="1155CC"/>
            <w:u w:val="single"/>
          </w:rPr>
          <w:t>用于高效稳定安培级海水电解的电流自适应多钒酸盐保护阳极</w:t>
        </w:r>
      </w:hyperlink>
    </w:p>
    <w:p>
      <w:pPr>
        <w:spacing w:before="0" w:after="80"/>
      </w:pPr>
      <w:r>
        <w:rPr>
          <w:i/>
          <w:sz w:val="20"/>
        </w:rPr>
        <w:t>EN: A Current‐Adaptive Polyoxovanadates Protected Anode for Efficient and Stable Ampere‐Level Seawater Electrolysis</w:t>
      </w:r>
    </w:p>
    <w:p>
      <w:pPr>
        <w:spacing w:before="0" w:after="120"/>
      </w:pPr>
      <w:r>
        <w:rPr>
          <w:b/>
        </w:rPr>
        <w:t xml:space="preserve">Source: </w:t>
      </w:r>
      <w:r>
        <w:t>Wiley: Advanced Materials: Table of Contents</w:t>
      </w:r>
      <w:r>
        <w:t xml:space="preserve">    </w:t>
      </w:r>
      <w:r>
        <w:rPr>
          <w:b/>
        </w:rPr>
        <w:t xml:space="preserve">Pub date: </w:t>
      </w:r>
      <w:r>
        <w:t>2026-07-21 08:46:45+00:00</w:t>
      </w:r>
      <w:r>
        <w:t xml:space="preserve">    </w:t>
      </w:r>
      <w:r>
        <w:rPr>
          <w:b/>
        </w:rPr>
        <w:t xml:space="preserve">DOI: </w:t>
      </w:r>
      <w:hyperlink r:id="rId402">
        <w:r>
          <w:rPr>
            <w:color w:val="1155CC"/>
            <w:u w:val="single"/>
          </w:rPr>
          <w:t>10.1002/adma.74085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海水电解有望用于绿色制氢，而高电流密度（HCD）下加剧的氯化物腐蚀对阳极的活性和稳定性提出了重大挑战。传统的阳极催化剂利用阴离子静电斥力来排斥氯离子，但在工业相关的安培级 HCD 条件下经常失效，限制了其应用。在此，我们报道了一种耐腐蚀的钴钒氧化物催化剂，其特征在于原位形成、电流自适应的多氧钒酸盐（POV），用于在 HCD 上高效稳定地电解海水。随着电流密度的增加，钒酸盐单体动态自组装成 POV，对 Cl 的空间位阻显着增加</w:t>
      </w:r>
      <w:r>
        <w:t xml:space="preserve"> </w:t>
      </w:r>
      <w:r>
        <w:t>-</w:t>
      </w:r>
      <w:r>
        <w:t>，从而增强氯化物排斥力。催化剂在1000 mA cm下稳定工作5000小时以上</w:t>
      </w:r>
      <w:r>
        <w:t xml:space="preserve"> </w:t>
      </w:r>
      <w:r>
        <w:t>−2</w:t>
      </w:r>
      <w:r>
        <w:t xml:space="preserve"> </w:t>
      </w:r>
      <w:r>
        <w:t>衰减率低至 0.83 µV h</w:t>
      </w:r>
      <w:r>
        <w:t xml:space="preserve"> </w:t>
      </w:r>
      <w:r>
        <w:t>-</w:t>
      </w:r>
      <w:r>
        <w:rPr>
          <w:vertAlign w:val="subscript"/>
        </w:rPr>
        <w:t>1</w:t>
      </w:r>
      <w:r>
        <w:t>在海水电解质中。此外，阴离子交换膜海水电解槽在1000 mA cm时仅需要1.64 V</w:t>
      </w:r>
      <w:r>
        <w:t xml:space="preserve"> </w:t>
      </w:r>
      <w:r>
        <w:t>−2</w:t>
      </w:r>
      <w:r>
        <w:t xml:space="preserve"> </w:t>
      </w:r>
      <w:r>
        <w:t>并保持稳定运行1500小时以上。技术经济分析结果表明H</w:t>
      </w:r>
      <w:r>
        <w:rPr>
          <w:vertAlign w:val="subscript"/>
        </w:rPr>
        <w:t>2</w:t>
      </w:r>
      <w:r>
        <w:t>生产成本为 1.17 美元/GGE H</w:t>
      </w:r>
      <w:r>
        <w:rPr>
          <w:vertAlign w:val="subscript"/>
        </w:rPr>
        <w:t>2</w:t>
      </w:r>
      <w:r>
        <w:t>，超过美国能源部的 2.0 美元/GGE H</w:t>
      </w:r>
      <w:r>
        <w:rPr>
          <w:vertAlign w:val="subscript"/>
        </w:rPr>
        <w:t>2</w:t>
      </w:r>
      <w:r>
        <w:t>目标。这项工作报告了一种新颖的动态氯化物排斥行为</w:t>
      </w:r>
    </w:p>
    <w:p>
      <w:pPr>
        <w:spacing w:before="0" w:after="200" w:lineRule="auto" w:line="276"/>
      </w:pPr>
      <w:r>
        <w:rPr>
          <w:b/>
        </w:rPr>
        <w:t xml:space="preserve">Abstract (EN): </w:t>
      </w:r>
      <w:r>
        <w:t>Seawater electrolysis is promising for green hydrogen production, while intensified chloride corrosion at high‐current density (HCD) poses significant challenges to the activity and stability of the anodes. Conventional anode catalysts leverage anion electrostatic repulsion to repel chloride but often fail under industrially relevant ampere‐level HCD conditions, restricting their applications. Here we report a corrosion‐resistant cobalt‐vanadium‐oxide catalyst featuring in situ formed, current‐adaptive polyoxovanadates (POVs) for efficient and stable seawater electrolysis at HCD. As the current densities increase, the vanadate monomers dynamically self‐assemble into POVs with significantly increased steric hindrance to Cl</w:t>
      </w:r>
      <w:r>
        <w:t xml:space="preserve"> </w:t>
      </w:r>
      <w:r>
        <w:t>−</w:t>
      </w:r>
      <w:r>
        <w:t>, thereby enhancing chloride repulsion. The catalyst works stably for over 5000 h at 1000 mA cm</w:t>
      </w:r>
      <w:r>
        <w:t xml:space="preserve"> </w:t>
      </w:r>
      <w:r>
        <w:t>−2</w:t>
      </w:r>
      <w:r>
        <w:t xml:space="preserve"> </w:t>
      </w:r>
      <w:r>
        <w:t>with a low decay rate of 0.83 µV h</w:t>
      </w:r>
      <w:r>
        <w:t xml:space="preserve"> </w:t>
      </w:r>
      <w:r>
        <w:t>−</w:t>
      </w:r>
      <w:r>
        <w:rPr>
          <w:vertAlign w:val="subscript"/>
        </w:rPr>
        <w:t>1</w:t>
      </w:r>
      <w:r>
        <w:t>in seawater electrolyte. Furthermore, the anion exchange membrane seawater electrolyzer only needs 1.64 V at 1000 mA cm</w:t>
      </w:r>
      <w:r>
        <w:t xml:space="preserve"> </w:t>
      </w:r>
      <w:r>
        <w:t>−2</w:t>
      </w:r>
      <w:r>
        <w:t xml:space="preserve"> </w:t>
      </w:r>
      <w:r>
        <w:t>and maintains stable operation for over 1500 h. Technoeconomic analysis results show that H</w:t>
      </w:r>
      <w:r>
        <w:rPr>
          <w:vertAlign w:val="subscript"/>
        </w:rPr>
        <w:t>2</w:t>
      </w:r>
      <w:r>
        <w:t>production cost is $1.17/GGE H</w:t>
      </w:r>
      <w:r>
        <w:rPr>
          <w:vertAlign w:val="subscript"/>
        </w:rPr>
        <w:t>2</w:t>
      </w:r>
      <w:r>
        <w:t>, which surpasses the U.S. Department of Energy's $2.0/GGE H</w:t>
      </w:r>
      <w:r>
        <w:rPr>
          <w:vertAlign w:val="subscript"/>
        </w:rPr>
        <w:t>2</w:t>
      </w:r>
      <w:r>
        <w:t>target. This work reports a novel dynamic chloride repulsion behavior at HCD conditions and paves the way for robust corrosion‐resistant anode catalysts for seawater electrolysis.</w:t>
      </w:r>
    </w:p>
    <w:p>
      <w:pPr>
        <w:spacing w:before="120" w:after="120"/>
      </w:pPr>
      <w:r>
        <w:rPr>
          <w:sz w:val="18"/>
        </w:rPr>
        <w:t>——————————————————————————————————————————————————————————————————————</w:t>
      </w:r>
    </w:p>
    <w:p>
      <w:pPr>
        <w:spacing w:before="160" w:after="40" w:line="240" w:lineRule="auto"/>
      </w:pPr>
      <w:r>
        <w:rPr>
          <w:b/>
        </w:rPr>
        <w:t xml:space="preserve">[46] </w:t>
      </w:r>
      <w:hyperlink r:id="rId403">
        <w:r>
          <w:rPr>
            <w:color w:val="1155CC"/>
            <w:u w:val="single"/>
          </w:rPr>
          <w:t>缺陷 MOF 中的 Cu+-Cu0 簇对用于高度协同 CO2 加氢制甲醇</w:t>
        </w:r>
      </w:hyperlink>
    </w:p>
    <w:p>
      <w:pPr>
        <w:spacing w:before="0" w:after="80"/>
      </w:pPr>
      <w:r>
        <w:rPr>
          <w:i/>
          <w:sz w:val="20"/>
        </w:rPr>
        <w:t>EN: Cu+‐Cu0 Cluster Pairs in Defective MOFs for Highly Synergistic CO2 Hydrogenation to Methanol</w:t>
      </w:r>
    </w:p>
    <w:p>
      <w:pPr>
        <w:spacing w:before="0" w:after="120"/>
      </w:pPr>
      <w:r>
        <w:rPr>
          <w:b/>
        </w:rPr>
        <w:t xml:space="preserve">Source: </w:t>
      </w:r>
      <w:r>
        <w:t>Wiley: Angewandte Chemie International Edition: Table of Contents</w:t>
      </w:r>
      <w:r>
        <w:t xml:space="preserve">    </w:t>
      </w:r>
      <w:r>
        <w:rPr>
          <w:b/>
        </w:rPr>
        <w:t xml:space="preserve">Pub date: </w:t>
      </w:r>
      <w:r>
        <w:t>2026-07-21 12:11:19+00:00</w:t>
      </w:r>
      <w:r>
        <w:t xml:space="preserve">    </w:t>
      </w:r>
      <w:r>
        <w:rPr>
          <w:b/>
        </w:rPr>
        <w:t xml:space="preserve">DOI: </w:t>
      </w:r>
      <w:hyperlink r:id="rId404">
        <w:r>
          <w:rPr>
            <w:color w:val="1155CC"/>
            <w:u w:val="single"/>
          </w:rPr>
          <w:t>10.1002/anie.3440356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多价 Cu 位点的精确排列用于 CO 的同步激活</w:t>
      </w:r>
      <w:r>
        <w:rPr>
          <w:vertAlign w:val="subscript"/>
        </w:rPr>
        <w:t>2</w:t>
      </w:r>
      <w:r>
        <w:t>和H</w:t>
      </w:r>
      <w:r>
        <w:rPr>
          <w:vertAlign w:val="subscript"/>
        </w:rPr>
        <w:t>2</w:t>
      </w:r>
      <w:r>
        <w:t>选择性甲醇合成仍然具有挑战性。在这里，我们设计了空间排列的Cu</w:t>
      </w:r>
      <w:r>
        <w:t xml:space="preserve"> </w:t>
      </w:r>
      <w:r>
        <w:t>+</w:t>
      </w:r>
      <w:r>
        <w:t xml:space="preserve"> </w:t>
      </w:r>
      <w:r>
        <w:t>‐铜</w:t>
      </w:r>
      <w:r>
        <w:rPr>
          <w:vertAlign w:val="subscript"/>
        </w:rPr>
        <w:t>0</w:t>
      </w:r>
      <w:r>
        <w:t>簇对限制在 UiO-66 (U66) 内以实现时空定向 CO</w:t>
      </w:r>
      <w:r>
        <w:rPr>
          <w:vertAlign w:val="subscript"/>
        </w:rPr>
        <w:t>2</w:t>
      </w:r>
      <w:r>
        <w:t>加氢为甲醇。该架构是通过使用 L-抗坏血酸 (LA) 在 U66 内创建缺失连接子缺陷，然后顺序锚定高密度、相邻的 Cu 来构建的。</w:t>
      </w:r>
      <w:r>
        <w:t xml:space="preserve"> </w:t>
      </w:r>
      <w:r>
        <w:t>+</w:t>
      </w:r>
      <w:r>
        <w:t xml:space="preserve"> </w:t>
      </w:r>
      <w:r>
        <w:t>‐铜</w:t>
      </w:r>
      <w:r>
        <w:rPr>
          <w:vertAlign w:val="subscript"/>
        </w:rPr>
        <w:t>0</w:t>
      </w:r>
      <w:r>
        <w:t>簇对（约 1:1 比例）产生 Cu/U66(LA-Cu) 催化剂。该催化剂在220℃、3MPa反应条件下，甲醇时空收率为688.1mg·g</w:t>
      </w:r>
      <w:r>
        <w:t xml:space="preserve"> </w:t>
      </w:r>
      <w:r>
        <w:t>−1</w:t>
      </w:r>
      <w:r>
        <w:t xml:space="preserve"> </w:t>
      </w:r>
      <w:r>
        <w:t>·小时</w:t>
      </w:r>
      <w:r>
        <w:t xml:space="preserve"> </w:t>
      </w:r>
      <w:r>
        <w:t>−1</w:t>
      </w:r>
      <w:r>
        <w:t xml:space="preserve"> </w:t>
      </w:r>
      <w:r>
        <w:t>以及超高的甲醇选择性（97.0%）。其单一甲醇选择性是高稳定性氧化物材料的1.06-1.77倍。同时，与稳定运行60-175小时的高选择性MOF基催化剂相比，催化剂200小时的稳定性显着延长。机理研究表明，Cu</w:t>
      </w:r>
      <w:r>
        <w:t xml:space="preserve"> </w:t>
      </w:r>
      <w:r>
        <w:t>+</w:t>
      </w:r>
      <w:r>
        <w:t xml:space="preserve"> </w:t>
      </w:r>
      <w:r>
        <w:t>‐铜</w:t>
      </w:r>
      <w:r>
        <w:rPr>
          <w:vertAlign w:val="subscript"/>
        </w:rPr>
        <w:t>0</w:t>
      </w:r>
      <w:r>
        <w:t>有缺陷的 U66 内的簇对不仅能够实现 CO 的分区协同激活</w:t>
      </w:r>
    </w:p>
    <w:p>
      <w:pPr>
        <w:spacing w:before="0" w:after="200" w:lineRule="auto" w:line="276"/>
      </w:pPr>
      <w:r>
        <w:rPr>
          <w:b/>
        </w:rPr>
        <w:t xml:space="preserve">Abstract (EN): </w:t>
      </w:r>
      <w:r>
        <w:t>Precise arrangement of multivalent Cu sites for the synchronized activation of CO</w:t>
      </w:r>
      <w:r>
        <w:rPr>
          <w:vertAlign w:val="subscript"/>
        </w:rPr>
        <w:t>2</w:t>
      </w:r>
      <w:r>
        <w:t>and H</w:t>
      </w:r>
      <w:r>
        <w:rPr>
          <w:vertAlign w:val="subscript"/>
        </w:rPr>
        <w:t>2</w:t>
      </w:r>
      <w:r>
        <w:t>in selective methanol synthesis remained challenging. Herein, we designed spatially arrayed Cu</w:t>
      </w:r>
      <w:r>
        <w:t xml:space="preserve"> </w:t>
      </w:r>
      <w:r>
        <w:t>+</w:t>
      </w:r>
      <w:r>
        <w:t xml:space="preserve"> </w:t>
      </w:r>
      <w:r>
        <w:t>‐Cu</w:t>
      </w:r>
      <w:r>
        <w:rPr>
          <w:vertAlign w:val="subscript"/>
        </w:rPr>
        <w:t>0</w:t>
      </w:r>
      <w:r>
        <w:t>cluster pairs confined within UiO‐66 (U66) to achieve spatiotemporally directed CO</w:t>
      </w:r>
      <w:r>
        <w:rPr>
          <w:vertAlign w:val="subscript"/>
        </w:rPr>
        <w:t>2</w:t>
      </w:r>
      <w:r>
        <w:t>hydrogenation to methanol. This architecture was constructed by creating missing‐linker defects within U66 using L‐ascorbic acid (LA), followed by sequential anchoring of high‐density, adjacent Cu</w:t>
      </w:r>
      <w:r>
        <w:t xml:space="preserve"> </w:t>
      </w:r>
      <w:r>
        <w:t>+</w:t>
      </w:r>
      <w:r>
        <w:t xml:space="preserve"> </w:t>
      </w:r>
      <w:r>
        <w:t>‐Cu</w:t>
      </w:r>
      <w:r>
        <w:rPr>
          <w:vertAlign w:val="subscript"/>
        </w:rPr>
        <w:t>0</w:t>
      </w:r>
      <w:r>
        <w:t>cluster pairs (≈1:1 ratio) to yield a Cu/U66(LA‐Cu) catalyst. Under reaction conditions of 220°C and 3 MPa, this catalyst achieved a methanol space‐time yield of 688.1 mg·g</w:t>
      </w:r>
      <w:r>
        <w:t xml:space="preserve"> </w:t>
      </w:r>
      <w:r>
        <w:t>−1</w:t>
      </w:r>
      <w:r>
        <w:t xml:space="preserve"> </w:t>
      </w:r>
      <w:r>
        <w:t>·h</w:t>
      </w:r>
      <w:r>
        <w:t xml:space="preserve"> </w:t>
      </w:r>
      <w:r>
        <w:t>−1</w:t>
      </w:r>
      <w:r>
        <w:t xml:space="preserve"> </w:t>
      </w:r>
      <w:r>
        <w:t>and an ultra‐high methanol selectivity (97.0%). Its unity‐methanol selectivity was 1.06–1.77 times that of high‐stability oxide materials. Meanwhile, catalyst's stability of 200 h was significantly prolonged compared to high‐selectivity MOF‐based catalysts that operated stably for 60–175 h. Mechanistic studies revealed that Cu</w:t>
      </w:r>
      <w:r>
        <w:t xml:space="preserve"> </w:t>
      </w:r>
      <w:r>
        <w:t>+</w:t>
      </w:r>
      <w:r>
        <w:t xml:space="preserve"> </w:t>
      </w:r>
      <w:r>
        <w:t>‐Cu</w:t>
      </w:r>
      <w:r>
        <w:rPr>
          <w:vertAlign w:val="subscript"/>
        </w:rPr>
        <w:t>0</w:t>
      </w:r>
      <w:r>
        <w:t>cluster pairs within defective U66 not only enabled partitioned synergistic activation of CO</w:t>
      </w:r>
      <w:r>
        <w:rPr>
          <w:vertAlign w:val="subscript"/>
        </w:rPr>
        <w:t>2</w:t>
      </w:r>
      <w:r>
        <w:t>and H</w:t>
      </w:r>
      <w:r>
        <w:rPr>
          <w:vertAlign w:val="subscript"/>
        </w:rPr>
        <w:t>2</w:t>
      </w:r>
      <w:r>
        <w:t>, but established an efficient electron/hydrogen transfer pathway. This facilitated the migration of active hydrogen species to CO</w:t>
      </w:r>
      <w:r>
        <w:rPr>
          <w:vertAlign w:val="subscript"/>
        </w:rPr>
        <w:t>2</w:t>
      </w:r>
      <w:r>
        <w:t>adsorption sites, where adsorbed CO</w:t>
      </w:r>
      <w:r>
        <w:rPr>
          <w:vertAlign w:val="subscript"/>
        </w:rPr>
        <w:t>2</w:t>
      </w:r>
      <w:r>
        <w:t>was converted into CO intermediates and underwent deep hydrogenation. This structural design synergistically enhanced compatibility between H</w:t>
      </w:r>
      <w:r>
        <w:rPr>
          <w:vertAlign w:val="subscript"/>
        </w:rPr>
        <w:t>2</w:t>
      </w:r>
      <w:r>
        <w:t>dissociation and CO</w:t>
      </w:r>
      <w:r>
        <w:rPr>
          <w:vertAlign w:val="subscript"/>
        </w:rPr>
        <w:t>2</w:t>
      </w:r>
      <w:r>
        <w:t>hydrogenation steps, enabling reaction to proceed efficiently along the RWGS + CO‐hydro pathway.</w:t>
      </w:r>
    </w:p>
    <w:p>
      <w:pPr>
        <w:spacing w:before="120" w:after="120"/>
      </w:pPr>
      <w:r>
        <w:rPr>
          <w:sz w:val="18"/>
        </w:rPr>
        <w:t>——————————————————————————————————————————————————————————————————————</w:t>
      </w:r>
    </w:p>
    <w:p>
      <w:pPr>
        <w:spacing w:before="160" w:after="40" w:line="240" w:lineRule="auto"/>
      </w:pPr>
      <w:r>
        <w:rPr>
          <w:b/>
        </w:rPr>
        <w:t xml:space="preserve">[47] </w:t>
      </w:r>
      <w:hyperlink r:id="rId405">
        <w:r>
          <w:rPr>
            <w:color w:val="1155CC"/>
            <w:u w:val="single"/>
          </w:rPr>
          <w:t>基于超分子笼的异质结：模拟叶绿体人工光合作用以高效生产乙醇</w:t>
        </w:r>
      </w:hyperlink>
    </w:p>
    <w:p>
      <w:pPr>
        <w:spacing w:before="0" w:after="80"/>
      </w:pPr>
      <w:r>
        <w:rPr>
          <w:i/>
          <w:sz w:val="20"/>
        </w:rPr>
        <w:t>EN: Supramolecular Cage‐Based Heterojunction: Chloroplast Mimicked Artificial Photosynthesis for Efficient Ethanol Production</w:t>
      </w:r>
    </w:p>
    <w:p>
      <w:pPr>
        <w:spacing w:before="0" w:after="120"/>
      </w:pPr>
      <w:r>
        <w:rPr>
          <w:b/>
        </w:rPr>
        <w:t xml:space="preserve">Source: </w:t>
      </w:r>
      <w:r>
        <w:t>Wiley: Angewandte Chemie International Edition: Table of Contents</w:t>
      </w:r>
      <w:r>
        <w:t xml:space="preserve">    </w:t>
      </w:r>
      <w:r>
        <w:rPr>
          <w:b/>
        </w:rPr>
        <w:t xml:space="preserve">Pub date: </w:t>
      </w:r>
      <w:r>
        <w:t>2026-07-21 12:15:01+00:00</w:t>
      </w:r>
      <w:r>
        <w:t xml:space="preserve">    </w:t>
      </w:r>
      <w:r>
        <w:rPr>
          <w:b/>
        </w:rPr>
        <w:t xml:space="preserve">DOI: </w:t>
      </w:r>
      <w:hyperlink r:id="rId406">
        <w:r>
          <w:rPr>
            <w:color w:val="1155CC"/>
            <w:u w:val="single"/>
          </w:rPr>
          <w:t>10.1002/anie.6078601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C的光合作用</w:t>
      </w:r>
      <w:r>
        <w:t xml:space="preserve"> </w:t>
      </w:r>
      <w:r>
        <w:t>2+</w:t>
      </w:r>
      <w:r>
        <w:t xml:space="preserve"> </w:t>
      </w:r>
      <w:r>
        <w:t>通过人工光合作用整体反应生产乙醇等产品是非常理想的，但通常受到碳的空间限制/利用的挑战</w:t>
      </w:r>
      <w:r>
        <w:rPr>
          <w:vertAlign w:val="subscript"/>
        </w:rPr>
        <w:t>1</w:t>
      </w:r>
      <w:r>
        <w:t>复杂的多电子还原过程中的中间体或动力学缓慢的 C─C 键耦合。受大自然的启发，通过模仿叶绿体设计了超分子仿生异质结（Zn-TIPP/CdS）光催化剂。 Zn-TIPP独特的超分子笼结构与CdS在该异质结中的耦合成功模拟了叶绿体中基质和基粒的综合功能，实现了最高的乙醇生产率之一（138.9 µmol g</w:t>
      </w:r>
      <w:r>
        <w:t xml:space="preserve"> </w:t>
      </w:r>
      <w:r>
        <w:t>−1</w:t>
      </w:r>
      <w:r>
        <w:t xml:space="preserve"> </w:t>
      </w:r>
      <w:r>
        <w:t>小时</w:t>
      </w:r>
      <w:r>
        <w:t xml:space="preserve"> </w:t>
      </w:r>
      <w:r>
        <w:t>−1</w:t>
      </w:r>
      <w:r>
        <w:t xml:space="preserve"> </w:t>
      </w:r>
      <w:r>
        <w:t>，93% 的选择性）通过人工光合作用，大大超过了大多数先前记录的光催化剂。在仿生异质结中快速电荷转移效率的驱动下，Zn-TIPP中超分子笼的空间限制和多位点催化效应使得CO能够级联转化</w:t>
      </w:r>
      <w:r>
        <w:rPr>
          <w:vertAlign w:val="subscript"/>
        </w:rPr>
        <w:t>2</w:t>
      </w:r>
      <w:r>
        <w:t>原位表征和理论计算揭示了乙醇的存在。这种氧化还原异质结的建立将促进高效光催化剂的设计，通过人工光合整体反应产生增值燃料。</w:t>
      </w:r>
    </w:p>
    <w:p>
      <w:pPr>
        <w:spacing w:before="0" w:after="200" w:lineRule="auto" w:line="276"/>
      </w:pPr>
      <w:r>
        <w:rPr>
          <w:b/>
        </w:rPr>
        <w:t xml:space="preserve">Abstract (EN): </w:t>
      </w:r>
      <w:r>
        <w:t>Photosynthesis of C</w:t>
      </w:r>
      <w:r>
        <w:t xml:space="preserve"> </w:t>
      </w:r>
      <w:r>
        <w:t>2+</w:t>
      </w:r>
      <w:r>
        <w:t xml:space="preserve"> </w:t>
      </w:r>
      <w:r>
        <w:t>products like ethanol through artificial photosynthetic overall reaction is much desired yet generally challenged by spatial confinement/utilization of C</w:t>
      </w:r>
      <w:r>
        <w:rPr>
          <w:vertAlign w:val="subscript"/>
        </w:rPr>
        <w:t>1</w:t>
      </w:r>
      <w:r>
        <w:t>intermediates or kinetically sluggish C─C bond coupling in the complex multi‐electronic reduction processes. Inspired by nature, a supramolecular biomimetic heterojunction (Zn‐TIPP/CdS) photocatalyst was designed by mimicking chloroplasts. The coupling of the unique supramolecular cage structure of Zn‐TIPP with CdS in this heterojunction successfully simulates the comprehensive functions of stroma and grana in chloroplasts, achieving one of the highest ethanol production rates (138.9 µmol g</w:t>
      </w:r>
      <w:r>
        <w:t xml:space="preserve"> </w:t>
      </w:r>
      <w:r>
        <w:t>−1</w:t>
      </w:r>
      <w:r>
        <w:t xml:space="preserve"> </w:t>
      </w:r>
      <w:r>
        <w:t>h</w:t>
      </w:r>
      <w:r>
        <w:t xml:space="preserve"> </w:t>
      </w:r>
      <w:r>
        <w:t>−1</w:t>
      </w:r>
      <w:r>
        <w:t xml:space="preserve"> </w:t>
      </w:r>
      <w:r>
        <w:t>, 93% selectivity) via artificial photosynthesis, which significantly surpasses most previously documented photocatalysts. Driven by the fast charge transfer efficiency in the biomimetic heterojunction, the spatial confinement and multisite catalytic effects of the supramolecular cage in Zn‐TIPP enable the cascade conversion of CO</w:t>
      </w:r>
      <w:r>
        <w:rPr>
          <w:vertAlign w:val="subscript"/>
        </w:rPr>
        <w:t>2</w:t>
      </w:r>
      <w:r>
        <w:t>into ethanol as revealed by in situ characterizations and theoretical calculations. The establishment of such redox heterojunction would promote the design of efficient photocatalysts for the generation of value‐added fuels through artificial photosynthetic overall reaction.</w:t>
      </w:r>
    </w:p>
    <w:p>
      <w:pPr>
        <w:spacing w:before="120" w:after="120"/>
      </w:pPr>
      <w:r>
        <w:rPr>
          <w:sz w:val="18"/>
        </w:rPr>
        <w:t>——————————————————————————————————————————————————————————————————————</w:t>
      </w:r>
    </w:p>
    <w:p>
      <w:pPr>
        <w:spacing w:before="160" w:after="40" w:line="240" w:lineRule="auto"/>
      </w:pPr>
      <w:r>
        <w:rPr>
          <w:b/>
        </w:rPr>
        <w:t xml:space="preserve">[48] </w:t>
      </w:r>
      <w:hyperlink r:id="rId407">
        <w:r>
          <w:rPr>
            <w:color w:val="1155CC"/>
            <w:u w:val="single"/>
          </w:rPr>
          <w:t>不对称 Ni-O-Co 活性位点诱导自旋态跃迁，打破尿素电解性能权衡</w:t>
        </w:r>
      </w:hyperlink>
    </w:p>
    <w:p>
      <w:pPr>
        <w:spacing w:before="0" w:after="80"/>
      </w:pPr>
      <w:r>
        <w:rPr>
          <w:i/>
          <w:sz w:val="20"/>
        </w:rPr>
        <w:t>EN: Asymmetric Ni–O–Co Active Sites Induce Spin‐State Transitions to Break Performance Trade‐Offs in Urea Electrolysis</w:t>
      </w:r>
    </w:p>
    <w:p>
      <w:pPr>
        <w:spacing w:before="0" w:after="120"/>
      </w:pPr>
      <w:r>
        <w:rPr>
          <w:b/>
        </w:rPr>
        <w:t xml:space="preserve">Source: </w:t>
      </w:r>
      <w:r>
        <w:t>Wiley: Angewandte Chemie International Edition: Table of Contents</w:t>
      </w:r>
      <w:r>
        <w:t xml:space="preserve">    </w:t>
      </w:r>
      <w:r>
        <w:rPr>
          <w:b/>
        </w:rPr>
        <w:t xml:space="preserve">Pub date: </w:t>
      </w:r>
      <w:r>
        <w:t>2026-07-21 12:21:14+00:00</w:t>
      </w:r>
      <w:r>
        <w:t xml:space="preserve">    </w:t>
      </w:r>
      <w:r>
        <w:rPr>
          <w:b/>
        </w:rPr>
        <w:t xml:space="preserve">DOI: </w:t>
      </w:r>
      <w:hyperlink r:id="rId408">
        <w:r>
          <w:rPr>
            <w:color w:val="1155CC"/>
            <w:u w:val="single"/>
          </w:rPr>
          <w:t>10.1002/anie.6255291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尿素辅助水电解代表了并行制氢和废水修复的可持续范例；然而，其效率从根本上受到尿素活化和 CO 之间的 Sabatier 权衡的限制</w:t>
      </w:r>
      <w:r>
        <w:rPr>
          <w:vertAlign w:val="subscript"/>
        </w:rPr>
        <w:t>2</w:t>
      </w:r>
      <w:r>
        <w:t>产物解吸。在这里，我们报告了一种不对称电子结构工程策略，通过将原子分散的 Ni 结合到 Co 中来克服这一瓶颈</w:t>
      </w:r>
      <w:r>
        <w:rPr>
          <w:vertAlign w:val="subscript"/>
        </w:rPr>
        <w:t>3</w:t>
      </w:r>
      <w:r>
        <w:t>氧</w:t>
      </w:r>
      <w:r>
        <w:rPr>
          <w:vertAlign w:val="subscript"/>
        </w:rPr>
        <w:t>4</w:t>
      </w:r>
      <w:r>
        <w:t>立方空心纳米盒。不对称Ni-O-Co位点的构建引发了八面体Co的临界自旋态转变</w:t>
      </w:r>
      <w:r>
        <w:t xml:space="preserve"> </w:t>
      </w:r>
      <w:r>
        <w:t>3+</w:t>
      </w:r>
      <w:r>
        <w:t xml:space="preserve"> </w:t>
      </w:r>
      <w:r>
        <w:t>通过晶格畸变和极化从低自旋到中自旋。这种电子重构有效地增强了尿素结合，同时削弱了有毒*CO的吸附</w:t>
      </w:r>
      <w:r>
        <w:rPr>
          <w:vertAlign w:val="subscript"/>
        </w:rPr>
        <w:t>2</w:t>
      </w:r>
      <w:r>
        <w:t>中间体。通过超亲水和超疏气表面的协同作用，促进气泡快速释放，Ni</w:t>
      </w:r>
      <w:r>
        <w:t xml:space="preserve"> </w:t>
      </w:r>
      <w:r>
        <w:t>国家标准委员会</w:t>
      </w:r>
      <w:r>
        <w:t xml:space="preserve"> </w:t>
      </w:r>
      <w:r>
        <w:t>‐钴</w:t>
      </w:r>
      <w:r>
        <w:rPr>
          <w:vertAlign w:val="subscript"/>
        </w:rPr>
        <w:t>3</w:t>
      </w:r>
      <w:r>
        <w:t>氧</w:t>
      </w:r>
      <w:r>
        <w:rPr>
          <w:vertAlign w:val="subscript"/>
        </w:rPr>
        <w:t>4</w:t>
      </w:r>
      <w:r>
        <w:t>催化剂实现了 1.32 V 的极低尿素氧化电位。在全电池配置中，系统提供 10 mA·cm 的电流密度</w:t>
      </w:r>
      <w:r>
        <w:t xml:space="preserve"> </w:t>
      </w:r>
      <w:r>
        <w:t>−2</w:t>
      </w:r>
      <w:r>
        <w:t xml:space="preserve"> </w:t>
      </w:r>
      <w:r>
        <w:t>仅需 1.34 V，与传统水分解相比，氢气产量增加一倍，同时实现 96.7% 的尿素降解效率</w:t>
      </w:r>
    </w:p>
    <w:p>
      <w:pPr>
        <w:spacing w:before="0" w:after="200" w:lineRule="auto" w:line="276"/>
      </w:pPr>
      <w:r>
        <w:rPr>
          <w:b/>
        </w:rPr>
        <w:t xml:space="preserve">Abstract (EN): </w:t>
      </w:r>
      <w:r>
        <w:t>Urea‐assisted water electrolysis represents a sustainable paradigm for concurrent hydrogen production and wastewater remediation; however, its efficiency is fundamentally limited by the Sabatier trade‐off between urea activation and CO</w:t>
      </w:r>
      <w:r>
        <w:rPr>
          <w:vertAlign w:val="subscript"/>
        </w:rPr>
        <w:t>2</w:t>
      </w:r>
      <w:r>
        <w:t>product desorption. Here, we report an asymmetric electronic structure engineering strategy to overcome this bottleneck by incorporating atomically dispersed Ni into Co</w:t>
      </w:r>
      <w:r>
        <w:rPr>
          <w:vertAlign w:val="subscript"/>
        </w:rPr>
        <w:t>3</w:t>
      </w:r>
      <w:r>
        <w:t>O</w:t>
      </w:r>
      <w:r>
        <w:rPr>
          <w:vertAlign w:val="subscript"/>
        </w:rPr>
        <w:t>4</w:t>
      </w:r>
      <w:r>
        <w:t>cubic hollow nanoboxes. The construction of asymmetric Ni–O–Co sites triggers a critical spin‐state transition of octahedral Co</w:t>
      </w:r>
      <w:r>
        <w:t xml:space="preserve"> </w:t>
      </w:r>
      <w:r>
        <w:t>3+</w:t>
      </w:r>
      <w:r>
        <w:t xml:space="preserve"> </w:t>
      </w:r>
      <w:r>
        <w:t>from low‐spin to intermediate‐spin through lattice distortion and polarization. This electronic reconfiguration effectively strengthens urea binding while simultaneously weakening the adsorption of poisonous *CO</w:t>
      </w:r>
      <w:r>
        <w:rPr>
          <w:vertAlign w:val="subscript"/>
        </w:rPr>
        <w:t>2</w:t>
      </w:r>
      <w:r>
        <w:t>intermediates. Synergized by a superhydrophilic and superaerophobic surface that facilitates rapid bubble release, the Ni</w:t>
      </w:r>
      <w:r>
        <w:t xml:space="preserve"> </w:t>
      </w:r>
      <w:r>
        <w:t>SAC</w:t>
      </w:r>
      <w:r>
        <w:t xml:space="preserve"> </w:t>
      </w:r>
      <w:r>
        <w:t>‐Co</w:t>
      </w:r>
      <w:r>
        <w:rPr>
          <w:vertAlign w:val="subscript"/>
        </w:rPr>
        <w:t>3</w:t>
      </w:r>
      <w:r>
        <w:t>O</w:t>
      </w:r>
      <w:r>
        <w:rPr>
          <w:vertAlign w:val="subscript"/>
        </w:rPr>
        <w:t>4</w:t>
      </w:r>
      <w:r>
        <w:t>catalyst achieves an exceptionally low potential of 1.32 V for urea oxidation. In a full‐cell configuration, the system delivers a current density of 10 mA·cm</w:t>
      </w:r>
      <w:r>
        <w:t xml:space="preserve"> </w:t>
      </w:r>
      <w:r>
        <w:t>−2</w:t>
      </w:r>
      <w:r>
        <w:t xml:space="preserve"> </w:t>
      </w:r>
      <w:r>
        <w:t>at only 1.34 V, doubling the hydrogen output compared to traditional water splitting while achieving a 96.7% urea degradation efficiency. Life cycle assessment further validates the environmental superiority of this system. Our work provides a versatile design principle for tailoring spin states in asymmetric architectures to break linear scaling relationships in complex multi‐electron electrocatalysis.</w:t>
      </w:r>
    </w:p>
    <w:p>
      <w:pPr>
        <w:spacing w:before="120" w:after="120"/>
      </w:pPr>
      <w:r>
        <w:rPr>
          <w:sz w:val="18"/>
        </w:rPr>
        <w:t>——————————————————————————————————————————————————————————————————————</w:t>
      </w:r>
    </w:p>
    <w:p>
      <w:pPr>
        <w:spacing w:before="160" w:after="40" w:line="240" w:lineRule="auto"/>
      </w:pPr>
      <w:r>
        <w:rPr>
          <w:b/>
        </w:rPr>
        <w:t xml:space="preserve">[49] </w:t>
      </w:r>
      <w:hyperlink r:id="rId409">
        <w:r>
          <w:rPr>
            <w:color w:val="1155CC"/>
            <w:u w:val="single"/>
          </w:rPr>
          <w:t>用于设计氧电催化剂的机械可解释人工智能</w:t>
        </w:r>
      </w:hyperlink>
    </w:p>
    <w:p>
      <w:pPr>
        <w:spacing w:before="0" w:after="80"/>
      </w:pPr>
      <w:r>
        <w:rPr>
          <w:i/>
          <w:sz w:val="20"/>
        </w:rPr>
        <w:t>EN: Mechanistically Interpretable Artificial Intelligence for Designing Oxygen Electrocatalysts</w:t>
      </w:r>
    </w:p>
    <w:p>
      <w:pPr>
        <w:spacing w:before="0" w:after="120"/>
      </w:pPr>
      <w:r>
        <w:rPr>
          <w:b/>
        </w:rPr>
        <w:t xml:space="preserve">Source: </w:t>
      </w:r>
      <w:r>
        <w:t>Wiley: Advanced Materials: Table of Contents</w:t>
      </w:r>
      <w:r>
        <w:t xml:space="preserve">    </w:t>
      </w:r>
      <w:r>
        <w:rPr>
          <w:b/>
        </w:rPr>
        <w:t xml:space="preserve">Pub date: </w:t>
      </w:r>
      <w:r>
        <w:t>2026-07-21 13:32:38+00:00</w:t>
      </w:r>
      <w:r>
        <w:t xml:space="preserve">    </w:t>
      </w:r>
      <w:r>
        <w:rPr>
          <w:b/>
        </w:rPr>
        <w:t xml:space="preserve">DOI: </w:t>
      </w:r>
      <w:hyperlink r:id="rId410">
        <w:r>
          <w:rPr>
            <w:color w:val="1155CC"/>
            <w:u w:val="single"/>
          </w:rPr>
          <w:t>10.1002/adma.74212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氧还原和析氧反应（ORR 和 OER）是能量转换和化学转化的关键电化学过程。然而，ORR/OER 固有的复杂性、多物理性质以及不同的操作环境对基于结构-性能关系的电催化剂的合理设计提出了重大挑战。为了克服这些挑战，我们开发了两阶段材料筛选（TSMS），这是一种人工智能驱动的框架，集成了密度泛函理论（DFT）计算、主动学习引导的实验反馈循环和机制解释，以实现快速发现和系统评估有前途的电催化剂。在质子固体氧化物电池 (P-SOC) 中进行验证，TSMS 筛选了 6,940,032 种成分，并确定了经过实验验证的性能最佳的候选材料，实现了 2.68 W cm 的峰值功率密度</w:t>
      </w:r>
      <w:r>
        <w:t xml:space="preserve"> </w:t>
      </w:r>
      <w:r>
        <w:t>−2</w:t>
      </w:r>
      <w:r>
        <w:t xml:space="preserve"> </w:t>
      </w:r>
      <w:r>
        <w:t>在燃料电池模式下，电流密度为 3.51 A cm</w:t>
      </w:r>
      <w:r>
        <w:t xml:space="preserve"> </w:t>
      </w:r>
      <w:r>
        <w:t>−2</w:t>
      </w:r>
      <w:r>
        <w:t xml:space="preserve"> </w:t>
      </w:r>
      <w:r>
        <w:t>在电解模式下电压为 1.3 V，在 600°C 下可保持 500 小时以上的稳定性能。我们的分析表明，电子亲和力与热力学稳定性密切相关，而</w:t>
      </w:r>
      <w:r>
        <w:t xml:space="preserve"> </w:t>
      </w:r>
      <w:r>
        <w:t>d-p</w:t>
      </w:r>
      <w:r>
        <w:t xml:space="preserve"> </w:t>
      </w:r>
      <w:r>
        <w:t>杂交和致密化抗性成为控制电催化活性的主要描述符。通过将预测建模与机械理解相结合，TSMS 建立了一个通用且广泛推广的范式，用于加速制造</w:t>
      </w:r>
    </w:p>
    <w:p>
      <w:pPr>
        <w:spacing w:before="0" w:after="200" w:lineRule="auto" w:line="276"/>
      </w:pPr>
      <w:r>
        <w:rPr>
          <w:b/>
        </w:rPr>
        <w:t xml:space="preserve">Abstract (EN): </w:t>
      </w:r>
      <w:r>
        <w:t>Oxygen reduction and evolution reactions (ORR and OER) are key electrochemical processes central to energy conversion and chemical transformation. However, the inherently complex, multi‐physics nature of ORR/OER—together with diverse operating environments—poses significant challenges to the rational design of electrocatalysts based on structure–property relationships. To overcome these challenges, we developed Two‐Stage Material Screening (TSMS), an AI‐driven framework that integrates density functional theory (DFT) computations, an active‐learning‐guided experimental feedback loop, and mechanistic interpretation to enable rapid discovery and systematic evaluation of promising electrocatalysts. Demonstrated in protonic solid oxide cells (P‐SOCs), TSMS screened 6,940,032 compositions and identified top‐performing candidates that were experimentally validated, achieving a peak power density of 2.68 W cm</w:t>
      </w:r>
      <w:r>
        <w:t xml:space="preserve"> </w:t>
      </w:r>
      <w:r>
        <w:t>−2</w:t>
      </w:r>
      <w:r>
        <w:t xml:space="preserve"> </w:t>
      </w:r>
      <w:r>
        <w:t>in fuel cell mode and a current density of 3.51 A cm</w:t>
      </w:r>
      <w:r>
        <w:t xml:space="preserve"> </w:t>
      </w:r>
      <w:r>
        <w:t>−2</w:t>
      </w:r>
      <w:r>
        <w:t xml:space="preserve"> </w:t>
      </w:r>
      <w:r>
        <w:t>at 1.3 V in electrolysis mode, with stable performance maintained over 500 h at 600°C. Our analysis revealed that electron affinity is strongly associated with thermodynamic stability, while</w:t>
      </w:r>
      <w:r>
        <w:t xml:space="preserve"> </w:t>
      </w:r>
      <w:r>
        <w:t>d‐p</w:t>
      </w:r>
      <w:r>
        <w:t xml:space="preserve"> </w:t>
      </w:r>
      <w:r>
        <w:t>hybridization and densification resistance emerge as the primary descriptors governing electrocatalytic activity. By combining predictive modeling with mechanistic understanding, TSMS establishes a versatile and broadly generalizable paradigm for accelerating materials discovery.</w:t>
      </w:r>
    </w:p>
    <w:p>
      <w:pPr>
        <w:spacing w:before="120" w:after="120"/>
      </w:pPr>
      <w:r>
        <w:rPr>
          <w:sz w:val="18"/>
        </w:rPr>
        <w:t>——————————————————————————————————————————————————————————————————————</w:t>
      </w:r>
    </w:p>
    <w:p>
      <w:pPr>
        <w:spacing w:before="160" w:after="40" w:line="240" w:lineRule="auto"/>
      </w:pPr>
      <w:r>
        <w:rPr>
          <w:b/>
        </w:rPr>
        <w:t xml:space="preserve">[50] </w:t>
      </w:r>
      <w:hyperlink r:id="rId411">
        <w:r>
          <w:rPr>
            <w:color w:val="1155CC"/>
            <w:u w:val="single"/>
          </w:rPr>
          <w:t>用于电子态调制的四氮杂[14]轮烯基共价有机框架中的取代基变化</w:t>
        </w:r>
      </w:hyperlink>
    </w:p>
    <w:p>
      <w:pPr>
        <w:spacing w:before="0" w:after="80"/>
      </w:pPr>
      <w:r>
        <w:rPr>
          <w:i/>
          <w:sz w:val="20"/>
        </w:rPr>
        <w:t>EN: Substituent Variation in Tetraaza[14]Annulene‐Based Covalent Organic Frameworks for Modulation of Electronic States</w:t>
      </w:r>
    </w:p>
    <w:p>
      <w:pPr>
        <w:spacing w:before="0" w:after="120"/>
      </w:pPr>
      <w:r>
        <w:rPr>
          <w:b/>
        </w:rPr>
        <w:t xml:space="preserve">Source: </w:t>
      </w:r>
      <w:r>
        <w:t>Wiley: Angewandte Chemie International Edition: Table of Contents</w:t>
      </w:r>
      <w:r>
        <w:t xml:space="preserve">    </w:t>
      </w:r>
      <w:r>
        <w:rPr>
          <w:b/>
        </w:rPr>
        <w:t xml:space="preserve">Pub date: </w:t>
      </w:r>
      <w:r>
        <w:t>2026-07-21 19:25:27+00:00</w:t>
      </w:r>
      <w:r>
        <w:t xml:space="preserve">    </w:t>
      </w:r>
      <w:r>
        <w:rPr>
          <w:b/>
        </w:rPr>
        <w:t xml:space="preserve">DOI: </w:t>
      </w:r>
      <w:hyperlink r:id="rId412">
        <w:r>
          <w:rPr>
            <w:color w:val="1155CC"/>
            <w:u w:val="single"/>
          </w:rPr>
          <w:t>10.1002/anie.4973178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金属中心引入共价有机框架（COF）是一种有效且有吸引力的策略，但提供可调谐结构和可控电子特性的构建模块池仍然有限。在这里，我们设计了两种氨基功能化的四功能镍四氮杂[14]轮烯（TAA）结构单元，并将它们整合到二维COF中。值得注意的是，TAA 部分的外围苯环具有丰富的易于修饰的近端位点，从而可以轻松调节中心镍离子的电子态。为了研究取代基的位置效应，我们构建了一对在近端或远端位置含有相同数量氟原子的异构COF。综合实验和计算研究表明，近端氟化更有效地降低了镍位点的电子密度并增强了电子亲和力，从而显着提高了电催化析氧反应（OER）性能。因此，优化后的 COF 在 10 mA cm 下可实现 380 mV 的过电势</w:t>
      </w:r>
      <w:r>
        <w:t xml:space="preserve"> </w:t>
      </w:r>
      <w:r>
        <w:t>−2</w:t>
      </w:r>
      <w:r>
        <w:t xml:space="preserve"> </w:t>
      </w:r>
      <w:r>
        <w:t>，明显优于远端氟和无氟同类产品。这项工作将金属TAA大环化合物确立为金属基COF的新型构建模块，并证明精确的取代基定位是调节晶体骨架材料的电子结构和催化性能的有效策略。</w:t>
      </w:r>
    </w:p>
    <w:p>
      <w:pPr>
        <w:spacing w:before="0" w:after="200" w:lineRule="auto" w:line="276"/>
      </w:pPr>
      <w:r>
        <w:rPr>
          <w:b/>
        </w:rPr>
        <w:t xml:space="preserve">Abstract (EN): </w:t>
      </w:r>
      <w:r>
        <w:t>Introducing metal centers into covalent organic frameworks (COFs) is an effective and attractive strategy, but the pool of building blocks offering tunable structures and controllable electronic properties remains limited. Here, we designed two amino‐functionalized, tetrafunctional nickel tetraaza[14]annulene (TAA) building blocks and incorporated them into two‐dimensional COFs. Notably, the peripheral benzene rings of the TAA moiety bear abundant proximal sites amenable to modification, allowing facile tuning of the central nickel ion's electronic state. To investigate the positional effect of substituents, we constructed a pair of isomeric COFs containing the same number of fluorine atoms either at proximal or distal positions. Combined experimental and computational studies reveal that proximal fluorination more effectively reduces electron density at the nickel sites and enhances electron affinity, substantially improving electrocatalytic oxygen evolution reaction (OER) performance. Consequently, the optimized COF achieves an overpotential of 380 mV at 10 mA cm</w:t>
      </w:r>
      <w:r>
        <w:t xml:space="preserve"> </w:t>
      </w:r>
      <w:r>
        <w:t>−2</w:t>
      </w:r>
      <w:r>
        <w:t xml:space="preserve"> </w:t>
      </w:r>
      <w:r>
        <w:t>, significantly outperforming its distal‐fluorine and fluorine‐free counterparts. This work establishes metal TAA macrocycles as a new class of building blocks for metal‐based COFs and demonstrates that precise substituent positioning is an effective strategy for modulating the electronic structure and catalytic performance of crystalline framework materials.</w:t>
      </w:r>
    </w:p>
    <w:p>
      <w:pPr>
        <w:spacing w:before="120" w:after="120"/>
      </w:pPr>
      <w:r>
        <w:rPr>
          <w:sz w:val="18"/>
        </w:rPr>
        <w:t>——————————————————————————————————————————————————————————————————————</w:t>
      </w:r>
    </w:p>
    <w:p>
      <w:pPr>
        <w:spacing w:before="160" w:after="40" w:line="240" w:lineRule="auto"/>
      </w:pPr>
      <w:r>
        <w:rPr>
          <w:b/>
        </w:rPr>
        <w:t xml:space="preserve">[51] </w:t>
      </w:r>
      <w:hyperlink r:id="rId413">
        <w:r>
          <w:rPr>
            <w:color w:val="1155CC"/>
            <w:u w:val="single"/>
          </w:rPr>
          <w:t>多孔有机笼液体稳定 Pd 纳米团簇，用于环境 H2 捕获和炔烃半氢化</w:t>
        </w:r>
      </w:hyperlink>
    </w:p>
    <w:p>
      <w:pPr>
        <w:spacing w:before="0" w:after="80"/>
      </w:pPr>
      <w:r>
        <w:rPr>
          <w:i/>
          <w:sz w:val="20"/>
        </w:rPr>
        <w:t>EN: Porous Organic Cage Liquid Stabilizes Pd Nanoclusters for Ambient H2 Capture and Alkyne Semihydrogenation</w:t>
      </w:r>
    </w:p>
    <w:p>
      <w:pPr>
        <w:spacing w:before="0" w:after="120"/>
      </w:pPr>
      <w:r>
        <w:rPr>
          <w:b/>
        </w:rPr>
        <w:t xml:space="preserve">Source: </w:t>
      </w:r>
      <w:r>
        <w:t>Wiley: Angewandte Chemie International Edition: Table of Contents</w:t>
      </w:r>
      <w:r>
        <w:t xml:space="preserve">    </w:t>
      </w:r>
      <w:r>
        <w:rPr>
          <w:b/>
        </w:rPr>
        <w:t xml:space="preserve">Pub date: </w:t>
      </w:r>
      <w:r>
        <w:t>2026-07-21 19:27:23+00:00</w:t>
      </w:r>
      <w:r>
        <w:t xml:space="preserve">    </w:t>
      </w:r>
      <w:r>
        <w:rPr>
          <w:b/>
        </w:rPr>
        <w:t xml:space="preserve">DOI: </w:t>
      </w:r>
      <w:hyperlink r:id="rId414">
        <w:r>
          <w:rPr>
            <w:color w:val="1155CC"/>
            <w:u w:val="single"/>
          </w:rPr>
          <w:t>10.1002/anie.6163429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用于稳定高活性超细金属纳米粒子（MNP）的新型载体的设计和合成在不同的科学领域中至关重要，因为它能够更有效地利用其高密度的可接近活性位点。然而，新兴的多孔液体（PL）材料保护此类 MNP 的潜力仍未得到充分开发。在此，我们报告了基于多孔有机笼（POC）的新型PL的合理设计和合成，称为</w:t>
      </w:r>
      <w:r>
        <w:t xml:space="preserve"> </w:t>
      </w:r>
      <w:r>
        <w:t>CPOC-PL</w:t>
      </w:r>
      <w:r>
        <w:t xml:space="preserve"> </w:t>
      </w:r>
      <w:r>
        <w:t>，通过四个凹形四甲酰基杯[4]间苯二酚帽和八个长链聚乙二醇官能化二氨基咪唑连接体之间的缩合而构建。这个[4+8]</w:t>
      </w:r>
      <w:r>
        <w:t xml:space="preserve"> </w:t>
      </w:r>
      <w:r>
        <w:t>CPOC-PL</w:t>
      </w:r>
      <w:r>
        <w:t xml:space="preserve"> </w:t>
      </w:r>
      <w:r>
        <w:t>它具有一个方棱柱形空腔，可作为通过配位还原过程封装和稳定超小型 Pd 纳米粒子（直径约 1.36 nm）的出色主体。由此产生的</w:t>
      </w:r>
      <w:r>
        <w:t xml:space="preserve"> </w:t>
      </w:r>
      <w:r>
        <w:t>Pd@CPOC-PL</w:t>
      </w:r>
      <w:r>
        <w:t xml:space="preserve"> </w:t>
      </w:r>
      <w:r>
        <w:t>在环境条件下表现出显着的氢气吸收，每个 Pd 原子有 ∼2.1 个 H 原子。利用其流体性质和高效的氢捕获能力，</w:t>
      </w:r>
      <w:r>
        <w:t xml:space="preserve"> </w:t>
      </w:r>
      <w:r>
        <w:t>Pd@CPOC-PL</w:t>
      </w:r>
      <w:r>
        <w:t xml:space="preserve"> </w:t>
      </w:r>
      <w:r>
        <w:t>在环境条件下炔烃半加氢中也表现出出色的催化性能。这项工作为实际应用中合理构建基于 POC 的功能性多孔液体提出了一种可推广的策略。</w:t>
      </w:r>
    </w:p>
    <w:p>
      <w:pPr>
        <w:spacing w:before="0" w:after="200" w:lineRule="auto" w:line="276"/>
      </w:pPr>
      <w:r>
        <w:rPr>
          <w:b/>
        </w:rPr>
        <w:t xml:space="preserve">Abstract (EN): </w:t>
      </w:r>
      <w:r>
        <w:t>The design and synthesis of novel supports for stabilizing highly active ultrafine metal nanoparticles (MNPs) is critically important across diverse scientific fields as it enables more efficient utilization of their high density of accessible active sites. However, the potential of emerging porous liquid (PL) materials to protect such MNPs remains largely unexplored. Herein, we report the rational design and synthesis of a new PL based on a porous organic cage (POC), termed</w:t>
      </w:r>
      <w:r>
        <w:t xml:space="preserve"> </w:t>
      </w:r>
      <w:r>
        <w:t>CPOC‐PL</w:t>
      </w:r>
      <w:r>
        <w:t xml:space="preserve"> </w:t>
      </w:r>
      <w:r>
        <w:t>, constructed via condensation between four concave tetraformylcalix[4]resorcinarene caps and eight long‐chain polyethylene glycol‐functionalized diamino imidazole linkers. This [4+8]</w:t>
      </w:r>
      <w:r>
        <w:t xml:space="preserve"> </w:t>
      </w:r>
      <w:r>
        <w:t>CPOC‐PL</w:t>
      </w:r>
      <w:r>
        <w:t xml:space="preserve"> </w:t>
      </w:r>
      <w:r>
        <w:t>features a square‐prismatic cavity that serves as an excellent host for encapsulating and stabilizing ultrasmall Pd nanoparticles (∼1.36 nm in diameter) through a coordination‐reduction process. The resulting</w:t>
      </w:r>
      <w:r>
        <w:t xml:space="preserve"> </w:t>
      </w:r>
      <w:r>
        <w:t>Pd@CPOC‐PL</w:t>
      </w:r>
      <w:r>
        <w:t xml:space="preserve"> </w:t>
      </w:r>
      <w:r>
        <w:t>exhibits notable hydrogen gas uptake under ambient conditions, with ∼2.1 H atoms per Pd atom. Leveraging its fluidic nature and efficient hydrogen capture ability,</w:t>
      </w:r>
      <w:r>
        <w:t xml:space="preserve"> </w:t>
      </w:r>
      <w:r>
        <w:t>Pd@CPOC‐PL</w:t>
      </w:r>
      <w:r>
        <w:t xml:space="preserve"> </w:t>
      </w:r>
      <w:r>
        <w:t>also demonstrates outstanding catalytic performance in the semihydrogenation of alkynes at ambient conditions. This work presents a generalizable strategy for the rational construction of functional POC‐based porous liquids for practical applications.</w:t>
      </w:r>
    </w:p>
    <w:p>
      <w:pPr>
        <w:spacing w:before="120" w:after="120"/>
      </w:pPr>
      <w:r>
        <w:rPr>
          <w:sz w:val="18"/>
        </w:rPr>
        <w:t>——————————————————————————————————————————————————————————————————————</w:t>
      </w:r>
    </w:p>
    <w:p>
      <w:pPr>
        <w:spacing w:before="160" w:after="40" w:line="240" w:lineRule="auto"/>
      </w:pPr>
      <w:r>
        <w:rPr>
          <w:b/>
        </w:rPr>
        <w:t xml:space="preserve">[52] </w:t>
      </w:r>
      <w:hyperlink r:id="rId415">
        <w:r>
          <w:rPr>
            <w:color w:val="1155CC"/>
            <w:u w:val="single"/>
          </w:rPr>
          <w:t>在可持续 CO-PROX 催化剂中实现铈的高效利用：SrTiO 3 上 Cu−Ce 的界面工程</w:t>
        </w:r>
      </w:hyperlink>
    </w:p>
    <w:p>
      <w:pPr>
        <w:spacing w:before="0" w:after="80"/>
      </w:pPr>
      <w:r>
        <w:rPr>
          <w:i/>
          <w:sz w:val="20"/>
        </w:rPr>
        <w:t>EN: Toward Efficient Cerium Utilization in Sustainable CO-PROX Catalysts: Interfacial Engineering of Cu−Ce on SrTiO 3</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416">
        <w:r>
          <w:rPr>
            <w:color w:val="1155CC"/>
            <w:u w:val="single"/>
          </w:rPr>
          <w:t>10.1021/acsami.6c06626</w:t>
        </w:r>
      </w:hyperlink>
    </w:p>
    <w:p>
      <w:pPr>
        <w:spacing w:before="0" w:after="120"/>
      </w:pPr>
      <w:r>
        <w:rPr>
          <w:b/>
        </w:rPr>
        <w:t xml:space="preserve">Notes: </w:t>
      </w:r>
      <w:r>
        <w:t>abstract_source=pubmed</w:t>
      </w:r>
    </w:p>
    <w:p>
      <w:pPr>
        <w:spacing w:before="0" w:after="80" w:lineRule="auto" w:line="276"/>
      </w:pPr>
      <w:r>
        <w:rPr>
          <w:b/>
        </w:rPr>
        <w:t xml:space="preserve">摘要（ZH）: </w:t>
      </w:r>
      <w:r>
        <w:t>设计可持续催化剂需要最大限度地提高原子效率，同时最大限度地减少关键原材料的使用。在这一挑战的推动下，使用低稀土负载量（2、4 和 8 Ce wt%）在形态控制的 SrTiO3 纳米立方体上构建了 CuOx-CeO2 活性相。该催化剂在富氢流 (CO-PROX) 中对 CO 优先氧化进行了测试，并与 CuO/CeO2 参考进行比较。先进的 STEM 表征与 H2-TPR 分析相结合表明，铜基物质随着二氧化铈负载量的增加而增加其分散性，从而增强 CuOx-CeO2 界面位点。这种更高密度的界面位点与参与 CO 氧化的更多 Cu+ 活性中心相关，从而增强了催化性能。优化后的催化剂仅含有 8 wt% Ce，在 200 °C 时与 CuO/CeO2 的转化率非常匹配。然而，高于这个温度，行为就会发生变化，并伴随着活性的显着下降。通过 XPS 和 DRIFTS 测量，我们进一步了解了 CuOx-CeO2 界面以及通过增加二氧化铈负载量促进的 Cu+ 活性位点的形成。这些技术表明，二氧化铈的电子态不受 SrTiO3 载体的影响，而除了二氧化铈负载之外，选择性的细微变化也可能受到镧系元素纳米结构的晶体学性质的影响。此外，原位和相同位置的 STEM 实验表明，铜物质在还原条件下动态再分散，而不会影响催化性能。</w:t>
      </w:r>
    </w:p>
    <w:p>
      <w:pPr>
        <w:spacing w:before="0" w:after="200" w:lineRule="auto" w:line="276"/>
      </w:pPr>
      <w:r>
        <w:rPr>
          <w:b/>
        </w:rPr>
        <w:t xml:space="preserve">Abstract (EN): </w:t>
      </w:r>
      <w:r>
        <w:t>Designing sustainable catalysts requires maximizing atom efficiency while minimizing the use of critical raw materials. Driven by this challenge, the CuOx-CeO2 active phase was constructed on morphology-controlled SrTiO3 nanocubes using a low lanthanide loading (2, 4, and 8 Ce wt %). The catalysts were tested on the CO preferential oxidation in H2-rich streams (CO-PROX) and compared to a CuO/CeO2 reference. Advanced STEM characterization in combination with H2-TPR analyses revealed that Cu-based species increase their dispersion with increasing ceria loadings, thereby enhancing CuOx-CeO2 interfacial sites. This higher density of interfacial sites is associated with a larger population of Cu+ active centers involved in CO oxidation, thereby enhancing catalytic performance. The optimized catalyst containing only 8 wt % Ce closely matches the conversion of CuO/CeO2 up to 200 °C. However above this temperature the behavior diverges, accompanied by a significant decrease in activity. Further insight about the CuOx-CeO2 interface and the formation of Cu+ active sites promoted by increasing ceria loadings was obtained from XPS and DRIFTS measurements. These techniques suggest that the electronic state of ceria remains unaffected by the SrTiO3 support, while subtle changes in selectivity may also be influenced, in addition to ceria loading, by the crystallographic nature of the lanthanide nanostructure. Furthermore, in situ and identical-location STEM experiments reveal that copper species dynamically redisperse under reducing conditions without compromising catalytic performance. This work demonstrates that catalytic performance can be tuned through the rational design of nanointerfaces, providing a route toward atom-efficient catalysts with reduced critical raw material incorporation.</w:t>
      </w:r>
    </w:p>
    <w:p>
      <w:pPr>
        <w:spacing w:before="120" w:after="120"/>
      </w:pPr>
      <w:r>
        <w:rPr>
          <w:sz w:val="18"/>
        </w:rPr>
        <w:t>——————————————————————————————————————————————————————————————————————</w:t>
      </w:r>
    </w:p>
    <w:p>
      <w:pPr>
        <w:spacing w:before="160" w:after="40" w:line="240" w:lineRule="auto"/>
      </w:pPr>
      <w:r>
        <w:rPr>
          <w:b/>
        </w:rPr>
        <w:t xml:space="preserve">[53] </w:t>
      </w:r>
      <w:hyperlink r:id="rId417">
        <w:r>
          <w:rPr>
            <w:color w:val="1155CC"/>
            <w:u w:val="single"/>
          </w:rPr>
          <w:t>通过多模式操作方法可视化镍基电催化剂上碱性析氢的亲氧调节</w:t>
        </w:r>
      </w:hyperlink>
    </w:p>
    <w:p>
      <w:pPr>
        <w:spacing w:before="0" w:after="80"/>
      </w:pPr>
      <w:r>
        <w:rPr>
          <w:i/>
          <w:sz w:val="20"/>
        </w:rPr>
        <w:t>EN: Visualization of oxophilic regulation for alkaline hydrogen evolution on Ni-based electrocatalyst via multimodal operando approaches</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碱性析氢反应由于其与地球上丰富的电催化剂的固有兼容性以及大规模、高纯度氢气生产的潜力，在可持续能源转换方面具有巨大的前景。然而，低迷的动力仍然是其产业部署的巨大瓶颈。尽管掺入亲氧组分被广泛用于促进水活化，但氧亲和力相关位点的催化作用通常被静态地解释，而没有考虑操作条件下局部配位的动态演化。在这里，我们通过晶界偏析策略合成了结晶非晶 Ni/TiO2 异质结，并结合多模式操作技术来直接可视化亲氧成分的可逆、偏压诱导重建。这些观察结果提供了直接证据，表明在 Ni/TiO2 界面，氧亲和力是由纳米级配位和界面化学编码的可调参数，并阐明了其调节如何控制水解离和羟基处理。我们证明，所得的四配位钛位点可作为水离解和羟基吸附的高效中心，从而协同优化氢吸附/解吸能量。这项工作为先进电催化剂中合理的纳米异质界面工程提供了机制和方法基础。</w:t>
      </w:r>
    </w:p>
    <w:p>
      <w:pPr>
        <w:spacing w:before="0" w:after="200" w:lineRule="auto" w:line="276"/>
      </w:pPr>
      <w:r>
        <w:rPr>
          <w:b/>
        </w:rPr>
        <w:t xml:space="preserve">Abstract (EN): </w:t>
      </w:r>
      <w:r>
        <w:t>Alkaline hydrogen evolution reaction holds immense promise for sustainable energy conversion due to its inherent compatibility with earth-abundant electrocatalysts and potential for large-scale, high-purity hydrogen production. However, sluggish kinetics remain a formidable bottleneck for its industrial deployment. Although incorporating oxophilic components is widely used to promote water activation, the catalytic role of oxygen-affinity-related sites is often interpreted statically, without considering dynamic evolution of local coordination under operating conditions. Here, we synthesize a crystalline-amorphous Ni/TiO2 heterojunction via a grain-boundary segregation strategy and combine multi-modal operando techniques to directly visualize reversible, bias-induced reconstruction of the oxophilic component. These observations provide direct evidence that, at the Ni/TiO2 interface, oxygen affinity is a tunable parameter encoded by nanoscale coordination and interfacial chemistry, and elucidate how its modulation governs water dissociation and hydroxyl handling. We demonstrate that the resulting four-coordinated Ti sites serve as highly efficient centers for water dissociation and hydroxyl adsorption, thereby synergistically optimizing the hydrogen adsorption/desorption energetics. This work offers a mechanistic and methodological basis for rational nano-heterointerfaces engineering in advanced electrocatalysts.</w:t>
      </w:r>
    </w:p>
    <w:p>
      <w:pPr>
        <w:spacing w:before="120" w:after="120"/>
      </w:pPr>
      <w:r>
        <w:rPr>
          <w:sz w:val="18"/>
        </w:rPr>
        <w:t>——————————————————————————————————————————————————————————————————————</w:t>
      </w:r>
    </w:p>
    <w:p>
      <w:pPr>
        <w:spacing w:before="160" w:after="40" w:line="240" w:lineRule="auto"/>
      </w:pPr>
      <w:r>
        <w:rPr>
          <w:b/>
        </w:rPr>
        <w:t xml:space="preserve">[54] </w:t>
      </w:r>
      <w:hyperlink r:id="rId418">
        <w:r>
          <w:rPr>
            <w:color w:val="1155CC"/>
            <w:u w:val="single"/>
          </w:rPr>
          <w:t>揭示聚合物电解质燃料电池中电催化剂降解的路径依赖性</w:t>
        </w:r>
      </w:hyperlink>
    </w:p>
    <w:p>
      <w:pPr>
        <w:spacing w:before="0" w:after="80"/>
      </w:pPr>
      <w:r>
        <w:rPr>
          <w:i/>
          <w:sz w:val="20"/>
        </w:rPr>
        <w:t>EN: Revealing the path-dependence of electro-catalyst degradation in polymer electrolyte fuel cells</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419">
        <w:r>
          <w:rPr>
            <w:color w:val="1155CC"/>
            <w:u w:val="single"/>
          </w:rPr>
          <w:t>10.1016/j.apenergy.2026.128409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 </w:t>
      </w:r>
      <w:hyperlink r:id="rId420">
        <w:r>
          <w:rPr>
            <w:color w:val="1155CC"/>
            <w:u w:val="single"/>
          </w:rPr>
          <w:t>一种利用详细过程模型优化 power-to-X 能源系统运行的分解方法</w:t>
        </w:r>
      </w:hyperlink>
    </w:p>
    <w:p>
      <w:pPr>
        <w:spacing w:before="0" w:after="80"/>
      </w:pPr>
      <w:r>
        <w:rPr>
          <w:i/>
          <w:sz w:val="20"/>
        </w:rPr>
        <w:t>EN: A decomposition method for optimizing the operation of power-to-X energy systems with detailed process models</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421">
        <w:r>
          <w:rPr>
            <w:color w:val="1155CC"/>
            <w:u w:val="single"/>
          </w:rPr>
          <w:t>10.1016/j.apenergy.2026.128445</w:t>
        </w:r>
      </w:hyperlink>
    </w:p>
    <w:p>
      <w:pPr>
        <w:spacing w:before="0" w:after="120"/>
      </w:pPr>
      <w:r>
        <w:rPr>
          <w:b/>
        </w:rPr>
        <w:t xml:space="preserve">Notes: </w:t>
      </w:r>
      <w:r>
        <w:t>abstract_source=openalex</w:t>
      </w:r>
    </w:p>
    <w:p>
      <w:pPr>
        <w:spacing w:before="0" w:after="80" w:lineRule="auto" w:line="276"/>
      </w:pPr>
      <w:r>
        <w:rPr>
          <w:b/>
        </w:rPr>
        <w:t xml:space="preserve">摘要（ZH）: </w:t>
      </w:r>
      <w:r>
        <w:t>对可再生能源的日益依赖需要通过复杂的流程（例如 power-to-X）来扩展能源系统。由于这些过程的不同操作特性，相应的优化问题非常复杂，导致模型在计算上难以解决。为了解决这一计算挑战，这项工作提出了一种分解方法来解决具有详细过程模型的复杂能源系统的运行优化问题。该方法通过为每个过程合并一个代理模型，将原始优化问题分解为不同模型粒度级别的优化问题。该方法以以前专注于单个连续过程系统的工作为基础，扩展到处理多个和更复杂的过程系统。为此，我们引入了多阶段过程系统的代理建模方法，并针对操作优化问题开发了三种解决方法。该方法通过 PEM 电解槽、直接空气捕获装置和两个甲烷化过程的详细过程模型，用于最大限度地降低 power-to-X 能源系统的日常运营成本。所有三种解决方案的运营成本相当，但计算效率不同。最有效的解决方案可以在一小时内确定最佳运营策略。此外，敏感性研究评估了关键参数对方法性能的影响，证明了其稳健性和适应性。结果凸显了该提案的潜力</w:t>
      </w:r>
    </w:p>
    <w:p>
      <w:pPr>
        <w:spacing w:before="0" w:after="200" w:lineRule="auto" w:line="276"/>
      </w:pPr>
      <w:r>
        <w:rPr>
          <w:b/>
        </w:rPr>
        <w:t xml:space="preserve">Abstract (EN): </w:t>
      </w:r>
      <w:r>
        <w:t>The growing reliance on renewable energy necessitates extending energy systems with complex processes such as power-to-X. Due to the diverse operational characteristics of these processes, the corresponding optimization problems are highly complex and result in models that are computationally difficult to solve. To address this computational challenge, this work proposes a decomposition method to solve operational optimization problems for complex energy systems with detailed process models. The method decomposes the original optimization problem into optimization problems with different levels of model granularity by incorporating a surrogate model for each process. Building on prior work focusing on a single continuous process system, this method is expanded to handle multiple and more complex process systems. To this end, we introduce a surrogate modeling approach for multistage process systems and develop three solution approaches for the operational optimization problems. The method is applied to minimize the daily operational cost of a power-to-X energy system with detailed process models of a PEM electrolyzer, a direct air capture plant and two methanation processes. All three solution approaches yield comparable operational costs, but differ in computational efficiency. The most efficient solution approach identifies an optimal operational strategy in under one hour. Additionally, a sensitivity study evaluates the impact of key parameters on the performance of the method, demonstrating its robustness and adaptability. The results highlight the potential of the proposed method to efficiently optimize the operations of complex energy systems with detailed process models.</w:t>
      </w:r>
    </w:p>
    <w:p>
      <w:pPr>
        <w:spacing w:before="120" w:after="120"/>
      </w:pPr>
      <w:r>
        <w:rPr>
          <w:sz w:val="18"/>
        </w:rPr>
        <w:t>——————————————————————————————————————————————————————————————————————</w:t>
      </w:r>
    </w:p>
    <w:p>
      <w:pPr>
        <w:spacing w:before="160" w:after="40" w:line="240" w:lineRule="auto"/>
      </w:pPr>
      <w:r>
        <w:rPr>
          <w:b/>
        </w:rPr>
        <w:t xml:space="preserve">[56] </w:t>
      </w:r>
      <w:hyperlink r:id="rId422">
        <w:r>
          <w:rPr>
            <w:color w:val="1155CC"/>
            <w:u w:val="single"/>
          </w:rPr>
          <w:t>利用全局自适应谱和局部动态交互模型进行多条件运行下燃料电池的在线老化预测</w:t>
        </w:r>
      </w:hyperlink>
    </w:p>
    <w:p>
      <w:pPr>
        <w:spacing w:before="0" w:after="80"/>
      </w:pPr>
      <w:r>
        <w:rPr>
          <w:i/>
          <w:sz w:val="20"/>
        </w:rPr>
        <w:t>EN: Online aging prediction of fuel cells under multi-condition operation using global adaptive spectrum and local dynamic interaction model</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423">
        <w:r>
          <w:rPr>
            <w:color w:val="1155CC"/>
            <w:u w:val="single"/>
          </w:rPr>
          <w:t>10.1016/j.apenergy.2026.128425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424">
        <w:r>
          <w:rPr>
            <w:color w:val="1155CC"/>
            <w:u w:val="single"/>
          </w:rPr>
          <w:t>数字孪生可逆固体氧化物电池的实时模拟：基于机制模型和数据驱动方法的探索</w:t>
        </w:r>
      </w:hyperlink>
    </w:p>
    <w:p>
      <w:pPr>
        <w:spacing w:before="0" w:after="80"/>
      </w:pPr>
      <w:r>
        <w:rPr>
          <w:i/>
          <w:sz w:val="20"/>
        </w:rPr>
        <w:t>EN: Real-time simulation of reversible solid oxide cells for digital twins: exploration based on mechanism models and data-driven methods</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425">
        <w:r>
          <w:rPr>
            <w:color w:val="1155CC"/>
            <w:u w:val="single"/>
          </w:rPr>
          <w:t>10.1016/j.apenergy.2026.128462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426">
        <w:r>
          <w:rPr>
            <w:color w:val="1155CC"/>
            <w:u w:val="single"/>
          </w:rPr>
          <w:t>微小的结构变化带来巨大差异：碗状多金属氧酸盐封装的 {Ag7}5+ 簇及其结构衍生物的合成</w:t>
        </w:r>
      </w:hyperlink>
    </w:p>
    <w:p>
      <w:pPr>
        <w:spacing w:before="0" w:after="80"/>
      </w:pPr>
      <w:r>
        <w:rPr>
          <w:i/>
          <w:sz w:val="20"/>
        </w:rPr>
        <w:t>EN: A Small Structural Change Makes a Big Difference: Synthesis of a Bowl‐Like Polyoxometalate‐Encapsulated {Ag7}5+ Cluster and Its Structural Derivatives</w:t>
      </w:r>
    </w:p>
    <w:p>
      <w:pPr>
        <w:spacing w:before="0" w:after="120"/>
      </w:pPr>
      <w:r>
        <w:rPr>
          <w:b/>
        </w:rPr>
        <w:t xml:space="preserve">Source: </w:t>
      </w:r>
      <w:r>
        <w:t>Wiley: Angewandte Chemie International Edition: Table of Contents</w:t>
      </w:r>
      <w:r>
        <w:t xml:space="preserve">    </w:t>
      </w:r>
      <w:r>
        <w:rPr>
          <w:b/>
        </w:rPr>
        <w:t xml:space="preserve">Pub date: </w:t>
      </w:r>
      <w:r>
        <w:t>2026-07-22 05:21:52+00:00</w:t>
      </w:r>
      <w:r>
        <w:t xml:space="preserve">    </w:t>
      </w:r>
      <w:r>
        <w:rPr>
          <w:b/>
        </w:rPr>
        <w:t xml:space="preserve">DOI: </w:t>
      </w:r>
      <w:hyperlink r:id="rId427">
        <w:r>
          <w:rPr>
            <w:color w:val="1155CC"/>
            <w:u w:val="single"/>
          </w:rPr>
          <w:t>10.1002/anie.5283794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配体诱导的结构转变已被开发为操纵原子精确银簇的几何/电子结构、元素组成和物理化学性质的有效策略。在这项工作中，我们展示了碗状反钨酸盐的构型如何发生微小的结构变化（</w:t>
      </w:r>
      <w:r>
        <w:t xml:space="preserve"> </w:t>
      </w:r>
      <w:r>
        <w:t>{锑</w:t>
      </w:r>
      <w:r>
        <w:rPr>
          <w:vertAlign w:val="subscript"/>
        </w:rPr>
        <w:t>3</w:t>
      </w:r>
      <w:r>
        <w:t>瓦</w:t>
      </w:r>
      <w:r>
        <w:rPr>
          <w:vertAlign w:val="subscript"/>
        </w:rPr>
        <w:t>30</w:t>
      </w:r>
      <w:r>
        <w:t>}‐3</w:t>
      </w:r>
      <w:r>
        <w:t xml:space="preserve"> </w:t>
      </w:r>
      <w:r>
        <w:t>）配体可以在多金属氧酸盐（POM）封装的银簇（Ag</w:t>
      </w:r>
      <w:r>
        <w:t xml:space="preserve"> </w:t>
      </w:r>
      <w:r>
        <w:t>n</w:t>
      </w:r>
      <w:r>
        <w:t xml:space="preserve"> </w:t>
      </w:r>
      <w:r>
        <w:t>@POM）。新的碗状</w:t>
      </w:r>
      <w:r>
        <w:t xml:space="preserve"> </w:t>
      </w:r>
      <w:r>
        <w:t>{锑</w:t>
      </w:r>
      <w:r>
        <w:rPr>
          <w:vertAlign w:val="subscript"/>
        </w:rPr>
        <w:t>3</w:t>
      </w:r>
      <w:r>
        <w:t>瓦</w:t>
      </w:r>
      <w:r>
        <w:rPr>
          <w:vertAlign w:val="subscript"/>
        </w:rPr>
        <w:t>30</w:t>
      </w:r>
      <w:r>
        <w:t>}‐3</w:t>
      </w:r>
      <w:r>
        <w:t xml:space="preserve"> </w:t>
      </w:r>
      <w:r>
        <w:t>可以成功诱导形成</w:t>
      </w:r>
      <w:r>
        <w:t xml:space="preserve"> </w:t>
      </w:r>
      <w:r>
        <w:t>{银</w:t>
      </w:r>
      <w:r>
        <w:rPr>
          <w:vertAlign w:val="subscript"/>
        </w:rPr>
        <w:t>7</w:t>
      </w:r>
      <w:r>
        <w:t>}</w:t>
      </w:r>
      <w:r>
        <w:t xml:space="preserve"> </w:t>
      </w:r>
      <w:r>
        <w:t>簇,</w:t>
      </w:r>
      <w:r>
        <w:t xml:space="preserve"> </w:t>
      </w:r>
      <w:r>
        <w:t>{银</w:t>
      </w:r>
      <w:r>
        <w:rPr>
          <w:vertAlign w:val="subscript"/>
        </w:rPr>
        <w:t>7</w:t>
      </w:r>
      <w:r>
        <w:t>（锑</w:t>
      </w:r>
      <w:r>
        <w:rPr>
          <w:vertAlign w:val="subscript"/>
        </w:rPr>
        <w:t>3</w:t>
      </w:r>
      <w:r>
        <w:t>瓦</w:t>
      </w:r>
      <w:r>
        <w:rPr>
          <w:vertAlign w:val="subscript"/>
        </w:rPr>
        <w:t>30</w:t>
      </w:r>
      <w:r>
        <w:t>)}</w:t>
      </w:r>
      <w:r>
        <w:t xml:space="preserve"> </w:t>
      </w:r>
      <w:r>
        <w:t>。有趣的是，</w:t>
      </w:r>
      <w:r>
        <w:t xml:space="preserve"> </w:t>
      </w:r>
      <w:r>
        <w:t>{银</w:t>
      </w:r>
      <w:r>
        <w:rPr>
          <w:vertAlign w:val="subscript"/>
        </w:rPr>
        <w:t>7</w:t>
      </w:r>
      <w:r>
        <w:t>（锑</w:t>
      </w:r>
      <w:r>
        <w:rPr>
          <w:vertAlign w:val="subscript"/>
        </w:rPr>
        <w:t>3</w:t>
      </w:r>
      <w:r>
        <w:t>瓦</w:t>
      </w:r>
      <w:r>
        <w:rPr>
          <w:vertAlign w:val="subscript"/>
        </w:rPr>
        <w:t>30</w:t>
      </w:r>
      <w:r>
        <w:t>)}</w:t>
      </w:r>
    </w:p>
    <w:p>
      <w:pPr>
        <w:spacing w:before="0" w:after="200" w:lineRule="auto" w:line="276"/>
      </w:pPr>
      <w:r>
        <w:rPr>
          <w:b/>
        </w:rPr>
        <w:t xml:space="preserve">Abstract (EN): </w:t>
      </w:r>
      <w:r>
        <w:t>Ligand‐induced structural transformation has been developed as an effective strategy to manipulate the geometric/electronic structures, elemental compositions, and physicochemical properties of atomically precise silver clusters. In this work, we have demonstrated how a small structural change in the configuration of a bowl‐like antimonotungstate (</w:t>
      </w:r>
      <w:r>
        <w:t xml:space="preserve"> </w:t>
      </w:r>
      <w:r>
        <w:t>{Sb</w:t>
      </w:r>
      <w:r>
        <w:rPr>
          <w:vertAlign w:val="subscript"/>
        </w:rPr>
        <w:t>3</w:t>
      </w:r>
      <w:r>
        <w:t>W</w:t>
      </w:r>
      <w:r>
        <w:rPr>
          <w:vertAlign w:val="subscript"/>
        </w:rPr>
        <w:t>30</w:t>
      </w:r>
      <w:r>
        <w:t>}‐3</w:t>
      </w:r>
      <w:r>
        <w:t xml:space="preserve"> </w:t>
      </w:r>
      <w:r>
        <w:t>) ligand can make a big difference in the synthesis of polyoxometalate (POM)‐encapsulated Ag clusters (Ag</w:t>
      </w:r>
      <w:r>
        <w:t xml:space="preserve"> </w:t>
      </w:r>
      <w:r>
        <w:t>n</w:t>
      </w:r>
      <w:r>
        <w:t xml:space="preserve"> </w:t>
      </w:r>
      <w:r>
        <w:t>@POM). The new bowl‐like</w:t>
      </w:r>
      <w:r>
        <w:t xml:space="preserve"> </w:t>
      </w:r>
      <w:r>
        <w:t>{Sb</w:t>
      </w:r>
      <w:r>
        <w:rPr>
          <w:vertAlign w:val="subscript"/>
        </w:rPr>
        <w:t>3</w:t>
      </w:r>
      <w:r>
        <w:t>W</w:t>
      </w:r>
      <w:r>
        <w:rPr>
          <w:vertAlign w:val="subscript"/>
        </w:rPr>
        <w:t>30</w:t>
      </w:r>
      <w:r>
        <w:t>}‐3</w:t>
      </w:r>
      <w:r>
        <w:t xml:space="preserve"> </w:t>
      </w:r>
      <w:r>
        <w:t>can successfully induce the formation of a</w:t>
      </w:r>
      <w:r>
        <w:t xml:space="preserve"> </w:t>
      </w:r>
      <w:r>
        <w:t>{Ag</w:t>
      </w:r>
      <w:r>
        <w:rPr>
          <w:vertAlign w:val="subscript"/>
        </w:rPr>
        <w:t>7</w:t>
      </w:r>
      <w:r>
        <w:t>}</w:t>
      </w:r>
      <w:r>
        <w:t xml:space="preserve"> </w:t>
      </w:r>
      <w:r>
        <w:t>cluster,</w:t>
      </w:r>
      <w:r>
        <w:t xml:space="preserve"> </w:t>
      </w:r>
      <w:r>
        <w:t>{Ag</w:t>
      </w:r>
      <w:r>
        <w:rPr>
          <w:vertAlign w:val="subscript"/>
        </w:rPr>
        <w:t>7</w:t>
      </w:r>
      <w:r>
        <w:t>(Sb</w:t>
      </w:r>
      <w:r>
        <w:rPr>
          <w:vertAlign w:val="subscript"/>
        </w:rPr>
        <w:t>3</w:t>
      </w:r>
      <w:r>
        <w:t>W</w:t>
      </w:r>
      <w:r>
        <w:rPr>
          <w:vertAlign w:val="subscript"/>
        </w:rPr>
        <w:t>30</w:t>
      </w:r>
      <w:r>
        <w:t>)}</w:t>
      </w:r>
      <w:r>
        <w:t xml:space="preserve"> </w:t>
      </w:r>
      <w:r>
        <w:t>. Interestingly, the</w:t>
      </w:r>
      <w:r>
        <w:t xml:space="preserve"> </w:t>
      </w:r>
      <w:r>
        <w:t>{Ag</w:t>
      </w:r>
      <w:r>
        <w:rPr>
          <w:vertAlign w:val="subscript"/>
        </w:rPr>
        <w:t>7</w:t>
      </w:r>
      <w:r>
        <w:t>(Sb</w:t>
      </w:r>
      <w:r>
        <w:rPr>
          <w:vertAlign w:val="subscript"/>
        </w:rPr>
        <w:t>3</w:t>
      </w:r>
      <w:r>
        <w:t>W</w:t>
      </w:r>
      <w:r>
        <w:rPr>
          <w:vertAlign w:val="subscript"/>
        </w:rPr>
        <w:t>30</w:t>
      </w:r>
      <w:r>
        <w:t>)}</w:t>
      </w:r>
      <w:r>
        <w:t xml:space="preserve"> </w:t>
      </w:r>
      <w:r>
        <w:t>cluster, which can generate exposed Ag sites upon removal of three labile CH</w:t>
      </w:r>
      <w:r>
        <w:rPr>
          <w:vertAlign w:val="subscript"/>
        </w:rPr>
        <w:t>3</w:t>
      </w:r>
      <w:r>
        <w:t>CN ligands, serves as a common building block for constructing three new types of Ag</w:t>
      </w:r>
      <w:r>
        <w:t xml:space="preserve"> </w:t>
      </w:r>
      <w:r>
        <w:t>n</w:t>
      </w:r>
      <w:r>
        <w:t xml:space="preserve"> </w:t>
      </w:r>
      <w:r>
        <w:t>@POM derivatives, namely polymeric</w:t>
      </w:r>
      <w:r>
        <w:t xml:space="preserve"> </w:t>
      </w:r>
      <w:r>
        <w:t>{Ag</w:t>
      </w:r>
      <w:r>
        <w:rPr>
          <w:vertAlign w:val="subscript"/>
        </w:rPr>
        <w:t>7</w:t>
      </w:r>
      <w:r>
        <w:t>(Sb</w:t>
      </w:r>
      <w:r>
        <w:rPr>
          <w:vertAlign w:val="subscript"/>
        </w:rPr>
        <w:t>3</w:t>
      </w:r>
      <w:r>
        <w:t>W</w:t>
      </w:r>
      <w:r>
        <w:rPr>
          <w:vertAlign w:val="subscript"/>
        </w:rPr>
        <w:t>30</w:t>
      </w:r>
      <w:r>
        <w:t>)}</w:t>
      </w:r>
      <w:r>
        <w:t xml:space="preserve"> </w:t>
      </w:r>
      <w:r>
        <w:t>n</w:t>
      </w:r>
      <w:r>
        <w:t xml:space="preserve"> </w:t>
      </w:r>
      <w:r>
        <w:t>,</w:t>
      </w:r>
      <w:r>
        <w:t xml:space="preserve"> </w:t>
      </w:r>
      <w:r>
        <w:t>{Ag</w:t>
      </w:r>
      <w:r>
        <w:rPr>
          <w:vertAlign w:val="subscript"/>
        </w:rPr>
        <w:t>15</w:t>
      </w:r>
      <w:r>
        <w:t>(Sb</w:t>
      </w:r>
      <w:r>
        <w:rPr>
          <w:vertAlign w:val="subscript"/>
        </w:rPr>
        <w:t>3</w:t>
      </w:r>
      <w:r>
        <w:t>W</w:t>
      </w:r>
      <w:r>
        <w:rPr>
          <w:vertAlign w:val="subscript"/>
        </w:rPr>
        <w:t>30</w:t>
      </w:r>
      <w:r>
        <w:t>)</w:t>
      </w:r>
      <w:r>
        <w:rPr>
          <w:vertAlign w:val="subscript"/>
        </w:rPr>
        <w:t>2</w:t>
      </w:r>
      <w:r>
        <w:t>}</w:t>
      </w:r>
      <w:r>
        <w:t xml:space="preserve"> </w:t>
      </w:r>
      <w:r>
        <w:t>, and</w:t>
      </w:r>
      <w:r>
        <w:t xml:space="preserve"> </w:t>
      </w:r>
      <w:r>
        <w:t>{Ag</w:t>
      </w:r>
      <w:r>
        <w:rPr>
          <w:vertAlign w:val="subscript"/>
        </w:rPr>
        <w:t>23</w:t>
      </w:r>
      <w:r>
        <w:t>(Sb</w:t>
      </w:r>
      <w:r>
        <w:rPr>
          <w:vertAlign w:val="subscript"/>
        </w:rPr>
        <w:t>3</w:t>
      </w:r>
      <w:r>
        <w:t>W</w:t>
      </w:r>
      <w:r>
        <w:rPr>
          <w:vertAlign w:val="subscript"/>
        </w:rPr>
        <w:t>30</w:t>
      </w:r>
      <w:r>
        <w:t>)</w:t>
      </w:r>
      <w:r>
        <w:rPr>
          <w:vertAlign w:val="subscript"/>
        </w:rPr>
        <w:t>2</w:t>
      </w:r>
      <w:r>
        <w:t>}</w:t>
      </w:r>
      <w:r>
        <w:t xml:space="preserve"> </w:t>
      </w:r>
      <w:r>
        <w:t>, via either inter‐cluster assembly or intra‐cluster kernel growth processes. In addition, photocatalytic H</w:t>
      </w:r>
      <w:r>
        <w:rPr>
          <w:vertAlign w:val="subscript"/>
        </w:rPr>
        <w:t>2</w:t>
      </w:r>
      <w:r>
        <w:t>evolution studies reveal the importance of accessibility to highly exposed Ag active sites and their synergistic cooperation with the redox‐active bowl‐like</w:t>
      </w:r>
      <w:r>
        <w:t xml:space="preserve"> </w:t>
      </w:r>
      <w:r>
        <w:t>{Sb</w:t>
      </w:r>
      <w:r>
        <w:rPr>
          <w:vertAlign w:val="subscript"/>
        </w:rPr>
        <w:t>3</w:t>
      </w:r>
      <w:r>
        <w:t>W</w:t>
      </w:r>
      <w:r>
        <w:rPr>
          <w:vertAlign w:val="subscript"/>
        </w:rPr>
        <w:t>30</w:t>
      </w:r>
      <w:r>
        <w:t>}‐3</w:t>
      </w:r>
      <w:r>
        <w:t xml:space="preserve"> </w:t>
      </w:r>
      <w:r>
        <w:t>ligand. This study establishes a strategic platform for the rational design and structural evolution of Ag</w:t>
      </w:r>
      <w:r>
        <w:t xml:space="preserve"> </w:t>
      </w:r>
      <w:r>
        <w:t>n</w:t>
      </w:r>
      <w:r>
        <w:t xml:space="preserve"> </w:t>
      </w:r>
      <w:r>
        <w:t>@POM clusters, demonstrating how subtle modulation of all‐inorganic POM ligands influences their geometric and catalytic properties at the atomic level.</w:t>
      </w:r>
    </w:p>
    <w:p>
      <w:pPr>
        <w:spacing w:before="120" w:after="120"/>
      </w:pPr>
      <w:r>
        <w:rPr>
          <w:sz w:val="18"/>
        </w:rPr>
        <w:t>——————————————————————————————————————————————————————————————————————</w:t>
      </w:r>
    </w:p>
    <w:p>
      <w:pPr>
        <w:spacing w:before="160" w:after="40" w:line="240" w:lineRule="auto"/>
      </w:pPr>
      <w:r>
        <w:rPr>
          <w:b/>
        </w:rPr>
        <w:t xml:space="preserve">[59] </w:t>
      </w:r>
      <w:hyperlink r:id="rId428">
        <w:r>
          <w:rPr>
            <w:color w:val="1155CC"/>
            <w:u w:val="single"/>
          </w:rPr>
          <w:t>通过强化氢键网络设计铂/离聚物界面，用于高性能低铂燃料电池</w:t>
        </w:r>
      </w:hyperlink>
    </w:p>
    <w:p>
      <w:pPr>
        <w:spacing w:before="0" w:after="80"/>
      </w:pPr>
      <w:r>
        <w:rPr>
          <w:i/>
          <w:sz w:val="20"/>
        </w:rPr>
        <w:t>EN: Engineering Pt/Ionomer Interface via Strengthening Hydrogen‐Bond Network for High‐Performance Low‐Pt Fuel Cells</w:t>
      </w:r>
    </w:p>
    <w:p>
      <w:pPr>
        <w:spacing w:before="0" w:after="120"/>
      </w:pPr>
      <w:r>
        <w:rPr>
          <w:b/>
        </w:rPr>
        <w:t xml:space="preserve">Source: </w:t>
      </w:r>
      <w:r>
        <w:t>Wiley: Angewandte Chemie International Edition: Table of Contents</w:t>
      </w:r>
      <w:r>
        <w:t xml:space="preserve">    </w:t>
      </w:r>
      <w:r>
        <w:rPr>
          <w:b/>
        </w:rPr>
        <w:t xml:space="preserve">Pub date: </w:t>
      </w:r>
      <w:r>
        <w:t>2026-07-22 05:23:56+00:00</w:t>
      </w:r>
      <w:r>
        <w:t xml:space="preserve">    </w:t>
      </w:r>
      <w:r>
        <w:rPr>
          <w:b/>
        </w:rPr>
        <w:t xml:space="preserve">DOI: </w:t>
      </w:r>
      <w:hyperlink r:id="rId429">
        <w:r>
          <w:rPr>
            <w:color w:val="1155CC"/>
            <w:u w:val="single"/>
          </w:rPr>
          <w:t>10.1002/anie.5877382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质子交换膜燃料电池 (PEMFC) 的一个关键挑战是传统 Pt/全氟磺酸 (PFSA) 离聚物界面催化剂的利用率受到严重限制，这主要是由于 Pt 中毒和强 PFSA 吸附导致的质量传输受阻。然而，现有的减轻中毒的策略往往难以平衡足够的质子传导性和有效的氧渗透性。在这项研究中，我们报告了羟基官能化共价有机框架（COF-366-OH）作为一种多功能添加剂，可设计铂/离聚物界面并协同增强活性位点可用性、质子可及性和氧通量。 COF-366-OH 中周期性排列的羟基与 PFSA 离聚物的磺酸基团建立了强化的氢键网络，从而减轻了 Pt 中毒并使离聚物分布均匀。与其有序的介孔相结合，这种设计可以实现有效的氧气扩散。因此，COF-366-OH 修饰电极的干质子可达性提高了 19%，氧转移阻力降低了 33%。 0.05 mg 超低铂负载量</w:t>
      </w:r>
      <w:r>
        <w:t xml:space="preserve"> </w:t>
      </w:r>
      <w:r>
        <w:t>铂</w:t>
      </w:r>
      <w:r>
        <w:t xml:space="preserve"> </w:t>
      </w:r>
      <w:r>
        <w:t>厘米</w:t>
      </w:r>
      <w:r>
        <w:t xml:space="preserve"> </w:t>
      </w:r>
      <w:r>
        <w:t>−2</w:t>
      </w:r>
      <w:r>
        <w:t xml:space="preserve"> </w:t>
      </w:r>
      <w:r>
        <w:t>，采用 COF-366-OH 改性 Pt/C 阴极的膜电极组件可实现 1.67 W cm 的峰值功率密度</w:t>
      </w:r>
      <w:r>
        <w:t xml:space="preserve"> </w:t>
      </w:r>
      <w:r>
        <w:t>−2</w:t>
      </w:r>
      <w:r>
        <w:t xml:space="preserve"> </w:t>
      </w:r>
      <w:r>
        <w:t>（H</w:t>
      </w:r>
      <w:r>
        <w:rPr>
          <w:vertAlign w:val="subscript"/>
        </w:rPr>
        <w:t>2</w:t>
      </w:r>
      <w:r>
        <w:t>－O</w:t>
      </w:r>
      <w:r>
        <w:rPr>
          <w:vertAlign w:val="subscript"/>
        </w:rPr>
        <w:t>2</w:t>
      </w:r>
      <w:r>
        <w:t>) 和 0.83 W 厘米</w:t>
      </w:r>
      <w:r>
        <w:t xml:space="preserve"> </w:t>
      </w:r>
      <w:r>
        <w:t>−2</w:t>
      </w:r>
      <w:r>
        <w:t xml:space="preserve"> </w:t>
      </w:r>
      <w:r>
        <w:t>（H</w:t>
      </w:r>
    </w:p>
    <w:p>
      <w:pPr>
        <w:spacing w:before="0" w:after="200" w:lineRule="auto" w:line="276"/>
      </w:pPr>
      <w:r>
        <w:rPr>
          <w:b/>
        </w:rPr>
        <w:t xml:space="preserve">Abstract (EN): </w:t>
      </w:r>
      <w:r>
        <w:t>A critical challenge in proton‐exchange membrane fuel cells (PEMFCs) is the severely limited catalyst utilization at conventional Pt/perfluorosulfonic acid (PFSA) ionomer interfaces, primarily due to Pt poisoning and impeded mass transport from strong PFSA adsorption. However, existing strategies to mitigate poisoning often struggle to balance adequate proton conductivity with efficient oxygen permeability. In this study, we report hydroxyl‑functionalized covalent organic framework (COF‑366‑OH) as a multifunctional additive that engineers the Pt/ionomer interface and synergistically enhances active‐site availability, proton accessibility, and oxygen flux. The periodically aligned hydroxyl groups in COF‑366‑OH establish a strengthened hydrogen‑bond network with sulfonate groups of PFSA ionomers, which mitigates Pt poisoning and homogenizes ionomer distribution. Coupled with its ordered mesopores, this design enables efficient oxygen diffusion. Consequently, COF‑366‑OH‑modified electrode exhibits a 19% increase in dry‐proton accessibility and a 33% reduction in oxygen‑transfer resistance. At an ultralow Pt loading of 0.05 mg</w:t>
      </w:r>
      <w:r>
        <w:t xml:space="preserve"> </w:t>
      </w:r>
      <w:r>
        <w:t>Pt</w:t>
      </w:r>
      <w:r>
        <w:t xml:space="preserve"> </w:t>
      </w:r>
      <w:r>
        <w:t>cm</w:t>
      </w:r>
      <w:r>
        <w:t xml:space="preserve"> </w:t>
      </w:r>
      <w:r>
        <w:t>−2</w:t>
      </w:r>
      <w:r>
        <w:t xml:space="preserve"> </w:t>
      </w:r>
      <w:r>
        <w:t>, the membrane electrode assembly incorporating the COF‑366‑OH‑modified Pt/C cathode achieves peak power densities of 1.67 W cm</w:t>
      </w:r>
      <w:r>
        <w:t xml:space="preserve"> </w:t>
      </w:r>
      <w:r>
        <w:t>−2</w:t>
      </w:r>
      <w:r>
        <w:t xml:space="preserve"> </w:t>
      </w:r>
      <w:r>
        <w:t>(H</w:t>
      </w:r>
      <w:r>
        <w:rPr>
          <w:vertAlign w:val="subscript"/>
        </w:rPr>
        <w:t>2</w:t>
      </w:r>
      <w:r>
        <w:t>‑O</w:t>
      </w:r>
      <w:r>
        <w:rPr>
          <w:vertAlign w:val="subscript"/>
        </w:rPr>
        <w:t>2</w:t>
      </w:r>
      <w:r>
        <w:t>) and 0.83 W cm</w:t>
      </w:r>
      <w:r>
        <w:t xml:space="preserve"> </w:t>
      </w:r>
      <w:r>
        <w:t>−2</w:t>
      </w:r>
      <w:r>
        <w:t xml:space="preserve"> </w:t>
      </w:r>
      <w:r>
        <w:t>(H</w:t>
      </w:r>
      <w:r>
        <w:rPr>
          <w:vertAlign w:val="subscript"/>
        </w:rPr>
        <w:t>2</w:t>
      </w:r>
      <w:r>
        <w:t>‑air), representing improvements of 57.5% and 31.7% over the conventional Pt/C cathode, respectively. This work demonstrates a hydrogen‑bond‐driven interface engineering strategy that simultaneously addresses Pt poisoning and mass‑transport limitations, providing a promising direction for low‑Pt PEMFCs.</w:t>
      </w:r>
    </w:p>
    <w:p>
      <w:pPr>
        <w:spacing w:before="120" w:after="120"/>
      </w:pPr>
      <w:r>
        <w:rPr>
          <w:sz w:val="18"/>
        </w:rPr>
        <w:t>——————————————————————————————————————————————————————————————————————</w:t>
      </w:r>
    </w:p>
    <w:p>
      <w:pPr>
        <w:spacing w:before="160" w:after="40" w:line="240" w:lineRule="auto"/>
      </w:pPr>
      <w:r>
        <w:rPr>
          <w:b/>
        </w:rPr>
        <w:t xml:space="preserve">[60] </w:t>
      </w:r>
      <w:hyperlink r:id="rId430">
        <w:r>
          <w:rPr>
            <w:color w:val="1155CC"/>
            <w:u w:val="single"/>
          </w:rPr>
          <w:t>用于直接氨燃料电池的集成非贵金属阳极，在氧气和空气中均具有高活性和长稳定性</w:t>
        </w:r>
      </w:hyperlink>
    </w:p>
    <w:p>
      <w:pPr>
        <w:spacing w:before="0" w:after="80"/>
      </w:pPr>
      <w:r>
        <w:rPr>
          <w:i/>
          <w:sz w:val="20"/>
        </w:rPr>
        <w:t>EN: Integrated Non‐Noble‐Metal‐Anode for Direct Ammonia Fuel Cells with High Activity and Long Stability Both in O2 and Air</w:t>
      </w:r>
    </w:p>
    <w:p>
      <w:pPr>
        <w:spacing w:before="0" w:after="120"/>
      </w:pPr>
      <w:r>
        <w:rPr>
          <w:b/>
        </w:rPr>
        <w:t xml:space="preserve">Source: </w:t>
      </w:r>
      <w:r>
        <w:t>Wiley: Advanced Energy Materials: Table of Contents</w:t>
      </w:r>
      <w:r>
        <w:t xml:space="preserve">    </w:t>
      </w:r>
      <w:r>
        <w:rPr>
          <w:b/>
        </w:rPr>
        <w:t xml:space="preserve">Pub date: </w:t>
      </w:r>
      <w:r>
        <w:t>2026-07-22 06:24:21+00:00</w:t>
      </w:r>
      <w:r>
        <w:t xml:space="preserve">    </w:t>
      </w:r>
      <w:r>
        <w:rPr>
          <w:b/>
        </w:rPr>
        <w:t xml:space="preserve">DOI: </w:t>
      </w:r>
      <w:hyperlink r:id="rId431">
        <w:r>
          <w:rPr>
            <w:color w:val="1155CC"/>
            <w:u w:val="single"/>
          </w:rPr>
          <w:t>10.1002/aenm.71311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氨是一种很有前途的无碳能源载体，在存储、运输和基础设施兼容性方面具有优势。其在基于阴离子交换膜的直接氨燃料电池（AEM-DAFC）中的应用代表了一种有前途的可持续能源转换方法。然而，AEM-DAFC 的发展受到贵金属依赖性的严重限制。尽管粉末基非贵金属催化剂已被广泛研究，但用它们组装的设备仍然具有低功率密度和较差的耐用性。在这里，我们提出了镍泡沫上的活性镍磷（A-Ni</w:t>
      </w:r>
      <w:r>
        <w:rPr>
          <w:vertAlign w:val="subscript"/>
        </w:rPr>
        <w:t>3</w:t>
      </w:r>
      <w:r>
        <w:t>P@NF）作为一种高效的集成非贵金属阳极。通过引入可调节缺陷中心的磷掺杂策略，可以调节镍的电子结构来调节反应中间体的吸附。这种调制实现了新的氨氧化反应 (AOR) 途径，该途径通过原位表征、同步加速器 Ni 进行了验证</w:t>
      </w:r>
      <w:r>
        <w:t xml:space="preserve"> </w:t>
      </w:r>
      <w:r>
        <w:t>K</w:t>
      </w:r>
      <w:r>
        <w:t xml:space="preserve"> </w:t>
      </w:r>
      <w:r>
        <w:t>‐边缘X射线吸收光谱（XAS）和理论计算。优化后的A-Ni</w:t>
      </w:r>
      <w:r>
        <w:rPr>
          <w:vertAlign w:val="subscript"/>
        </w:rPr>
        <w:t>3</w:t>
      </w:r>
      <w:r>
        <w:t>P@NF-III表现出出色的氨氧化活性，显着的N</w:t>
      </w:r>
      <w:r>
        <w:rPr>
          <w:vertAlign w:val="subscript"/>
        </w:rPr>
        <w:t>2</w:t>
      </w:r>
      <w:r>
        <w:t>选择性（96.4％）和创纪录的长期耐用性（&gt; 320小时）。该催化剂集成到 AEM-DAFC 中，在 O2 中实现了 166.83 的峰值功率密度</w:t>
      </w:r>
      <w:r>
        <w:rPr>
          <w:vertAlign w:val="subscript"/>
        </w:rPr>
        <w:t>2</w:t>
      </w:r>
      <w:r>
        <w:t>和 123.69 毫瓦·厘米</w:t>
      </w:r>
      <w:r>
        <w:t xml:space="preserve"> </w:t>
      </w:r>
      <w:r>
        <w:t>−2</w:t>
      </w:r>
      <w:r>
        <w:t xml:space="preserve"> </w:t>
      </w:r>
      <w:r>
        <w:t>在空气中，最高值</w:t>
      </w:r>
    </w:p>
    <w:p>
      <w:pPr>
        <w:spacing w:before="0" w:after="200" w:lineRule="auto" w:line="276"/>
      </w:pPr>
      <w:r>
        <w:rPr>
          <w:b/>
        </w:rPr>
        <w:t xml:space="preserve">Abstract (EN): </w:t>
      </w:r>
      <w:r>
        <w:t>Ammonia is a promising carbon‐free energy carrier, offering advantages in storage, transport, and infrastructure compatibility. Its application in anion exchange membrane‐based direct ammonia fuel cells (AEM‐DAFCs) represents a promising approach to sustainable energy conversion. However, the development of AEM‐DAFCs is critically limited by noble‐metal dependence. Although powder‐based non‐noble metal catalysts have been widely investigated, devices assembled with them still deliver low power density and poor durability. Here, we present an activated nickel phosphorus on Ni foam (A‐Ni</w:t>
      </w:r>
      <w:r>
        <w:rPr>
          <w:vertAlign w:val="subscript"/>
        </w:rPr>
        <w:t>3</w:t>
      </w:r>
      <w:r>
        <w:t>P@NF) as an efficient integrated non‐noble anode. Through a P doping strategy that introduces tunable defect centers, the electronic structure of nickel is tuned to regulate the adsorption of reaction intermediates. This modulation enables a new ammonia oxidation reaction (AOR) pathway, which is validated through in situ characterization, synchrotron Ni</w:t>
      </w:r>
      <w:r>
        <w:t xml:space="preserve"> </w:t>
      </w:r>
      <w:r>
        <w:t>K</w:t>
      </w:r>
      <w:r>
        <w:t xml:space="preserve"> </w:t>
      </w:r>
      <w:r>
        <w:t>‐edge X‐ray absorption spectroscopy (XAS), and theoretical calculation. The optimized A‐Ni</w:t>
      </w:r>
      <w:r>
        <w:rPr>
          <w:vertAlign w:val="subscript"/>
        </w:rPr>
        <w:t>3</w:t>
      </w:r>
      <w:r>
        <w:t>P@NF‐III exhibits outstanding ammonia oxidation activity, remarkable N</w:t>
      </w:r>
      <w:r>
        <w:rPr>
          <w:vertAlign w:val="subscript"/>
        </w:rPr>
        <w:t>2</w:t>
      </w:r>
      <w:r>
        <w:t>selectivity (96.4%), and record‐long durability (&amp;gt;320 h). Integrated into AEM‐DAFCs, the catalyst achieves peak power densities of 166.83 in O</w:t>
      </w:r>
      <w:r>
        <w:rPr>
          <w:vertAlign w:val="subscript"/>
        </w:rPr>
        <w:t>2</w:t>
      </w:r>
      <w:r>
        <w:t>and 123.69 mW cm</w:t>
      </w:r>
      <w:r>
        <w:t xml:space="preserve"> </w:t>
      </w:r>
      <w:r>
        <w:t>−2</w:t>
      </w:r>
      <w:r>
        <w:t xml:space="preserve"> </w:t>
      </w:r>
      <w:r>
        <w:t>in air, the highest value reported for non‐noble anodes. This work establishes a universal strategy for non‐noble integrated anodes, advancing AEM‐DAFCs toward practical application.</w:t>
      </w:r>
    </w:p>
    <w:p>
      <w:pPr>
        <w:spacing w:before="120" w:after="120"/>
      </w:pPr>
      <w:r>
        <w:rPr>
          <w:sz w:val="18"/>
        </w:rPr>
        <w:t>——————————————————————————————————————————————————————————————————————</w:t>
      </w:r>
    </w:p>
    <w:p>
      <w:pPr>
        <w:spacing w:before="160" w:after="40" w:line="240" w:lineRule="auto"/>
      </w:pPr>
      <w:r>
        <w:rPr>
          <w:b/>
        </w:rPr>
        <w:t xml:space="preserve">[61] </w:t>
      </w:r>
      <w:hyperlink r:id="rId432">
        <w:r>
          <w:rPr>
            <w:color w:val="1155CC"/>
            <w:u w:val="single"/>
          </w:rPr>
          <w:t>具有原子无序和不饱和度的双金属氧化物用于可持续对称质子交换膜水电解</w:t>
        </w:r>
      </w:hyperlink>
    </w:p>
    <w:p>
      <w:pPr>
        <w:spacing w:before="0" w:after="80"/>
      </w:pPr>
      <w:r>
        <w:rPr>
          <w:i/>
          <w:sz w:val="20"/>
        </w:rPr>
        <w:t>EN: Bimetallene Oxide With Atomic Disorder and Unsaturation for Sustainable Symmetric Proton Exchange Membrane Water Electrolysis</w:t>
      </w:r>
    </w:p>
    <w:p>
      <w:pPr>
        <w:spacing w:before="0" w:after="120"/>
      </w:pPr>
      <w:r>
        <w:rPr>
          <w:b/>
        </w:rPr>
        <w:t xml:space="preserve">Source: </w:t>
      </w:r>
      <w:r>
        <w:t>Wiley: Advanced Energy Materials: Table of Contents</w:t>
      </w:r>
      <w:r>
        <w:t xml:space="preserve">    </w:t>
      </w:r>
      <w:r>
        <w:rPr>
          <w:b/>
        </w:rPr>
        <w:t xml:space="preserve">Pub date: </w:t>
      </w:r>
      <w:r>
        <w:t>2026-07-22 06:25:50+00:00</w:t>
      </w:r>
      <w:r>
        <w:t xml:space="preserve">    </w:t>
      </w:r>
      <w:r>
        <w:rPr>
          <w:b/>
        </w:rPr>
        <w:t xml:space="preserve">DOI: </w:t>
      </w:r>
      <w:hyperlink r:id="rId433">
        <w:r>
          <w:rPr>
            <w:color w:val="1155CC"/>
            <w:u w:val="single"/>
          </w:rPr>
          <w:t>10.1002/aenm.71340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打破金属氧化物的活性-稳定性悖论对于推进质子交换膜水电解槽（PEMWE）中的酸性析氧反应（OER）至关重要。高金属-氧共价还使得金属氧化物对于析氢反应（HER）本质上不活跃，这对经济的对称PEMWE器件的创建提出了挑战。在此，我们通过冰盐模板工艺对超薄原子无序 RuIr 双金属氧化物薄片进行了分析，以实现可持续的水电解。人们发现这种无序方式会触发局域电子态，从而同时促进 HER 和 OER。同时，原子薄结构引起配位不对称/不饱和，破坏Ru/Ir─O键共价键，抑制不稳定晶格氧氧化途径。因此，RuIr 双金属氧化物催化剂可在 10 mA cm 下以低过电势主动提供 OER (206 mV) 和 HER (36 mV) 电催化作用</w:t>
      </w:r>
      <w:r>
        <w:t xml:space="preserve"> </w:t>
      </w:r>
      <w:r>
        <w:t>−2</w:t>
      </w:r>
      <w:r>
        <w:t xml:space="preserve"> </w:t>
      </w:r>
      <w:r>
        <w:t>在酸性电解质中。在对称 PEMWE 中实现时，该器件在 1 A cm 电流下表现出 1.67 V 的低电池电压</w:t>
      </w:r>
      <w:r>
        <w:t xml:space="preserve"> </w:t>
      </w:r>
      <w:r>
        <w:t>−2</w:t>
      </w:r>
      <w:r>
        <w:t xml:space="preserve"> </w:t>
      </w:r>
      <w:r>
        <w:t>持久运行 1500 小时（衰减：50 µV h</w:t>
      </w:r>
      <w:r>
        <w:t xml:space="preserve"> </w:t>
      </w:r>
      <w:r>
        <w:t>−1</w:t>
      </w:r>
      <w:r>
        <w:t xml:space="preserve"> </w:t>
      </w:r>
      <w:r>
        <w:t>）在80°C以下。这项工作为通过原子无序工程合理化 PEMWE 的活性和稳健的氧化物电催化剂提供了可行的机会。</w:t>
      </w:r>
    </w:p>
    <w:p>
      <w:pPr>
        <w:spacing w:before="0" w:after="200" w:lineRule="auto" w:line="276"/>
      </w:pPr>
      <w:r>
        <w:rPr>
          <w:b/>
        </w:rPr>
        <w:t xml:space="preserve">Abstract (EN): </w:t>
      </w:r>
      <w:r>
        <w:t>Breaking the activity–stability paradox of metal oxides is crucial for advancing the acidic oxygen evolution reaction (OER) in proton exchange membrane water electrolyzer (PEMWE). The high metal‐oxygen covalency also renders metal oxides inherently inactive for the hydrogen evolution reaction (HER), challenging the creation of economical symmetric PEMWE devices. Herein, we profile an ultrathin atomically disordered RuIr bimetallene oxide lamella by an ice salt template process for sustainable water electrolysis. Such a disordered manner is found to trigger the localized electronic states to concurrently promote HER and OER. Meanwhile, the atomically thin structure induces the coordination asymmetry/unsaturation, disrupting the Ru/Ir─O bond covalency to inhibit the unstable lattice oxygen oxidation pathway. Resultantly, the RuIr bimetallene oxide catalyst actively delivers both the OER (206 mV) and HER (36 mV) electrocatalysis with low overpotentials at 10 mA cm</w:t>
      </w:r>
      <w:r>
        <w:t xml:space="preserve"> </w:t>
      </w:r>
      <w:r>
        <w:t>−2</w:t>
      </w:r>
      <w:r>
        <w:t xml:space="preserve"> </w:t>
      </w:r>
      <w:r>
        <w:t>in acidic electrolyte. As implemented in the symmetric PEMWE, the device showcases a low cell voltage of 1.67 V at 1 A cm</w:t>
      </w:r>
      <w:r>
        <w:t xml:space="preserve"> </w:t>
      </w:r>
      <w:r>
        <w:t>−2</w:t>
      </w:r>
      <w:r>
        <w:t xml:space="preserve"> </w:t>
      </w:r>
      <w:r>
        <w:t>with a durable operation for 1500 h (decay: 50 µV h</w:t>
      </w:r>
      <w:r>
        <w:t xml:space="preserve"> </w:t>
      </w:r>
      <w:r>
        <w:t>−1</w:t>
      </w:r>
      <w:r>
        <w:t xml:space="preserve"> </w:t>
      </w:r>
      <w:r>
        <w:t>) under 80°C. This work opens up viable opportunities for rationalizing active and robust oxide electrocatalysts for PEMWE through atomic disorder engineering.</w:t>
      </w:r>
    </w:p>
    <w:p>
      <w:pPr>
        <w:spacing w:before="120" w:after="120"/>
      </w:pPr>
      <w:r>
        <w:rPr>
          <w:sz w:val="18"/>
        </w:rPr>
        <w:t>——————————————————————————————————————————————————————————————————————</w:t>
      </w:r>
    </w:p>
    <w:p>
      <w:pPr>
        <w:spacing w:before="160" w:after="40" w:line="240" w:lineRule="auto"/>
      </w:pPr>
      <w:r>
        <w:rPr>
          <w:b/>
        </w:rPr>
        <w:t xml:space="preserve">[62] </w:t>
      </w:r>
      <w:hyperlink r:id="rId434">
        <w:r>
          <w:rPr>
            <w:color w:val="1155CC"/>
            <w:u w:val="single"/>
          </w:rPr>
          <w:t>光电催化中从金属中心催化到有机轨道编程</w:t>
        </w:r>
      </w:hyperlink>
    </w:p>
    <w:p>
      <w:pPr>
        <w:spacing w:before="0" w:after="80"/>
      </w:pPr>
      <w:r>
        <w:rPr>
          <w:i/>
          <w:sz w:val="20"/>
        </w:rPr>
        <w:t>EN: From Metal‐Centered Catalysis to Organic Orbital Programming in Photoelectrocatalysis</w:t>
      </w:r>
    </w:p>
    <w:p>
      <w:pPr>
        <w:spacing w:before="0" w:after="120"/>
      </w:pPr>
      <w:r>
        <w:rPr>
          <w:b/>
        </w:rPr>
        <w:t xml:space="preserve">Source: </w:t>
      </w:r>
      <w:r>
        <w:t>Wiley: Advanced Materials: Table of Contents</w:t>
      </w:r>
      <w:r>
        <w:t xml:space="preserve">    </w:t>
      </w:r>
      <w:r>
        <w:rPr>
          <w:b/>
        </w:rPr>
        <w:t xml:space="preserve">Pub date: </w:t>
      </w:r>
      <w:r>
        <w:t>2026-07-22 08:58:42+00:00</w:t>
      </w:r>
      <w:r>
        <w:t xml:space="preserve">    </w:t>
      </w:r>
      <w:r>
        <w:rPr>
          <w:b/>
        </w:rPr>
        <w:t xml:space="preserve">DOI: </w:t>
      </w:r>
      <w:hyperlink r:id="rId435">
        <w:r>
          <w:rPr>
            <w:color w:val="1155CC"/>
            <w:u w:val="single"/>
          </w:rPr>
          <w:t>10.1002/adma.74217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电催化传统上依赖于无机金属和化合物，通过晶体场调节、能带排列和缺陷工程来优化其活性。然而，周期性晶格结构本质上限制了轨道简并、能级重构以及中间吸附、电子转移和反应通量的分子尺度控制。纯有机光电催化材料提供了基于π共轭框架的独特范例，其中前沿轨道、能级分裂、电子离域和极化可以通过分子设计精确编程。供体-受体结构、轨道重叠和电子不对称性调节激子结合、电荷分离、界面耦合和中间电子占据，从而将光载流子动力学直接与反应势垒和路径选择联系起来。在水分解过程中，CO</w:t>
      </w:r>
      <w:r>
        <w:rPr>
          <w:vertAlign w:val="subscript"/>
        </w:rPr>
        <w:t>2</w:t>
      </w:r>
      <w:r>
        <w:t>减少，N</w:t>
      </w:r>
      <w:r>
        <w:rPr>
          <w:vertAlign w:val="subscript"/>
        </w:rPr>
        <w:t>2</w:t>
      </w:r>
      <w:r>
        <w:t>还原和光电化学有机合成中，这种轨道水平的可调性使得能够对质子耦合电子转移、过渡态稳定性和选择性超越传统的金属中心描述符进行精细控制。本文从原子和轨道角度分析了纯有机光电催化材料的电子结构控制原理和界面反应机制，强调了其与无机体系在能级构建方面的区别</w:t>
      </w:r>
    </w:p>
    <w:p>
      <w:pPr>
        <w:spacing w:before="0" w:after="200" w:lineRule="auto" w:line="276"/>
      </w:pPr>
      <w:r>
        <w:rPr>
          <w:b/>
        </w:rPr>
        <w:t xml:space="preserve">Abstract (EN): </w:t>
      </w:r>
      <w:r>
        <w:t>Photoelectrocatalysis has traditionally relied on inorganic metals and compounds, where activity is optimized through crystal field regulation, band alignment, and defect engineering. However, periodic lattice structures intrinsically constrain orbital degeneracy, energy‐level reconstruction, and molecular‐scale control of intermediate adsorption, electron transfer, and reaction flux. Purely organic photoelectrocatalytic materials offer a distinct paradigm based on π‐conjugated frameworks, in which frontier orbitals, energy‐level splitting, electron delocalization, and polarization can be precisely programmed through molecular design. Donor–acceptor architectures, orbital overlap, and electronic asymmetry regulate exciton binding, charge separation, interfacial coupling, and intermediate electronic occupation, thereby linking photocarrier dynamics directly with reaction barriers and pathway selection. In water splitting, CO</w:t>
      </w:r>
      <w:r>
        <w:rPr>
          <w:vertAlign w:val="subscript"/>
        </w:rPr>
        <w:t>2</w:t>
      </w:r>
      <w:r>
        <w:t>reduction, N</w:t>
      </w:r>
      <w:r>
        <w:rPr>
          <w:vertAlign w:val="subscript"/>
        </w:rPr>
        <w:t>2</w:t>
      </w:r>
      <w:r>
        <w:t>reduction, and photoelectrochemical organic synthesis, such orbital‐level tunability enables refined control over proton‐coupled electron transfer, transition‐state stabilization, and selectivity beyond conventional metal‐centered descriptors. This review analyzes the principles of electronic structure control and interfacial reaction mechanisms in purely organic photoelectrocatalytic materials from atomic and orbital perspectives, highlights their distinctions from inorganic systems in energy level construction and reaction pathway regulation, and outlines a theoretical foundation for developing organic–inorganic cooperative platforms that combine orbital programmability with structural stability.</w:t>
      </w:r>
    </w:p>
    <w:p>
      <w:pPr>
        <w:spacing w:before="120" w:after="120"/>
      </w:pPr>
      <w:r>
        <w:rPr>
          <w:sz w:val="18"/>
        </w:rPr>
        <w:t>——————————————————————————————————————————————————————————————————————</w:t>
      </w:r>
    </w:p>
    <w:p>
      <w:pPr>
        <w:spacing w:before="160" w:after="40" w:line="240" w:lineRule="auto"/>
      </w:pPr>
      <w:r>
        <w:rPr>
          <w:b/>
        </w:rPr>
        <w:t xml:space="preserve">[63] </w:t>
      </w:r>
      <w:hyperlink r:id="rId436">
        <w:r>
          <w:rPr>
            <w:color w:val="1155CC"/>
            <w:u w:val="single"/>
          </w:rPr>
          <w:t>从实验室到工厂：工业阴离子交换膜电解槽多尺度设计的前进之路</w:t>
        </w:r>
      </w:hyperlink>
    </w:p>
    <w:p>
      <w:pPr>
        <w:spacing w:before="0" w:after="80"/>
      </w:pPr>
      <w:r>
        <w:rPr>
          <w:i/>
          <w:sz w:val="20"/>
        </w:rPr>
        <w:t>EN: From Lab to Fab: Path Forward for Multi‐Scale Design of Industrial Anion Exchange Membrane Electrolyzers</w:t>
      </w:r>
    </w:p>
    <w:p>
      <w:pPr>
        <w:spacing w:before="0" w:after="120"/>
      </w:pPr>
      <w:r>
        <w:rPr>
          <w:b/>
        </w:rPr>
        <w:t xml:space="preserve">Source: </w:t>
      </w:r>
      <w:r>
        <w:t>Wiley: Advanced Materials: Table of Contents</w:t>
      </w:r>
      <w:r>
        <w:t xml:space="preserve">    </w:t>
      </w:r>
      <w:r>
        <w:rPr>
          <w:b/>
        </w:rPr>
        <w:t xml:space="preserve">Pub date: </w:t>
      </w:r>
      <w:r>
        <w:t>2026-07-22 16:48:31+00:00</w:t>
      </w:r>
      <w:r>
        <w:t xml:space="preserve">    </w:t>
      </w:r>
      <w:r>
        <w:rPr>
          <w:b/>
        </w:rPr>
        <w:t xml:space="preserve">DOI: </w:t>
      </w:r>
      <w:hyperlink r:id="rId437">
        <w:r>
          <w:rPr>
            <w:color w:val="1155CC"/>
            <w:u w:val="single"/>
          </w:rPr>
          <w:t>10.1002/adma.74223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阴离子交换膜水电解（AEMWE）已成为连接实验室规模研究和大规模制氢的关键途径。然而，其商业化受到多尺度失效机制的限制，这些失效机制涉及从原子到整个系统的各个尺度，包括催化剂溶解和重构、膜电极组件三相界面的退化、双极板的腐蚀以及不均匀的堆组装。本综述系统地研究了 AEM 电解槽在多个尺度上的失效行为，并引入了从原子级到系统级的协作设计策略。通过集成创新的膜电极架构、仿生流场设计和先进的智能控制系统，我们建立了涵盖材料、器件和系统的全链优化方案，同时提高了电流密度、耐用性和动态响应。强调原位表征和人工智能在阐明故障机制和实现预测控制方面的关键作用。本综述还提供了系统的多尺度设计蓝图以及将 AEMWE 从实验室规模原型（“Lab”）过渡到千兆瓦规模制造设施（“Fab”）的技术途径。最终，它的目标是促进 AEMWE 作为绿色氢经济高效可靠的工业解决方案的采用。</w:t>
      </w:r>
    </w:p>
    <w:p>
      <w:pPr>
        <w:spacing w:before="0" w:after="200" w:lineRule="auto" w:line="276"/>
      </w:pPr>
      <w:r>
        <w:rPr>
          <w:b/>
        </w:rPr>
        <w:t xml:space="preserve">Abstract (EN): </w:t>
      </w:r>
      <w:r>
        <w:t>Anion exchange membrane water electrolysis (AEMWE) has emerged as a pivotal pathway bridging laboratory‐scale research to large‐scale hydrogen production. Nevertheless, its commercialization is constrained by multi‐scale failure mechanisms that operate across scales ranging from atoms to entire systems, including catalyst dissolution and reconstruction, degradation of the three‐phase interface with membrane electrode assemblies, corrosion of bipolar plates, and uneven stack assembly. This review systematically investigates the failure behaviors of AEM electrolyzers across multiple scales and introduces a collaborative design strategy spanning from the atomic to the system level. By integrating innovative membrane‐electrode architectures, biomimetic flow‐field designs, and advanced intelligent control systems, we establish a full‐chain optimization scheme spanning materials, devices, and systems that simultaneously improves current density, durability, and dynamic response. Emphasizing the critical roles of in situ characterization and artificial intelligence in elucidating failure mechanisms and enabling predictive control. This review also provides a systematic multi‐scale design blueprint and a technical pathway for transitioning AEMWE from laboratory‐scale prototypes (“Lab”) to gigawatt‐scale fabrication facilities (“Fab”). Ultimately, it aims to facilitate the adoption of AEMWE as an efficient and reliable industrial solution for the green hydrogen economy.</w:t>
      </w:r>
    </w:p>
    <w:p>
      <w:pPr>
        <w:spacing w:before="120" w:after="120"/>
      </w:pPr>
      <w:r>
        <w:rPr>
          <w:sz w:val="18"/>
        </w:rPr>
        <w:t>——————————————————————————————————————————————————————————————————————</w:t>
      </w:r>
    </w:p>
    <w:p>
      <w:pPr>
        <w:spacing w:before="160" w:after="40" w:line="240" w:lineRule="auto"/>
      </w:pPr>
      <w:r>
        <w:rPr>
          <w:b/>
        </w:rPr>
        <w:t xml:space="preserve">[64] </w:t>
      </w:r>
      <w:hyperlink r:id="rId438">
        <w:r>
          <w:rPr>
            <w:color w:val="1155CC"/>
            <w:u w:val="single"/>
          </w:rPr>
          <w:t>使用无金属供体-受体共价有机框架连接的场耦合水分解</w:t>
        </w:r>
      </w:hyperlink>
    </w:p>
    <w:p>
      <w:pPr>
        <w:spacing w:before="0" w:after="80"/>
      </w:pPr>
      <w:r>
        <w:rPr>
          <w:i/>
          <w:sz w:val="20"/>
        </w:rPr>
        <w:t>EN: Field-Coupled Water Splitting with Metal-Free Donor–Acceptor Covalent Organic-Framework Junctions</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439">
        <w:r>
          <w:rPr>
            <w:color w:val="1155CC"/>
            <w:u w:val="single"/>
          </w:rPr>
          <w:t>10.1021/jacs.6c03609</w:t>
        </w:r>
      </w:hyperlink>
    </w:p>
    <w:p>
      <w:pPr>
        <w:spacing w:before="0" w:after="120"/>
      </w:pPr>
      <w:r>
        <w:rPr>
          <w:b/>
        </w:rPr>
        <w:t xml:space="preserve">Notes: </w:t>
      </w:r>
      <w:r>
        <w:t>abstract_source=pubmed</w:t>
      </w:r>
    </w:p>
    <w:p>
      <w:pPr>
        <w:spacing w:before="0" w:after="80" w:lineRule="auto" w:line="276"/>
      </w:pPr>
      <w:r>
        <w:rPr>
          <w:b/>
        </w:rPr>
        <w:t xml:space="preserve">摘要（ZH）: </w:t>
      </w:r>
      <w:r>
        <w:t>在酸性和碱性介质中推进用于析氢和析氧反应（HER/OER）的无金属电催化剂需要协调控制中间结合热力学、界面电荷传递和近电极传输动力学。在这里，我们设计了酰胺连接的苯三嗪共价有机框架（BTA/TzTA-Hz COF）并将其与碳纳米管（CNT）集成以形成COF-CNT结，从而建立内置界面电场。密度泛函理论 (DFT) 和静电势图表明互补的活性基序，其中苯近端片段与 HER 相关，三嗪近端基序与 OER 相关。 CNT 集成将接触电势差移动了约 0.20 V，而操作电化学阻抗谱表明部分可分离的高频结充电和低频法拉第/传输响应。 300 mT 静磁场可将 HER 和 OER 过电势降低数十毫伏。在阳极偏压下，有效界面充电电容增加，莫特-肖特基分析显示明显的~0.15 V 平带偏移，斜率基本不变。总之，这些观察结果与场扰动的界面充电和改变的偏置分配一致。场相关阻抗和气泡成像与磁流体动力学对流一致，磁流体动力学对流促进气泡分离和两个半反应的近电极质量传输，并且它们揭示了阳极偏压下 OER 特定的高频扰动。在场下，热</w:t>
      </w:r>
    </w:p>
    <w:p>
      <w:pPr>
        <w:spacing w:before="0" w:after="200" w:lineRule="auto" w:line="276"/>
      </w:pPr>
      <w:r>
        <w:rPr>
          <w:b/>
        </w:rPr>
        <w:t xml:space="preserve">Abstract (EN): </w:t>
      </w:r>
      <w:r>
        <w:t>Advancing metal-free electrocatalysts for hydrogen and oxygen evolution reactions (HER/OER) across acidic and alkaline media requires coordinated control of intermediate binding thermodynamics, interfacial charge delivery, and near-electrode transport dynamics. Here, we design amide-linked benzene-triazine covalent organic frameworks (BTA/TzTA-Hz COFs) and integrate them with carbon nanotubes (CNTs) to form COF-CNT junctions that establish a built-in interfacial electric field. Density functional theory (DFT) and electrostatic potential maps indicate complementary active motifs, with benzene-proximal fragments associated with HER and triazine-proximal motifs associated with OER. CNT integration shifts the contact-potential difference by ≈0.20 V, while operando electrochemical impedance spectroscopy suggests partially separable high-frequency junction-charging and lower-frequency Faradaic/transport responses. A 300 mT static magnetic field lowers the HER and OER overpotentials by tens of millivolts. Under anodic bias, the effective interfacial charging capacitance increases, and Mott-Schottky analysis shows an apparent ∼0.15 V flat-band shift with an essentially unchanged slope. Together, these observations are consistent with field-perturbed interfacial charging and altered bias partitioning. Field-dependent impedance and bubble imaging are consistent with magnetohydrodynamic convection that promotes bubble detachment and near-electrode mass transport for both half-reactions, and they reveal an OER-specific high-frequency perturbation under anodic bias. Under field, the heterostructure reaches an OER onset overpotential of ∼261 mV and requires an overpotential of 366 mV at 10 mA cm-2 in alkaline electrolyte. These results illustrate how reticular-framework chemistry, junction engineering, and both built-in and applied fields can program reactivity through interfacial electrostatics and near-electrode transport in organic-framework electrocatalysts.</w:t>
      </w:r>
    </w:p>
    <w:p>
      <w:pPr>
        <w:spacing w:before="120" w:after="120"/>
      </w:pPr>
      <w:r>
        <w:rPr>
          <w:sz w:val="18"/>
        </w:rPr>
        <w:t>——————————————————————————————————————————————————————————————————————</w:t>
      </w:r>
    </w:p>
    <w:p>
      <w:pPr>
        <w:spacing w:before="160" w:after="40" w:line="240" w:lineRule="auto"/>
      </w:pPr>
      <w:r>
        <w:rPr>
          <w:b/>
        </w:rPr>
        <w:t xml:space="preserve">[65] </w:t>
      </w:r>
      <w:hyperlink r:id="rId440">
        <w:r>
          <w:rPr>
            <w:color w:val="1155CC"/>
            <w:u w:val="single"/>
          </w:rPr>
          <w:t>在多尺度能源市场中利用电解槽的灵活性</w:t>
        </w:r>
      </w:hyperlink>
    </w:p>
    <w:p>
      <w:pPr>
        <w:spacing w:before="0" w:after="80"/>
      </w:pPr>
      <w:r>
        <w:rPr>
          <w:i/>
          <w:sz w:val="20"/>
        </w:rPr>
        <w:t>EN: Exploiting Electrolyzer Flexibility across Multiscale Energy Markets</w:t>
      </w:r>
    </w:p>
    <w:p>
      <w:pPr>
        <w:spacing w:before="0" w:after="120"/>
      </w:pPr>
      <w:r>
        <w:rPr>
          <w:b/>
        </w:rPr>
        <w:t xml:space="preserve">Source: </w:t>
      </w:r>
      <w:r>
        <w:t>ACS Energy Letters: Latest Articles (ACS Publications)</w:t>
      </w:r>
      <w:r>
        <w:t xml:space="preserve">    </w:t>
      </w:r>
      <w:r>
        <w:rPr>
          <w:b/>
        </w:rPr>
        <w:t xml:space="preserve">Pub date: </w:t>
      </w:r>
      <w:r>
        <w:t>2026-07-23 00:00:00+00:00</w:t>
      </w:r>
      <w:r>
        <w:t xml:space="preserve">    </w:t>
      </w:r>
      <w:r>
        <w:rPr>
          <w:b/>
        </w:rPr>
        <w:t xml:space="preserve">DOI: </w:t>
      </w:r>
      <w:hyperlink r:id="rId441">
        <w:r>
          <w:rPr>
            <w:color w:val="1155CC"/>
            <w:u w:val="single"/>
          </w:rPr>
          <w:t>10.1021/acsenergylett.6c01411</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电力成本和设备退化仍然是水电解制氢竞争的主要障碍。目前的电解槽通常在单一电力市场内进行优化，而跨市场协调如何影响其降解行为和技术经济绩效尚未解决。在这里，我们展示了柔性质子交换膜（PEM）电解槽可以通过协调日前和实时市场的参与来降低氢气生产成本。我们开发了一个多尺度模型预测控制框架，该框架联合优化电力采购和电解槽运行，同时明确考虑高保真电化学行为和膜降解。该控制器将每小时的日前承诺与高频实时调整相结合，从而能够在严格的操作和耐用性限制下利用市场间的价格差异。使用德克萨斯州长达一年的电网数据，我们证明电力成本降低了四倍。此外，退化感知操作将电解槽负载转向低磨损状态，这表明动态的市场响应操作可以同时降低成本并延长组件寿命。 ACS 出版物 © 2026 美国化学会</w:t>
      </w:r>
    </w:p>
    <w:p>
      <w:pPr>
        <w:spacing w:before="0" w:after="200" w:lineRule="auto" w:line="276"/>
      </w:pPr>
      <w:r>
        <w:rPr>
          <w:b/>
        </w:rPr>
        <w:t xml:space="preserve">Abstract (EN): </w:t>
      </w:r>
      <w:r>
        <w:t>Click to copy section link Section link copied! Electricity cost and equipment degradation remain key barriers to competitive hydrogen production via water electrolysis. Current electrolyzers are typically optimized within a single electricity market, leaving unresolved how cross-market coordination affects their degradation behavior and techno-economic performance. Here, we show that flexible proton exchange membrane (PEM) electrolyzers can reduce hydrogen production costs by coordinating participation in day-ahead and real-time markets. We develop a multiscale model predictive control framework that jointly optimizes electricity procurement and electrolyzer operation while explicitly accounting for high-fidelity electrochemical behavior and membrane degradation. The controller aligns hourly day-ahead commitments with high-frequency real-time adjustments, enabling exploitation of intermarket price differentials under rigorous operational and durability constraints. Using year-long Texas grid data, we demonstrate electricity cost reductions up to fourfold. Moreover, degradation-aware operation shifts electrolyzer loading toward low-wear regimes, showing that dynamic market-responsive operation can simultaneously lower costs and extend component lifetime. ACS Publications © 2026 American Chemical Society</w:t>
      </w:r>
    </w:p>
    <w:p>
      <w:pPr>
        <w:spacing w:before="120" w:after="120"/>
      </w:pPr>
      <w:r>
        <w:rPr>
          <w:sz w:val="18"/>
        </w:rPr>
        <w:t>——————————————————————————————————————————————————————————————————————</w:t>
      </w:r>
    </w:p>
    <w:p>
      <w:pPr>
        <w:spacing w:before="160" w:after="40" w:line="240" w:lineRule="auto"/>
      </w:pPr>
      <w:r>
        <w:rPr>
          <w:b/>
        </w:rPr>
        <w:t xml:space="preserve">[66] </w:t>
      </w:r>
      <w:hyperlink r:id="rId442">
        <w:r>
          <w:rPr>
            <w:color w:val="1155CC"/>
            <w:u w:val="single"/>
          </w:rPr>
          <w:t>混合氢键网络引导酸性CO 2 电合成的质子耦合途径</w:t>
        </w:r>
      </w:hyperlink>
    </w:p>
    <w:p>
      <w:pPr>
        <w:spacing w:before="0" w:after="80"/>
      </w:pPr>
      <w:r>
        <w:rPr>
          <w:i/>
          <w:sz w:val="20"/>
        </w:rPr>
        <w:t>EN: Hybrid Hydrogen-Bond Networks Steer Proton-Coupled Pathway for Acidic CO 2 -To-Ethanol Electrosynthesis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443">
        <w:r>
          <w:rPr>
            <w:color w:val="1155CC"/>
            <w:u w:val="single"/>
          </w:rPr>
          <w:t>10.1021/jacs.6c06774</w:t>
        </w:r>
      </w:hyperlink>
    </w:p>
    <w:p>
      <w:pPr>
        <w:spacing w:before="0" w:after="120"/>
      </w:pPr>
      <w:r>
        <w:rPr>
          <w:b/>
        </w:rPr>
        <w:t xml:space="preserve">Notes: </w:t>
      </w:r>
      <w:r>
        <w:t>abstract_source=pubmed</w:t>
      </w:r>
    </w:p>
    <w:p>
      <w:pPr>
        <w:spacing w:before="0" w:after="80" w:lineRule="auto" w:line="276"/>
      </w:pPr>
      <w:r>
        <w:rPr>
          <w:b/>
        </w:rPr>
        <w:t xml:space="preserve">摘要（ZH）: </w:t>
      </w:r>
      <w:r>
        <w:t>酸性二氧化碳还原可防止碳酸盐损失，但受到不受控制的界面质子动力学的限制，界面质子动力学会引发氢析出并有利于乙烯。在这里，我们证明了自适应混合离聚物界面可引导质子耦合途径以实现高选择性乙醇电合成。通过表面限制的氧化重建，界面演变成一个与完整的阳离子亚层配对的强大的氢键网络。这种结构限制了溶剂化质子扩散，有效抑制了通往乙烯的破坏性 Eley-Rideal (ER) 途径。相反，它动态地将反应转向 Langmuir-Hinshelwood (LH) 机制，在固定的弱碱性微环境 (pH ≈ 10.5) 内优化表面结合 *H 的可用性。因此，我们的膜电极组件在 200 mA cm-2 下实现了 &gt;64% 的乙醇法拉第效率，在 pH = 1 电解液中稳定性 &gt;350 小时。这阐明了界面氢键网络在决定质子偶联机制中的关键作用，为途径特异性酸性电合成提供了范例。</w:t>
      </w:r>
    </w:p>
    <w:p>
      <w:pPr>
        <w:spacing w:before="0" w:after="200" w:lineRule="auto" w:line="276"/>
      </w:pPr>
      <w:r>
        <w:rPr>
          <w:b/>
        </w:rPr>
        <w:t xml:space="preserve">Abstract (EN): </w:t>
      </w:r>
      <w:r>
        <w:t>Acidic CO2 reduction prevents carbonate loss but is limited by uncontrolled interfacial proton dynamics that trigger hydrogen evolution and favor ethylene. Here, we demonstrate that an adaptive hybrid ionomer interface steers proton-coupled pathways to achieve highly selective ethanol electrosynthesis. Through surface-limited oxidative reconstruction, the interphase evolves into a robust hydrogen-bonding network paired with an intact cationic sublayer. This architecture limits solvated proton diffusion, effectively suppressing the disruptive Eley-Rideal (ER) pathway toward ethylene. Instead, it dynamically shifts the reaction toward the Langmuir-Hinshelwood (LH) mechanism, optimizing surface-bound *H availability within a fixed mildly alkaline microenvironment (pH ≈ 10.5). Consequently, our membrane electrode assembly achieves &gt;64% ethanol Faradaic efficiency at 200 mA cm-2 with &gt;350 h of stability in pH = 1 electrolyte. This elucidates the pivotal role of interfacial hydrogen-bond networks in dictating proton-coupling mechanisms, offering a paradigm for pathway-specific acidic electrosynthesis.</w:t>
      </w:r>
    </w:p>
    <w:p>
      <w:pPr>
        <w:spacing w:before="120" w:after="120"/>
      </w:pPr>
      <w:r>
        <w:rPr>
          <w:sz w:val="18"/>
        </w:rPr>
        <w:t>——————————————————————————————————————————————————————————————————————</w:t>
      </w:r>
    </w:p>
    <w:p>
      <w:pPr>
        <w:spacing w:before="160" w:after="40" w:line="240" w:lineRule="auto"/>
      </w:pPr>
      <w:r>
        <w:rPr>
          <w:b/>
        </w:rPr>
        <w:t xml:space="preserve">[67] </w:t>
      </w:r>
      <w:hyperlink r:id="rId444">
        <w:r>
          <w:rPr>
            <w:color w:val="1155CC"/>
            <w:u w:val="single"/>
          </w:rPr>
          <w:t>平衡氨合成二维电子化合物中的 N 2 活化</w:t>
        </w:r>
      </w:hyperlink>
    </w:p>
    <w:p>
      <w:pPr>
        <w:spacing w:before="0" w:after="80"/>
      </w:pPr>
      <w:r>
        <w:rPr>
          <w:i/>
          <w:sz w:val="20"/>
        </w:rPr>
        <w:t>EN: Balancing N 2 Activation in Two-Dimensional Electrides for Ammonia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445">
        <w:r>
          <w:rPr>
            <w:color w:val="1155CC"/>
            <w:u w:val="single"/>
          </w:rPr>
          <w:t>10.1021/jacs.5c22746</w:t>
        </w:r>
      </w:hyperlink>
    </w:p>
    <w:p>
      <w:pPr>
        <w:spacing w:before="0" w:after="120"/>
      </w:pPr>
      <w:r>
        <w:rPr>
          <w:b/>
        </w:rPr>
        <w:t xml:space="preserve">Notes: </w:t>
      </w:r>
      <w:r>
        <w:t>abstract_source=pubmed</w:t>
      </w:r>
    </w:p>
    <w:p>
      <w:pPr>
        <w:spacing w:before="0" w:after="80" w:lineRule="auto" w:line="276"/>
      </w:pPr>
      <w:r>
        <w:rPr>
          <w:b/>
        </w:rPr>
        <w:t xml:space="preserve">摘要（ZH）: </w:t>
      </w:r>
      <w:r>
        <w:t>二维（2D）电子化合物具有层间离域阴离子电子，有望用于 N2 活化，但由于反应条件下的结构不稳定，在催化氨合成中面临挑战。在这里，我们引入了一种双中心催化剂，使用坚固的二维金属碳化物Y2C电子化合物作为平台，其中N2在富电子夹层上被激活，H2在负载的Ni纳米粒子上解离，从而实现高效稳定的氨生产。通过拉曼光谱、XPS 和 DFT 计算，我们揭示了二维电子化合物中 N2 活化的比例关系：中间 N2 结合强度与反应性 (N2)δ- 中间体的形成相关，这对于高效 NH3 生产至关重要。利用这一见解，La掺杂Y2C (La-Y2C)优化了N2活化，并且Ni/La-Y2C催化剂在400 °C和1.0 MPa下实现了34.6 mmol·g-1·h-1的优异活性，在相同条件下超越了报道的镍基催化剂、基准Cs-Ru/MgO和工业方铁矿基Fe。这些发现为设计先进的二维电子化合物以实现可控氮气活化和可持续氨合成提供了合理的框架。</w:t>
      </w:r>
    </w:p>
    <w:p>
      <w:pPr>
        <w:spacing w:before="0" w:after="200" w:lineRule="auto" w:line="276"/>
      </w:pPr>
      <w:r>
        <w:rPr>
          <w:b/>
        </w:rPr>
        <w:t xml:space="preserve">Abstract (EN): </w:t>
      </w:r>
      <w:r>
        <w:t>Two-dimensional (2D) electrides, featuring interlayer-delocalized anionic electrons, hold promise for N2 activation but face challenges in catalytic ammonia synthesis due to structural instability under reaction conditions. Here, we introduce a dual-site catalyst using the robust 2D metal carbide Y2C electride as a platform, where N2 is activated at electron-rich interlayers and H2 dissociates on supported Ni nanoparticles, enabling efficient and stable ammonia production. Through Raman spectroscopy, XPS, and DFT calculations, we uncover a scaling relationship for N2 activation in 2D electrides: intermediate N2 binding strength correlates with the formation of reactive (N2)δ- intermediates, crucial for efficient NH3 production. Leveraging this insight, La-doped Y2C (La-Y2C) optimizes N2 activation, and the Ni/La-Y2C catalyst achieves an exceptional activity of 34.6 mmol·g-1·h-1 at 400 °C and 1.0 MPa, surpassing reported Ni-based catalysts, the benchmark Cs-Ru/MgO, and industrial wüstite-based Fe under identical conditions. These findings provide a rational framework for designing advanced 2D electrides for controllable N2 activation and sustainable ammonia synthesis.</w:t>
      </w:r>
    </w:p>
    <w:p>
      <w:pPr>
        <w:spacing w:before="120" w:after="120"/>
      </w:pPr>
      <w:r>
        <w:rPr>
          <w:sz w:val="18"/>
        </w:rPr>
        <w:t>——————————————————————————————————————————————————————————————————————</w:t>
      </w:r>
    </w:p>
    <w:p>
      <w:pPr>
        <w:spacing w:before="160" w:after="40" w:line="240" w:lineRule="auto"/>
      </w:pPr>
      <w:r>
        <w:rPr>
          <w:b/>
        </w:rPr>
        <w:t xml:space="preserve">[68] </w:t>
      </w:r>
      <w:hyperlink r:id="rId446">
        <w:r>
          <w:rPr>
            <w:color w:val="1155CC"/>
            <w:u w:val="single"/>
          </w:rPr>
          <w:t>通过电化学-磁集成实现 PEMFC 的负载不变和实时诊断</w:t>
        </w:r>
      </w:hyperlink>
    </w:p>
    <w:p>
      <w:pPr>
        <w:spacing w:before="0" w:after="80"/>
      </w:pPr>
      <w:r>
        <w:rPr>
          <w:i/>
          <w:sz w:val="20"/>
        </w:rPr>
        <w:t>EN: Load-invariant and real-time diagnostic for PEMFC via electrochemical-magnetic integration</w:t>
      </w:r>
    </w:p>
    <w:p>
      <w:pPr>
        <w:spacing w:before="0" w:after="120"/>
      </w:pPr>
      <w:r>
        <w:rPr>
          <w:b/>
        </w:rPr>
        <w:t xml:space="preserve">Source: </w:t>
      </w:r>
      <w:r>
        <w:t>ScienceDirect Publication: Applied Energy</w:t>
      </w:r>
      <w:r>
        <w:t xml:space="preserve">    </w:t>
      </w:r>
      <w:r>
        <w:rPr>
          <w:b/>
        </w:rPr>
        <w:t xml:space="preserve">Pub date: </w:t>
      </w:r>
      <w:r>
        <w:t>2026-07-23 00:00:00+00:00</w:t>
      </w:r>
      <w:r>
        <w:t xml:space="preserve">    </w:t>
      </w:r>
      <w:r>
        <w:rPr>
          <w:b/>
        </w:rPr>
        <w:t xml:space="preserve">DOI: </w:t>
      </w:r>
      <w:hyperlink r:id="rId447">
        <w:r>
          <w:rPr>
            <w:color w:val="1155CC"/>
            <w:u w:val="single"/>
          </w:rPr>
          <w:t>10.1016/j.apenergy.2026.128411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448">
        <w:r>
          <w:rPr>
            <w:color w:val="1155CC"/>
            <w:u w:val="single"/>
          </w:rPr>
          <w:t>源负荷不确定性下基于燃料电池热电联产的综合能源系统的法学硕士驱动的自适应调度框架</w:t>
        </w:r>
      </w:hyperlink>
    </w:p>
    <w:p>
      <w:pPr>
        <w:spacing w:before="0" w:after="80"/>
      </w:pPr>
      <w:r>
        <w:rPr>
          <w:i/>
          <w:sz w:val="20"/>
        </w:rPr>
        <w:t>EN: An LLM-driven adaptive scheduling framework for fuel cell cogeneration-based integrated energy systems under source-load uncertainty</w:t>
      </w:r>
    </w:p>
    <w:p>
      <w:pPr>
        <w:spacing w:before="0" w:after="120"/>
      </w:pPr>
      <w:r>
        <w:rPr>
          <w:b/>
        </w:rPr>
        <w:t xml:space="preserve">Source: </w:t>
      </w:r>
      <w:r>
        <w:t>ScienceDirect Publication: Applied Energy</w:t>
      </w:r>
      <w:r>
        <w:t xml:space="preserve">    </w:t>
      </w:r>
      <w:r>
        <w:rPr>
          <w:b/>
        </w:rPr>
        <w:t xml:space="preserve">Pub date: </w:t>
      </w:r>
      <w:r>
        <w:t>2026-07-23 00:00:00+00:00</w:t>
      </w:r>
      <w:r>
        <w:t xml:space="preserve">    </w:t>
      </w:r>
      <w:r>
        <w:rPr>
          <w:b/>
        </w:rPr>
        <w:t xml:space="preserve">DOI: </w:t>
      </w:r>
      <w:hyperlink r:id="rId449">
        <w:r>
          <w:rPr>
            <w:color w:val="1155CC"/>
            <w:u w:val="single"/>
          </w:rPr>
          <w:t>10.1016/j.apenergy.2026.128419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450">
        <w:r>
          <w:rPr>
            <w:color w:val="1155CC"/>
            <w:u w:val="single"/>
          </w:rPr>
          <w:t>城市尺度建筑脱碳的综合能源-碳-经济评估</w:t>
        </w:r>
      </w:hyperlink>
    </w:p>
    <w:p>
      <w:pPr>
        <w:spacing w:before="0" w:after="80"/>
      </w:pPr>
      <w:r>
        <w:rPr>
          <w:i/>
          <w:sz w:val="20"/>
        </w:rPr>
        <w:t>EN: An integrated energy–carbon–economic assessment of building decarbonization at city scale</w:t>
      </w:r>
    </w:p>
    <w:p>
      <w:pPr>
        <w:spacing w:before="0" w:after="120"/>
      </w:pPr>
      <w:r>
        <w:rPr>
          <w:b/>
        </w:rPr>
        <w:t xml:space="preserve">Source: </w:t>
      </w:r>
      <w:r>
        <w:t>ScienceDirect Publication: Applied Energy</w:t>
      </w:r>
      <w:r>
        <w:t xml:space="preserve">    </w:t>
      </w:r>
      <w:r>
        <w:rPr>
          <w:b/>
        </w:rPr>
        <w:t xml:space="preserve">Pub date: </w:t>
      </w:r>
      <w:r>
        <w:t>2026-07-17 00:00:00+00:00</w:t>
      </w:r>
      <w:r>
        <w:t xml:space="preserve">    </w:t>
      </w:r>
      <w:r>
        <w:rPr>
          <w:b/>
        </w:rPr>
        <w:t xml:space="preserve">DOI: </w:t>
      </w:r>
      <w:hyperlink r:id="rId451">
        <w:r>
          <w:rPr>
            <w:color w:val="1155CC"/>
            <w:u w:val="single"/>
          </w:rPr>
          <w:t>10.1016/j.apenergy.2026.128406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452">
        <w:r>
          <w:rPr>
            <w:color w:val="1155CC"/>
            <w:u w:val="single"/>
          </w:rPr>
          <w:t>基于物理信息的机器学习的自适应预测控制，用于节能混合冷却数据中心管理</w:t>
        </w:r>
      </w:hyperlink>
    </w:p>
    <w:p>
      <w:pPr>
        <w:spacing w:before="0" w:after="80"/>
      </w:pPr>
      <w:r>
        <w:rPr>
          <w:i/>
          <w:sz w:val="20"/>
        </w:rPr>
        <w:t>EN: Physics-informed machine learning-based adaptive predictive control for energy-efficient hybrid-cooled data centers management</w:t>
      </w:r>
    </w:p>
    <w:p>
      <w:pPr>
        <w:spacing w:before="0" w:after="120"/>
      </w:pPr>
      <w:r>
        <w:rPr>
          <w:b/>
        </w:rPr>
        <w:t xml:space="preserve">Source: </w:t>
      </w:r>
      <w:r>
        <w:t>ScienceDirect Publication: Applied Energy</w:t>
      </w:r>
      <w:r>
        <w:t xml:space="preserve">    </w:t>
      </w:r>
      <w:r>
        <w:rPr>
          <w:b/>
        </w:rPr>
        <w:t xml:space="preserve">Pub date: </w:t>
      </w:r>
      <w:r>
        <w:t>2026-07-17 00:00:00+00:00</w:t>
      </w:r>
      <w:r>
        <w:t xml:space="preserve">    </w:t>
      </w:r>
      <w:r>
        <w:rPr>
          <w:b/>
        </w:rPr>
        <w:t xml:space="preserve">DOI: </w:t>
      </w:r>
      <w:hyperlink r:id="rId453">
        <w:r>
          <w:rPr>
            <w:color w:val="1155CC"/>
            <w:u w:val="single"/>
          </w:rPr>
          <w:t>10.1016/j.apenergy.2026.128414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454">
        <w:r>
          <w:rPr>
            <w:color w:val="1155CC"/>
            <w:u w:val="single"/>
          </w:rPr>
          <w:t>数字双环能源管理，实现电气化住宅建筑电网边缘的灵活性</w:t>
        </w:r>
      </w:hyperlink>
    </w:p>
    <w:p>
      <w:pPr>
        <w:spacing w:before="0" w:after="80"/>
      </w:pPr>
      <w:r>
        <w:rPr>
          <w:i/>
          <w:sz w:val="20"/>
        </w:rPr>
        <w:t>EN: Digital twin-in-the-loop energy management for grid-edge flexibility in electrified residential buildings</w:t>
      </w:r>
    </w:p>
    <w:p>
      <w:pPr>
        <w:spacing w:before="0" w:after="120"/>
      </w:pPr>
      <w:r>
        <w:rPr>
          <w:b/>
        </w:rPr>
        <w:t xml:space="preserve">Source: </w:t>
      </w:r>
      <w:r>
        <w:t>ScienceDirect Publication: Applied Energy</w:t>
      </w:r>
      <w:r>
        <w:t xml:space="preserve">    </w:t>
      </w:r>
      <w:r>
        <w:rPr>
          <w:b/>
        </w:rPr>
        <w:t xml:space="preserve">Pub date: </w:t>
      </w:r>
      <w:r>
        <w:t>2026-07-17 00:00:00+00:00</w:t>
      </w:r>
      <w:r>
        <w:t xml:space="preserve">    </w:t>
      </w:r>
      <w:r>
        <w:rPr>
          <w:b/>
        </w:rPr>
        <w:t xml:space="preserve">DOI: </w:t>
      </w:r>
      <w:hyperlink r:id="rId455">
        <w:r>
          <w:rPr>
            <w:color w:val="1155CC"/>
            <w:u w:val="single"/>
          </w:rPr>
          <w:t>10.1016/j.apenergy.2026.128418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456">
        <w:r>
          <w:rPr>
            <w:color w:val="1155CC"/>
            <w:u w:val="single"/>
          </w:rPr>
          <w:t>用于住宅 HVAC 的元认知 AutoEvo 控制：具有有限自重构功能的级联物理信息 HDeePC-MPC 框架</w:t>
        </w:r>
      </w:hyperlink>
    </w:p>
    <w:p>
      <w:pPr>
        <w:spacing w:before="0" w:after="80"/>
      </w:pPr>
      <w:r>
        <w:rPr>
          <w:i/>
          <w:sz w:val="20"/>
        </w:rPr>
        <w:t>EN: Meta-cognitive AutoEvo control for residential HVAC: A cascaded physics-informed HDeePC-MPC framework with bounded self-reconfiguration</w:t>
      </w:r>
    </w:p>
    <w:p>
      <w:pPr>
        <w:spacing w:before="0" w:after="120"/>
      </w:pPr>
      <w:r>
        <w:rPr>
          <w:b/>
        </w:rPr>
        <w:t xml:space="preserve">Source: </w:t>
      </w:r>
      <w:r>
        <w:t>ScienceDirect Publication: Applied Energy</w:t>
      </w:r>
      <w:r>
        <w:t xml:space="preserve">    </w:t>
      </w:r>
      <w:r>
        <w:rPr>
          <w:b/>
        </w:rPr>
        <w:t xml:space="preserve">Pub date: </w:t>
      </w:r>
      <w:r>
        <w:t>2026-07-17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457">
        <w:r>
          <w:rPr>
            <w:color w:val="1155CC"/>
            <w:u w:val="single"/>
          </w:rPr>
          <w:t>评估美国州生物多样性保护规划和大规模风能和太阳能开发</w:t>
        </w:r>
      </w:hyperlink>
    </w:p>
    <w:p>
      <w:pPr>
        <w:spacing w:before="0" w:after="80"/>
      </w:pPr>
      <w:r>
        <w:rPr>
          <w:i/>
          <w:sz w:val="20"/>
        </w:rPr>
        <w:t>EN: Assessing state biodiversity conservation planning and large-scale wind and solar energy development in the United States</w:t>
      </w:r>
    </w:p>
    <w:p>
      <w:pPr>
        <w:spacing w:before="0" w:after="120"/>
      </w:pPr>
      <w:r>
        <w:rPr>
          <w:b/>
        </w:rPr>
        <w:t xml:space="preserve">Source: </w:t>
      </w:r>
      <w:r>
        <w:t>ScienceDirect Publication: Energy Policy</w:t>
      </w:r>
      <w:r>
        <w:t xml:space="preserve">    </w:t>
      </w:r>
      <w:r>
        <w:rPr>
          <w:b/>
        </w:rPr>
        <w:t xml:space="preserve">Pub date: </w:t>
      </w:r>
      <w:r>
        <w:t>2026-07-17 00:00:00+00:00</w:t>
      </w:r>
      <w:r>
        <w:t xml:space="preserve">    </w:t>
      </w:r>
      <w:r>
        <w:rPr>
          <w:b/>
        </w:rPr>
        <w:t xml:space="preserve">DOI: </w:t>
      </w:r>
      <w:hyperlink r:id="rId458">
        <w:r>
          <w:rPr>
            <w:color w:val="1155CC"/>
            <w:u w:val="single"/>
          </w:rPr>
          <w:t>10.1016/j.enpol.2026.115512</w:t>
        </w:r>
      </w:hyperlink>
    </w:p>
    <w:p>
      <w:pPr>
        <w:spacing w:before="0" w:after="120"/>
      </w:pPr>
      <w:r>
        <w:rPr>
          <w:b/>
        </w:rPr>
        <w:t xml:space="preserve">Notes: </w:t>
      </w:r>
      <w:r>
        <w:t>abstract_source=openalex</w:t>
      </w:r>
    </w:p>
    <w:p>
      <w:pPr>
        <w:spacing w:before="0" w:after="80" w:lineRule="auto" w:line="276"/>
      </w:pPr>
      <w:r>
        <w:rPr>
          <w:b/>
        </w:rPr>
        <w:t xml:space="preserve">摘要（ZH）: </w:t>
      </w:r>
      <w:r>
        <w:t>大型风能和光伏太阳能（LSWS；&gt;1 MW）项目的加速推出提出了如何平衡可再生能源扩张与生物多样性保护带来的间接影响的关键问题。在美国，生物多样性保护部分是通过州野生动物行动计划 (SWAP) 来实施的，但这些计划在多大程度上预测和指导 LSWS 的发展仍不清楚。使用关键字辅助的定性内容分析，我们评估了 SWAP 中如何体现 LSWS 相关威胁和保护机会。此外，我们使用基于 GIS 的叠加分析来量化空间上明确的保护优先事项（“保护机会区域”或 COA）与受当前和预计 LSWS 建设间接影响的区域之间的重叠。为了捕捉 LSWS 的潜在间接影响，我们应用了特定技术和项目级别的缓冲区，并评估了两种土地利用情景下与 SWAP 指定的 COA 的空间重叠。我们发现全部门计划中确定的保护机会与 LSWS 建设轨迹之间存在偏差。在全部门计划中，80% 的计划至少确定了一种与 LSWS 相关的生物多样性威胁，但 17 个计划没有确定与 LSWS 相关的保护机会。全部门方案中确定的最常见的保护机会是需要进行额外的研究。空间分析表明，受 LSWS 间接影响的区域可能会迅速扩大，到 2045 年将达到 440,000 km 2 以上。土地覆盖分析表明，LSWS-COA 重叠主要发生在自然栖息地和农田中。最高的州</w:t>
      </w:r>
    </w:p>
    <w:p>
      <w:pPr>
        <w:spacing w:before="0" w:after="200" w:lineRule="auto" w:line="276"/>
      </w:pPr>
      <w:r>
        <w:rPr>
          <w:b/>
        </w:rPr>
        <w:t xml:space="preserve">Abstract (EN): </w:t>
      </w:r>
      <w:r>
        <w:t>The accelerating rollout of large-scale wind and photovoltaic solar (LSWS; &gt;1 MW) projects raises key questions about how to balance the indirect impacts from renewable energy expansion with biodiversity conservation. In the United States, biodiversity conservation is, in part, operationalized through State Wildlife Action Plans (SWAPs), yet the extent to which these plans anticipate and guide LSWS development remains unclear. Using a keyword-assisted qualitative content analysis, we evaluate how LSWS-related threats and conservation opportunities are represented in SWAPs. Further, we use a GIS-based overlay analysis to quantify overlap between spatially explicit conservation priorities (‘Conservation Opportunity Areas’ or COAs) and areas indirectly impacted by current and projected LSWS buildout. To capture potential indirect impacts from LSWS, we apply technology-specific and project-level buffers and assess spatial overlap with SWAP-designated COAs under two land-use scenarios. We find misalignment between conservation opportunities identified in SWAPs and the trajectory of LSWS buildout. Across SWAPs, 80% identify at least one LSWS-related biodiversity threat, but 17 plans identify no LSWS-related conservation opportunity. The most common conservation opportunity identified in SWAPs is the need for additional research. Spatial analyses reveal that areas indirectly impacted by LSWS may expand rapidly, reaching more than 440,000 km 2 by 2045. Land-cover analyses show that LSWS–COA overlap occurs primarily in natural habitat and agricultural lands. States with the highest projected overlap, including Iowa, Michigan, and Montana identify few actionable conservation opportunities. These findings stress the necessity of early, coordinated LSWS planning to align LSWS and biodiversity conservation aims.</w:t>
      </w:r>
    </w:p>
    <w:p>
      <w:pPr>
        <w:spacing w:before="120" w:after="120"/>
      </w:pPr>
      <w:r>
        <w:rPr>
          <w:sz w:val="18"/>
        </w:rPr>
        <w:t>——————————————————————————————————————————————————————————————————————</w:t>
      </w:r>
    </w:p>
    <w:p>
      <w:pPr>
        <w:spacing w:before="160" w:after="40" w:line="240" w:lineRule="auto"/>
      </w:pPr>
      <w:r>
        <w:rPr>
          <w:b/>
        </w:rPr>
        <w:t xml:space="preserve">[6] </w:t>
      </w:r>
      <w:hyperlink r:id="rId459">
        <w:r>
          <w:rPr>
            <w:color w:val="1155CC"/>
            <w:u w:val="single"/>
          </w:rPr>
          <w:t>平衡气候目标和价格稳定：南非碳税案例</w:t>
        </w:r>
      </w:hyperlink>
    </w:p>
    <w:p>
      <w:pPr>
        <w:spacing w:before="0" w:after="80"/>
      </w:pPr>
      <w:r>
        <w:rPr>
          <w:i/>
          <w:sz w:val="20"/>
        </w:rPr>
        <w:t>EN: Balancing climate ambition and price stability: The case of South Africa’s carbon tax</w:t>
      </w:r>
    </w:p>
    <w:p>
      <w:pPr>
        <w:spacing w:before="0" w:after="120"/>
      </w:pPr>
      <w:r>
        <w:rPr>
          <w:b/>
        </w:rPr>
        <w:t xml:space="preserve">Source: </w:t>
      </w:r>
      <w:r>
        <w:t>ScienceDirect Publication: Energy Policy</w:t>
      </w:r>
      <w:r>
        <w:t xml:space="preserve">    </w:t>
      </w:r>
      <w:r>
        <w:rPr>
          <w:b/>
        </w:rPr>
        <w:t xml:space="preserve">Pub date: </w:t>
      </w:r>
      <w:r>
        <w:t>2026-07-17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460">
        <w:r>
          <w:rPr>
            <w:color w:val="1155CC"/>
            <w:u w:val="single"/>
          </w:rPr>
          <w:t>在环境条件下高速率电光化学烷烃转化为异醇</w:t>
        </w:r>
      </w:hyperlink>
    </w:p>
    <w:p>
      <w:pPr>
        <w:spacing w:before="0" w:after="80"/>
      </w:pPr>
      <w:r>
        <w:rPr>
          <w:i/>
          <w:sz w:val="20"/>
        </w:rPr>
        <w:t>EN: High-rate electro-photochemical alkane conversion to isoalcohols under ambient conditions</w:t>
      </w:r>
    </w:p>
    <w:p>
      <w:pPr>
        <w:spacing w:before="0" w:after="120"/>
      </w:pPr>
      <w:r>
        <w:rPr>
          <w:b/>
        </w:rPr>
        <w:t xml:space="preserve">Source: </w:t>
      </w:r>
      <w:r>
        <w:t>Joule</w:t>
      </w:r>
      <w:r>
        <w:t xml:space="preserve">    </w:t>
      </w:r>
      <w:r>
        <w:rPr>
          <w:b/>
        </w:rPr>
        <w:t xml:space="preserve">Pub date: </w:t>
      </w:r>
      <w:r>
        <w:t>2026-07-17 00:00:00+00:00</w:t>
      </w:r>
      <w:r>
        <w:t xml:space="preserve">    </w:t>
      </w:r>
      <w:r>
        <w:rPr>
          <w:b/>
        </w:rPr>
        <w:t xml:space="preserve">DOI: </w:t>
      </w:r>
      <w:hyperlink r:id="rId461">
        <w:r>
          <w:rPr>
            <w:color w:val="1155CC"/>
            <w:u w:val="single"/>
          </w:rPr>
          <w:t>10.1016/j.joule.2026.102586</w:t>
        </w:r>
      </w:hyperlink>
    </w:p>
    <w:p>
      <w:pPr>
        <w:spacing w:before="0" w:after="120"/>
      </w:pPr>
      <w:r>
        <w:rPr>
          <w:b/>
        </w:rPr>
        <w:t xml:space="preserve">Notes: </w:t>
      </w:r>
      <w:r>
        <w:t>abstract_source=rss_cell</w:t>
      </w:r>
    </w:p>
    <w:p>
      <w:pPr>
        <w:spacing w:before="0" w:after="80" w:lineRule="auto" w:line="276"/>
      </w:pPr>
      <w:r>
        <w:rPr>
          <w:b/>
        </w:rPr>
        <w:t xml:space="preserve">摘要（ZH）: </w:t>
      </w:r>
      <w:r>
        <w:t>工业异丙醇合成目前依赖于能源和碳密集型高温高压工艺。在这里，作者提出了一种环境条件级联电光化学系统，该系统采用溴化物介体有效地将丙烷转化为高价值异丙醇，为化学制造脱碳提供了一条可持续的途径。</w:t>
      </w:r>
    </w:p>
    <w:p>
      <w:pPr>
        <w:spacing w:before="0" w:after="200" w:lineRule="auto" w:line="276"/>
      </w:pPr>
      <w:r>
        <w:rPr>
          <w:b/>
        </w:rPr>
        <w:t xml:space="preserve">Abstract (EN): </w:t>
      </w:r>
      <w:r>
        <w:t>Industrial isopropanol synthesis currently relies on energy- and carbon-intensive high-temperature, high-pressure processes. Here, the authors present an ambient-condition cascade electro-photochemical system that employs a bromide mediator to efficiently convert propane into high-value isopropanol, offering a sustainable pathway toward decarbonizing chemical manufacturing.</w:t>
      </w:r>
    </w:p>
    <w:p>
      <w:pPr>
        <w:spacing w:before="120" w:after="120"/>
      </w:pPr>
      <w:r>
        <w:rPr>
          <w:sz w:val="18"/>
        </w:rPr>
        <w:t>——————————————————————————————————————————————————————————————————————</w:t>
      </w:r>
    </w:p>
    <w:p>
      <w:pPr>
        <w:spacing w:before="160" w:after="40" w:line="240" w:lineRule="auto"/>
      </w:pPr>
      <w:r>
        <w:rPr>
          <w:b/>
        </w:rPr>
        <w:t xml:space="preserve">[8] </w:t>
      </w:r>
      <w:hyperlink r:id="rId462">
        <w:r>
          <w:rPr>
            <w:color w:val="1155CC"/>
            <w:u w:val="single"/>
          </w:rPr>
          <w:t>用于预测每日 PM2.5 浓度以响应减排的深度学习模型</w:t>
        </w:r>
      </w:hyperlink>
    </w:p>
    <w:p>
      <w:pPr>
        <w:spacing w:before="0" w:after="80"/>
      </w:pPr>
      <w:r>
        <w:rPr>
          <w:i/>
          <w:sz w:val="20"/>
        </w:rPr>
        <w:t>EN: A deep learning model for predicting daily PM2.5 concentration in response to emission reduction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463">
        <w:r>
          <w:rPr>
            <w:color w:val="1155CC"/>
            <w:u w:val="single"/>
          </w:rPr>
          <w:t>10.1126/sciadv.aef5759</w:t>
        </w:r>
      </w:hyperlink>
    </w:p>
    <w:p>
      <w:pPr>
        <w:spacing w:before="0" w:after="120"/>
      </w:pPr>
      <w:r>
        <w:rPr>
          <w:b/>
        </w:rPr>
        <w:t xml:space="preserve">Notes: </w:t>
      </w:r>
      <w:r>
        <w:t>abstract_source=crossref</w:t>
      </w:r>
    </w:p>
    <w:p>
      <w:pPr>
        <w:spacing w:before="0" w:after="80" w:lineRule="auto" w:line="276"/>
      </w:pPr>
      <w:r>
        <w:rPr>
          <w:b/>
        </w:rPr>
        <w:t xml:space="preserve">摘要（ZH）: </w:t>
      </w:r>
      <w:r>
        <w:t>空气污染仍然是全球主要的健康威胁，细颗粒物 (PM</w:t>
      </w:r>
      <w:r>
        <w:t xml:space="preserve"> </w:t>
      </w:r>
      <w:r>
        <w:t>2.5</w:t>
      </w:r>
      <w:r>
        <w:t xml:space="preserve"> </w:t>
      </w:r>
      <w:r>
        <w:t>）每年造成数百万人过早死亡。化学品传输模型 (CTM) 对于估计排放控制如何改善空气质量至关重要，但计算量较大。在这里，我们介绍 CleanAir，一个模拟日常 PM 的深度学习模型</w:t>
      </w:r>
      <w:r>
        <w:t xml:space="preserve"> </w:t>
      </w:r>
      <w:r>
        <w:t>2.5</w:t>
      </w:r>
      <w:r>
        <w:t xml:space="preserve"> </w:t>
      </w:r>
      <w:r>
        <w:t>36 公里水平分辨率下的浓度及其化学成分对减排量的响应。 CleanAir 基于残差对称三维 U-Net 架构，可以估计 365 天的 PM</w:t>
      </w:r>
      <w:r>
        <w:t xml:space="preserve"> </w:t>
      </w:r>
      <w:r>
        <w:t>2.5</w:t>
      </w:r>
      <w:r>
        <w:t xml:space="preserve"> </w:t>
      </w:r>
      <w:r>
        <w:t>在图形处理单元上 10 秒内或在中央处理单元上 160 秒内集中在中国 - 比 CTM 快三到四个数量级。 CleanAir 的结果与社区多尺度空气质量 (CMAQ) 模型的结果非常吻合</w:t>
      </w:r>
      <w:r>
        <w:t xml:space="preserve"> </w:t>
      </w:r>
      <w:r>
        <w:t>2.5</w:t>
      </w:r>
      <w:r>
        <w:t xml:space="preserve"> </w:t>
      </w:r>
      <w:r>
        <w:t>浓度和排放引起的变化。 CleanAir 根据 CMAQ 模型的 2416 种排放情景进行训练，可以很好地概括未见的气象和排放。凭借快速模拟功能，CleanAir 能够对短期排放控制措施和长期缓解途径进行广泛评估，从而做出更敏感的决策。</w:t>
      </w:r>
    </w:p>
    <w:p>
      <w:pPr>
        <w:spacing w:before="0" w:after="200" w:lineRule="auto" w:line="276"/>
      </w:pPr>
      <w:r>
        <w:rPr>
          <w:b/>
        </w:rPr>
        <w:t xml:space="preserve">Abstract (EN): </w:t>
      </w:r>
      <w:r>
        <w:t>Air pollution remains a leading global health threat, with fine particulate matters (PM</w:t>
      </w:r>
      <w:r>
        <w:t xml:space="preserve"> </w:t>
      </w:r>
      <w:r>
        <w:t>2.5</w:t>
      </w:r>
      <w:r>
        <w:t xml:space="preserve"> </w:t>
      </w:r>
      <w:r>
        <w:t>) causing millions of premature deaths annually. Chemical transport models (CTMs) are essential for estimating how emission controls improve air quality but are computationally intensive. Here, we present CleanAir, a deep learning model that simulates daily PM</w:t>
      </w:r>
      <w:r>
        <w:t xml:space="preserve"> </w:t>
      </w:r>
      <w:r>
        <w:t>2.5</w:t>
      </w:r>
      <w:r>
        <w:t xml:space="preserve"> </w:t>
      </w:r>
      <w:r>
        <w:t>concentration and its chemical composition in response to emission reductions at a 36-kilometer horizontal resolution. Built on a residual symmetric three-dimensional U-Net architecture, CleanAir can estimate 365-day PM</w:t>
      </w:r>
      <w:r>
        <w:t xml:space="preserve"> </w:t>
      </w:r>
      <w:r>
        <w:t>2.5</w:t>
      </w:r>
      <w:r>
        <w:t xml:space="preserve"> </w:t>
      </w:r>
      <w:r>
        <w:t>concentration over China within 10 seconds on a graphics processing unit or 160 seconds on a central processing unit—three to four orders of magnitude faster than CTMs. Results from CleanAir agree well with those from a Community Multiscale Air Quality (CMAQ) model for both PM</w:t>
      </w:r>
      <w:r>
        <w:t xml:space="preserve"> </w:t>
      </w:r>
      <w:r>
        <w:t>2.5</w:t>
      </w:r>
      <w:r>
        <w:t xml:space="preserve"> </w:t>
      </w:r>
      <w:r>
        <w:t>concentration and emission-induced changes. Trained on 2416 emission scenarios from the CMAQ model, CleanAir generalizes well across unseen meteorology and emissions. With fast simulation capability, CleanAir enables extensive evaluation for short-term emission control measures and long-term mitigation pathways, leading to more responsive decision-making.</w:t>
      </w:r>
    </w:p>
    <w:p>
      <w:pPr>
        <w:spacing w:before="120" w:after="120"/>
      </w:pPr>
      <w:r>
        <w:rPr>
          <w:sz w:val="18"/>
        </w:rPr>
        <w:t>——————————————————————————————————————————————————————————————————————</w:t>
      </w:r>
    </w:p>
    <w:p>
      <w:pPr>
        <w:spacing w:before="160" w:after="40" w:line="240" w:lineRule="auto"/>
      </w:pPr>
      <w:r>
        <w:rPr>
          <w:b/>
        </w:rPr>
        <w:t xml:space="preserve">[9] </w:t>
      </w:r>
      <w:hyperlink r:id="rId464">
        <w:r>
          <w:rPr>
            <w:color w:val="1155CC"/>
            <w:u w:val="single"/>
          </w:rPr>
          <w:t>太阳能驱动的二氧化碳介导的废塑料升级回收为增值合成气和碳纳米管</w:t>
        </w:r>
      </w:hyperlink>
    </w:p>
    <w:p>
      <w:pPr>
        <w:spacing w:before="0" w:after="80"/>
      </w:pPr>
      <w:r>
        <w:rPr>
          <w:i/>
          <w:sz w:val="20"/>
        </w:rPr>
        <w:t>EN: Solar‐Driven CO2‐Mediated Upcycling of Waste Plastics Into Value‐Added Syngas and Carbon Nanotubes</w:t>
      </w:r>
    </w:p>
    <w:p>
      <w:pPr>
        <w:spacing w:before="0" w:after="120"/>
      </w:pPr>
      <w:r>
        <w:rPr>
          <w:b/>
        </w:rPr>
        <w:t xml:space="preserve">Source: </w:t>
      </w:r>
      <w:r>
        <w:t>Wiley: Angewandte Chemie International Edition: Table of Contents</w:t>
      </w:r>
      <w:r>
        <w:t xml:space="preserve">    </w:t>
      </w:r>
      <w:r>
        <w:rPr>
          <w:b/>
        </w:rPr>
        <w:t xml:space="preserve">Pub date: </w:t>
      </w:r>
      <w:r>
        <w:t>2026-07-17 07:18:24+00:00</w:t>
      </w:r>
      <w:r>
        <w:t xml:space="preserve">    </w:t>
      </w:r>
      <w:r>
        <w:rPr>
          <w:b/>
        </w:rPr>
        <w:t xml:space="preserve">DOI: </w:t>
      </w:r>
      <w:hyperlink r:id="rId465">
        <w:r>
          <w:rPr>
            <w:color w:val="1155CC"/>
            <w:u w:val="single"/>
          </w:rPr>
          <w:t>10.1002/anie.2880918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塑料和二氧化碳</w:t>
      </w:r>
      <w:r>
        <w:rPr>
          <w:vertAlign w:val="subscript"/>
        </w:rPr>
        <w:t>2</w:t>
      </w:r>
      <w:r>
        <w:t>碳资源是两大主要废弃碳资源，其管理和回收利用日益受到关注。一氧化碳</w:t>
      </w:r>
      <w:r>
        <w:rPr>
          <w:vertAlign w:val="subscript"/>
        </w:rPr>
        <w:t>2</w:t>
      </w:r>
      <w:r>
        <w:t>介导的塑料升级回收是同时转化两种废物的一种有前景的策略，但它仍然面临能源需求高、效率低和对各种塑料的适用性有限的问题。在这里，我们报告了一种太阳能驱动的光热策略，可以实现高效节能的二氧化碳</w:t>
      </w:r>
      <w:r>
        <w:rPr>
          <w:vertAlign w:val="subscript"/>
        </w:rPr>
        <w:t>2</w:t>
      </w:r>
      <w:r>
        <w:t>将各种塑料（包括聚烯烃、聚酯、共聚物及其混合物）介导重整为高价值合成气和碳纳米管（CNT）。该工艺的合成气产量为 165.6 mmol g</w:t>
      </w:r>
      <w:r>
        <w:t xml:space="preserve"> </w:t>
      </w:r>
      <w:r>
        <w:t>猫</w:t>
      </w:r>
      <w:r>
        <w:t xml:space="preserve"> </w:t>
      </w:r>
      <w:r>
        <w:t>−1</w:t>
      </w:r>
      <w:r>
        <w:t xml:space="preserve"> </w:t>
      </w:r>
      <w:r>
        <w:t>小时</w:t>
      </w:r>
      <w:r>
        <w:t xml:space="preserve"> </w:t>
      </w:r>
      <w:r>
        <w:t>−1</w:t>
      </w:r>
      <w:r>
        <w:t xml:space="preserve"> </w:t>
      </w:r>
      <w:r>
        <w:t>，比传统热催化高一个数量级。在此系统内，CO</w:t>
      </w:r>
      <w:r>
        <w:rPr>
          <w:vertAlign w:val="subscript"/>
        </w:rPr>
        <w:t>2</w:t>
      </w:r>
      <w:r>
        <w:t>不仅可以作为氧化剂消耗塑料脱氢过程中释放的氢物质，从而提高效率并抑制甲烷化，而且还可以作为碳原料直接生成气态和固态产品。这项研究为复杂塑料废物和温室气体的价值提供了强大的解决方案，并为太阳能驱动的化学转化向循环碳经济提供了新的见解，同时进一步优化了 H</w:t>
      </w:r>
    </w:p>
    <w:p>
      <w:pPr>
        <w:spacing w:before="0" w:after="200" w:lineRule="auto" w:line="276"/>
      </w:pPr>
      <w:r>
        <w:rPr>
          <w:b/>
        </w:rPr>
        <w:t xml:space="preserve">Abstract (EN): </w:t>
      </w:r>
      <w:r>
        <w:t>Plastics and CO</w:t>
      </w:r>
      <w:r>
        <w:rPr>
          <w:vertAlign w:val="subscript"/>
        </w:rPr>
        <w:t>2</w:t>
      </w:r>
      <w:r>
        <w:t>are two major waste carbon resources, and their management and recycling are attracting increasing attention. CO</w:t>
      </w:r>
      <w:r>
        <w:rPr>
          <w:vertAlign w:val="subscript"/>
        </w:rPr>
        <w:t>2</w:t>
      </w:r>
      <w:r>
        <w:t>‐mediated plastic upcycling represents a promising strategy for the simultaneous transformation of both wastes, yet it still suffers from high energy demand, low efficiency, and limited applicability to diverse plastics. Here, we report a solar‐driven photothermal strategy that enables the efficient and energy‐saving CO</w:t>
      </w:r>
      <w:r>
        <w:rPr>
          <w:vertAlign w:val="subscript"/>
        </w:rPr>
        <w:t>2</w:t>
      </w:r>
      <w:r>
        <w:t>‐mediated reforming of various plastics, including polyolefins, polyesters, copolymers, and their mixtures, into high‐value syngas and carbon nanotubes (CNTs). The process achieves a syngas yield of 165.6 mmol g</w:t>
      </w:r>
      <w:r>
        <w:t xml:space="preserve"> </w:t>
      </w:r>
      <w:r>
        <w:t>cat</w:t>
      </w:r>
      <w:r>
        <w:t xml:space="preserve"> </w:t>
      </w:r>
      <w:r>
        <w:t>−1</w:t>
      </w:r>
      <w:r>
        <w:t xml:space="preserve"> </w:t>
      </w:r>
      <w:r>
        <w:t>h</w:t>
      </w:r>
      <w:r>
        <w:t xml:space="preserve"> </w:t>
      </w:r>
      <w:r>
        <w:t>−1</w:t>
      </w:r>
      <w:r>
        <w:t xml:space="preserve"> </w:t>
      </w:r>
      <w:r>
        <w:t>, an order of magnitude higher than that of conventional thermocatalysis. Within this system, CO</w:t>
      </w:r>
      <w:r>
        <w:rPr>
          <w:vertAlign w:val="subscript"/>
        </w:rPr>
        <w:t>2</w:t>
      </w:r>
      <w:r>
        <w:t>acts not only as an oxidant that consumes the hydrogen species released during plastic dehydrogenation, thereby enhancing efficiency and suppressing methanation but also as a carbon feedstock that directly contributes to both gaseous and solid products. This study provides a powerful solution for the valorization of complex plastic wastes and greenhouse gases and offers new insights into solar‐driven chemical transformations toward a circular carbon economy, while further optimization of the H</w:t>
      </w:r>
      <w:r>
        <w:rPr>
          <w:vertAlign w:val="subscript"/>
        </w:rPr>
        <w:t>2</w:t>
      </w:r>
      <w:r>
        <w:t>/CO ratio may expand its compatibility with specific downstream applications.</w:t>
      </w:r>
    </w:p>
    <w:p>
      <w:pPr>
        <w:spacing w:before="120" w:after="120"/>
      </w:pPr>
      <w:r>
        <w:rPr>
          <w:sz w:val="18"/>
        </w:rPr>
        <w:t>——————————————————————————————————————————————————————————————————————</w:t>
      </w:r>
    </w:p>
    <w:p>
      <w:pPr>
        <w:spacing w:before="160" w:after="40" w:line="240" w:lineRule="auto"/>
      </w:pPr>
      <w:r>
        <w:rPr>
          <w:b/>
        </w:rPr>
        <w:t xml:space="preserve">[10] </w:t>
      </w:r>
      <w:hyperlink r:id="rId466">
        <w:r>
          <w:rPr>
            <w:color w:val="1155CC"/>
            <w:u w:val="single"/>
          </w:rPr>
          <w:t>采用固定床流动反应工艺直接 CO2 合成 N-甲基苯胺的工程串联催化</w:t>
        </w:r>
      </w:hyperlink>
    </w:p>
    <w:p>
      <w:pPr>
        <w:spacing w:before="0" w:after="80"/>
      </w:pPr>
      <w:r>
        <w:rPr>
          <w:i/>
          <w:sz w:val="20"/>
        </w:rPr>
        <w:t>EN: Engineering Tandem Catalysis for Direct CO2‐Enabled N‐Methylaniline Synthesis With a Fixed‐Bed Flow Reaction Process</w:t>
      </w:r>
    </w:p>
    <w:p>
      <w:pPr>
        <w:spacing w:before="0" w:after="120"/>
      </w:pPr>
      <w:r>
        <w:rPr>
          <w:b/>
        </w:rPr>
        <w:t xml:space="preserve">Source: </w:t>
      </w:r>
      <w:r>
        <w:t>Wiley: Angewandte Chemie International Edition: Table of Contents</w:t>
      </w:r>
      <w:r>
        <w:t xml:space="preserve">    </w:t>
      </w:r>
      <w:r>
        <w:rPr>
          <w:b/>
        </w:rPr>
        <w:t xml:space="preserve">Pub date: </w:t>
      </w:r>
      <w:r>
        <w:t>2026-07-17 07:21:54+00:00</w:t>
      </w:r>
      <w:r>
        <w:t xml:space="preserve">    </w:t>
      </w:r>
      <w:r>
        <w:rPr>
          <w:b/>
        </w:rPr>
        <w:t xml:space="preserve">DOI: </w:t>
      </w:r>
      <w:hyperlink r:id="rId467">
        <w:r>
          <w:rPr>
            <w:color w:val="1155CC"/>
            <w:u w:val="single"/>
          </w:rPr>
          <w:t>10.1002/anie.3089595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连续固定床反应器内的集成串联催化代表了一种有前途但尚未充分探索的通过 CO 进行高级胺合成过程强化的策略</w:t>
      </w:r>
      <w:r>
        <w:rPr>
          <w:vertAlign w:val="subscript"/>
        </w:rPr>
        <w:t>2</w:t>
      </w:r>
      <w:r>
        <w:t>利用率。在这里，我们演示硝基苯和CO的直接转化</w:t>
      </w:r>
      <w:r>
        <w:rPr>
          <w:vertAlign w:val="subscript"/>
        </w:rPr>
        <w:t>2</w:t>
      </w:r>
      <w:r>
        <w:t>与 H</w:t>
      </w:r>
      <w:r>
        <w:rPr>
          <w:vertAlign w:val="subscript"/>
        </w:rPr>
        <w:t>2</w:t>
      </w:r>
      <w:r>
        <w:t>在 CuZnZrO 上的连续固定床反应器中转化为 N-甲基苯胺</w:t>
      </w:r>
      <w:r>
        <w:t xml:space="preserve"> </w:t>
      </w:r>
      <w:r>
        <w:t>x</w:t>
      </w:r>
      <w:r>
        <w:t xml:space="preserve"> </w:t>
      </w:r>
      <w:r>
        <w:t>催化剂，实现99%的转化率和95%的选择性，稳定运行超过100小时。机理研究确定了 Cu-ZnO 界面的 Cu 形式</w:t>
      </w:r>
      <w:r>
        <w:t xml:space="preserve"> </w:t>
      </w:r>
      <w:r>
        <w:t>+</w:t>
      </w:r>
      <w:r>
        <w:t xml:space="preserve"> </w:t>
      </w:r>
      <w:r>
        <w:t>‐O</w:t>
      </w:r>
      <w:r>
        <w:t xml:space="preserve"> </w:t>
      </w:r>
      <w:r>
        <w:t>v</w:t>
      </w:r>
      <w:r>
        <w:t xml:space="preserve"> </w:t>
      </w:r>
      <w:r>
        <w:t>－锌</w:t>
      </w:r>
      <w:r>
        <w:t xml:space="preserve"> </w:t>
      </w:r>
      <w:r>
        <w:t>2-δ</w:t>
      </w:r>
      <w:r>
        <w:t xml:space="preserve"> </w:t>
      </w:r>
      <w:r>
        <w:t>作为CO的活性位点</w:t>
      </w:r>
      <w:r>
        <w:rPr>
          <w:vertAlign w:val="subscript"/>
        </w:rPr>
        <w:t>2</w:t>
      </w:r>
      <w:r>
        <w:t>加氢生成关键中间体甲醛（CH</w:t>
      </w:r>
      <w:r>
        <w:rPr>
          <w:vertAlign w:val="subscript"/>
        </w:rPr>
        <w:t>2</w:t>
      </w:r>
      <w:r>
        <w:t>O*)，耦合 CO</w:t>
      </w:r>
      <w:r>
        <w:rPr>
          <w:vertAlign w:val="subscript"/>
        </w:rPr>
        <w:t>2</w:t>
      </w:r>
      <w:r>
        <w:t>硝基苯加氢衍生的苯胺的加氢和甲基化动力学。串联配置提供了固有的热管理优势，每摩尔硝基苯回收 0.341 kg 蒸汽（1.5 MPa，201°C），远远优于传统三步路线的甲醇消耗特性。这项工作强调串联催化作为一种​​有效的反应器级策略，将原子级活性位点工程与动力学协同作用联系起来，推进连续流二氧化碳</w:t>
      </w:r>
    </w:p>
    <w:p>
      <w:pPr>
        <w:spacing w:before="0" w:after="200" w:lineRule="auto" w:line="276"/>
      </w:pPr>
      <w:r>
        <w:rPr>
          <w:b/>
        </w:rPr>
        <w:t xml:space="preserve">Abstract (EN): </w:t>
      </w:r>
      <w:r>
        <w:t>Integrated tandem catalysis within a continuous fixed‐bed reactor represents a promising yet underexplored strategy for process intensification in advanced amine synthesis via CO</w:t>
      </w:r>
      <w:r>
        <w:rPr>
          <w:vertAlign w:val="subscript"/>
        </w:rPr>
        <w:t>2</w:t>
      </w:r>
      <w:r>
        <w:t>utilization. Here, we demonstrate the direct conversion of nitrobenzene and CO</w:t>
      </w:r>
      <w:r>
        <w:rPr>
          <w:vertAlign w:val="subscript"/>
        </w:rPr>
        <w:t>2</w:t>
      </w:r>
      <w:r>
        <w:t>with H</w:t>
      </w:r>
      <w:r>
        <w:rPr>
          <w:vertAlign w:val="subscript"/>
        </w:rPr>
        <w:t>2</w:t>
      </w:r>
      <w:r>
        <w:t>into N‐methylaniline in a continuous fixed‐bed reactor over a CuZnZrO</w:t>
      </w:r>
      <w:r>
        <w:t xml:space="preserve"> </w:t>
      </w:r>
      <w:r>
        <w:t>x</w:t>
      </w:r>
      <w:r>
        <w:t xml:space="preserve"> </w:t>
      </w:r>
      <w:r>
        <w:t>catalyst, achieving 99% conversion and 95% selectivity with stable operation exceeding 100 h. Mechanistic studies identify Cu‐ZnO interfaces in the form of Cu</w:t>
      </w:r>
      <w:r>
        <w:t xml:space="preserve"> </w:t>
      </w:r>
      <w:r>
        <w:t>+</w:t>
      </w:r>
      <w:r>
        <w:t xml:space="preserve"> </w:t>
      </w:r>
      <w:r>
        <w:t>‐O</w:t>
      </w:r>
      <w:r>
        <w:t xml:space="preserve"> </w:t>
      </w:r>
      <w:r>
        <w:t>v</w:t>
      </w:r>
      <w:r>
        <w:t xml:space="preserve"> </w:t>
      </w:r>
      <w:r>
        <w:t>‐Zn</w:t>
      </w:r>
      <w:r>
        <w:t xml:space="preserve"> </w:t>
      </w:r>
      <w:r>
        <w:t>2‐δ</w:t>
      </w:r>
      <w:r>
        <w:t xml:space="preserve"> </w:t>
      </w:r>
      <w:r>
        <w:t>serve as active sites for CO</w:t>
      </w:r>
      <w:r>
        <w:rPr>
          <w:vertAlign w:val="subscript"/>
        </w:rPr>
        <w:t>2</w:t>
      </w:r>
      <w:r>
        <w:t>hydrogenation to key intermediate formaldehyde (CH</w:t>
      </w:r>
      <w:r>
        <w:rPr>
          <w:vertAlign w:val="subscript"/>
        </w:rPr>
        <w:t>2</w:t>
      </w:r>
      <w:r>
        <w:t>O*), which couples the CO</w:t>
      </w:r>
      <w:r>
        <w:rPr>
          <w:vertAlign w:val="subscript"/>
        </w:rPr>
        <w:t>2</w:t>
      </w:r>
      <w:r>
        <w:t>hydrogenation and methylation of aniline derived from nitrobenzene hydrogenation in kinetics. The tandem configuration provides intrinsic heat‐management benefits, recovering 0.341 kg of steam (1.5 MPa, 201°C) per mole of nitrobenzene—far superior to the methanol consumption characteristic of the conventional three‐step route. This work highlights tandem catalysis as an effective reactor‐level strategy that bridges atomic‐scale active‐site engineering with kinetic synergies, advancing continuous‐flow CO</w:t>
      </w:r>
      <w:r>
        <w:rPr>
          <w:vertAlign w:val="subscript"/>
        </w:rPr>
        <w:t>2</w:t>
      </w:r>
      <w:r>
        <w:t>valorization toward higher‐value amines.</w:t>
      </w:r>
    </w:p>
    <w:p>
      <w:pPr>
        <w:spacing w:before="120" w:after="120"/>
      </w:pPr>
      <w:r>
        <w:rPr>
          <w:sz w:val="18"/>
        </w:rPr>
        <w:t>——————————————————————————————————————————————————————————————————————</w:t>
      </w:r>
    </w:p>
    <w:p>
      <w:pPr>
        <w:spacing w:before="160" w:after="40" w:line="240" w:lineRule="auto"/>
      </w:pPr>
      <w:r>
        <w:rPr>
          <w:b/>
        </w:rPr>
        <w:t xml:space="preserve">[11] </w:t>
      </w:r>
      <w:hyperlink r:id="rId351">
        <w:r>
          <w:rPr>
            <w:color w:val="1155CC"/>
            <w:u w:val="single"/>
          </w:rPr>
          <w:t>具有协调线路组和罐车效应的电-氢-气一体化系统的低碳调度</w:t>
        </w:r>
      </w:hyperlink>
    </w:p>
    <w:p>
      <w:pPr>
        <w:spacing w:before="0" w:after="80"/>
      </w:pPr>
      <w:r>
        <w:rPr>
          <w:i/>
          <w:sz w:val="20"/>
        </w:rPr>
        <w:t>EN: Low-carbon scheduling for integrated electricity-hydrogen-gas systems with coordinated line-pack and tank-truck effects</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352">
        <w:r>
          <w:rPr>
            <w:color w:val="1155CC"/>
            <w:u w:val="single"/>
          </w:rPr>
          <w:t>10.1016/j.apenergy.2026.128468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468">
        <w:r>
          <w:rPr>
            <w:color w:val="1155CC"/>
            <w:u w:val="single"/>
          </w:rPr>
          <w:t>BIMP区域电网可持续能源转型的技术排名和优化组合</w:t>
        </w:r>
      </w:hyperlink>
    </w:p>
    <w:p>
      <w:pPr>
        <w:spacing w:before="0" w:after="80"/>
      </w:pPr>
      <w:r>
        <w:rPr>
          <w:i/>
          <w:sz w:val="20"/>
        </w:rPr>
        <w:t>EN: Sustainable energy transition for BIMP regional power grid with technology ranking and optimal mix</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469">
        <w:r>
          <w:rPr>
            <w:color w:val="1155CC"/>
            <w:u w:val="single"/>
          </w:rPr>
          <w:t>10.1016/j.apenergy.2026.128463</w:t>
        </w:r>
      </w:hyperlink>
    </w:p>
    <w:p>
      <w:pPr>
        <w:spacing w:before="0" w:after="120"/>
      </w:pPr>
      <w:r>
        <w:rPr>
          <w:b/>
        </w:rPr>
        <w:t xml:space="preserve">Notes: </w:t>
      </w:r>
      <w:r>
        <w:t>abstract_source=openalex</w:t>
      </w:r>
    </w:p>
    <w:p>
      <w:pPr>
        <w:spacing w:before="0" w:after="80" w:lineRule="auto" w:line="276"/>
      </w:pPr>
      <w:r>
        <w:rPr>
          <w:b/>
        </w:rPr>
        <w:t xml:space="preserve">摘要（ZH）: </w:t>
      </w:r>
      <w:r>
        <w:t>区域电力互联为实现净零排放提供了重要机遇。然而，由于利益相关者标准相互冲突，技术优先级仍然具有挑战性。本研究开发了一种集成的低排放分析平台（LEAP）和多标准决策分析（MCDA）方法，用于文莱-印度尼西亚-马来西亚-菲律宾（BIMP）地区互连电网的技术优先级排序。使用 LEAP 为 2025-2050 年期间的六个区域节点、五个互连和五种可再生能源（水力、太阳能光伏、风能、地热能和生物质）制定了六种情景。接下来，通过与理想解决方案的相似性进行优先顺序技术 (TOPSIS) 分析，使用 12 个敏感场景中的 11 个标准进行分析。结果表明，Hydro 表现出最平衡的概况，结合了强大的多标准得分 (0.565) 和较低的排名变异性（平均绝对偏差/MAD 为 0.611）和 62% 的成对优势率。太阳能光伏获得了最高的多标准得分（0.671），并在 12 种情景中的 8 种中排名第一，但其排名大幅下降（MAD = 1.222），特别是在经济优先条件下。最佳的技术组合将需要 77-85 吉瓦的可再生能源容量和 146-1510 亿美元的投资，并且每种可再生能源技术的分配相对平衡。该综合框架成功地将技术能源建模与多标准决策分析联系起来，支持使用多样化的可再生技术，而不是针对特定技术的战略。</w:t>
      </w:r>
    </w:p>
    <w:p>
      <w:pPr>
        <w:spacing w:before="0" w:after="200" w:lineRule="auto" w:line="276"/>
      </w:pPr>
      <w:r>
        <w:rPr>
          <w:b/>
        </w:rPr>
        <w:t xml:space="preserve">Abstract (EN): </w:t>
      </w:r>
      <w:r>
        <w:t>Regional power interconnection presents an important opportunity for reaching net-zero emissions. However, technology prioritization remains challenging due to conflicting stakeholder criteria. This study develops an integrated Low Emission Analysis Platform (LEAP) and Multi Criteria Decision Analysis (MCDA) approach for technology prioritization in the interconnected grids of the Brunei-Indonesia-Malaysia-Philippines (BIMP) region. Six scenarios were developed using LEAP across six regional nodes, five interconnections and five renewable energy sources (hydro, solar PV, wind, geothermal, and biomass) for the period 2025–2050. Next, Technique for Order of Preference by Similarity to Ideal Solution (TOPSIS) analysis was performed with 11 criteria across 12 sensitivity scenarios. The results show that hydro demonstrates the most balanced profile, combining a strong multi-criteria score (0.565) with low ranking variability (mean absolute deviation/MAD of 0.611) and a 62% pairwise dominance rate. Solar PV achieves the highest multi-criteria scores (0.671) and ranks first in 8 of 12 scenarios, but its ranking drops significantly (MAD = 1.222), particularly under economic priority conditions. Optimal technology portfolios will require 77–85 GW of renewable capacity and USD 146–151 billion in investment, with a relatively balanced allocation per renewable technology. The integrated framework successfully bridges technical energy modelling with multi-criteria decision analysis, supporting the use of diversified renewable technologies rather than technology-specific strategies for regional net-zero achievement.</w:t>
      </w:r>
    </w:p>
    <w:p>
      <w:pPr>
        <w:spacing w:before="120" w:after="120"/>
      </w:pPr>
      <w:r>
        <w:rPr>
          <w:sz w:val="18"/>
        </w:rPr>
        <w:t>——————————————————————————————————————————————————————————————————————</w:t>
      </w:r>
    </w:p>
    <w:p>
      <w:pPr>
        <w:spacing w:before="160" w:after="40" w:line="240" w:lineRule="auto"/>
      </w:pPr>
      <w:r>
        <w:rPr>
          <w:b/>
        </w:rPr>
        <w:t xml:space="preserve">[13] </w:t>
      </w:r>
      <w:hyperlink r:id="rId470">
        <w:r>
          <w:rPr>
            <w:color w:val="1155CC"/>
            <w:u w:val="single"/>
          </w:rPr>
          <w:t>技术指标能够及早发现脱碳故障</w:t>
        </w:r>
      </w:hyperlink>
    </w:p>
    <w:p>
      <w:pPr>
        <w:spacing w:before="0" w:after="80"/>
      </w:pPr>
      <w:r>
        <w:rPr>
          <w:i/>
          <w:sz w:val="20"/>
        </w:rPr>
        <w:t>EN: Technology indicators enable early detection of decarbonization failures</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471">
        <w:r>
          <w:rPr>
            <w:color w:val="1155CC"/>
            <w:u w:val="single"/>
          </w:rPr>
          <w:t>10.1016/j.apenergy.2026.128448</w:t>
        </w:r>
      </w:hyperlink>
    </w:p>
    <w:p>
      <w:pPr>
        <w:spacing w:before="0" w:after="120"/>
      </w:pPr>
      <w:r>
        <w:rPr>
          <w:b/>
        </w:rPr>
        <w:t xml:space="preserve">Notes: </w:t>
      </w:r>
      <w:r>
        <w:t>abstract_source=openalex</w:t>
      </w:r>
    </w:p>
    <w:p>
      <w:pPr>
        <w:spacing w:before="0" w:after="80" w:lineRule="auto" w:line="276"/>
      </w:pPr>
      <w:r>
        <w:rPr>
          <w:b/>
        </w:rPr>
        <w:t xml:space="preserve">摘要（ZH）: </w:t>
      </w:r>
      <w:r>
        <w:t>评估脱碳进展传统上仅依赖于跟踪碳排放。仅关注碳排放很难捕捉复杂的不确定性，这些不确定性可能导致无法识别脱碳失败的早期预警信号。在这里，我们设计并测试了一个扩展的指标系统，将能源技术部署与排放相结合，以提高对长期脱碳失败的早期发现。使用美国最先进的多部门模型（GCAM-USA，N=2,304）模拟的大型情景集合，我们证明仅依靠 2035 年的排放指标不足以巧妙地预测 2050 年的脱碳失败。相反，将排放与一系列技术指标相结合可以大大提高预测技能。这种改善是由技术进步指标提供的额外信息推动的，特别是有关长期缓解的潜在加速的信息。例如，早期技术部署指标可以为快速部署二氧化碳去除技术、快速扩大可再生技术或加速淘汰化石燃料的未来潜力提供见解。我们的研究证明了跟踪技术指标以更好地监测脱碳进展的价值，并为制定适应性策略以提高脱碳成功的机会提供了见解。</w:t>
      </w:r>
    </w:p>
    <w:p>
      <w:pPr>
        <w:spacing w:before="0" w:after="200" w:lineRule="auto" w:line="276"/>
      </w:pPr>
      <w:r>
        <w:rPr>
          <w:b/>
        </w:rPr>
        <w:t xml:space="preserve">Abstract (EN): </w:t>
      </w:r>
      <w:r>
        <w:t>Assessing decarbonization progress traditionally relies solely on tracking carbon emissions. Focusing on carbon emissions alone struggles to capture the complex uncertainties that may result in failing to identify early warning signals of decarbonization failures. Here we design and test an expanded indicator system that combines energy technology deployment with emissions to improve the early detection of long-term decarbonization failures. Using a large scenario ensemble simulated by a state-of-the-art multi-sectoral model for the US (GCAM-USA, N=2,304), we demonstrate that relying solely on the emissions indicator through 2035 is not adequate to skillfully predict decarbonization failures in 2050. In contrast, combining emissions with a range of technology indicators can substantially improve the predictive skill. This improvement is driven by the additional information provided by technological progress indicators, especially about the potential acceleration of long-term mitigation. For instance, indicators of technology deployment in early time periods can offer insights for the future potential of rapid deployment of carbon dioxide removal technologies, quick scale-up of renewable technologies, or accelerated phase-out of fossil fuels. Our study demonstrates the value of tracking technology indicators to better monitor decarbonization progress and offers insights for developing adaptive strategies to enhance the chances of decarbonization success.</w:t>
      </w:r>
    </w:p>
    <w:p>
      <w:pPr>
        <w:spacing w:before="120" w:after="120"/>
      </w:pPr>
      <w:r>
        <w:rPr>
          <w:sz w:val="18"/>
        </w:rPr>
        <w:t>——————————————————————————————————————————————————————————————————————</w:t>
      </w:r>
    </w:p>
    <w:p>
      <w:pPr>
        <w:spacing w:before="160" w:after="40" w:line="240" w:lineRule="auto"/>
      </w:pPr>
      <w:r>
        <w:rPr>
          <w:b/>
        </w:rPr>
        <w:t xml:space="preserve">[14] </w:t>
      </w:r>
      <w:hyperlink r:id="rId472">
        <w:r>
          <w:rPr>
            <w:color w:val="1155CC"/>
            <w:u w:val="single"/>
          </w:rPr>
          <w:t>海湾合作委员会的气候与电力关系：气温上升如何推动海湾国家的电力需求</w:t>
        </w:r>
      </w:hyperlink>
    </w:p>
    <w:p>
      <w:pPr>
        <w:spacing w:before="0" w:after="80"/>
      </w:pPr>
      <w:r>
        <w:rPr>
          <w:i/>
          <w:sz w:val="20"/>
        </w:rPr>
        <w:t>EN: The climate-electricity nexus in the GCC: How rising temperatures drive electricity demand across Gulf states</w:t>
      </w:r>
    </w:p>
    <w:p>
      <w:pPr>
        <w:spacing w:before="0" w:after="120"/>
      </w:pPr>
      <w:r>
        <w:rPr>
          <w:b/>
        </w:rPr>
        <w:t xml:space="preserve">Source: </w:t>
      </w:r>
      <w:r>
        <w:t>ScienceDirect Publication: Energy Policy</w:t>
      </w:r>
      <w:r>
        <w:t xml:space="preserve">    </w:t>
      </w:r>
      <w:r>
        <w:rPr>
          <w:b/>
        </w:rPr>
        <w:t xml:space="preserve">Pub date: </w:t>
      </w:r>
      <w:r>
        <w:t>2026-07-18 00:00:00+00:00</w:t>
      </w:r>
      <w:r>
        <w:t xml:space="preserve">    </w:t>
      </w:r>
      <w:r>
        <w:rPr>
          <w:b/>
        </w:rPr>
        <w:t xml:space="preserve">DOI: </w:t>
      </w:r>
      <w:hyperlink r:id="rId473">
        <w:r>
          <w:rPr>
            <w:color w:val="1155CC"/>
            <w:u w:val="single"/>
          </w:rPr>
          <w:t>10.1016/j.enpol.2026.115490</w:t>
        </w:r>
      </w:hyperlink>
    </w:p>
    <w:p>
      <w:pPr>
        <w:spacing w:before="0" w:after="120"/>
      </w:pPr>
      <w:r>
        <w:rPr>
          <w:b/>
        </w:rPr>
        <w:t xml:space="preserve">Notes: </w:t>
      </w:r>
      <w:r>
        <w:t>abstract_source=openalex</w:t>
      </w:r>
    </w:p>
    <w:p>
      <w:pPr>
        <w:spacing w:before="0" w:after="80" w:lineRule="auto" w:line="276"/>
      </w:pPr>
      <w:r>
        <w:rPr>
          <w:b/>
        </w:rPr>
        <w:t xml:space="preserve">摘要（ZH）: </w:t>
      </w:r>
      <w:r>
        <w:t>海湾合作委员会地区的升温速度为每十年 0.49°C，几乎是全球平均水平的三倍，这给已经面临极端冷却需求的电力系统带来了越来越大的压力。本研究利用协整技术估计了海湾合作委员会国家 1990 年至 2022 年期间特定国家电力需求的收入、价格和温度弹性。我们发现，年平均气温每升高 1°C，年用电量就会增加 3.1%（巴林）至 5.8%（沙特阿拉伯），相当于每年增加 32.2 TWh 的地区需求和 16.8 Mt CO 2 排放量。排放量估算基于 2021 年特定国家的碳强度，反映了每个国家当前的发电燃料结构（IEA，2024 年；Ember，2023 年）。额外发电每年将花费约 19 亿美元。收入弹性范围为 0.25 至 1.37，价格弹性范围为 -0.08 至 -0.61，揭示了由于家电饱和度、补贴结构和关税改革历史的差异而导致的巨大的跨国异质性。分解分析证实，气温以及人口和收入增长是电力消费的首要驱动因素，而对沙特阿拉伯 2016-2018 年定价改革的需求反应表明，精心设计的电价调整可以部分抵消气候驱动的需求增长。研究结果强调了提高建筑物能效、先进冷却技术以及持续定价改革以将电力需求与气温上升脱钩以支持全球变暖的紧迫性。</w:t>
      </w:r>
    </w:p>
    <w:p>
      <w:pPr>
        <w:spacing w:before="0" w:after="200" w:lineRule="auto" w:line="276"/>
      </w:pPr>
      <w:r>
        <w:rPr>
          <w:b/>
        </w:rPr>
        <w:t xml:space="preserve">Abstract (EN): </w:t>
      </w:r>
      <w:r>
        <w:t>The GCC region is warming at 0.49°C per decade, nearly three times the global average, placing mounting pressure on electricity systems that already face extreme cooling demand. This study estimates country-specific income, price, and temperature elasticities of electricity demand for GCC countries over 1990-2022, using cointegration techniques. We find that a 1°C increase in annual average temperature would raise annual electricity consumption by 3.1% (Bahrain) to 5.8% (Saudi Arabia), translating into 32.2 TWh of additional regional demand, and 16.8 Mt of CO 2 emissions annually. The emission estimates are based on 2021 country-specific carbon intensities, reflecting each country's prevailing generation fuel mix (IEA, 2024; Ember, 2023). The additional generation would cost approximately $1.9 billion per year. Income elasticities range from 0.25 to 1.37, and price elasticities range from −0.08 to −0.61, revealing substantial cross-country heterogeneity driven by differences in appliance saturation, subsidy structures, and tariff reform histories. Decomposition analysis confirms that temperature, alongside population and income growth, is a first-order driver of electricity consumption, while the demand response to Saudi Arabia's 2016–2018 pricing reforms demonstrates that well-designed tariff adjustments can partially offset climate-driven demand growth. The findings highlight the urgency of improvements in the energy efficiency of buildings, advanced cooling technologies, and continued pricing reforms to decouple electricity demand from rising temperatures in support of GCC net-zero aspirations.</w:t>
      </w:r>
    </w:p>
    <w:p>
      <w:pPr>
        <w:spacing w:before="120" w:after="120"/>
      </w:pPr>
      <w:r>
        <w:rPr>
          <w:sz w:val="18"/>
        </w:rPr>
        <w:t>——————————————————————————————————————————————————————————————————————</w:t>
      </w:r>
    </w:p>
    <w:p>
      <w:pPr>
        <w:spacing w:before="160" w:after="40" w:line="240" w:lineRule="auto"/>
      </w:pPr>
      <w:r>
        <w:rPr>
          <w:b/>
        </w:rPr>
        <w:t xml:space="preserve">[15] </w:t>
      </w:r>
      <w:hyperlink r:id="rId474">
        <w:r>
          <w:rPr>
            <w:color w:val="1155CC"/>
            <w:u w:val="single"/>
          </w:rPr>
          <w:t>房主协会供暖系统脱碳决策：基于贝叶斯学习代理的模型</w:t>
        </w:r>
      </w:hyperlink>
    </w:p>
    <w:p>
      <w:pPr>
        <w:spacing w:before="0" w:after="80"/>
      </w:pPr>
      <w:r>
        <w:rPr>
          <w:i/>
          <w:sz w:val="20"/>
        </w:rPr>
        <w:t>EN: Heating system decarbonization decisions in homeowner associations: a Bayesian learning agent-based model</w:t>
      </w:r>
    </w:p>
    <w:p>
      <w:pPr>
        <w:spacing w:before="0" w:after="120"/>
      </w:pPr>
      <w:r>
        <w:rPr>
          <w:b/>
        </w:rPr>
        <w:t xml:space="preserve">Source: </w:t>
      </w:r>
      <w:r>
        <w:t>ScienceDirect Publication: Applied Energy</w:t>
      </w:r>
      <w:r>
        <w:t xml:space="preserve">    </w:t>
      </w:r>
      <w:r>
        <w:rPr>
          <w:b/>
        </w:rPr>
        <w:t xml:space="preserve">Pub date: </w:t>
      </w:r>
      <w:r>
        <w:t>2026-07-19 00:00:00+00:00</w:t>
      </w:r>
      <w:r>
        <w:t xml:space="preserve">    </w:t>
      </w:r>
      <w:r>
        <w:rPr>
          <w:b/>
        </w:rPr>
        <w:t xml:space="preserve">DOI: </w:t>
      </w:r>
      <w:hyperlink r:id="rId475">
        <w:r>
          <w:rPr>
            <w:color w:val="1155CC"/>
            <w:u w:val="single"/>
          </w:rPr>
          <w:t>10.1016/j.apenergy.2026.128482</w:t>
        </w:r>
      </w:hyperlink>
    </w:p>
    <w:p>
      <w:pPr>
        <w:spacing w:before="0" w:after="120"/>
      </w:pPr>
      <w:r>
        <w:rPr>
          <w:b/>
        </w:rPr>
        <w:t xml:space="preserve">Notes: </w:t>
      </w:r>
      <w:r>
        <w:t>abstract_source=openalex</w:t>
      </w:r>
    </w:p>
    <w:p>
      <w:pPr>
        <w:spacing w:before="0" w:after="80" w:lineRule="auto" w:line="276"/>
      </w:pPr>
      <w:r>
        <w:rPr>
          <w:b/>
        </w:rPr>
        <w:t xml:space="preserve">摘要（ZH）: </w:t>
      </w:r>
      <w:r>
        <w:t>多户公寓大楼的共享供暖系统脱碳需要在不确定的情况下进行集体决策，其中异构家庭在多次会议上反复评估该提案，然后才能获得绝大多数通过。本文开发了一种基于主体的程式化的房主协会（HOA / VvE）重复投票框架，其中使用潜在类离散选择估计进行参数化的家庭通过启发式信号构建的贝叶斯更新来更新有关供暖系统属性的信念。该框架通过荷兰 VvE 设置进行演示，将基线重复投票过程与董事会介导的信息架构进行比较，该架构结合了受信任的信息中心、强化的信息共享、较低的中心不确定性和中央网络位置。在 100 次蒙特卡罗运行中，董事会介导的设置在 100 次运行中的 70 次中达到了 70% 的绝对多数阈值，而在基线中为 100 次运行中的 50 次，平均认可度从 63.2% 上升到 69.0%。组件分解表明，效果是由四个板组件的联合操作产生的，而不是由任何单独的组件产生的。基于条件转换概率的投票转换诊断表明，以董事会为中介的架构使选票在两个方向上都更具粘性，反对者转换较少，支持者叛逃较少，而支持者叛逃的减少则以两者中较大者为显着。因此，该架构通过减少决策波动性和强大的支持者稳定组件来提高成就，而不是通过沟通</w:t>
      </w:r>
    </w:p>
    <w:p>
      <w:pPr>
        <w:spacing w:before="0" w:after="200" w:lineRule="auto" w:line="276"/>
      </w:pPr>
      <w:r>
        <w:rPr>
          <w:b/>
        </w:rPr>
        <w:t xml:space="preserve">Abstract (EN): </w:t>
      </w:r>
      <w:r>
        <w:t>Decarbonizing shared heating systems in multi-owned apartment buildings requires collective decisions under uncertainty, in which heterogeneous households repeatedly evaluate the proposal across multiple meetings before a supermajority can pass. This paper develops a stylized agent-based framework of repeated voting in homeowner associations (HOAs / VvEs), in which households parameterized using latent-class discrete-choice estimates update beliefs about heating-system attributes through Bayesian updating with heuristic signal construction. The framework is demonstrated through a Dutch VvE setting comparing a baseline repeated-voting process with a board-mediated information architecture that combines trusted information hubs, intensified information sharing, lower hub uncertainty, and central network position. Across 100 Monte Carlo runs, the board-mediated setting reaches the 70% supermajority threshold in 70 of 100 runs versus 50 of 100 in the baseline, with mean approval rising from 63.2% to 69.0%. A component decomposition shows that the effect arises from the joint operation of the four board components rather than from any individual component. A vote-switching diagnostic based on conditional transition probabilities shows that the board-mediated architecture makes votes stickier in both directions, opponents convert less and supporters defect less, with the reduction in supporter defection robustly the larger of the two. The architecture therefore raises attainment by reducing decision volatility, with a robust supporter-stabilization component, rather than by converting entrenched opponents. The paper contributes a transparent computational framework for studying how heterogeneous preferences, belief updating, and trusted information channels jointly shape repeated collective decisions, and a testable hypothesis: a board-mediated information architecture raises supermajority attainment by reducing decision volatility and accelerating convergence, and stabilizing the pivotal, uncertainty-sensitive household class rather than converting entrenched opponents.</w:t>
      </w:r>
    </w:p>
    <w:p>
      <w:pPr>
        <w:spacing w:before="120" w:after="120"/>
      </w:pPr>
      <w:r>
        <w:rPr>
          <w:sz w:val="18"/>
        </w:rPr>
        <w:t>——————————————————————————————————————————————————————————————————————</w:t>
      </w:r>
    </w:p>
    <w:p>
      <w:pPr>
        <w:spacing w:before="160" w:after="40" w:line="240" w:lineRule="auto"/>
      </w:pPr>
      <w:r>
        <w:rPr>
          <w:b/>
        </w:rPr>
        <w:t xml:space="preserve">[16] </w:t>
      </w:r>
      <w:hyperlink r:id="rId476">
        <w:r>
          <w:rPr>
            <w:color w:val="1155CC"/>
            <w:u w:val="single"/>
          </w:rPr>
          <w:t>基于约束驱动Q学习的组合经济排放调度问题多目标混沌协同进化优化</w:t>
        </w:r>
      </w:hyperlink>
    </w:p>
    <w:p>
      <w:pPr>
        <w:spacing w:before="0" w:after="80"/>
      </w:pPr>
      <w:r>
        <w:rPr>
          <w:i/>
          <w:sz w:val="20"/>
        </w:rPr>
        <w:t>EN: Multi-objective chaos co-evolutionary optimization based on constraint-driven Q-learning for combined economic emission dispatch problems</w:t>
      </w:r>
    </w:p>
    <w:p>
      <w:pPr>
        <w:spacing w:before="0" w:after="120"/>
      </w:pPr>
      <w:r>
        <w:rPr>
          <w:b/>
        </w:rPr>
        <w:t xml:space="preserve">Source: </w:t>
      </w:r>
      <w:r>
        <w:t>ScienceDirect Publication: Applied Energy</w:t>
      </w:r>
      <w:r>
        <w:t xml:space="preserve">    </w:t>
      </w:r>
      <w:r>
        <w:rPr>
          <w:b/>
        </w:rPr>
        <w:t xml:space="preserve">Pub date: </w:t>
      </w:r>
      <w:r>
        <w:t>2026-07-20 00:00:00+00:00</w:t>
      </w:r>
      <w:r>
        <w:t xml:space="preserve">    </w:t>
      </w:r>
      <w:r>
        <w:rPr>
          <w:b/>
        </w:rPr>
        <w:t xml:space="preserve">DOI: </w:t>
      </w:r>
      <w:hyperlink r:id="rId477">
        <w:r>
          <w:rPr>
            <w:color w:val="1155CC"/>
            <w:u w:val="single"/>
          </w:rPr>
          <w:t>10.1016/j.apenergy.2026.128484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69">
        <w:r>
          <w:rPr>
            <w:color w:val="1155CC"/>
            <w:u w:val="single"/>
          </w:rPr>
          <w:t>解偶联分子基序和超分子二聚体，用于中性生物质高效合成 FDCA</w:t>
        </w:r>
      </w:hyperlink>
    </w:p>
    <w:p>
      <w:pPr>
        <w:spacing w:before="0" w:after="80"/>
      </w:pPr>
      <w:r>
        <w:rPr>
          <w:i/>
          <w:sz w:val="20"/>
        </w:rPr>
        <w:t>EN: Decoupled Molecular Motifs and Supramolecular Dimers for Highly Efficient FDCA Synthesis from Neutral Biomass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370">
        <w:r>
          <w:rPr>
            <w:color w:val="1155CC"/>
            <w:u w:val="single"/>
          </w:rPr>
          <w:t>10.1021/jacs.6c03282</w:t>
        </w:r>
      </w:hyperlink>
    </w:p>
    <w:p>
      <w:pPr>
        <w:spacing w:before="0" w:after="120"/>
      </w:pPr>
      <w:r>
        <w:rPr>
          <w:b/>
        </w:rPr>
        <w:t xml:space="preserve">Notes: </w:t>
      </w:r>
      <w:r>
        <w:t>abstract_source=pubmed</w:t>
      </w:r>
    </w:p>
    <w:p>
      <w:pPr>
        <w:spacing w:before="0" w:after="80" w:lineRule="auto" w:line="276"/>
      </w:pPr>
      <w:r>
        <w:rPr>
          <w:b/>
        </w:rPr>
        <w:t xml:space="preserve">摘要（ZH）: </w:t>
      </w:r>
      <w:r>
        <w:t>太阳能驱动的生物质增值对于化学工业去石化至关重要。将丰富、低成本的 5-羟甲基糠醛 (HMF) 氧化为 2,5-呋喃二甲酸 (FDCA)（下一代生物塑料的关键单体）是一个长期追求的目标，但由于动力学缓慢、选择性差和碱性依赖性而受到阻碍。在这里，空间解耦的催化位点被设计在二维氮化碳（CN）上：边缘处的共价接枝氰胺（CA）基序和平面上的π-π堆叠J型镍酞菁（NiPc）二聚体。该设计具有时空级联电荷转移和双位点催化功能，在纯水中 HMF 重整过程中，与原始 CN 相比，HMF 转化率和 H2 析出率分别提高了 54 倍和 160 倍。 FDCA 产率达到 2.14 mmol g-1 h-1，选择性为 98.2%，优于基准系统。从根本上来说，CA 基序引导超快空穴引发的选择性 HMF 氧化，空穴转移速率为 2.4 × 1010 s-1（比 CN 快一个数量级）。由此产生的长寿命电子被底层 NiPc 提取，并通过其单个 Ni 原子转移到顶层单个 Ni 原子进行质子还原，电子转移率为 7.4 × 104 s-1。不对称电荷动力学抑制电荷复合，电荷转移效率高达 98.9%。</w:t>
      </w:r>
    </w:p>
    <w:p>
      <w:pPr>
        <w:spacing w:before="0" w:after="200" w:lineRule="auto" w:line="276"/>
      </w:pPr>
      <w:r>
        <w:rPr>
          <w:b/>
        </w:rPr>
        <w:t xml:space="preserve">Abstract (EN): </w:t>
      </w:r>
      <w:r>
        <w:t>Solar-driven biomass valorization is pivotal for defossilizing the chemical industry. The oxidation of abundant, low-cost 5-hydroxymethylfurfural (HMF) to 2,5-furandicarboxylic acid (FDCA)─a key monomer for next-generation bioplastics─is a long-sought goal yet hampered by sluggish kinetics, poor selectivity, and alkaline dependency. Here, spatially decoupled catalytic sites are engineered on two-dimensional carbon nitride (CN): covalently grafted cyanamide (CA) motifs at the edges and π-π stacked J-type nickel phthalocyanine (NiPc) dimers on the planes. This design features spatiotemporally cascaded charge transfer and dual-site catalysis, achieving 54- and 160-fold enhancements in the HMF conversion rate and H2 evolution rate, respectively, versus pristine CN, during HMF reforming in pure water. The FDCA production rate reaches 2.14 mmol g-1 h-1 with 98.2% selectivity, outperforming benchmark systems. Fundamentally, CA motifs steer an ultrafast hole-initiated selective HMF oxidation with a hole transfer rate of 2.4 × 1010 s-1 (an order of magnitude faster than CN). The resulting long-lived electrons are extracted by the bottom-layer NiPc and transferred via its single Ni atom to the top-layer single Ni atom for proton reduction, with an electron transfer rate of 7.4 × 104 s-1. The asymmetric charge kinetics suppresses charge recombination, yielding a charge transfer efficiency of 98.9%.</w:t>
      </w:r>
    </w:p>
    <w:p>
      <w:pPr>
        <w:spacing w:before="120" w:after="120"/>
      </w:pPr>
      <w:r>
        <w:rPr>
          <w:sz w:val="18"/>
        </w:rPr>
        <w:t>——————————————————————————————————————————————————————————————————————</w:t>
      </w:r>
    </w:p>
    <w:p>
      <w:pPr>
        <w:spacing w:before="160" w:after="40" w:line="240" w:lineRule="auto"/>
      </w:pPr>
      <w:r>
        <w:rPr>
          <w:b/>
        </w:rPr>
        <w:t xml:space="preserve">[18] </w:t>
      </w:r>
      <w:hyperlink r:id="rId478">
        <w:r>
          <w:rPr>
            <w:color w:val="1155CC"/>
            <w:u w:val="single"/>
          </w:rPr>
          <w:t>考虑不确定性的虚拟电厂强化学习自适应前瞻经济调度</w:t>
        </w:r>
      </w:hyperlink>
    </w:p>
    <w:p>
      <w:pPr>
        <w:spacing w:before="0" w:after="80"/>
      </w:pPr>
      <w:r>
        <w:rPr>
          <w:i/>
          <w:sz w:val="20"/>
        </w:rPr>
        <w:t>EN: Adaptive look-ahead economic dispatch with reinforcement learning for virtual power plant considering uncertainty</w:t>
      </w:r>
    </w:p>
    <w:p>
      <w:pPr>
        <w:spacing w:before="0" w:after="120"/>
      </w:pPr>
      <w:r>
        <w:rPr>
          <w:b/>
        </w:rPr>
        <w:t xml:space="preserve">Source: </w:t>
      </w:r>
      <w:r>
        <w:t>ScienceDirect Publication: Applied Energy</w:t>
      </w:r>
      <w:r>
        <w:t xml:space="preserve">    </w:t>
      </w:r>
      <w:r>
        <w:rPr>
          <w:b/>
        </w:rPr>
        <w:t xml:space="preserve">Pub date: </w:t>
      </w:r>
      <w:r>
        <w:t>2026-07-20 00:00:00+00:00</w:t>
      </w:r>
      <w:r>
        <w:t xml:space="preserve">    </w:t>
      </w:r>
      <w:r>
        <w:rPr>
          <w:b/>
        </w:rPr>
        <w:t xml:space="preserve">DOI: </w:t>
      </w:r>
      <w:hyperlink r:id="rId479">
        <w:r>
          <w:rPr>
            <w:color w:val="1155CC"/>
            <w:u w:val="single"/>
          </w:rPr>
          <w:t>10.1016/j.apenergy.2026.128486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480">
        <w:r>
          <w:rPr>
            <w:color w:val="1155CC"/>
            <w:u w:val="single"/>
          </w:rPr>
          <w:t>工程竹子作为负碳材料的多尺度平台</w:t>
        </w:r>
      </w:hyperlink>
    </w:p>
    <w:p>
      <w:pPr>
        <w:spacing w:before="0" w:after="80"/>
      </w:pPr>
      <w:r>
        <w:rPr>
          <w:i/>
          <w:sz w:val="20"/>
        </w:rPr>
        <w:t>EN: Engineering bamboo as a multiscale platform for carbon-negative materials</w:t>
      </w:r>
    </w:p>
    <w:p>
      <w:pPr>
        <w:spacing w:before="0" w:after="120"/>
      </w:pPr>
      <w:r>
        <w:rPr>
          <w:b/>
        </w:rPr>
        <w:t xml:space="preserve">Source: </w:t>
      </w:r>
      <w:r>
        <w:t>Nature Reviews Materials</w:t>
      </w:r>
      <w:r>
        <w:t xml:space="preserve">    </w:t>
      </w:r>
      <w:r>
        <w:rPr>
          <w:b/>
        </w:rPr>
        <w:t xml:space="preserve">Pub date: </w:t>
      </w:r>
      <w:r>
        <w:t>2026-07-20 00:00:00+00:00</w:t>
      </w:r>
      <w:r>
        <w:t xml:space="preserve">    </w:t>
      </w:r>
      <w:r>
        <w:rPr>
          <w:b/>
        </w:rPr>
        <w:t xml:space="preserve">DOI: </w:t>
      </w:r>
      <w:hyperlink r:id="rId481">
        <w:r>
          <w:rPr>
            <w:color w:val="1155CC"/>
            <w:u w:val="single"/>
          </w:rPr>
          <w:t>10.1038/s41578-026-00943-1</w:t>
        </w:r>
      </w:hyperlink>
    </w:p>
    <w:p>
      <w:pPr>
        <w:spacing w:before="0" w:after="120"/>
      </w:pPr>
      <w:r>
        <w:rPr>
          <w:b/>
        </w:rPr>
        <w:t xml:space="preserve">Notes: </w:t>
      </w:r>
      <w:r>
        <w:t>abstract_source=rss_nature</w:t>
      </w:r>
    </w:p>
    <w:p>
      <w:pPr>
        <w:spacing w:before="0" w:after="80" w:lineRule="auto" w:line="276"/>
      </w:pPr>
      <w:r>
        <w:rPr>
          <w:b/>
        </w:rPr>
        <w:t xml:space="preserve">摘要（ZH）: </w:t>
      </w:r>
      <w:r>
        <w:t>竹子是一种快速生长的木质纤维素资源，它结合了高生物质生产力和在长寿命材料中封存大气碳的能力。本综述将竹子视为碳意识材料设计的多尺度平台，将分层结构、键选择性化学、加工、耐用性和生命周期核算联系起来，以确定竹子衍生产品何时可以大规模储存碳、取代排放并提供可靠的气候效益。</w:t>
      </w:r>
    </w:p>
    <w:p>
      <w:pPr>
        <w:spacing w:before="0" w:after="200" w:lineRule="auto" w:line="276"/>
      </w:pPr>
      <w:r>
        <w:rPr>
          <w:b/>
        </w:rPr>
        <w:t xml:space="preserve">Abstract (EN): </w:t>
      </w:r>
      <w:r>
        <w:t>Bamboo is a fast-growing lignocellulosic resource that combines high biomass productivity with the ability to sequester atmospheric carbon in long-lived materials. This Review frames bamboo as a multiscale platform for carbon-conscious materials design, linking hierarchical structure, bond-selective chemistry, processing, durability and life-cycle accounting to identify when bamboo-derived products can store carbon, displace emissions and deliver credible climate benefits sustainably at scale.</w:t>
      </w:r>
    </w:p>
    <w:p>
      <w:pPr>
        <w:spacing w:before="120" w:after="120"/>
      </w:pPr>
      <w:r>
        <w:rPr>
          <w:sz w:val="18"/>
        </w:rPr>
        <w:t>——————————————————————————————————————————————————————————————————————</w:t>
      </w:r>
    </w:p>
    <w:p>
      <w:pPr>
        <w:spacing w:before="160" w:after="40" w:line="240" w:lineRule="auto"/>
      </w:pPr>
      <w:r>
        <w:rPr>
          <w:b/>
        </w:rPr>
        <w:t xml:space="preserve">[20] </w:t>
      </w:r>
      <w:hyperlink r:id="rId482">
        <w:r>
          <w:rPr>
            <w:color w:val="1155CC"/>
            <w:u w:val="single"/>
          </w:rPr>
          <w:t>非质子介质中丁二烯电羧化的 ATR-SEIRAS 研究</w:t>
        </w:r>
      </w:hyperlink>
    </w:p>
    <w:p>
      <w:pPr>
        <w:spacing w:before="0" w:after="80"/>
      </w:pPr>
      <w:r>
        <w:rPr>
          <w:i/>
          <w:sz w:val="20"/>
        </w:rPr>
        <w:t>EN: ATR-SEIRAS Studies of Butadiene Electrocarboxylation in Aprotic Media</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483">
        <w:r>
          <w:rPr>
            <w:color w:val="1155CC"/>
            <w:u w:val="single"/>
          </w:rPr>
          <w:t>10.1021/jacs.6c04924</w:t>
        </w:r>
      </w:hyperlink>
    </w:p>
    <w:p>
      <w:pPr>
        <w:spacing w:before="0" w:after="120"/>
      </w:pPr>
      <w:r>
        <w:rPr>
          <w:b/>
        </w:rPr>
        <w:t xml:space="preserve">Notes: </w:t>
      </w:r>
      <w:r>
        <w:t>abstract_source=pubmed</w:t>
      </w:r>
    </w:p>
    <w:p>
      <w:pPr>
        <w:spacing w:before="0" w:after="80" w:lineRule="auto" w:line="276"/>
      </w:pPr>
      <w:r>
        <w:rPr>
          <w:b/>
        </w:rPr>
        <w:t xml:space="preserve">摘要（ZH）: </w:t>
      </w:r>
      <w:r>
        <w:t>丁二烯 (BD) 的电羧化为利用二氧化碳合成己烯二酸酯提供了一条可持续的途径。己烯二酸酯可以转化为己二酸，这是尼龙的主要前体，目前尼龙是由化石原料生产的。然而，BD 电羧化的关键方面仍不清楚，特别是表面结合中间体和竞争性界面反应的参与，例如 CO2 还原反应 (CO2RR)。在此，我们采用原位衰减全反射表面增强红外吸收光谱（ATR-SEIRAS）、产物分析电解实验和密度泛函理论（DFT）来研究金、铜和铂的 BD 电羧化。 ATR-SEIRAS 跟踪界面物种的演变，并表明 BD 抑制 Cu 上的 CO 吸附带，但在 Pt 上保持不变，这与 DFT 预测一致，该预测是由于其优先结合和 BD 化学吸附在阴极电位增加时不稳定所致。电解实验表明，Au 上的己烯二酸法拉第效率较高，其次是 Cu 和 Pt，而 CO 选择性则显示出相反的趋势（Pt &gt; Cu &gt; Au），为光谱测量中观察到的金属依赖性趋势提供了补充证据。尽管在 BD 存在的情况下仍会形成 CO，但部分 CO2•- 被 BD 消耗以生成电羧化产物，并且产生的 CO 不会吸附在 Cu 上，因为 BD 或 BD 衍生物质在竞争中胜出并取代了它。这些发现强调了 BD 吸附的影响和电位依赖性</w:t>
      </w:r>
    </w:p>
    <w:p>
      <w:pPr>
        <w:spacing w:before="0" w:after="200" w:lineRule="auto" w:line="276"/>
      </w:pPr>
      <w:r>
        <w:rPr>
          <w:b/>
        </w:rPr>
        <w:t xml:space="preserve">Abstract (EN): </w:t>
      </w:r>
      <w:r>
        <w:t>The electrocarboxylation of butadiene (BD) offers a sustainable route to hexenedioate synthesis through CO2 utilization. Hexenedioate can be converted into adipic acid, the main precursor to Nylon, which is currently produced from fossil-based feedstocks. However, key aspects of BD electrocarboxylation remain unclear, particularly the involvement of surface-bound intermediates and competing interfacial reactions, such as the CO2 reduction reaction (CO2RR). Herein, we employ in situ Attenuated Total Reflectance Surface Enhanced Infrared Absorption Spectroscopy (ATR-SEIRAS), electrolysis experiments with product analysis and density functional theory (DFT) to investigate BD electrocarboxylation on Au, Cu, and Pt. ATR-SEIRAS tracks the evolution of interfacial species and shows that BD suppresses the CO adsorption band on Cu but remains unchanged on Pt, consistent with DFT predictions that result from its preferential binding and the destabilization of BD chemisorption at increasingly cathodic potentials. Electrolysis experiments reveal higher hexenedioate Faradaic efficiency on Au, followed by Cu and Pt, while CO selectivity shows the opposite trend (Pt &gt; Cu &gt; Au), providing complementary evidence for metal-dependent trends observed in the spectroscopic measurements. Although CO still forms in the presence of BD, part of the CO2•- is consumed by BD to generate electrocarboxylation products, and the CO that is produced does not adsorb on Cu because BD or BD-derived species outcompete and displace it. These findings highlight the effect of BD adsorption and potential-dependent radical competition in shaping electrocarboxylation reactions, emphasizing the importance of considering interfacial contributions in the electrochemical process.</w:t>
      </w:r>
    </w:p>
    <w:p>
      <w:pPr>
        <w:spacing w:before="120" w:after="120"/>
      </w:pPr>
      <w:r>
        <w:rPr>
          <w:sz w:val="18"/>
        </w:rPr>
        <w:t>——————————————————————————————————————————————————————————————————————</w:t>
      </w:r>
    </w:p>
    <w:p>
      <w:pPr>
        <w:spacing w:before="160" w:after="40" w:line="240" w:lineRule="auto"/>
      </w:pPr>
      <w:r>
        <w:rPr>
          <w:b/>
        </w:rPr>
        <w:t xml:space="preserve">[21] </w:t>
      </w:r>
      <w:hyperlink r:id="rId484">
        <w:r>
          <w:rPr>
            <w:color w:val="1155CC"/>
            <w:u w:val="single"/>
          </w:rPr>
          <w:t>振动膜生物反应器增强城市废水处理中的营养物去除和能源效率</w:t>
        </w:r>
      </w:hyperlink>
    </w:p>
    <w:p>
      <w:pPr>
        <w:spacing w:before="0" w:after="80"/>
      </w:pPr>
      <w:r>
        <w:rPr>
          <w:i/>
          <w:sz w:val="20"/>
        </w:rPr>
        <w:t>EN: Vibrating membrane bioreactors enhance nutrient removal and energy efficiency in municipal wastewater treatment</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膜生物反应器（MBR）广泛应用于城市污水处理，但其广泛采用受到能源密集型曝气和膜污染的限制。在这里，我们报告了振动 MBR (VMBR) 和传统曝气 MBR (AMBR) 系统连续大约 800 天的全尺寸（7500 m3 d−1）并行运行，系统地比较了它们的污染物去除性能、长期过滤稳定性、膜污染机制和全生命周期环境影响。结果表明，与 AMBR 相比，VMBR 增强了营养物去除效果，出水总氮降低了 22%，除磷化学剂量降低了 40%。它还表现出增强的抗污染性，在整个运行过程中平均比通量比 AMBR 高 20%。机理分析表明，VMBR 在膜表面产生有效、均匀的剪切力，同时保留污泥絮体结构，从而减轻膜污染。因此，VMBR 将结垢控制的具体能耗降低了 75%，将总体碳足迹降低了 30%。我们验证 VMBR 代表了未来废水处理的可扩展、节能和可持续的技术。</w:t>
      </w:r>
    </w:p>
    <w:p>
      <w:pPr>
        <w:spacing w:before="0" w:after="200" w:lineRule="auto" w:line="276"/>
      </w:pPr>
      <w:r>
        <w:rPr>
          <w:b/>
        </w:rPr>
        <w:t xml:space="preserve">Abstract (EN): </w:t>
      </w:r>
      <w:r>
        <w:t>Membrane bioreactors (MBRs) are widely applied in municipal wastewater treatment, yet their broader adoption has been constrained by energy-intensive aeration and membrane fouling. Here, we report approximately 800 consecutive days of full-scale (7500 m3 d−1) parallel operation of the vibrating MBR (VMBR) and the conventional aerated MBR (AMBR) systems, systematically comparing their pollutant removal performance, long-term filtration stability, membrane fouling mechanisms, and full life cycle environmental impacts. Results showed that the VMBR demonstrated enhanced nutrient removal, lowering effluent total nitrogen by 22% and reducing the chemical dosage for phosphorus removal by 40% compared with the AMBR. It also exhibited enhanced fouling resistance, with a 20% higher average specific flux than that of the AMBR throughout the operation. Mechanism analysis revealed that the VMBR generated effective, uniform shear at the membrane surface while preserving the sludge floc structure, thereby mitigating membrane fouling. Consequently, the VMBR reduced specific energy consumption for fouling control by 75% and the overall carbon footprint by 30%. We validate that VMBRs represent a scalable, energy-efficient and sustainable technology for future wastewater treatment.</w:t>
      </w:r>
    </w:p>
    <w:p>
      <w:pPr>
        <w:spacing w:before="120" w:after="120"/>
      </w:pPr>
      <w:r>
        <w:rPr>
          <w:sz w:val="18"/>
        </w:rPr>
        <w:t>——————————————————————————————————————————————————————————————————————</w:t>
      </w:r>
    </w:p>
    <w:p>
      <w:pPr>
        <w:spacing w:before="160" w:after="40" w:line="240" w:lineRule="auto"/>
      </w:pPr>
      <w:r>
        <w:rPr>
          <w:b/>
        </w:rPr>
        <w:t xml:space="preserve">[22] </w:t>
      </w:r>
      <w:hyperlink r:id="rId485">
        <w:r>
          <w:rPr>
            <w:color w:val="1155CC"/>
            <w:u w:val="single"/>
          </w:rPr>
          <w:t>揭示和控制 SAPO-34 中的原子级堆积无序以增强 MTO 性能</w:t>
        </w:r>
      </w:hyperlink>
    </w:p>
    <w:p>
      <w:pPr>
        <w:spacing w:before="0" w:after="80"/>
      </w:pPr>
      <w:r>
        <w:rPr>
          <w:i/>
          <w:sz w:val="20"/>
        </w:rPr>
        <w:t>EN: Revealing and Controlling Atomic-Scale Stacking Disorder in SAPO-34 for Enhanced MTO Performance</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486">
        <w:r>
          <w:rPr>
            <w:color w:val="1155CC"/>
            <w:u w:val="single"/>
          </w:rPr>
          <w:t>10.1021/jacs.6c09745</w:t>
        </w:r>
      </w:hyperlink>
    </w:p>
    <w:p>
      <w:pPr>
        <w:spacing w:before="0" w:after="120"/>
      </w:pPr>
      <w:r>
        <w:rPr>
          <w:b/>
        </w:rPr>
        <w:t xml:space="preserve">Notes: </w:t>
      </w:r>
      <w:r>
        <w:t>abstract_source=pubmed</w:t>
      </w:r>
    </w:p>
    <w:p>
      <w:pPr>
        <w:spacing w:before="0" w:after="80" w:lineRule="auto" w:line="276"/>
      </w:pPr>
      <w:r>
        <w:rPr>
          <w:b/>
        </w:rPr>
        <w:t xml:space="preserve">摘要（ZH）: </w:t>
      </w:r>
      <w:r>
        <w:t>SAPO-34是甲醇制烯烃（MTO）工艺的基准催化剂，但其催化寿命仍然有限，越来越受到学术界和工业界的关注。在这里，我们确定了 SAPO-34 失活的一个先前未被识别的根源：堆积无序，这是一种难以通过传统 PXRD 检测的结构缺陷，特别是在纳米尺寸晶体中。通过结合先进的三维电子衍射 (3D ED)、集成微分相衬扫描透射电子显微镜 (iDPC-STEM) 和基于四维 (4D) STEM 数据的电子叠层描记术，我们发现了使用传统四乙铵 (TEA+) 作为有机结构导向剂 (OSDA) 合成的 SAPO-34 中原子级隐藏的堆积紊乱。这些紊乱促进较小的 aei 笼的形成，从而加速催化剂失活。在这些结构见解的指导下，我们确定了一个更大的 OSDA，N,N,N-三甲基金刚烷-1-铵 (TMAda+)，它可以抑制 aei-cage 的形成并产生无堆积无序的 SAPO-34，并显着延长 MTO 寿命。此外，为了规避 TMAda+ 的高成本，我们开发了一系列低成本的胺 OSDA，可重现其结构导向行为，产生无堆积无序的 SAPO-34 催化剂，且 MTO 性能与 TMAda+ 导向催化剂相当，经 3D ED 和 iDPC-STEM 表征证实。在这些催化剂中，N,N-二甲基环己胺引导的SAPO-34表现出最高的催化耐久性。这项工作建立了一个结构性的d</w:t>
      </w:r>
    </w:p>
    <w:p>
      <w:pPr>
        <w:spacing w:before="0" w:after="200" w:lineRule="auto" w:line="276"/>
      </w:pPr>
      <w:r>
        <w:rPr>
          <w:b/>
        </w:rPr>
        <w:t xml:space="preserve">Abstract (EN): </w:t>
      </w:r>
      <w:r>
        <w:t>SAPO-34 is the benchmark catalyst for the methanol-to-olefins (MTO) process, yet its catalytic lifetime remains limited, attracting increasing attention from both academia and industry. Here, we identify a previously unrecognized origin of SAPO-34 deactivation: stacking disorder, which is a type of structural defect difficult to detect by conventional PXRD, particularly in nanosized crystals. By combining advanced three-dimensional electron diffraction (3D ED), integrated differential phase-contrast scanning transmission electron microscopy (iDPC-STEM), and electron ptychography based on four-dimensional (4D) STEM data, we uncover atomic-level hidden stacking disorders in SAPO-34 synthesized using the conventional tetraethylammonium (TEA+) as the organic structure directing agent (OSDA). These disorders promote the formation of smaller aei cages, thereby accelerating catalyst deactivation. Guided by these structural insights, we identify a larger OSDA, N,N,N-trimethyladamantan-1-aminium (TMAda+), that suppresses aei-cage formation and yields stacking-disorder-free SAPO-34 with a markedly extended MTO lifetime. Furthermore, to circumvent the high cost of TMAda+, we develop a series of low-cost amine OSDAs that reproduce its structure-directing behavior, yielding SAPO-34 catalysts free of stacking disorder and with MTO performance comparable to that of TMAda+-directed catalyst, as confirmed by 3D ED and iDPC-STEM characterization. Among these catalysts, SAPO-34 directed by N,N-dimethylcyclohexylamine shows the highest catalytic durability. This work establishes a structural design strategy for producing stacking-disorder-free SAPO-34 with substantially enhanced MTO stability.</w:t>
      </w:r>
    </w:p>
    <w:p>
      <w:pPr>
        <w:spacing w:before="120" w:after="120"/>
      </w:pPr>
      <w:r>
        <w:rPr>
          <w:sz w:val="18"/>
        </w:rPr>
        <w:t>——————————————————————————————————————————————————————————————————————</w:t>
      </w:r>
    </w:p>
    <w:p>
      <w:pPr>
        <w:spacing w:before="160" w:after="40" w:line="240" w:lineRule="auto"/>
      </w:pPr>
      <w:r>
        <w:rPr>
          <w:b/>
        </w:rPr>
        <w:t xml:space="preserve">[23] </w:t>
      </w:r>
      <w:hyperlink r:id="rId487">
        <w:r>
          <w:rPr>
            <w:color w:val="1155CC"/>
            <w:u w:val="single"/>
          </w:rPr>
          <w:t>构建半相干TiO 2 异质界面以实现快速稳定的双波段电致变色</w:t>
        </w:r>
      </w:hyperlink>
    </w:p>
    <w:p>
      <w:pPr>
        <w:spacing w:before="0" w:after="80"/>
      </w:pPr>
      <w:r>
        <w:rPr>
          <w:i/>
          <w:sz w:val="20"/>
        </w:rPr>
        <w:t>EN: Constructing a Semi-Coherent TiO 2 Heterointerface for Rapid and Stable Dual-Band Electrochromism</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488">
        <w:r>
          <w:rPr>
            <w:color w:val="1155CC"/>
            <w:u w:val="single"/>
          </w:rPr>
          <w:t>10.1021/acsami.6c06797</w:t>
        </w:r>
      </w:hyperlink>
    </w:p>
    <w:p>
      <w:pPr>
        <w:spacing w:before="0" w:after="120"/>
      </w:pPr>
      <w:r>
        <w:rPr>
          <w:b/>
        </w:rPr>
        <w:t xml:space="preserve">Notes: </w:t>
      </w:r>
      <w:r>
        <w:t>abstract_source=pubmed</w:t>
      </w:r>
    </w:p>
    <w:p>
      <w:pPr>
        <w:spacing w:before="0" w:after="80" w:lineRule="auto" w:line="276"/>
      </w:pPr>
      <w:r>
        <w:rPr>
          <w:b/>
        </w:rPr>
        <w:t xml:space="preserve">摘要（ZH）: </w:t>
      </w:r>
      <w:r>
        <w:t>双波段电致变色智能窗能够独立调节可见光 (VIS) 和近红外 (NIR) 光，为降低建筑能耗和提高居住舒适度提供了巨大潜力。然而，它们的实际应用往往受到光调制不足、开关速度慢和循环稳定性差的限制。在这项研究中，我们通过两步原位定向生长策略设计并制造了分级二氧化钛纳米棒/纳米片（TNR/TNS）异质结构薄膜。金红石相 TiO2 纳米棒首先在 FTO 基底上水热生​​长，利用高晶格相容性形成单晶电子通道和机械支架。随后，锐钛矿相 TiO2 纳米片外延生长到纳米棒上，形成具有半共格界面（晶格失配~0.1）的互穿多孔结构，有利于有效的电荷转移和离子扩散。由此产生的 TNR/TNS 复合薄膜表现出显着的双波段调制能力，在 1300 nm（“亮冷”状态）下光学调制为 60.2%，在 700 nm（“隐私-绝缘”状态）下光学调制为 65.1%，同时具有快速切换动力学。此外，由于结构缓冲、强界面粘附和高效离子/电子传输的协同效应，它表现出显着的循环稳定性，在2000次循环后仍保持其原始光学调制的92%。该工作为构建高性能电致变色材料提供了基于晶相和界面工程的有效策略</w:t>
      </w:r>
    </w:p>
    <w:p>
      <w:pPr>
        <w:spacing w:before="0" w:after="200" w:lineRule="auto" w:line="276"/>
      </w:pPr>
      <w:r>
        <w:rPr>
          <w:b/>
        </w:rPr>
        <w:t xml:space="preserve">Abstract (EN): </w:t>
      </w:r>
      <w:r>
        <w:t>Dual-band electrochromic smart windows, which enable independent regulation of visible (VIS) and near-infrared (NIR) light, offer significant potential for reducing building energy consumption and improving occupant comfort. However, their practical application is often limited by insufficient optical modulation, slow switching speeds, and poor cycling stability. In this study, we designed and fabricated a hierarchical TiO2 nanorod/nanosheet (TNR/TNS) heterostructure film through a two-step in situ-oriented growth strategy. Rutile-phase TiO2 nanorods were first hydrothermally grown on FTO substrates, leveraging high lattice compatibility to form a single-crystalline electron pathway and mechanical scaffold. Anatase-phase TiO2 nanosheets were subsequently grown epitaxially onto the nanorods, creating an interpenetrating porous structure with a semi-coherent interface (lattice mismatch ∼0.1) that facilitates efficient charge transfer and ion diffusion. The resulting TNR/TNS composite film demonstrates significant dual-band modulation capabilities, with optical modulations of 60.2% at 1300 nm ("bright-cool" state) and 65.1% at 700 nm ("privacy-insulation" state), alongside rapid switching kinetics. Moreover, it shows remarkable cycling stability, maintaining 92% of its original optical modulation after 2000 cycles due to synergistic effects of structural buffering, strong interfacial adhesion, and efficient ion/electron transport. This work provides an effective strategy based on crystal phase and interface engineering for constructing high-performance electrochromic materials, with promising applications in energy-efficient architectural windows.</w:t>
      </w:r>
    </w:p>
    <w:p>
      <w:pPr>
        <w:spacing w:before="120" w:after="120"/>
      </w:pPr>
      <w:r>
        <w:rPr>
          <w:sz w:val="18"/>
        </w:rPr>
        <w:t>——————————————————————————————————————————————————————————————————————</w:t>
      </w:r>
    </w:p>
    <w:p>
      <w:pPr>
        <w:spacing w:before="160" w:after="40" w:line="240" w:lineRule="auto"/>
      </w:pPr>
      <w:r>
        <w:rPr>
          <w:b/>
        </w:rPr>
        <w:t xml:space="preserve">[24] </w:t>
      </w:r>
      <w:hyperlink r:id="rId489">
        <w:r>
          <w:rPr>
            <w:color w:val="1155CC"/>
            <w:u w:val="single"/>
          </w:rPr>
          <w:t>具有三重大气窗口选择性的多光谱协同电致变色调节器，促进全球建筑节能</w:t>
        </w:r>
      </w:hyperlink>
    </w:p>
    <w:p>
      <w:pPr>
        <w:spacing w:before="0" w:after="80"/>
      </w:pPr>
      <w:r>
        <w:rPr>
          <w:i/>
          <w:sz w:val="20"/>
        </w:rPr>
        <w:t>EN: Multispectral Synergistic Electrochromic Regulator With Triple Atmospheric Windows Selectivity for Global Building Energy Saving</w:t>
      </w:r>
    </w:p>
    <w:p>
      <w:pPr>
        <w:spacing w:before="0" w:after="120"/>
      </w:pPr>
      <w:r>
        <w:rPr>
          <w:b/>
        </w:rPr>
        <w:t xml:space="preserve">Source: </w:t>
      </w:r>
      <w:r>
        <w:t>Wiley: Advanced Materials: Table of Contents</w:t>
      </w:r>
      <w:r>
        <w:t xml:space="preserve">    </w:t>
      </w:r>
      <w:r>
        <w:rPr>
          <w:b/>
        </w:rPr>
        <w:t xml:space="preserve">Pub date: </w:t>
      </w:r>
      <w:r>
        <w:t>2026-07-20 11:13:45+00:00</w:t>
      </w:r>
      <w:r>
        <w:t xml:space="preserve">    </w:t>
      </w:r>
      <w:r>
        <w:rPr>
          <w:b/>
        </w:rPr>
        <w:t xml:space="preserve">DOI: </w:t>
      </w:r>
      <w:hyperlink r:id="rId490">
        <w:r>
          <w:rPr>
            <w:color w:val="1155CC"/>
            <w:u w:val="single"/>
          </w:rPr>
          <w:t>10.1002/adma.74225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作为全球能源需求的一个日益增长的贡献者，建筑能源消耗受到传统不透明建筑围护结构被动性质的强烈限制。在这里，我们设计了一种基于 ITO/WO 的可调谐多光谱调节器</w:t>
      </w:r>
      <w:r>
        <w:rPr>
          <w:vertAlign w:val="subscript"/>
        </w:rPr>
        <w:t>3</w:t>
      </w:r>
      <w:r>
        <w:t>/铌酸锂</w:t>
      </w:r>
      <w:r>
        <w:rPr>
          <w:vertAlign w:val="subscript"/>
        </w:rPr>
        <w:t>3</w:t>
      </w:r>
      <w:r>
        <w:t>/NiO/ITO电致变色全薄膜叠层。通过非对称法布里-珀罗腔（F-P腔）的巧妙器件架构，调节器实现了多光谱正协同调制：在冷却模式下，它同时反射阳光并在大气窗口内表现出选择性高发射率；在加热模式下，它吸收阳光，同时保持较低的红外发射率。该设计还将有效调制扩展到第三个大气窗口（16–25 µm）。因此，该设备可在太阳光 (0.3–2.5 µm) 和中远红外 (2.5–25 µm) 波段提供协同和宽调制，调制值分别为 0.52 和 0.64，从而实现夏季制冷和冬季供暖。在干旱沙漠气候下的户外测试验证了有效的热调节，实现了约 5.5°C 的昼夜温差。该装置具有自适应调节能力，非常适合全年建筑节能。 EnergyPlus 模拟进一步揭示了每年可节省的能源，特别是寒冷地区的供暖（22.2 MJ/m</w:t>
      </w:r>
      <w:r>
        <w:rPr>
          <w:vertAlign w:val="subscript"/>
        </w:rPr>
        <w:t>2</w:t>
      </w:r>
      <w:r>
        <w:t>）。这项工作为同步多光谱提供了一个整体可调平台</w:t>
      </w:r>
    </w:p>
    <w:p>
      <w:pPr>
        <w:spacing w:before="0" w:after="200" w:lineRule="auto" w:line="276"/>
      </w:pPr>
      <w:r>
        <w:rPr>
          <w:b/>
        </w:rPr>
        <w:t xml:space="preserve">Abstract (EN): </w:t>
      </w:r>
      <w:r>
        <w:t>As a growing contributor to global energy demand, building energy consumption is strongly constrained by the passive nature of conventional opaque building envelopes. Here, we design a tunable multispectral regulator based on an ITO/WO</w:t>
      </w:r>
      <w:r>
        <w:rPr>
          <w:vertAlign w:val="subscript"/>
        </w:rPr>
        <w:t>3</w:t>
      </w:r>
      <w:r>
        <w:t>/LiNbO</w:t>
      </w:r>
      <w:r>
        <w:rPr>
          <w:vertAlign w:val="subscript"/>
        </w:rPr>
        <w:t>3</w:t>
      </w:r>
      <w:r>
        <w:t>/NiO/ITO electrochromic all‐thin‐film stack. Through the ingenious device architecture of an asymmetric Fabry–Pérot cavity (F–P cavity), the regulator achieves multispectral positive synergistic modulation: in the cooling mode, it simultaneously reflects sunlight and exhibits selective high emissivity within the atmospheric windows; in the heating mode, it absorbs sunlight while maintaining low infrared emissivity. This design also extends effective modulation to the third atmospheric window (16–25 µm). Consequently, the device delivers synergistic and wide modulation with values of 0.52 and 0.64 in the solar (0.3–2.5 µm) and mid‑far infrared (2.5–25 µm) bands, respectively, enabling both summer cooling and winter heating. Outdoor testing in an arid desert climate validates effective thermal regulation, achieving a diurnal temperature difference of ∼5.5°C. With its adaptive regulation capability, the device is well‐suited for year‑round building energy saving. EnergyPlus simulations further reveal substantial annual energy savings, particularly for heating in cold regions (22.2 MJ/m</w:t>
      </w:r>
      <w:r>
        <w:rPr>
          <w:vertAlign w:val="subscript"/>
        </w:rPr>
        <w:t>2</w:t>
      </w:r>
      <w:r>
        <w:t>). This work provides a monolithic tunable platform for synchronized multispectra regulation, paving the way for next‑generation intelligent thermal management systems.</w:t>
      </w:r>
    </w:p>
    <w:p>
      <w:pPr>
        <w:spacing w:before="120" w:after="120"/>
      </w:pPr>
      <w:r>
        <w:rPr>
          <w:sz w:val="18"/>
        </w:rPr>
        <w:t>——————————————————————————————————————————————————————————————————————</w:t>
      </w:r>
    </w:p>
    <w:p>
      <w:pPr>
        <w:spacing w:before="160" w:after="40" w:line="240" w:lineRule="auto"/>
      </w:pPr>
      <w:r>
        <w:rPr>
          <w:b/>
        </w:rPr>
        <w:t xml:space="preserve">[25] </w:t>
      </w:r>
      <w:hyperlink r:id="rId491">
        <w:r>
          <w:rPr>
            <w:color w:val="1155CC"/>
            <w:u w:val="single"/>
          </w:rPr>
          <w:t>智能电网因果推理框架及其应用于需求响应</w:t>
        </w:r>
      </w:hyperlink>
    </w:p>
    <w:p>
      <w:pPr>
        <w:spacing w:before="0" w:after="80"/>
      </w:pPr>
      <w:r>
        <w:rPr>
          <w:i/>
          <w:sz w:val="20"/>
        </w:rPr>
        <w:t>EN: Causal inference framework for smart grids with application to demand response</w:t>
      </w:r>
    </w:p>
    <w:p>
      <w:pPr>
        <w:spacing w:before="0" w:after="120"/>
      </w:pPr>
      <w:r>
        <w:rPr>
          <w:b/>
        </w:rPr>
        <w:t xml:space="preserve">Source: </w:t>
      </w:r>
      <w:r>
        <w:t>ScienceDirect Publication: Applied Energy</w:t>
      </w:r>
      <w:r>
        <w:t xml:space="preserve">    </w:t>
      </w:r>
      <w:r>
        <w:rPr>
          <w:b/>
        </w:rPr>
        <w:t xml:space="preserve">Pub date: </w:t>
      </w:r>
      <w:r>
        <w:t>2026-07-21 00:00:00+00:00</w:t>
      </w:r>
      <w:r>
        <w:t xml:space="preserve">    </w:t>
      </w:r>
      <w:r>
        <w:rPr>
          <w:b/>
        </w:rPr>
        <w:t xml:space="preserve">DOI: </w:t>
      </w:r>
      <w:hyperlink r:id="rId492">
        <w:r>
          <w:rPr>
            <w:color w:val="1155CC"/>
            <w:u w:val="single"/>
          </w:rPr>
          <w:t>10.1016/j.apenergy.2026.128495</w:t>
        </w:r>
      </w:hyperlink>
    </w:p>
    <w:p>
      <w:pPr>
        <w:spacing w:before="0" w:after="120"/>
      </w:pPr>
      <w:r>
        <w:rPr>
          <w:b/>
        </w:rPr>
        <w:t xml:space="preserve">Notes: </w:t>
      </w:r>
      <w:r>
        <w:t>abstract_source=openalex</w:t>
      </w:r>
    </w:p>
    <w:p>
      <w:pPr>
        <w:spacing w:before="0" w:after="80" w:lineRule="auto" w:line="276"/>
      </w:pPr>
      <w:r>
        <w:rPr>
          <w:b/>
        </w:rPr>
        <w:t xml:space="preserve">摘要（ZH）: </w:t>
      </w:r>
      <w:r>
        <w:t>智能电网生成大量数据，但许多分析仍然基于关联，无法可靠地为有关规划和运营干预效果的决策提供信息。随机试验提供了强有力的因果证据，但成本高昂且范围有限，预测模型无法将干预效果与混杂因素区分开来，而现有的智能电网因果研究均侧重于单一方面，例如市场分配、网络演化或时间依赖性，而没有涵盖从问题制定到决策的完整工作流程。本文介绍了智能电网的特定领域因果推理框架，该框架将现有的因果建模、识别和验证技术集成到适合能源系统分析的结构化工作流程中。该框架分为七个阶段：因果问题框架、因果模型构建、数据收集和准备、因果发现、因果推理、反驳测试和验证、干预评估和建议。为了支持跨环境的适应，本文将智能电网中常见的因果问题分为三种类型（混杂因素密集型、时间结构型和实时决策问题），并展示了框架如何映射到每种类型，并详细演示了混杂因素密集型案例。该框架通过需求响应案例研究来论证，评估定价方案对家庭电力消耗的因果影响。使用真实世界的数据，我们应用了三种具有代表性的因果推理方法（后门调整</w:t>
      </w:r>
    </w:p>
    <w:p>
      <w:pPr>
        <w:spacing w:before="0" w:after="200" w:lineRule="auto" w:line="276"/>
      </w:pPr>
      <w:r>
        <w:rPr>
          <w:b/>
        </w:rPr>
        <w:t xml:space="preserve">Abstract (EN): </w:t>
      </w:r>
      <w:r>
        <w:t>Smart grids generate extensive data, yet much analysis remains association-based and cannot reliably inform decisions about the effects of interventions in planning and operations. Randomized trials provide strong causal evidence but are costly and limited in scope, predictive models cannot isolate intervention effects from confounding factors, and existing causal studies in smart grids each focus on a single aspect, such as market allocation, network evolution, or temporal dependencies, without covering the complete workflow from problem formulation to decision-making. This paper introduces a domain-specific causal inference framework for smart grids that integrates established causal modeling, identification, and validation techniques into a structured workflow tailored to energy-system analysis. The framework is organized into seven phases: causal problem framing, causal model construction, data collection and preparation, causal discovery, causal inference, refutation tests and validation, and intervention evaluation and recommendation. To support adaptation across settings, the paper categorizes common causal problems in smart grids into three types (confounder-intensive, temporally structured, and real-time decision problems) and shows how the framework maps to each, with the confounder-intensive case demonstrated in detail. The framework is demonstrated through a demand response case study assessing the causal impact of pricing schemes on household electricity consumption. Using real-world data, we apply three representative causal inference methods (Backdoor Adjustment, Difference in Differences, and Double Machine Learning), benchmarked against an association-based baseline. The results show that factors influential under association can become negligible or even reverse under causal estimation, while seemingly minor factors emerge as plausible levers for decision-making under the stated identification assumptions.</w:t>
      </w:r>
    </w:p>
    <w:p>
      <w:pPr>
        <w:spacing w:before="120" w:after="120"/>
      </w:pPr>
      <w:r>
        <w:rPr>
          <w:sz w:val="18"/>
        </w:rPr>
        <w:t>——————————————————————————————————————————————————————————————————————</w:t>
      </w:r>
    </w:p>
    <w:p>
      <w:pPr>
        <w:spacing w:before="160" w:after="40" w:line="240" w:lineRule="auto"/>
      </w:pPr>
      <w:r>
        <w:rPr>
          <w:b/>
        </w:rPr>
        <w:t xml:space="preserve">[26] </w:t>
      </w:r>
      <w:hyperlink r:id="rId493">
        <w:r>
          <w:rPr>
            <w:color w:val="1155CC"/>
            <w:u w:val="single"/>
          </w:rPr>
          <w:t>建筑环境的真实影响</w:t>
        </w:r>
      </w:hyperlink>
    </w:p>
    <w:p>
      <w:pPr>
        <w:spacing w:before="0" w:after="80"/>
      </w:pPr>
      <w:r>
        <w:rPr>
          <w:i/>
          <w:sz w:val="20"/>
        </w:rPr>
        <w:t>EN: The true impacts of the built environment</w:t>
      </w:r>
    </w:p>
    <w:p>
      <w:pPr>
        <w:spacing w:before="0" w:after="120"/>
      </w:pPr>
      <w:r>
        <w:rPr>
          <w:b/>
        </w:rPr>
        <w:t xml:space="preserve">Source: </w:t>
      </w:r>
      <w:r>
        <w:t>Nature Sustainability</w:t>
      </w:r>
      <w:r>
        <w:t xml:space="preserve">    </w:t>
      </w:r>
      <w:r>
        <w:rPr>
          <w:b/>
        </w:rPr>
        <w:t xml:space="preserve">Pub date: </w:t>
      </w:r>
      <w:r>
        <w:t>2026-07-21 00:00:00+00:00</w:t>
      </w:r>
      <w:r>
        <w:t xml:space="preserve">    </w:t>
      </w:r>
      <w:r>
        <w:rPr>
          <w:b/>
        </w:rPr>
        <w:t xml:space="preserve">DOI: </w:t>
      </w:r>
      <w:hyperlink r:id="rId494">
        <w:r>
          <w:rPr>
            <w:color w:val="1155CC"/>
            <w:u w:val="single"/>
          </w:rPr>
          <w:t>10.1038/s41893-026-01910-y</w:t>
        </w:r>
      </w:hyperlink>
    </w:p>
    <w:p>
      <w:pPr>
        <w:spacing w:before="0" w:after="120"/>
      </w:pPr>
      <w:r>
        <w:rPr>
          <w:b/>
        </w:rPr>
        <w:t xml:space="preserve">Notes: </w:t>
      </w:r>
      <w:r>
        <w:t>abstract_source=rss_nature</w:t>
      </w:r>
    </w:p>
    <w:p>
      <w:pPr>
        <w:spacing w:before="0" w:after="80" w:lineRule="auto" w:line="276"/>
      </w:pPr>
      <w:r>
        <w:rPr>
          <w:b/>
        </w:rPr>
        <w:t xml:space="preserve">摘要（ZH）: </w:t>
      </w:r>
      <w:r>
        <w:t>水泥和混凝土是现代社会的基础，但人们对它们真正的资源需求以及控制其有效利用的动力仍然知之甚少。最近的两项研究表明，最有力的变革杠杆可能根本不在水泥厂内部。</w:t>
      </w:r>
    </w:p>
    <w:p>
      <w:pPr>
        <w:spacing w:before="0" w:after="200" w:lineRule="auto" w:line="276"/>
      </w:pPr>
      <w:r>
        <w:rPr>
          <w:b/>
        </w:rPr>
        <w:t xml:space="preserve">Abstract (EN): </w:t>
      </w:r>
      <w:r>
        <w:t>Cement and concrete underpin modern societies, yet their true resource demands and the dynamics that govern their efficient use remain poorly understood. Two recent studies suggest that the most powerful levers for change may not lie inside the cement plant at all.</w:t>
      </w:r>
    </w:p>
    <w:p>
      <w:pPr>
        <w:spacing w:before="120" w:after="120"/>
      </w:pPr>
      <w:r>
        <w:rPr>
          <w:sz w:val="18"/>
        </w:rPr>
        <w:t>——————————————————————————————————————————————————————————————————————</w:t>
      </w:r>
    </w:p>
    <w:p>
      <w:pPr>
        <w:spacing w:before="160" w:after="40" w:line="240" w:lineRule="auto"/>
      </w:pPr>
      <w:r>
        <w:rPr>
          <w:b/>
        </w:rPr>
        <w:t xml:space="preserve">[27] </w:t>
      </w:r>
      <w:hyperlink r:id="rId495">
        <w:r>
          <w:rPr>
            <w:color w:val="1155CC"/>
            <w:u w:val="single"/>
          </w:rPr>
          <w:t>Pd 纳米颗粒与 CuTi-LDH 上的单原子：逆转光致电荷转移以切换选择性甲烷光氧化的自由基生成途径</w:t>
        </w:r>
      </w:hyperlink>
    </w:p>
    <w:p>
      <w:pPr>
        <w:spacing w:before="0" w:after="80"/>
      </w:pPr>
      <w:r>
        <w:rPr>
          <w:i/>
          <w:sz w:val="20"/>
        </w:rPr>
        <w:t>EN: Pd Nanoparticles Versus Single Atoms on CuTi‐LDH: Reversing Photoinduced Charge Transfer to Switch Radical Generation Pathway for Selective Methane Photooxidation</w:t>
      </w:r>
    </w:p>
    <w:p>
      <w:pPr>
        <w:spacing w:before="0" w:after="120"/>
      </w:pPr>
      <w:r>
        <w:rPr>
          <w:b/>
        </w:rPr>
        <w:t xml:space="preserve">Source: </w:t>
      </w:r>
      <w:r>
        <w:t>Wiley: Angewandte Chemie International Edition: Table of Contents</w:t>
      </w:r>
      <w:r>
        <w:t xml:space="preserve">    </w:t>
      </w:r>
      <w:r>
        <w:rPr>
          <w:b/>
        </w:rPr>
        <w:t xml:space="preserve">Pub date: </w:t>
      </w:r>
      <w:r>
        <w:t>2026-07-21 12:15:45+00:00</w:t>
      </w:r>
      <w:r>
        <w:t xml:space="preserve">    </w:t>
      </w:r>
      <w:r>
        <w:rPr>
          <w:b/>
        </w:rPr>
        <w:t xml:space="preserve">DOI: </w:t>
      </w:r>
      <w:hyperlink r:id="rId496">
        <w:r>
          <w:rPr>
            <w:color w:val="1155CC"/>
            <w:u w:val="single"/>
          </w:rPr>
          <w:t>10.1002/anie.6309493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光催化甲烷转化为液体产品为有效利用甲烷同时能够产生增值化学品提供了一条有前途的途径。然而，反应途径固有的复杂性和不可控性使得同时实现高 C 值变得极具挑战性。</w:t>
      </w:r>
      <w:r>
        <w:rPr>
          <w:vertAlign w:val="subscript"/>
        </w:rPr>
        <w:t>1</w:t>
      </w:r>
      <w:r>
        <w:t>产物收率高，选择性高。在这项研究中，我们报道了一种钯纳米颗粒负载的 CuTi 层状双氢氧化物（LDH）催化剂（Pd</w:t>
      </w:r>
      <w:r>
        <w:t xml:space="preserve"> </w:t>
      </w:r>
      <w:r>
        <w:t>纳米粒子</w:t>
      </w:r>
      <w:r>
        <w:t xml:space="preserve"> </w:t>
      </w:r>
      <w:r>
        <w:t>‐CuTi-LDH)，实现了高 C</w:t>
      </w:r>
      <w:r>
        <w:rPr>
          <w:vertAlign w:val="subscript"/>
        </w:rPr>
        <w:t>1</w:t>
      </w:r>
      <w:r>
        <w:t>液态氧产量为 7220.7 µmol g</w:t>
      </w:r>
      <w:r>
        <w:t xml:space="preserve"> </w:t>
      </w:r>
      <w:r>
        <w:t>−1</w:t>
      </w:r>
      <w:r>
        <w:t xml:space="preserve"> </w:t>
      </w:r>
      <w:r>
        <w:t>小时</w:t>
      </w:r>
      <w:r>
        <w:t xml:space="preserve"> </w:t>
      </w:r>
      <w:r>
        <w:t>−1</w:t>
      </w:r>
      <w:r>
        <w:t xml:space="preserve"> </w:t>
      </w:r>
      <w:r>
        <w:t>，超过了 Pd 单原子负载的 CuTi-LDH（Pd</w:t>
      </w:r>
      <w:r>
        <w:rPr>
          <w:vertAlign w:val="subscript"/>
        </w:rPr>
        <w:t>1</w:t>
      </w:r>
      <w:r>
        <w:t>‐CuTi-LDH) 提高了三倍，同时保持了 99.7% 的出色选择性。机理研究表明·OH 和·OOH 自由基的量是催化性能的关键决定因素。有趣的是，原位 XAFS 分析表明，Pd 尺寸调制会在光照射下诱导光生电子和空穴的空间分离，将它们导向不同的金属物种。进一步的自由基动力学评估表明，主要源自 H 的·OH 自由基具有独特的电荷转移行为</w:t>
      </w:r>
      <w:r>
        <w:rPr>
          <w:vertAlign w:val="subscript"/>
        </w:rPr>
        <w:t>2</w:t>
      </w:r>
      <w:r>
        <w:t>钯上的氧</w:t>
      </w:r>
      <w:r>
        <w:t xml:space="preserve"> </w:t>
      </w:r>
      <w:r>
        <w:t>纳米粒子</w:t>
      </w:r>
      <w:r>
        <w:t xml:space="preserve"> </w:t>
      </w:r>
      <w:r>
        <w:t>‐CuTi-LDH，而它们主要来自 O</w:t>
      </w:r>
    </w:p>
    <w:p>
      <w:pPr>
        <w:spacing w:before="0" w:after="200" w:lineRule="auto" w:line="276"/>
      </w:pPr>
      <w:r>
        <w:rPr>
          <w:b/>
        </w:rPr>
        <w:t xml:space="preserve">Abstract (EN): </w:t>
      </w:r>
      <w:r>
        <w:t>Photocatalytic methane conversion to liquid products offers a promising route for the efficient utilization of methane while enabling the generation of value‐added chemicals. However, the inherent complexity and uncontrollable nature of the reaction pathways make it extremely challenging to simultaneously achieve high C</w:t>
      </w:r>
      <w:r>
        <w:rPr>
          <w:vertAlign w:val="subscript"/>
        </w:rPr>
        <w:t>1</w:t>
      </w:r>
      <w:r>
        <w:t>product yield with high selectivity. In this study, we report a Pd nanoparticle‐supported CuTi layered double hydroxide (LDH) catalyst (Pd</w:t>
      </w:r>
      <w:r>
        <w:t xml:space="preserve"> </w:t>
      </w:r>
      <w:r>
        <w:t>NPs</w:t>
      </w:r>
      <w:r>
        <w:t xml:space="preserve"> </w:t>
      </w:r>
      <w:r>
        <w:t>‐CuTi‐LDH), which achieves a high C</w:t>
      </w:r>
      <w:r>
        <w:rPr>
          <w:vertAlign w:val="subscript"/>
        </w:rPr>
        <w:t>1</w:t>
      </w:r>
      <w:r>
        <w:t>liquid‐oxygenates yield of 7220.7 µmol g</w:t>
      </w:r>
      <w:r>
        <w:t xml:space="preserve"> </w:t>
      </w:r>
      <w:r>
        <w:t>−1</w:t>
      </w:r>
      <w:r>
        <w:t xml:space="preserve"> </w:t>
      </w:r>
      <w:r>
        <w:t>h</w:t>
      </w:r>
      <w:r>
        <w:t xml:space="preserve"> </w:t>
      </w:r>
      <w:r>
        <w:t>−1</w:t>
      </w:r>
      <w:r>
        <w:t xml:space="preserve"> </w:t>
      </w:r>
      <w:r>
        <w:t>, exceeding that of Pd single atoms‐supported CuTi‐LDH (Pd</w:t>
      </w:r>
      <w:r>
        <w:rPr>
          <w:vertAlign w:val="subscript"/>
        </w:rPr>
        <w:t>1</w:t>
      </w:r>
      <w:r>
        <w:t>‐CuTi‐LDH) by threefold, while maintaining an outstanding selectivity of 99.7%. Mechanistic investigations reveal the amounts of ·OH and ·OOH radicals as the key determinant of catalytic performance. Interestingly, in situ XAFS analyses indicate that Pd size modulation induces a spatial separation of photogenerated electrons and holes under light irradiation, directing them toward different metal species. Further radical kinetic evaluations demonstrate the distinct charge‐transfer behavior results in ·OH radicals mainly originating from H</w:t>
      </w:r>
      <w:r>
        <w:rPr>
          <w:vertAlign w:val="subscript"/>
        </w:rPr>
        <w:t>2</w:t>
      </w:r>
      <w:r>
        <w:t>O on Pd</w:t>
      </w:r>
      <w:r>
        <w:t xml:space="preserve"> </w:t>
      </w:r>
      <w:r>
        <w:t>NPs</w:t>
      </w:r>
      <w:r>
        <w:t xml:space="preserve"> </w:t>
      </w:r>
      <w:r>
        <w:t>‐CuTi‐LDH, whereas they predominantly arise from O</w:t>
      </w:r>
      <w:r>
        <w:rPr>
          <w:vertAlign w:val="subscript"/>
        </w:rPr>
        <w:t>2</w:t>
      </w:r>
      <w:r>
        <w:t>on Pd</w:t>
      </w:r>
      <w:r>
        <w:rPr>
          <w:vertAlign w:val="subscript"/>
        </w:rPr>
        <w:t>1</w:t>
      </w:r>
      <w:r>
        <w:t>‐CuTi‐LDH. Consistently, theoretical calculations reveal the Pd</w:t>
      </w:r>
      <w:r>
        <w:t xml:space="preserve"> </w:t>
      </w:r>
      <w:r>
        <w:t>NPs</w:t>
      </w:r>
      <w:r>
        <w:t xml:space="preserve"> </w:t>
      </w:r>
      <w:r>
        <w:t>‐CuTi‐LDH possesses lower formation energies for both ·OH (Δ</w:t>
      </w:r>
      <w:r>
        <w:t xml:space="preserve"> </w:t>
      </w:r>
      <w:r>
        <w:t>E</w:t>
      </w:r>
      <w:r>
        <w:t xml:space="preserve"> </w:t>
      </w:r>
      <w:r>
        <w:t>= −0.86 eV) and ·OOH (Δ</w:t>
      </w:r>
      <w:r>
        <w:t xml:space="preserve"> </w:t>
      </w:r>
      <w:r>
        <w:t>E</w:t>
      </w:r>
      <w:r>
        <w:t xml:space="preserve"> </w:t>
      </w:r>
      <w:r>
        <w:t>= −0.27 eV), thereby promoting more efficient methane conversion.</w:t>
      </w:r>
    </w:p>
    <w:p>
      <w:pPr>
        <w:spacing w:before="120" w:after="120"/>
      </w:pPr>
      <w:r>
        <w:rPr>
          <w:sz w:val="18"/>
        </w:rPr>
        <w:t>——————————————————————————————————————————————————————————————————————</w:t>
      </w:r>
    </w:p>
    <w:p>
      <w:pPr>
        <w:spacing w:before="160" w:after="40" w:line="240" w:lineRule="auto"/>
      </w:pPr>
      <w:r>
        <w:rPr>
          <w:b/>
        </w:rPr>
        <w:t xml:space="preserve">[28] </w:t>
      </w:r>
      <w:hyperlink r:id="rId407">
        <w:r>
          <w:rPr>
            <w:color w:val="1155CC"/>
            <w:u w:val="single"/>
          </w:rPr>
          <w:t>不对称 Ni-O-Co 活性位点诱导自旋态跃迁，打破尿素电解性能权衡</w:t>
        </w:r>
      </w:hyperlink>
    </w:p>
    <w:p>
      <w:pPr>
        <w:spacing w:before="0" w:after="80"/>
      </w:pPr>
      <w:r>
        <w:rPr>
          <w:i/>
          <w:sz w:val="20"/>
        </w:rPr>
        <w:t>EN: Asymmetric Ni–O–Co Active Sites Induce Spin‐State Transitions to Break Performance Trade‐Offs in Urea Electrolysis</w:t>
      </w:r>
    </w:p>
    <w:p>
      <w:pPr>
        <w:spacing w:before="0" w:after="120"/>
      </w:pPr>
      <w:r>
        <w:rPr>
          <w:b/>
        </w:rPr>
        <w:t xml:space="preserve">Source: </w:t>
      </w:r>
      <w:r>
        <w:t>Wiley: Angewandte Chemie International Edition: Table of Contents</w:t>
      </w:r>
      <w:r>
        <w:t xml:space="preserve">    </w:t>
      </w:r>
      <w:r>
        <w:rPr>
          <w:b/>
        </w:rPr>
        <w:t xml:space="preserve">Pub date: </w:t>
      </w:r>
      <w:r>
        <w:t>2026-07-21 12:21:14+00:00</w:t>
      </w:r>
      <w:r>
        <w:t xml:space="preserve">    </w:t>
      </w:r>
      <w:r>
        <w:rPr>
          <w:b/>
        </w:rPr>
        <w:t xml:space="preserve">DOI: </w:t>
      </w:r>
      <w:hyperlink r:id="rId408">
        <w:r>
          <w:rPr>
            <w:color w:val="1155CC"/>
            <w:u w:val="single"/>
          </w:rPr>
          <w:t>10.1002/anie.6255291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尿素辅助水电解代表了并行制氢和废水修复的可持续范例；然而，其效率从根本上受到尿素活化和 CO 之间的 Sabatier 权衡的限制</w:t>
      </w:r>
      <w:r>
        <w:rPr>
          <w:vertAlign w:val="subscript"/>
        </w:rPr>
        <w:t>2</w:t>
      </w:r>
      <w:r>
        <w:t>产物解吸。在这里，我们报告了一种不对称电子结构工程策略，通过将原子分散的 Ni 结合到 Co 中来克服这一瓶颈</w:t>
      </w:r>
      <w:r>
        <w:rPr>
          <w:vertAlign w:val="subscript"/>
        </w:rPr>
        <w:t>3</w:t>
      </w:r>
      <w:r>
        <w:t>氧</w:t>
      </w:r>
      <w:r>
        <w:rPr>
          <w:vertAlign w:val="subscript"/>
        </w:rPr>
        <w:t>4</w:t>
      </w:r>
      <w:r>
        <w:t>立方空心纳米盒。不对称Ni-O-Co位点的构建引发了八面体Co的临界自旋态转变</w:t>
      </w:r>
      <w:r>
        <w:t xml:space="preserve"> </w:t>
      </w:r>
      <w:r>
        <w:t>3+</w:t>
      </w:r>
      <w:r>
        <w:t xml:space="preserve"> </w:t>
      </w:r>
      <w:r>
        <w:t>通过晶格畸变和极化从低自旋到中自旋。这种电子重构有效地增强了尿素结合，同时削弱了有毒*CO的吸附</w:t>
      </w:r>
      <w:r>
        <w:rPr>
          <w:vertAlign w:val="subscript"/>
        </w:rPr>
        <w:t>2</w:t>
      </w:r>
      <w:r>
        <w:t>中间体。通过超亲水和超疏气表面的协同作用，促进气泡快速释放，Ni</w:t>
      </w:r>
      <w:r>
        <w:t xml:space="preserve"> </w:t>
      </w:r>
      <w:r>
        <w:t>国家标准委员会</w:t>
      </w:r>
      <w:r>
        <w:t xml:space="preserve"> </w:t>
      </w:r>
      <w:r>
        <w:t>‐钴</w:t>
      </w:r>
      <w:r>
        <w:rPr>
          <w:vertAlign w:val="subscript"/>
        </w:rPr>
        <w:t>3</w:t>
      </w:r>
      <w:r>
        <w:t>氧</w:t>
      </w:r>
      <w:r>
        <w:rPr>
          <w:vertAlign w:val="subscript"/>
        </w:rPr>
        <w:t>4</w:t>
      </w:r>
      <w:r>
        <w:t>催化剂实现了 1.32 V 的极低尿素氧化电位。在全电池配置中，系统提供 10 mA·cm 的电流密度</w:t>
      </w:r>
      <w:r>
        <w:t xml:space="preserve"> </w:t>
      </w:r>
      <w:r>
        <w:t>−2</w:t>
      </w:r>
      <w:r>
        <w:t xml:space="preserve"> </w:t>
      </w:r>
      <w:r>
        <w:t>仅需 1.34 V，与传统水分解相比，氢气产量增加一倍，同时实现 96.7% 的尿素降解效率</w:t>
      </w:r>
    </w:p>
    <w:p>
      <w:pPr>
        <w:spacing w:before="0" w:after="200" w:lineRule="auto" w:line="276"/>
      </w:pPr>
      <w:r>
        <w:rPr>
          <w:b/>
        </w:rPr>
        <w:t xml:space="preserve">Abstract (EN): </w:t>
      </w:r>
      <w:r>
        <w:t>Urea‐assisted water electrolysis represents a sustainable paradigm for concurrent hydrogen production and wastewater remediation; however, its efficiency is fundamentally limited by the Sabatier trade‐off between urea activation and CO</w:t>
      </w:r>
      <w:r>
        <w:rPr>
          <w:vertAlign w:val="subscript"/>
        </w:rPr>
        <w:t>2</w:t>
      </w:r>
      <w:r>
        <w:t>product desorption. Here, we report an asymmetric electronic structure engineering strategy to overcome this bottleneck by incorporating atomically dispersed Ni into Co</w:t>
      </w:r>
      <w:r>
        <w:rPr>
          <w:vertAlign w:val="subscript"/>
        </w:rPr>
        <w:t>3</w:t>
      </w:r>
      <w:r>
        <w:t>O</w:t>
      </w:r>
      <w:r>
        <w:rPr>
          <w:vertAlign w:val="subscript"/>
        </w:rPr>
        <w:t>4</w:t>
      </w:r>
      <w:r>
        <w:t>cubic hollow nanoboxes. The construction of asymmetric Ni–O–Co sites triggers a critical spin‐state transition of octahedral Co</w:t>
      </w:r>
      <w:r>
        <w:t xml:space="preserve"> </w:t>
      </w:r>
      <w:r>
        <w:t>3+</w:t>
      </w:r>
      <w:r>
        <w:t xml:space="preserve"> </w:t>
      </w:r>
      <w:r>
        <w:t>from low‐spin to intermediate‐spin through lattice distortion and polarization. This electronic reconfiguration effectively strengthens urea binding while simultaneously weakening the adsorption of poisonous *CO</w:t>
      </w:r>
      <w:r>
        <w:rPr>
          <w:vertAlign w:val="subscript"/>
        </w:rPr>
        <w:t>2</w:t>
      </w:r>
      <w:r>
        <w:t>intermediates. Synergized by a superhydrophilic and superaerophobic surface that facilitates rapid bubble release, the Ni</w:t>
      </w:r>
      <w:r>
        <w:t xml:space="preserve"> </w:t>
      </w:r>
      <w:r>
        <w:t>SAC</w:t>
      </w:r>
      <w:r>
        <w:t xml:space="preserve"> </w:t>
      </w:r>
      <w:r>
        <w:t>‐Co</w:t>
      </w:r>
      <w:r>
        <w:rPr>
          <w:vertAlign w:val="subscript"/>
        </w:rPr>
        <w:t>3</w:t>
      </w:r>
      <w:r>
        <w:t>O</w:t>
      </w:r>
      <w:r>
        <w:rPr>
          <w:vertAlign w:val="subscript"/>
        </w:rPr>
        <w:t>4</w:t>
      </w:r>
      <w:r>
        <w:t>catalyst achieves an exceptionally low potential of 1.32 V for urea oxidation. In a full‐cell configuration, the system delivers a current density of 10 mA·cm</w:t>
      </w:r>
      <w:r>
        <w:t xml:space="preserve"> </w:t>
      </w:r>
      <w:r>
        <w:t>−2</w:t>
      </w:r>
      <w:r>
        <w:t xml:space="preserve"> </w:t>
      </w:r>
      <w:r>
        <w:t>at only 1.34 V, doubling the hydrogen output compared to traditional water splitting while achieving a 96.7% urea degradation efficiency. Life cycle assessment further validates the environmental superiority of this system. Our work provides a versatile design principle for tailoring spin states in asymmetric architectures to break linear scaling relationships in complex multi‐electron electrocatalysis.</w:t>
      </w:r>
    </w:p>
    <w:p>
      <w:pPr>
        <w:spacing w:before="120" w:after="120"/>
      </w:pPr>
      <w:r>
        <w:rPr>
          <w:sz w:val="18"/>
        </w:rPr>
        <w:t>——————————————————————————————————————————————————————————————————————</w:t>
      </w:r>
    </w:p>
    <w:p>
      <w:pPr>
        <w:spacing w:before="160" w:after="40" w:line="240" w:lineRule="auto"/>
      </w:pPr>
      <w:r>
        <w:rPr>
          <w:b/>
        </w:rPr>
        <w:t xml:space="preserve">[29] </w:t>
      </w:r>
      <w:hyperlink r:id="rId409">
        <w:r>
          <w:rPr>
            <w:color w:val="1155CC"/>
            <w:u w:val="single"/>
          </w:rPr>
          <w:t>用于设计氧电催化剂的机械可解释人工智能</w:t>
        </w:r>
      </w:hyperlink>
    </w:p>
    <w:p>
      <w:pPr>
        <w:spacing w:before="0" w:after="80"/>
      </w:pPr>
      <w:r>
        <w:rPr>
          <w:i/>
          <w:sz w:val="20"/>
        </w:rPr>
        <w:t>EN: Mechanistically Interpretable Artificial Intelligence for Designing Oxygen Electrocatalysts</w:t>
      </w:r>
    </w:p>
    <w:p>
      <w:pPr>
        <w:spacing w:before="0" w:after="120"/>
      </w:pPr>
      <w:r>
        <w:rPr>
          <w:b/>
        </w:rPr>
        <w:t xml:space="preserve">Source: </w:t>
      </w:r>
      <w:r>
        <w:t>Wiley: Advanced Materials: Table of Contents</w:t>
      </w:r>
      <w:r>
        <w:t xml:space="preserve">    </w:t>
      </w:r>
      <w:r>
        <w:rPr>
          <w:b/>
        </w:rPr>
        <w:t xml:space="preserve">Pub date: </w:t>
      </w:r>
      <w:r>
        <w:t>2026-07-21 13:32:38+00:00</w:t>
      </w:r>
      <w:r>
        <w:t xml:space="preserve">    </w:t>
      </w:r>
      <w:r>
        <w:rPr>
          <w:b/>
        </w:rPr>
        <w:t xml:space="preserve">DOI: </w:t>
      </w:r>
      <w:hyperlink r:id="rId410">
        <w:r>
          <w:rPr>
            <w:color w:val="1155CC"/>
            <w:u w:val="single"/>
          </w:rPr>
          <w:t>10.1002/adma.74212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氧还原和析氧反应（ORR 和 OER）是能量转换和化学转化的关键电化学过程。然而，ORR/OER 固有的复杂性、多物理性质以及不同的操作环境对基于结构-性能关系的电催化剂的合理设计提出了重大挑战。为了克服这些挑战，我们开发了两阶段材料筛选（TSMS），这是一种人工智能驱动的框架，集成了密度泛函理论（DFT）计算、主动学习引导的实验反馈循环和机制解释，以实现快速发现和系统评估有前途的电催化剂。在质子固体氧化物电池 (P-SOC) 中进行验证，TSMS 筛选了 6,940,032 种成分，并确定了经过实验验证的性能最佳的候选材料，实现了 2.68 W cm 的峰值功率密度</w:t>
      </w:r>
      <w:r>
        <w:t xml:space="preserve"> </w:t>
      </w:r>
      <w:r>
        <w:t>−2</w:t>
      </w:r>
      <w:r>
        <w:t xml:space="preserve"> </w:t>
      </w:r>
      <w:r>
        <w:t>在燃料电池模式下，电流密度为 3.51 A cm</w:t>
      </w:r>
      <w:r>
        <w:t xml:space="preserve"> </w:t>
      </w:r>
      <w:r>
        <w:t>−2</w:t>
      </w:r>
      <w:r>
        <w:t xml:space="preserve"> </w:t>
      </w:r>
      <w:r>
        <w:t>在电解模式下电压为 1.3 V，在 600°C 下可保持 500 小时以上的稳定性能。我们的分析表明，电子亲和力与热力学稳定性密切相关，而</w:t>
      </w:r>
      <w:r>
        <w:t xml:space="preserve"> </w:t>
      </w:r>
      <w:r>
        <w:t>d-p</w:t>
      </w:r>
      <w:r>
        <w:t xml:space="preserve"> </w:t>
      </w:r>
      <w:r>
        <w:t>杂交和致密化抗性成为控制电催化活性的主要描述符。通过将预测建模与机械理解相结合，TSMS 建立了一个通用且广泛推广的范式，用于加速制造</w:t>
      </w:r>
    </w:p>
    <w:p>
      <w:pPr>
        <w:spacing w:before="0" w:after="200" w:lineRule="auto" w:line="276"/>
      </w:pPr>
      <w:r>
        <w:rPr>
          <w:b/>
        </w:rPr>
        <w:t xml:space="preserve">Abstract (EN): </w:t>
      </w:r>
      <w:r>
        <w:t>Oxygen reduction and evolution reactions (ORR and OER) are key electrochemical processes central to energy conversion and chemical transformation. However, the inherently complex, multi‐physics nature of ORR/OER—together with diverse operating environments—poses significant challenges to the rational design of electrocatalysts based on structure–property relationships. To overcome these challenges, we developed Two‐Stage Material Screening (TSMS), an AI‐driven framework that integrates density functional theory (DFT) computations, an active‐learning‐guided experimental feedback loop, and mechanistic interpretation to enable rapid discovery and systematic evaluation of promising electrocatalysts. Demonstrated in protonic solid oxide cells (P‐SOCs), TSMS screened 6,940,032 compositions and identified top‐performing candidates that were experimentally validated, achieving a peak power density of 2.68 W cm</w:t>
      </w:r>
      <w:r>
        <w:t xml:space="preserve"> </w:t>
      </w:r>
      <w:r>
        <w:t>−2</w:t>
      </w:r>
      <w:r>
        <w:t xml:space="preserve"> </w:t>
      </w:r>
      <w:r>
        <w:t>in fuel cell mode and a current density of 3.51 A cm</w:t>
      </w:r>
      <w:r>
        <w:t xml:space="preserve"> </w:t>
      </w:r>
      <w:r>
        <w:t>−2</w:t>
      </w:r>
      <w:r>
        <w:t xml:space="preserve"> </w:t>
      </w:r>
      <w:r>
        <w:t>at 1.3 V in electrolysis mode, with stable performance maintained over 500 h at 600°C. Our analysis revealed that electron affinity is strongly associated with thermodynamic stability, while</w:t>
      </w:r>
      <w:r>
        <w:t xml:space="preserve"> </w:t>
      </w:r>
      <w:r>
        <w:t>d‐p</w:t>
      </w:r>
      <w:r>
        <w:t xml:space="preserve"> </w:t>
      </w:r>
      <w:r>
        <w:t>hybridization and densification resistance emerge as the primary descriptors governing electrocatalytic activity. By combining predictive modeling with mechanistic understanding, TSMS establishes a versatile and broadly generalizable paradigm for accelerating materials discovery.</w:t>
      </w:r>
    </w:p>
    <w:p>
      <w:pPr>
        <w:spacing w:before="120" w:after="120"/>
      </w:pPr>
      <w:r>
        <w:rPr>
          <w:sz w:val="18"/>
        </w:rPr>
        <w:t>——————————————————————————————————————————————————————————————————————</w:t>
      </w:r>
    </w:p>
    <w:p>
      <w:pPr>
        <w:spacing w:before="160" w:after="40" w:line="240" w:lineRule="auto"/>
      </w:pPr>
      <w:r>
        <w:rPr>
          <w:b/>
        </w:rPr>
        <w:t xml:space="preserve">[30] </w:t>
      </w:r>
      <w:hyperlink r:id="rId497">
        <w:r>
          <w:rPr>
            <w:color w:val="1155CC"/>
            <w:u w:val="single"/>
          </w:rPr>
          <w:t>空间操纵共价有机框架的极性中心以促进过氧化氢光合作用和水净化</w:t>
        </w:r>
      </w:hyperlink>
    </w:p>
    <w:p>
      <w:pPr>
        <w:spacing w:before="0" w:after="80"/>
      </w:pPr>
      <w:r>
        <w:rPr>
          <w:i/>
          <w:sz w:val="20"/>
        </w:rPr>
        <w:t>EN: Spatially Manipulating Polar Centers of Covalent Organic Frameworks for Boosting Hydrogen Peroxide Photosynthesis and Water Purification</w:t>
      </w:r>
    </w:p>
    <w:p>
      <w:pPr>
        <w:spacing w:before="0" w:after="120"/>
      </w:pPr>
      <w:r>
        <w:rPr>
          <w:b/>
        </w:rPr>
        <w:t xml:space="preserve">Source: </w:t>
      </w:r>
      <w:r>
        <w:t>Wiley: Angewandte Chemie International Edition: Table of Contents</w:t>
      </w:r>
      <w:r>
        <w:t xml:space="preserve">    </w:t>
      </w:r>
      <w:r>
        <w:rPr>
          <w:b/>
        </w:rPr>
        <w:t xml:space="preserve">Pub date: </w:t>
      </w:r>
      <w:r>
        <w:t>2026-07-21 19:09:53+00:00</w:t>
      </w:r>
      <w:r>
        <w:t xml:space="preserve">    </w:t>
      </w:r>
      <w:r>
        <w:rPr>
          <w:b/>
        </w:rPr>
        <w:t xml:space="preserve">DOI: </w:t>
      </w:r>
      <w:hyperlink r:id="rId498">
        <w:r>
          <w:rPr>
            <w:color w:val="1155CC"/>
            <w:u w:val="single"/>
          </w:rPr>
          <w:t>10.1002/anie.2285238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过氧化氢（H</w:t>
      </w:r>
      <w:r>
        <w:rPr>
          <w:vertAlign w:val="subscript"/>
        </w:rPr>
        <w:t>2</w:t>
      </w:r>
      <w:r>
        <w:t>氧</w:t>
      </w:r>
      <w:r>
        <w:rPr>
          <w:vertAlign w:val="subscript"/>
        </w:rPr>
        <w:t>2</w:t>
      </w:r>
      <w:r>
        <w:t>) H 的光合作用</w:t>
      </w:r>
      <w:r>
        <w:rPr>
          <w:vertAlign w:val="subscript"/>
        </w:rPr>
        <w:t>2</w:t>
      </w:r>
      <w:r>
        <w:t>奥和奥</w:t>
      </w:r>
      <w:r>
        <w:rPr>
          <w:vertAlign w:val="subscript"/>
        </w:rPr>
        <w:t>2</w:t>
      </w:r>
      <w:r>
        <w:t>使用共价有机框架（COF）是一种可持续的方法，但由于水吸附和电荷分离不足，其效率受到水氧化反应（WOR）缓慢的限制。在此，我们提出了一种简便且通用的极中心空间操纵策略，以实现高效的 H</w:t>
      </w:r>
      <w:r>
        <w:rPr>
          <w:vertAlign w:val="subscript"/>
        </w:rPr>
        <w:t>2</w:t>
      </w:r>
      <w:r>
        <w:t>氧</w:t>
      </w:r>
      <w:r>
        <w:rPr>
          <w:vertAlign w:val="subscript"/>
        </w:rPr>
        <w:t>2</w:t>
      </w:r>
      <w:r>
        <w:t>COF通过将高极性C=N键转换为具有弱极性喹啉主链和超极性羧基侧链的4-羧基-喹啉基键（形成COF-TBC）来进行光合作用。这种极性中心侧移策略同时增强了COF-TBC的水吸附（通过极性羧基侧链）和水活化（通过沿着低极性喹啉主链的有效激子形成和分离实现），降低了决定速率的WOR的能垒，并实现了出色且稳定的H</w:t>
      </w:r>
      <w:r>
        <w:rPr>
          <w:vertAlign w:val="subscript"/>
        </w:rPr>
        <w:t>2</w:t>
      </w:r>
      <w:r>
        <w:t>氧</w:t>
      </w:r>
      <w:r>
        <w:rPr>
          <w:vertAlign w:val="subscript"/>
        </w:rPr>
        <w:t>2</w:t>
      </w:r>
      <w:r>
        <w:t>光合作用产生O</w:t>
      </w:r>
      <w:r>
        <w:rPr>
          <w:vertAlign w:val="subscript"/>
        </w:rPr>
        <w:t>2</w:t>
      </w:r>
      <w:r>
        <w:t>和H</w:t>
      </w:r>
      <w:r>
        <w:rPr>
          <w:vertAlign w:val="subscript"/>
        </w:rPr>
        <w:t>2</w:t>
      </w:r>
      <w:r>
        <w:t>O 无牺牲剂 (5624 µmol g</w:t>
      </w:r>
      <w:r>
        <w:t xml:space="preserve"> </w:t>
      </w:r>
      <w:r>
        <w:t>−1</w:t>
      </w:r>
      <w:r>
        <w:t xml:space="preserve"> </w:t>
      </w:r>
      <w:r>
        <w:t>小时</w:t>
      </w:r>
      <w:r>
        <w:t xml:space="preserve"> </w:t>
      </w:r>
      <w:r>
        <w:t>−1</w:t>
      </w:r>
      <w:r>
        <w:t xml:space="preserve"> </w:t>
      </w:r>
      <w:r>
        <w:t>，累积至 41 mM，太阳能转化为化学物质的效率为 0.72%</w:t>
      </w:r>
    </w:p>
    <w:p>
      <w:pPr>
        <w:spacing w:before="0" w:after="200" w:lineRule="auto" w:line="276"/>
      </w:pPr>
      <w:r>
        <w:rPr>
          <w:b/>
        </w:rPr>
        <w:t xml:space="preserve">Abstract (EN): </w:t>
      </w:r>
      <w:r>
        <w:t>Hydrogen peroxide (H</w:t>
      </w:r>
      <w:r>
        <w:rPr>
          <w:vertAlign w:val="subscript"/>
        </w:rPr>
        <w:t>2</w:t>
      </w:r>
      <w:r>
        <w:t>O</w:t>
      </w:r>
      <w:r>
        <w:rPr>
          <w:vertAlign w:val="subscript"/>
        </w:rPr>
        <w:t>2</w:t>
      </w:r>
      <w:r>
        <w:t>) photosynthesis from H</w:t>
      </w:r>
      <w:r>
        <w:rPr>
          <w:vertAlign w:val="subscript"/>
        </w:rPr>
        <w:t>2</w:t>
      </w:r>
      <w:r>
        <w:t>O and O</w:t>
      </w:r>
      <w:r>
        <w:rPr>
          <w:vertAlign w:val="subscript"/>
        </w:rPr>
        <w:t>2</w:t>
      </w:r>
      <w:r>
        <w:t>using covalent organic frameworks (COFs) is a sustainable approach, yet its efficiency is restricted by a sluggish water oxidation reaction (WOR) due to insufficient water adsorption and charge separation. Herein, we propose a facile and universal polar center spatial‐manipulation strategy to enable efficient H</w:t>
      </w:r>
      <w:r>
        <w:rPr>
          <w:vertAlign w:val="subscript"/>
        </w:rPr>
        <w:t>2</w:t>
      </w:r>
      <w:r>
        <w:t>O</w:t>
      </w:r>
      <w:r>
        <w:rPr>
          <w:vertAlign w:val="subscript"/>
        </w:rPr>
        <w:t>2</w:t>
      </w:r>
      <w:r>
        <w:t>photosynthesis by COFs via converting high‐polarity C═N linkages into 4‐carboxyl‐quinolyl linkages with weakened‐polarity quinoline backbones and ultra‐polar carboxyl side chains (forming COF‐TBC). This polar‐center side‐shifting strategy concurrently enhances water adsorption (via the polar carboxyl side chain) and water activation (enabled by efficient exciton formation and separation along the low‐polarity quinoline backbone) by COF‐TBC, lowering the energy barrier of the rate‐determining WOR and achieving outstanding and stable H</w:t>
      </w:r>
      <w:r>
        <w:rPr>
          <w:vertAlign w:val="subscript"/>
        </w:rPr>
        <w:t>2</w:t>
      </w:r>
      <w:r>
        <w:t>O</w:t>
      </w:r>
      <w:r>
        <w:rPr>
          <w:vertAlign w:val="subscript"/>
        </w:rPr>
        <w:t>2</w:t>
      </w:r>
      <w:r>
        <w:t>photosynthesis from O</w:t>
      </w:r>
      <w:r>
        <w:rPr>
          <w:vertAlign w:val="subscript"/>
        </w:rPr>
        <w:t>2</w:t>
      </w:r>
      <w:r>
        <w:t>and H</w:t>
      </w:r>
      <w:r>
        <w:rPr>
          <w:vertAlign w:val="subscript"/>
        </w:rPr>
        <w:t>2</w:t>
      </w:r>
      <w:r>
        <w:t>O without sacrificial agents (5624 µmol g</w:t>
      </w:r>
      <w:r>
        <w:t xml:space="preserve"> </w:t>
      </w:r>
      <w:r>
        <w:t>−1</w:t>
      </w:r>
      <w:r>
        <w:t xml:space="preserve"> </w:t>
      </w:r>
      <w:r>
        <w:t>h</w:t>
      </w:r>
      <w:r>
        <w:t xml:space="preserve"> </w:t>
      </w:r>
      <w:r>
        <w:t>−1</w:t>
      </w:r>
      <w:r>
        <w:t xml:space="preserve"> </w:t>
      </w:r>
      <w:r>
        <w:t>, accumulating to 41 mM, solar‐to‐chemical efficiency of 0.72%). The polar‐center side‐shifting strategy can be extended to modify other COFs for enhancing H</w:t>
      </w:r>
      <w:r>
        <w:rPr>
          <w:vertAlign w:val="subscript"/>
        </w:rPr>
        <w:t>2</w:t>
      </w:r>
      <w:r>
        <w:t>O</w:t>
      </w:r>
      <w:r>
        <w:rPr>
          <w:vertAlign w:val="subscript"/>
        </w:rPr>
        <w:t>2</w:t>
      </w:r>
      <w:r>
        <w:t>photosynthesis, indicating its universality. COF‐TBC maintains high H</w:t>
      </w:r>
      <w:r>
        <w:rPr>
          <w:vertAlign w:val="subscript"/>
        </w:rPr>
        <w:t>2</w:t>
      </w:r>
      <w:r>
        <w:t>O</w:t>
      </w:r>
      <w:r>
        <w:rPr>
          <w:vertAlign w:val="subscript"/>
        </w:rPr>
        <w:t>2</w:t>
      </w:r>
      <w:r>
        <w:t>yield in complex real‐water matrices and can be integrated into membrane‐based and continuous‐flow reactors for successive H</w:t>
      </w:r>
      <w:r>
        <w:rPr>
          <w:vertAlign w:val="subscript"/>
        </w:rPr>
        <w:t>2</w:t>
      </w:r>
      <w:r>
        <w:t>O</w:t>
      </w:r>
      <w:r>
        <w:rPr>
          <w:vertAlign w:val="subscript"/>
        </w:rPr>
        <w:t>2</w:t>
      </w:r>
      <w:r>
        <w:t>generation under natural sunlight. COF‐TBC also exhibits efficient photocatalytic performance toward organic contaminant degradation and microorganism inactivation, highlighting its broad potential for water purification.</w:t>
      </w:r>
    </w:p>
    <w:p>
      <w:pPr>
        <w:spacing w:before="120" w:after="120"/>
      </w:pPr>
      <w:r>
        <w:rPr>
          <w:sz w:val="18"/>
        </w:rPr>
        <w:t>——————————————————————————————————————————————————————————————————————</w:t>
      </w:r>
    </w:p>
    <w:p>
      <w:pPr>
        <w:spacing w:before="160" w:after="40" w:line="240" w:lineRule="auto"/>
      </w:pPr>
      <w:r>
        <w:rPr>
          <w:b/>
        </w:rPr>
        <w:t xml:space="preserve">[31] </w:t>
      </w:r>
      <w:hyperlink r:id="rId499">
        <w:r>
          <w:rPr>
            <w:color w:val="1155CC"/>
            <w:u w:val="single"/>
          </w:rPr>
          <w:t>通过电子调节双金属纳米粒子催化剂上的 CO 结合来提高 CO 氧化速率</w:t>
        </w:r>
      </w:hyperlink>
    </w:p>
    <w:p>
      <w:pPr>
        <w:spacing w:before="0" w:after="80"/>
      </w:pPr>
      <w:r>
        <w:rPr>
          <w:i/>
          <w:sz w:val="20"/>
        </w:rPr>
        <w:t>EN: Enhancing CO Oxidation Rate via Electronic Tuning of CO Binding on Bimetallic Nanoparticle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500">
        <w:r>
          <w:rPr>
            <w:color w:val="1155CC"/>
            <w:u w:val="single"/>
          </w:rPr>
          <w:t>10.1021/jacs.6c10886</w:t>
        </w:r>
      </w:hyperlink>
    </w:p>
    <w:p>
      <w:pPr>
        <w:spacing w:before="0" w:after="120"/>
      </w:pPr>
      <w:r>
        <w:rPr>
          <w:b/>
        </w:rPr>
        <w:t xml:space="preserve">Notes: </w:t>
      </w:r>
      <w:r>
        <w:t>abstract_source=pubmed</w:t>
      </w:r>
    </w:p>
    <w:p>
      <w:pPr>
        <w:spacing w:before="0" w:after="80" w:lineRule="auto" w:line="276"/>
      </w:pPr>
      <w:r>
        <w:rPr>
          <w:b/>
        </w:rPr>
        <w:t xml:space="preserve">摘要（ZH）: </w:t>
      </w:r>
      <w:r>
        <w:t>通常通过添加辅助金属来促进负载型金属催化剂（例如铂）上的催化 CO 氧化，但金属-金属和金属-氧化物界面上的界面协同作用相对于几何/电子效应的相对重要性取决于特定的系统，并且可能难以理清。现有的研究经常观察到电子促进与界面协同作用，但很少阐明改良的 CO 吸附如何转化为反应速率的变化。在这里，我们使用双金属 Pt-Co 催化剂作为模型系统来解开界面和电子的贡献。反应结果表明，Pt-Co/Al2O3 催化剂表现出比 Pt/Al2O3 显着更高的 CO 氧化速率，Pt3Co1/Al2O3 的周转频率增加了 46 倍，相对于 CO 的负反应级数较少（-0.14 与 -0.57），但与 O2 的负反应级数相当（0.72 与 0.80）。原位 CO-DRIFTS 支持动力学优势，揭示了 Co 掺入后 Pt 上的 CO 吸附减弱。尽管缺乏高密度氧化还原位点，Pt-Co/Al2O3 催化剂上的 CO 氧化速率与 Pt/CeO2 上的 CO 氧化速率相当，Pt/CeO2 是一种已知促进界面氧交换的催化剂。这种促进作用在 Pt-Ni 和 Pt-Cu 系统中得到体现，CO-DRIFTS 结果证实了 CO 结合减弱与速率提高之间存在联系的总体趋势。总之，这些结果在降低的 CO 结合强度和增强的 CO 氧化速率之间建立了直接联系，表明速率的提升来自电子修饰引起的 CO 覆盖率的降低，而不是来自金属氧化物界面位点</w:t>
      </w:r>
    </w:p>
    <w:p>
      <w:pPr>
        <w:spacing w:before="0" w:after="200" w:lineRule="auto" w:line="276"/>
      </w:pPr>
      <w:r>
        <w:rPr>
          <w:b/>
        </w:rPr>
        <w:t xml:space="preserve">Abstract (EN): </w:t>
      </w:r>
      <w:r>
        <w:t>Catalytic CO oxidation on supported metal catalysts, such as platinum, is often promoted by adding a secondary metal, yet the relative importance of interfacial synergy at metal-metal and metal-oxide interfaces over geometric/electronic effects depends on specific systems and can be difficult to disentangle. Existing studies frequently observe electronic promotion alongside interfacial synergy but rarely elucidate how modified CO adsorption translates to a reaction rate change. Here, we use bimetallic Pt-Co catalysts as model systems to disentangle interfacial and electronic contributions. Reaction results show that Pt-Co/Al2O3 catalysts exhibit significantly higher CO oxidation rates than Pt/Al2O3, a 46-fold increase in turnover frequency on Pt3Co1/Al2O3, with less negative reaction order with respect to CO (-0.14 vs -0.57) but comparable order to O2 (0.72 vs 0.80). The kinetic advantage is supported by in situ CO-DRIFTS, revealing weakened CO adsorption on Pt upon Co incorporation. Despite lacking high-density redox sites, the CO oxidation rates on Pt-Co/Al2O3 catalysts are comparable to those on Pt/CeO2, a catalyst known to promote interfacial oxygen exchange. This promotion effect is mirrored in Pt-Ni and Pt-Cu systems, and CO-DRIFTS results confirm a general trend linking weakened CO binding to enhanced rates. Together, these results establish a direct link between reduced CO binding strength and enhanced CO oxidation rates, demonstrating that the rate promotion arises from electronic modification-induced reduced CO coverage rather than from metal oxide interface sites. This work illustrates that the design of a bimetallic catalyst based on electronic structure modifications complements the conventional focus on interfacial active sites.</w:t>
      </w:r>
    </w:p>
    <w:p>
      <w:pPr>
        <w:spacing w:before="120" w:after="120"/>
      </w:pPr>
      <w:r>
        <w:rPr>
          <w:sz w:val="18"/>
        </w:rPr>
        <w:t>——————————————————————————————————————————————————————————————————————</w:t>
      </w:r>
    </w:p>
    <w:p>
      <w:pPr>
        <w:spacing w:before="160" w:after="40" w:line="240" w:lineRule="auto"/>
      </w:pPr>
      <w:r>
        <w:rPr>
          <w:b/>
        </w:rPr>
        <w:t xml:space="preserve">[32] </w:t>
      </w:r>
      <w:hyperlink r:id="rId501">
        <w:r>
          <w:rPr>
            <w:color w:val="1155CC"/>
            <w:u w:val="single"/>
          </w:rPr>
          <w:t>稳定 MOF 中的孤对电子控制气体可识别灵活性，可通过水性规模合成促进 C3H6/C3H8 分离</w:t>
        </w:r>
      </w:hyperlink>
    </w:p>
    <w:p>
      <w:pPr>
        <w:spacing w:before="0" w:after="80"/>
      </w:pPr>
      <w:r>
        <w:rPr>
          <w:i/>
          <w:sz w:val="20"/>
        </w:rPr>
        <w:t>EN: Lone-pair-electron-governed gas-recognizable flexibility in a stable MOF for boosting C3H6/C3H8 separation via aqueous scalable synthesis</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由于丙烯与丙烷的分子尺寸和物理化学性质相似，因此丙烯与丙烷的分离是石化行业中最耗能的过程之一。柔性 MOF 可以选择性地进行客体诱导的结构转变，提供了一种替代机制，可以将细微的分子差异放大为不同的吸附行为。然而，对框架灵活性进行精确的分子水平调节以引发对一种特定气体相对于另一种气体的选择性反应仍然是一个巨大的挑战。本研究通过水解稳定的柱层状 Cu-MOF NJU-Bai5 的合理结构演化来应对这一挑战。我们的策略涉及支柱配体的战略工程，特别是用咪唑基取代吡啶基。这种修饰引入了可接近的氮孤对电子，其充当分子锚，能够与具有较高酸性的氢键供体形成选择性相互作用。这些相互作用反过来又驱动了框架的气体可识别灵活性。由此产生的材料 NJU-Bai5-bib 表现出明确的、选择性的开门转变，在低压下优先由 C3H6 触发。这种特定的响应使框架能够在环境条件下实现高选择性的丙烯/丙烷分离。此外，NJU-Bai5-bib 继承了其前身的卓越水解稳定性，并具有可扩展的水合成技术，不仅在客户特定识别方面表现出卓越的性能，而且还具有可扩展性。</w:t>
      </w:r>
    </w:p>
    <w:p>
      <w:pPr>
        <w:spacing w:before="0" w:after="200" w:lineRule="auto" w:line="276"/>
      </w:pPr>
      <w:r>
        <w:rPr>
          <w:b/>
        </w:rPr>
        <w:t xml:space="preserve">Abstract (EN): </w:t>
      </w:r>
      <w:r>
        <w:t>The separation of propylene from propane constitutes one of the most energy-demanding processes in the petrochemical industry due to their similar molecular dimensions and physicochemical properties. Flexible MOFs, which undergo selective guest-induced structural transformations, offer an alternative mechanism to amplify subtle molecular differences into distinct adsorption behaviors. Nevertheless, the precise molecular-level modulation of framework flexibility to elicit a selective response to one specific gas over another remains a great challenge. This study confronts this challenge through the rational structural evolution of a hydrolytically stable, pillar-layered Cu-MOF, NJU-Bai5. Our strategy involves the strategic engineering of the pillar ligand, specifically replacing pyridyl with imidazolyl groups. This modification introduces accessible nitrogen lone-pair-electrons, which function as molecular anchors capable of forming selective interactions with hydrogen-bonding donors possessing higher acidity. These interactions, in turn, drive a gas-recognizable flexibility of the framework. The resulting material, NJU-Bai5-bib, exhibits a well-defined, selective gate-opening transition triggered preferentially by C3H6 at low pressures. This specific response enables the framework to achieve highly selective propylene/propane separation under ambient conditions. Furthermore, by inheriting exceptional hydrolytic stability from its progenitor and featuring a scalable, aqueous synthesis, NJU-Bai5-bib demonstrates not only excellence in guest-specific recognition but also considerable potential for practical, energy-efficient propylene purification.</w:t>
      </w:r>
    </w:p>
    <w:p>
      <w:pPr>
        <w:spacing w:before="120" w:after="120"/>
      </w:pPr>
      <w:r>
        <w:rPr>
          <w:sz w:val="18"/>
        </w:rPr>
        <w:t>——————————————————————————————————————————————————————————————————————</w:t>
      </w:r>
    </w:p>
    <w:p>
      <w:pPr>
        <w:spacing w:before="160" w:after="40" w:line="240" w:lineRule="auto"/>
      </w:pPr>
      <w:r>
        <w:rPr>
          <w:b/>
        </w:rPr>
        <w:t xml:space="preserve">[33] </w:t>
      </w:r>
      <w:hyperlink r:id="rId502">
        <w:r>
          <w:rPr>
            <w:color w:val="1155CC"/>
            <w:u w:val="single"/>
          </w:rPr>
          <w:t>补贴率、绝对定价和应用能效：来自节能电器补贴的证据</w:t>
        </w:r>
      </w:hyperlink>
    </w:p>
    <w:p>
      <w:pPr>
        <w:spacing w:before="0" w:after="80"/>
      </w:pPr>
      <w:r>
        <w:rPr>
          <w:i/>
          <w:sz w:val="20"/>
        </w:rPr>
        <w:t>EN: Subsidy rates, absolute pricing, and applied energy efficiency: evidence from energy-efficient appliance subsidies</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503">
        <w:r>
          <w:rPr>
            <w:color w:val="1155CC"/>
            <w:u w:val="single"/>
          </w:rPr>
          <w:t>10.1016/j.apenergy.2026.128490</w:t>
        </w:r>
      </w:hyperlink>
    </w:p>
    <w:p>
      <w:pPr>
        <w:spacing w:before="0" w:after="120"/>
      </w:pPr>
      <w:r>
        <w:rPr>
          <w:b/>
        </w:rPr>
        <w:t xml:space="preserve">Notes: </w:t>
      </w:r>
      <w:r>
        <w:t>abstract_source=openalex</w:t>
      </w:r>
    </w:p>
    <w:p>
      <w:pPr>
        <w:spacing w:before="0" w:after="80" w:lineRule="auto" w:line="276"/>
      </w:pPr>
      <w:r>
        <w:rPr>
          <w:b/>
        </w:rPr>
        <w:t xml:space="preserve">摘要（ZH）: </w:t>
      </w:r>
      <w:r>
        <w:t>分级补贴在全球政府计划中广泛采用，但能源效率领域的一个关键假设，即较高的补贴率会相应增强市场吸收能力，但使用高频微观数据的实证审查却很有限。本文将中国的 2024 年节能家电补贴政策作为一项准自然实验。我们利用京东涵盖八个家电类别 12,936 种产品的每日面板数据，并使用产品评论数作为销售代理，采用双重差分法来评估政策的效果。调查结果如下。 （1）补贴带动总销量大幅增长，补贴产品日均销量增长约263%。 （2）享受15%补贴的二级产品销量增幅显着高于享受20%补贴的一级产品，表明较高的补贴率并没有转化为更强烈的市场反应。 (3) 有两种机制可以解释这种不匹配。消费者对补贴后价格水平的反应似乎比对从价价格的反应更敏感，其中最强烈的反应集中在中等价格的产品上。不同类别的能源效率属性的显着性差异很大，白色家电引起的反应最明显，而厨房电器的反应最弱。研究结果为分级补贴激励的异质传导提供了经验证据，并对补贴设计、价格分级目标和信息化提供了启示。</w:t>
      </w:r>
    </w:p>
    <w:p>
      <w:pPr>
        <w:spacing w:before="0" w:after="200" w:lineRule="auto" w:line="276"/>
      </w:pPr>
      <w:r>
        <w:rPr>
          <w:b/>
        </w:rPr>
        <w:t xml:space="preserve">Abstract (EN): </w:t>
      </w:r>
      <w:r>
        <w:t>Tiered subsidies are widely employed in government programs globally, yet a key assumption in the energy efficiency domain, namely that a higher subsidy rate generates a correspondingly stronger market uptake, has received limited empirical scrutiny using high-frequency micro-level data. This paper exploits China's 2024 Energy-Efficient Appliance Subsidy policy as a quasi-natural experiment. Drawing on daily panel data from JD.com covering 12,936 products across eight appliance categories, and using product review counts as a sales proxy, we apply a difference-in-differences approach to assess the policy's effects. The findings are as follows. (1) The subsidy produced a marked aggregate sales increase, with subsidized products registering an approximating 263% gain in average daily unit sales. (2) Grade 2 products, receiving a 15% subsidy, exhibited a significantly larger sales increase than Grade 1 products eligible for 20%, indicating that a higher subsidy rate did not translate into a stronger market response. (3) Two mechanisms account for this mismatch. Consumers appear more responsive to the post-subsidy price level than to the ad valorem rate, with the strongest response concentrated among mid-priced products. The salience of energy efficiency attributes varies substantially across categories, with white goods eliciting the most pronounced response and kitchen appliances the weakest. The findings provide empirical evidence on the heterogeneous transmission of tiered subsidy incentives and offer implications for subsidy design, price-tier targeting, and informational strategies in future energy efficiency programs.</w:t>
      </w:r>
    </w:p>
    <w:p>
      <w:pPr>
        <w:spacing w:before="120" w:after="120"/>
      </w:pPr>
      <w:r>
        <w:rPr>
          <w:sz w:val="18"/>
        </w:rPr>
        <w:t>——————————————————————————————————————————————————————————————————————</w:t>
      </w:r>
    </w:p>
    <w:p>
      <w:pPr>
        <w:spacing w:before="160" w:after="40" w:line="240" w:lineRule="auto"/>
      </w:pPr>
      <w:r>
        <w:rPr>
          <w:b/>
        </w:rPr>
        <w:t xml:space="preserve">[34] </w:t>
      </w:r>
      <w:hyperlink r:id="rId504">
        <w:r>
          <w:rPr>
            <w:color w:val="1155CC"/>
            <w:u w:val="single"/>
          </w:rPr>
          <w:t>协调碳、电力和 CCER 市场，实现中国电力行业经济高效的脱碳</w:t>
        </w:r>
      </w:hyperlink>
    </w:p>
    <w:p>
      <w:pPr>
        <w:spacing w:before="0" w:after="80"/>
      </w:pPr>
      <w:r>
        <w:rPr>
          <w:i/>
          <w:sz w:val="20"/>
        </w:rPr>
        <w:t>EN: Coordinating carbon, electricity, and CCER markets for cost-effective decarbonization of China's power sector</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505">
        <w:r>
          <w:rPr>
            <w:color w:val="1155CC"/>
            <w:u w:val="single"/>
          </w:rPr>
          <w:t>10.1016/j.apenergy.2026.128492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506">
        <w:r>
          <w:rPr>
            <w:color w:val="1155CC"/>
            <w:u w:val="single"/>
          </w:rPr>
          <w:t>中国铝工业脱碳：碳捕集、利用和封存与可再生能源技术协同的综合评估</w:t>
        </w:r>
      </w:hyperlink>
    </w:p>
    <w:p>
      <w:pPr>
        <w:spacing w:before="0" w:after="80"/>
      </w:pPr>
      <w:r>
        <w:rPr>
          <w:i/>
          <w:sz w:val="20"/>
        </w:rPr>
        <w:t>EN: Decarbonizing China's aluminium industry: a comprehensive assessment of synergistic carbon capture, utilization, and storage with renewable energy technologies</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507">
        <w:r>
          <w:rPr>
            <w:color w:val="1155CC"/>
            <w:u w:val="single"/>
          </w:rPr>
          <w:t>10.1016/j.apenergy.2026.128454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 </w:t>
      </w:r>
      <w:hyperlink r:id="rId508">
        <w:r>
          <w:rPr>
            <w:color w:val="1155CC"/>
            <w:u w:val="single"/>
          </w:rPr>
          <w:t>UCB-Q值辅助差分进化柔性负荷低碳微电网调度</w:t>
        </w:r>
      </w:hyperlink>
    </w:p>
    <w:p>
      <w:pPr>
        <w:spacing w:before="0" w:after="80"/>
      </w:pPr>
      <w:r>
        <w:rPr>
          <w:i/>
          <w:sz w:val="20"/>
        </w:rPr>
        <w:t>EN: A UCB–Q-value assisted differential evolution for low-carbon microgrid scheduling with flexible loads</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509">
        <w:r>
          <w:rPr>
            <w:color w:val="1155CC"/>
            <w:u w:val="single"/>
          </w:rPr>
          <w:t>10.1016/j.apenergy.2026.128442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 </w:t>
      </w:r>
      <w:hyperlink r:id="rId510">
        <w:r>
          <w:rPr>
            <w:color w:val="1155CC"/>
            <w:u w:val="single"/>
          </w:rPr>
          <w:t>用于碳中和电力传输的高功率混合换向转换器</w:t>
        </w:r>
      </w:hyperlink>
    </w:p>
    <w:p>
      <w:pPr>
        <w:spacing w:before="0" w:after="80"/>
      </w:pPr>
      <w:r>
        <w:rPr>
          <w:i/>
          <w:sz w:val="20"/>
        </w:rPr>
        <w:t>EN: High-power hybrid commutated converter for carbon-neutral power transmission</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要实现碳中和，必须克服可再生能源长距离、大容量输送的挑战。直流输电系统相对于交流输电系统具有电压高、可控性高等优点。第一代线换流器高压直流系统存在换相失败的风险，威胁电网安全；而第二代电压源换流器系统碳排放量更高、鲁棒性更低、功率损耗更高。我们提出了一种下一代大功率混合换向转换器，该转换器可获取可再生能源，通过其强制和恢复增强换向的混合操作模式以及混合设备连接拓扑来消除换向故障。我们研究了换向原理并提出了系统设计。 120 kV/360 MW样机的实验结果证明了该大功率变流器的有效性，该变流器已部署在中国河南灵宝特高压直流项目和中国内蒙古蒙西特高压直流项目中。</w:t>
      </w:r>
    </w:p>
    <w:p>
      <w:pPr>
        <w:spacing w:before="0" w:after="200" w:lineRule="auto" w:line="276"/>
      </w:pPr>
      <w:r>
        <w:rPr>
          <w:b/>
        </w:rPr>
        <w:t xml:space="preserve">Abstract (EN): </w:t>
      </w:r>
      <w:r>
        <w:t>To achieve carbon neutrality, we must overcome the challenges associated with the long-distance and large-capacity transmission of renewable energy. Direct-current transmission system has advantages in terms of high voltage and high controllability over the alternating-current transmission system. First-generation line-commutated-converter-based high-voltage direct-current systems risk commutation failures that threaten the safety of power grid, whereas second-generation voltage-source-converter systems entail higher carbon emissions, lower robustness, and higher power loss. We propose a next-generation high-power hybrid commutated converter that accesses renewable power, eliminating commutation failures through its hybrid operation modes of forced and recovery-enhanced commutation, with a hybrid device connection topology. We investigate the commutation principles and present the system design. Experimental results from a 120 kV/360 MW prototype demonstrate the efficacy of this high-power converter, which has been deployed in the Lingbao super-high-voltage direct-current project in Henan, China, and Mengxi ultra-high-voltage direct-current project in Inner Mongolia, China.</w:t>
      </w:r>
    </w:p>
    <w:p>
      <w:pPr>
        <w:spacing w:before="120" w:after="120"/>
      </w:pPr>
      <w:r>
        <w:rPr>
          <w:sz w:val="18"/>
        </w:rPr>
        <w:t>——————————————————————————————————————————————————————————————————————</w:t>
      </w:r>
    </w:p>
    <w:p>
      <w:pPr>
        <w:spacing w:before="160" w:after="40" w:line="240" w:lineRule="auto"/>
      </w:pPr>
      <w:r>
        <w:rPr>
          <w:b/>
        </w:rPr>
        <w:t xml:space="preserve">[38] </w:t>
      </w:r>
      <w:hyperlink r:id="rId511">
        <w:r>
          <w:rPr>
            <w:color w:val="1155CC"/>
            <w:u w:val="single"/>
          </w:rPr>
          <w:t>全球通航河流船舶二氧化碳排放量</w:t>
        </w:r>
      </w:hyperlink>
    </w:p>
    <w:p>
      <w:pPr>
        <w:spacing w:before="0" w:after="80"/>
      </w:pPr>
      <w:r>
        <w:rPr>
          <w:i/>
          <w:sz w:val="20"/>
        </w:rPr>
        <w:t>EN: Global vessel carbon dioxide emission from navigable rivers</w:t>
      </w:r>
    </w:p>
    <w:p>
      <w:pPr>
        <w:spacing w:before="0" w:after="120"/>
      </w:pPr>
      <w:r>
        <w:rPr>
          <w:b/>
        </w:rPr>
        <w:t xml:space="preserve">Source: </w:t>
      </w:r>
      <w:r>
        <w:t>Nature Climate Change</w:t>
      </w:r>
      <w:r>
        <w:t xml:space="preserve">    </w:t>
      </w:r>
      <w:r>
        <w:rPr>
          <w:b/>
        </w:rPr>
        <w:t xml:space="preserve">Pub date: </w:t>
      </w:r>
      <w:r>
        <w:t>2026-07-23 00:00:00+00:00</w:t>
      </w:r>
      <w:r>
        <w:t xml:space="preserve">    </w:t>
      </w:r>
      <w:r>
        <w:rPr>
          <w:b/>
        </w:rPr>
        <w:t xml:space="preserve">DOI: </w:t>
      </w:r>
      <w:hyperlink r:id="rId512">
        <w:r>
          <w:rPr>
            <w:color w:val="1155CC"/>
            <w:u w:val="single"/>
          </w:rPr>
          <w:t>10.1038/s41558-026-02718-6</w:t>
        </w:r>
      </w:hyperlink>
    </w:p>
    <w:p>
      <w:pPr>
        <w:spacing w:before="0" w:after="120"/>
      </w:pPr>
      <w:r>
        <w:rPr>
          <w:b/>
        </w:rPr>
        <w:t xml:space="preserve">Notes: </w:t>
      </w:r>
      <w:r>
        <w:t>abstract_source=rss_nature</w:t>
      </w:r>
    </w:p>
    <w:p>
      <w:pPr>
        <w:spacing w:before="0" w:after="80" w:lineRule="auto" w:line="276"/>
      </w:pPr>
      <w:r>
        <w:rPr>
          <w:b/>
        </w:rPr>
        <w:t xml:space="preserve">摘要（ZH）: </w:t>
      </w:r>
      <w:r>
        <w:t>河流运输产生的二氧化碳排放量和分布很少受到限制。本研究发现，全球内河船舶二氧化碳排放量约占船舶总排放量的四分之一，且排放量集中在北半球，这与经济活动有关。</w:t>
      </w:r>
    </w:p>
    <w:p>
      <w:pPr>
        <w:spacing w:before="0" w:after="200" w:lineRule="auto" w:line="276"/>
      </w:pPr>
      <w:r>
        <w:rPr>
          <w:b/>
        </w:rPr>
        <w:t xml:space="preserve">Abstract (EN): </w:t>
      </w:r>
      <w:r>
        <w:t>The magnitude and distribution of CO2 emissions from river transport are poorly constrained. This study finds that global CO2 emissions from inland vessels were about one-quarter of total vessel emissions, and that emissions were concentrated in the Northern Hemisphere, related to economic activity.</w:t>
      </w:r>
    </w:p>
    <w:p>
      <w:pPr>
        <w:spacing w:before="120" w:after="120"/>
      </w:pPr>
      <w:r>
        <w:rPr>
          <w:sz w:val="18"/>
        </w:rPr>
        <w:t>——————————————————————————————————————————————————————————————————————</w:t>
      </w:r>
    </w:p>
    <w:p>
      <w:pPr>
        <w:spacing w:before="160" w:after="40" w:line="240" w:lineRule="auto"/>
      </w:pPr>
      <w:r>
        <w:rPr>
          <w:b/>
        </w:rPr>
        <w:t xml:space="preserve">[39] </w:t>
      </w:r>
      <w:hyperlink r:id="rId513">
        <w:r>
          <w:rPr>
            <w:color w:val="1155CC"/>
            <w:u w:val="single"/>
          </w:rPr>
          <w:t>利用智能交通系统实现交通脱碳：对机制、约束和部署路径的系统回顾</w:t>
        </w:r>
      </w:hyperlink>
    </w:p>
    <w:p>
      <w:pPr>
        <w:spacing w:before="0" w:after="80"/>
      </w:pPr>
      <w:r>
        <w:rPr>
          <w:i/>
          <w:sz w:val="20"/>
        </w:rPr>
        <w:t>EN: Decarbonizing transportation with intelligent transportation systems: a systematic review of mechanisms, constraints and deployment pathways</w:t>
      </w:r>
    </w:p>
    <w:p>
      <w:pPr>
        <w:spacing w:before="0" w:after="120"/>
      </w:pPr>
      <w:r>
        <w:rPr>
          <w:b/>
        </w:rPr>
        <w:t xml:space="preserve">Source: </w:t>
      </w:r>
      <w:r>
        <w:t>ScienceDirect Publication: Applied Energy</w:t>
      </w:r>
      <w:r>
        <w:t xml:space="preserve">    </w:t>
      </w:r>
      <w:r>
        <w:rPr>
          <w:b/>
        </w:rPr>
        <w:t xml:space="preserve">Pub date: </w:t>
      </w:r>
      <w:r>
        <w:t>2026-07-23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514">
        <w:r>
          <w:rPr>
            <w:color w:val="1155CC"/>
            <w:u w:val="single"/>
          </w:rPr>
          <w:t>界面配体工程打破了电化学炔醇半氢化和氘化中的活性与选择性权衡</w:t>
        </w:r>
      </w:hyperlink>
    </w:p>
    <w:p>
      <w:pPr>
        <w:spacing w:before="0" w:after="80"/>
      </w:pPr>
      <w:r>
        <w:rPr>
          <w:i/>
          <w:sz w:val="20"/>
        </w:rPr>
        <w:t>EN: Interfacial Ligand Engineering Breaks the Activity-Selectivity Trade-Off in Electrochemical Alkynol Semihydrogenation and -Deuteration</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515">
        <w:r>
          <w:rPr>
            <w:color w:val="1155CC"/>
            <w:u w:val="single"/>
          </w:rPr>
          <w:t>10.1021/jacs.6c13582</w:t>
        </w:r>
      </w:hyperlink>
    </w:p>
    <w:p>
      <w:pPr>
        <w:spacing w:before="0" w:after="120"/>
      </w:pPr>
      <w:r>
        <w:rPr>
          <w:b/>
        </w:rPr>
        <w:t xml:space="preserve">Notes: </w:t>
      </w:r>
      <w:r>
        <w:t>abstract_source=pubmed</w:t>
      </w:r>
    </w:p>
    <w:p>
      <w:pPr>
        <w:spacing w:before="0" w:after="80" w:lineRule="auto" w:line="276"/>
      </w:pPr>
      <w:r>
        <w:rPr>
          <w:b/>
        </w:rPr>
        <w:t xml:space="preserve">摘要（ZH）: </w:t>
      </w:r>
      <w:r>
        <w:t>电化学炔醇半氢化和氘化使用水作为氢源，为热催化路线提供了绿色替代方案。然而，其潜力受到固有的活性-选择性权衡的限制。在这里，我们展示了一种界面配体工程策略来打破这种跷跷板效应。通过理论和实验筛选，同时具有硫醇基和亲水部分的半胱氨酸被确定为最佳配体。半胱氨酸修饰的 Cu (Cu-Cys) 界面在电化学炔醇半氢化和氘化中同时实现了选择性、转化率和能量效率的提高。以2-甲基-3-丁炔-2-醇（MBY）电化学半氢化为2-甲基-3-丁烯-2-醇（MBE）为代表，机理研究表明，吸附的半胱氨酸配体促进界面水转移和解离，产生活性氢，促进MBY半氢化，而硫醇介导的Cu表面促进MBE解吸并抑制过度氢化，共同解释了同时提高转化率和选择性。为了证明其实际潜力，采用 Cu-Cys 催化剂的流通池表现出超过 1000 小时的稳定性能。与裸铜相比，Cu-Cys 催化剂将 MBE 电合成的功耗从~4.55 kWh kg-1 降低到~3.63 kWh kg-1。此外，配备 400 cm2 Cu-Cys 电极的定制放大电解系统可实现近乎完全的 MBY 转化，同时保持超过 90% 的 MBE 选择性</w:t>
      </w:r>
    </w:p>
    <w:p>
      <w:pPr>
        <w:spacing w:before="0" w:after="200" w:lineRule="auto" w:line="276"/>
      </w:pPr>
      <w:r>
        <w:rPr>
          <w:b/>
        </w:rPr>
        <w:t xml:space="preserve">Abstract (EN): </w:t>
      </w:r>
      <w:r>
        <w:t>Electrochemical alkynol semihydrogenation and -deuteration uses water as the hydrogen source, offering a green alternative to thermocatalytic routes. However, its potential is constrained by an inherent activity-selectivity trade-off. Here, we demonstrate an interfacial ligand engineering strategy to break this seesaw effect. Through theoretical and experimental screening, cysteine, featuring both a thiol group and hydrophilic moieties, is identified as the optimal ligand. The cysteine-modified Cu (Cu-Cys) interface achieves concurrent gains in selectivity, conversion rate, and energy efficiency in electrochemical alkynol semihydrogenation and -deuteration. Using the electrochemical semihydrogenation of 2-methyl-3-butyn-2-ol (MBY) to 2-methyl-3-buten-2-ol (MBE) as a representative case, mechanistic studies reveal that the adsorbed cysteine ligands promote interfacial water transfer and dissociation to generate reactive hydrogen for boosting MBY semihydrogenation, while the thiol-mediated Cu surface facilitates MBE desorption and inhibits overhydrogenation, collectively accounting for the simultaneous enhancement in both conversion and selectivity. To demonstrate the practical potential, a flow cell incorporating the Cu-Cys catalyst exhibits stable performance for over 1000 h. The Cu-Cys catalyst compared to bare Cu reduces the power consumption for MBE electrosynthesis from ∼4.55 to ∼3.63 kWh kg-1. Furthermore, a customized scaled-up electrolysis system equipped with a 400 cm2 Cu-Cys electrode delivers near-complete MBY conversion while maintaining over 90% MBE selectivity at an applied current of 40 A.</w:t>
      </w:r>
    </w:p>
    <w:p>
      <w:pPr>
        <w:spacing w:before="120" w:after="120"/>
      </w:pPr>
      <w:r>
        <w:rPr>
          <w:sz w:val="18"/>
        </w:rPr>
        <w:t>——————————————————————————————————————————————————————————————————————</w:t>
      </w:r>
    </w:p>
    <w:p>
      <w:pPr>
        <w:spacing w:before="160" w:after="40" w:line="240" w:lineRule="auto"/>
      </w:pPr>
      <w:r>
        <w:rPr>
          <w:b/>
        </w:rPr>
        <w:t xml:space="preserve">[41] </w:t>
      </w:r>
      <w:hyperlink r:id="rId516">
        <w:r>
          <w:rPr>
            <w:color w:val="1155CC"/>
            <w:u w:val="single"/>
          </w:rPr>
          <w:t>需求更多，系统成本更低？共享自动驾驶电动汽车对能源系统的灵活性价值</w:t>
        </w:r>
      </w:hyperlink>
    </w:p>
    <w:p>
      <w:pPr>
        <w:spacing w:before="0" w:after="80"/>
      </w:pPr>
      <w:r>
        <w:rPr>
          <w:i/>
          <w:sz w:val="20"/>
        </w:rPr>
        <w:t>EN: More demand, lower system costs? The flexibility value of shared autonomous electric vehicles for energy systems</w:t>
      </w:r>
    </w:p>
    <w:p>
      <w:pPr>
        <w:spacing w:before="0" w:after="120"/>
      </w:pPr>
      <w:r>
        <w:rPr>
          <w:b/>
        </w:rPr>
        <w:t xml:space="preserve">Source: </w:t>
      </w:r>
      <w:r>
        <w:t>ScienceDirect Publication: Applied Energy</w:t>
      </w:r>
      <w:r>
        <w:t xml:space="preserve">    </w:t>
      </w:r>
      <w:r>
        <w:rPr>
          <w:b/>
        </w:rPr>
        <w:t xml:space="preserve">Pub date: </w:t>
      </w:r>
      <w:r>
        <w:t>2026-07-23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517">
        <w:r>
          <w:rPr>
            <w:color w:val="1155CC"/>
            <w:u w:val="single"/>
          </w:rPr>
          <w:t>具有竞价共识的多类型城市主体日前日内协同IES P2P交易策略</w:t>
        </w:r>
      </w:hyperlink>
    </w:p>
    <w:p>
      <w:pPr>
        <w:spacing w:before="0" w:after="80"/>
      </w:pPr>
      <w:r>
        <w:rPr>
          <w:i/>
          <w:sz w:val="20"/>
        </w:rPr>
        <w:t>EN: Day-ahead and intraday coordinated IES P2P trading strategy for multi-type urban entities with bidding consensus</w:t>
      </w:r>
    </w:p>
    <w:p>
      <w:pPr>
        <w:spacing w:before="0" w:after="120"/>
      </w:pPr>
      <w:r>
        <w:rPr>
          <w:b/>
        </w:rPr>
        <w:t xml:space="preserve">Source: </w:t>
      </w:r>
      <w:r>
        <w:t>ScienceDirect Publication: Applied Energy</w:t>
      </w:r>
      <w:r>
        <w:t xml:space="preserve">    </w:t>
      </w:r>
      <w:r>
        <w:rPr>
          <w:b/>
        </w:rPr>
        <w:t xml:space="preserve">Pub date: </w:t>
      </w:r>
      <w:r>
        <w:t>2026-07-23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518">
        <w:r>
          <w:rPr>
            <w:color w:val="1155CC"/>
            <w:u w:val="single"/>
          </w:rPr>
          <w:t>成长型企业和碳强度：环境税收政策和绿色技术创新生态系统重要吗？</w:t>
        </w:r>
      </w:hyperlink>
    </w:p>
    <w:p>
      <w:pPr>
        <w:spacing w:before="0" w:after="80"/>
      </w:pPr>
      <w:r>
        <w:rPr>
          <w:i/>
          <w:sz w:val="20"/>
        </w:rPr>
        <w:t>EN: Growing firms and carbon intensity: Do environmental taxation policy and green technological innovation ecosystems matter?</w:t>
      </w:r>
    </w:p>
    <w:p>
      <w:pPr>
        <w:spacing w:before="0" w:after="120"/>
      </w:pPr>
      <w:r>
        <w:rPr>
          <w:b/>
        </w:rPr>
        <w:t xml:space="preserve">Source: </w:t>
      </w:r>
      <w:r>
        <w:t>ScienceDirect Publication: Energy Policy</w:t>
      </w:r>
      <w:r>
        <w:t xml:space="preserve">    </w:t>
      </w:r>
      <w:r>
        <w:rPr>
          <w:b/>
        </w:rPr>
        <w:t xml:space="preserve">Pub date: </w:t>
      </w:r>
      <w:r>
        <w:t>2026-07-23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519">
        <w:r>
          <w:rPr>
            <w:color w:val="1155CC"/>
            <w:u w:val="single"/>
          </w:rPr>
          <w:t>碳可验证性约束下直接空气捕获系统的完整性优先控制</w:t>
        </w:r>
      </w:hyperlink>
    </w:p>
    <w:p>
      <w:pPr>
        <w:spacing w:before="0" w:after="80"/>
      </w:pPr>
      <w:r>
        <w:rPr>
          <w:i/>
          <w:sz w:val="20"/>
        </w:rPr>
        <w:t>EN: Integrity-first control of direct air capture systems under carbon certifiability constraints</w:t>
      </w:r>
    </w:p>
    <w:p>
      <w:pPr>
        <w:spacing w:before="0" w:after="120"/>
      </w:pPr>
      <w:r>
        <w:rPr>
          <w:b/>
        </w:rPr>
        <w:t xml:space="preserve">Source: </w:t>
      </w:r>
      <w:r>
        <w:t>ScienceDirect Publication: Applied Energy</w:t>
      </w:r>
      <w:r>
        <w:t xml:space="preserve">    </w:t>
      </w:r>
      <w:r>
        <w:rPr>
          <w:b/>
        </w:rPr>
        <w:t xml:space="preserve">Pub date: </w:t>
      </w:r>
      <w:r>
        <w:t>2026-07-17 00:00:00+00:00</w:t>
      </w:r>
      <w:r>
        <w:t xml:space="preserve">    </w:t>
      </w:r>
      <w:r>
        <w:rPr>
          <w:b/>
        </w:rPr>
        <w:t xml:space="preserve">DOI: </w:t>
      </w:r>
      <w:hyperlink r:id="rId520">
        <w:r>
          <w:rPr>
            <w:color w:val="1155CC"/>
            <w:u w:val="single"/>
          </w:rPr>
          <w:t>10.1016/j.apenergy.2026.128430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521">
        <w:r>
          <w:rPr>
            <w:color w:val="1155CC"/>
            <w:u w:val="single"/>
          </w:rPr>
          <w:t>通过精确、多方面的界面调节实现高效甲烷电合成</w:t>
        </w:r>
      </w:hyperlink>
    </w:p>
    <w:p>
      <w:pPr>
        <w:spacing w:before="0" w:after="80"/>
      </w:pPr>
      <w:r>
        <w:rPr>
          <w:i/>
          <w:sz w:val="20"/>
        </w:rPr>
        <w:t>EN: Highly Efficient Methane Electrosynthesis Enabled by Precise, Multifaceted Interface Regulation</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二氧化碳 (CO2) 的电催化还原提供了一种利用可再生电力将温室气体排放转化为燃料和化学品的途径。在可能的产品中，甲烷（CH4）由于其高能量密度和与现有天然气基础设施的无缝集成而特别有吸引力，但其电合成受到苛刻的多电子动力学和质量传输限制的阻碍。在这里，我们报告了一种具有蜂窝状结构的四通道铜管穿透电极（TPE），它从根本上重塑了二氧化碳电还原的反应环境。通过精确控制电极横截面厚度，这种多通道设计可调节气体、电子和电解质传输，从而稳定高效形成 CH4 所需的三相界面。优化后的TPE，CH4法拉第效率达到87.5%，半片能效达到43.46%，稳定运行100小时。实验和理论分析相结合表明，电极结构的合理设计可以精确控制CO2吸附构型和反应中间体，从而微调CH4的反应路径。这些发现将多通道 TPE 确立为高效二氧化碳电甲烷化的强大平台。</w:t>
      </w:r>
    </w:p>
    <w:p>
      <w:pPr>
        <w:spacing w:before="0" w:after="200" w:lineRule="auto" w:line="276"/>
      </w:pPr>
      <w:r>
        <w:rPr>
          <w:b/>
        </w:rPr>
        <w:t xml:space="preserve">Abstract (EN): </w:t>
      </w:r>
      <w:r>
        <w:t>The electrocatalytic reduction of carbon dioxide (CO2) offers a pathway to transform greenhouse gas emissions into fuels and chemicals using renewable electricity. Among possible products, methane (CH4) is particularly attractive due to its high energy density and seamless integration with existing natural gas infrastructure, yet its electrosynthesis is hindered by demanding multi-electron kinetics and mass-transport constraints. Here, we report a four-channel copper tubular penetration electrode (TPE) with a honeycomb-like architecture that fundamentally reshapes the reaction environment for CO2 electroreduction. By precisely controlling electrode cross-sectional thickness, this multi-channel design regulates gas, electron, and electrolyte transport, stabilizing the three-phase interface required for efficient CH4 formation. The optimized TPE achieves a CH4 Faradaic efficiency of 87.5%, a half-cell energy efficiency of 43.46%, and stable operation for 100 hours. Combined experimental and theoretical analyses reveal that rational design of electrode architecture enables precise control over the CO2 adsorption configurations and reaction intermediates, thereby fine-tuning the reaction pathway toward CH4. These findings establish multi-channel TPEs as a powerful platform for efficient CO2 electromethanation.</w:t>
      </w:r>
    </w:p>
    <w:p>
      <w:pPr>
        <w:spacing w:before="120" w:after="120"/>
      </w:pPr>
      <w:r>
        <w:rPr>
          <w:sz w:val="18"/>
        </w:rPr>
        <w:t>——————————————————————————————————————————————————————————————————————</w:t>
      </w:r>
    </w:p>
    <w:p>
      <w:pPr>
        <w:spacing w:before="160" w:after="40" w:line="240" w:lineRule="auto"/>
      </w:pPr>
      <w:r>
        <w:rPr>
          <w:b/>
        </w:rPr>
        <w:t xml:space="preserve">[3] </w:t>
      </w:r>
      <w:hyperlink r:id="rId522">
        <w:r>
          <w:rPr>
            <w:color w:val="1155CC"/>
            <w:u w:val="single"/>
          </w:rPr>
          <w:t>NiIn/CeO2 催化剂中受控的反应性金属-载体相互作用用于增强 CO2 合成甲醇</w:t>
        </w:r>
      </w:hyperlink>
    </w:p>
    <w:p>
      <w:pPr>
        <w:spacing w:before="0" w:after="80"/>
      </w:pPr>
      <w:r>
        <w:rPr>
          <w:i/>
          <w:sz w:val="20"/>
        </w:rPr>
        <w:t>EN: Controlled Reactive Metal−Support Interactions in NiIn/CeO2 Catalysts for Enhanced Methanol Synthesis from CO2</w:t>
      </w:r>
    </w:p>
    <w:p>
      <w:pPr>
        <w:spacing w:before="0" w:after="120"/>
      </w:pPr>
      <w:r>
        <w:rPr>
          <w:b/>
        </w:rPr>
        <w:t xml:space="preserve">Source: </w:t>
      </w:r>
      <w:r>
        <w:t>Wiley: Angewandte Chemie International Edition: Table of Contents</w:t>
      </w:r>
      <w:r>
        <w:t xml:space="preserve">    </w:t>
      </w:r>
      <w:r>
        <w:rPr>
          <w:b/>
        </w:rPr>
        <w:t xml:space="preserve">Pub date: </w:t>
      </w:r>
      <w:r>
        <w:t>2026-07-17 05:21:53+00:00</w:t>
      </w:r>
      <w:r>
        <w:t xml:space="preserve">    </w:t>
      </w:r>
      <w:r>
        <w:rPr>
          <w:b/>
        </w:rPr>
        <w:t xml:space="preserve">DOI: </w:t>
      </w:r>
      <w:hyperlink r:id="rId523">
        <w:r>
          <w:rPr>
            <w:color w:val="1155CC"/>
            <w:u w:val="single"/>
          </w:rPr>
          <w:t>10.1002/anie.1906096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反应性金属-载体相互作用（RMSI）经常在高温反应条件下发生，导致金属-氧化物界面和合金形成的复杂重建。这种不可控的特征严重阻碍了催化性能的优化。在本研究中，我们通过利用 InO 的高迁移率展示了对 RMMSI 的精确控制</w:t>
      </w:r>
      <w:r>
        <w:t xml:space="preserve"> </w:t>
      </w:r>
      <w:r>
        <w:t>x</w:t>
      </w:r>
      <w:r>
        <w:t xml:space="preserve"> </w:t>
      </w:r>
      <w:r>
        <w:t>氧化铈上</w:t>
      </w:r>
      <w:r>
        <w:rPr>
          <w:vertAlign w:val="subscript"/>
        </w:rPr>
        <w:t>2</w:t>
      </w:r>
      <w:r>
        <w:t>氢还原条件下的支撑——通过原位环境电子显微镜直接可视化——结合InO的定量调谐</w:t>
      </w:r>
      <w:r>
        <w:t xml:space="preserve"> </w:t>
      </w:r>
      <w:r>
        <w:t>x</w:t>
      </w:r>
      <w:r>
        <w:t xml:space="preserve"> </w:t>
      </w:r>
      <w:r>
        <w:t>通过原子层沉积的内容。由此产生的优化催化剂具有 1.67 g 的优异时空产率</w:t>
      </w:r>
      <w:r>
        <w:t xml:space="preserve"> </w:t>
      </w:r>
      <w:r>
        <w:t>甲醇</w:t>
      </w:r>
      <w:r>
        <w:t xml:space="preserve"> </w:t>
      </w:r>
      <w:r>
        <w:t>·g</w:t>
      </w:r>
      <w:r>
        <w:t xml:space="preserve"> </w:t>
      </w:r>
      <w:r>
        <w:t>猫</w:t>
      </w:r>
      <w:r>
        <w:t xml:space="preserve"> </w:t>
      </w:r>
      <w:r>
        <w:t>−1</w:t>
      </w:r>
      <w:r>
        <w:t xml:space="preserve"> </w:t>
      </w:r>
      <w:r>
        <w:t>·小时</w:t>
      </w:r>
      <w:r>
        <w:t xml:space="preserve"> </w:t>
      </w:r>
      <w:r>
        <w:t>−1</w:t>
      </w:r>
      <w:r>
        <w:t xml:space="preserve"> </w:t>
      </w:r>
      <w:r>
        <w:t>在 280°C CO 中</w:t>
      </w:r>
      <w:r>
        <w:rPr>
          <w:vertAlign w:val="subscript"/>
        </w:rPr>
        <w:t>2</w:t>
      </w:r>
      <w:r>
        <w:t>加氢反应，超越了先前报道的镍基催化剂，甚至超越了文献中的钯基贵金属催化剂。原位光谱表征表明，受控的 RMMSI 能够优化 InO</w:t>
      </w:r>
      <w:r>
        <w:t xml:space="preserve"> </w:t>
      </w:r>
      <w:r>
        <w:t>x</w:t>
      </w:r>
      <w:r>
        <w:t xml:space="preserve"> </w:t>
      </w:r>
      <w:r>
        <w:t>/NiIn 界面，促进 HCOO* 选择性转化为 CH</w:t>
      </w:r>
      <w:r>
        <w:rPr>
          <w:vertAlign w:val="subscript"/>
        </w:rPr>
        <w:t>3</w:t>
      </w:r>
      <w:r>
        <w:t>O* 及后续</w:t>
      </w:r>
    </w:p>
    <w:p>
      <w:pPr>
        <w:spacing w:before="0" w:after="200" w:lineRule="auto" w:line="276"/>
      </w:pPr>
      <w:r>
        <w:rPr>
          <w:b/>
        </w:rPr>
        <w:t xml:space="preserve">Abstract (EN): </w:t>
      </w:r>
      <w:r>
        <w:t>Reactive metal‐support interactions (RMSIs) frequently occur under high‐temperature reaction conditions, leading to intricate reconstructions of metal‐oxide interfaces and alloy formation. Such uncontrollable features severely impede the optimization of catalytic performance. In this study, we demonstrate precise control over RMSIs by leveraging the high mobility of InO</w:t>
      </w:r>
      <w:r>
        <w:t xml:space="preserve"> </w:t>
      </w:r>
      <w:r>
        <w:t>x</w:t>
      </w:r>
      <w:r>
        <w:t xml:space="preserve"> </w:t>
      </w:r>
      <w:r>
        <w:t>on CeO</w:t>
      </w:r>
      <w:r>
        <w:rPr>
          <w:vertAlign w:val="subscript"/>
        </w:rPr>
        <w:t>2</w:t>
      </w:r>
      <w:r>
        <w:t>support under hydrogen reducing conditions—directly visualized by in situ environmental electron microscopy—in combination with the quantitative tuning of InO</w:t>
      </w:r>
      <w:r>
        <w:t xml:space="preserve"> </w:t>
      </w:r>
      <w:r>
        <w:t>x</w:t>
      </w:r>
      <w:r>
        <w:t xml:space="preserve"> </w:t>
      </w:r>
      <w:r>
        <w:t>content via atomic layer deposition. The resulting optimized catalyst delivers an exceptional space‐time yield of 1.67 g</w:t>
      </w:r>
      <w:r>
        <w:t xml:space="preserve"> </w:t>
      </w:r>
      <w:r>
        <w:t>MeOH</w:t>
      </w:r>
      <w:r>
        <w:t xml:space="preserve"> </w:t>
      </w:r>
      <w:r>
        <w:t>·g</w:t>
      </w:r>
      <w:r>
        <w:t xml:space="preserve"> </w:t>
      </w:r>
      <w:r>
        <w:t>cat</w:t>
      </w:r>
      <w:r>
        <w:t xml:space="preserve"> </w:t>
      </w:r>
      <w:r>
        <w:t>−1</w:t>
      </w:r>
      <w:r>
        <w:t xml:space="preserve"> </w:t>
      </w:r>
      <w:r>
        <w:t>·h</w:t>
      </w:r>
      <w:r>
        <w:t xml:space="preserve"> </w:t>
      </w:r>
      <w:r>
        <w:t>−1</w:t>
      </w:r>
      <w:r>
        <w:t xml:space="preserve"> </w:t>
      </w:r>
      <w:r>
        <w:t>at 280°C in the CO</w:t>
      </w:r>
      <w:r>
        <w:rPr>
          <w:vertAlign w:val="subscript"/>
        </w:rPr>
        <w:t>2</w:t>
      </w:r>
      <w:r>
        <w:t>hydrogenation reaction, surpassing previously reported Ni‐based catalysts and even Pd‐based noble metal catalysts in the literature. In situ spectroscopic characterization reveals that the controlled RMSIs enables the optimization of InO</w:t>
      </w:r>
      <w:r>
        <w:t xml:space="preserve"> </w:t>
      </w:r>
      <w:r>
        <w:t>x</w:t>
      </w:r>
      <w:r>
        <w:t xml:space="preserve"> </w:t>
      </w:r>
      <w:r>
        <w:t>/NiIn interface, which promotes the selective conversion of HCOO* to CH</w:t>
      </w:r>
      <w:r>
        <w:rPr>
          <w:vertAlign w:val="subscript"/>
        </w:rPr>
        <w:t>3</w:t>
      </w:r>
      <w:r>
        <w:t>O* and subsequently to methanol, thereby significantly enhancing the methanol production. These findings highlight the critical role of precisely regulated RMSIs in the rational design of high‐performance catalysts.</w:t>
      </w:r>
    </w:p>
    <w:p>
      <w:pPr>
        <w:spacing w:before="120" w:after="120"/>
      </w:pPr>
      <w:r>
        <w:rPr>
          <w:sz w:val="18"/>
        </w:rPr>
        <w:t>——————————————————————————————————————————————————————————————————————</w:t>
      </w:r>
    </w:p>
    <w:p>
      <w:pPr>
        <w:spacing w:before="160" w:after="40" w:line="240" w:lineRule="auto"/>
      </w:pPr>
      <w:r>
        <w:rPr>
          <w:b/>
        </w:rPr>
        <w:t xml:space="preserve">[4] </w:t>
      </w:r>
      <w:hyperlink r:id="rId20">
        <w:r>
          <w:rPr>
            <w:color w:val="1155CC"/>
            <w:u w:val="single"/>
          </w:rPr>
          <w:t>Cu-I 纳米拓扑的热力学控制实现太阳能驱动的二氧化碳到多碳的转化</w:t>
        </w:r>
      </w:hyperlink>
    </w:p>
    <w:p>
      <w:pPr>
        <w:spacing w:before="0" w:after="80"/>
      </w:pPr>
      <w:r>
        <w:rPr>
          <w:i/>
          <w:sz w:val="20"/>
        </w:rPr>
        <w:t>EN: Thermodynamic control of Cu-I nanotopologies enables solar-driven CO2-to-multicarbon conversion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21">
        <w:r>
          <w:rPr>
            <w:color w:val="1155CC"/>
            <w:u w:val="single"/>
          </w:rPr>
          <w:t>10.1126/sciadv.aec6434</w:t>
        </w:r>
      </w:hyperlink>
    </w:p>
    <w:p>
      <w:pPr>
        <w:spacing w:before="0" w:after="120"/>
      </w:pPr>
      <w:r>
        <w:rPr>
          <w:b/>
        </w:rPr>
        <w:t xml:space="preserve">Notes: </w:t>
      </w:r>
      <w:r>
        <w:t>abstract_source=crossref</w:t>
      </w:r>
    </w:p>
    <w:p>
      <w:pPr>
        <w:spacing w:before="0" w:after="80" w:lineRule="auto" w:line="276"/>
      </w:pPr>
      <w:r>
        <w:rPr>
          <w:b/>
        </w:rPr>
        <w:t xml:space="preserve">摘要（ZH）: </w:t>
      </w:r>
      <w:r>
        <w:t>太阳能驱动的电化学二氧化碳</w:t>
      </w:r>
      <w:r>
        <w:rPr>
          <w:vertAlign w:val="subscript"/>
        </w:rPr>
        <w:t>2</w:t>
      </w:r>
      <w:r>
        <w:t>还原为多碳（C</w:t>
      </w:r>
      <w:r>
        <w:t xml:space="preserve"> </w:t>
      </w:r>
      <w:r>
        <w:t>2+</w:t>
      </w:r>
      <w:r>
        <w:t xml:space="preserve"> </w:t>
      </w:r>
      <w:r>
        <w:t>）产品为人工光合作用提供了一条有前途的途径，但仍然受到高过电势和有限转换效率的限制。在这里，我们开发了一种碱性环境调节的预还原策略，该策略利用前驱体不同的热力学稳定性，从而能够精确合成碘掺杂的铜纳米拓扑（Cu-I NT）。 Cu-I NT 具有可调节的配位缺陷和稳定的高能吸附位点，与 C 的可逆氢电极相比，其起始电位仅为 -0.37 V</w:t>
      </w:r>
      <w:r>
        <w:t xml:space="preserve"> </w:t>
      </w:r>
      <w:r>
        <w:t>2+</w:t>
      </w:r>
      <w:r>
        <w:t xml:space="preserve"> </w:t>
      </w:r>
      <w:r>
        <w:t>形成。 Operando拉曼测量和密度泛函理论计算表明，定制的表面拓扑有利于Cu-CO旋转吸附，实现从桥结合构型到顶结合构型的动态重新取向，这共同降低了CO-CO耦合的势垒。令人印象深刻的是，该系统通过钙钛矿/硅串联和单结硅光伏器件为电解槽供电，可提供 12.34 mA cm 的光电流</w:t>
      </w:r>
      <w:r>
        <w:t xml:space="preserve"> </w:t>
      </w:r>
      <w:r>
        <w:t>−2</w:t>
      </w:r>
      <w:r>
        <w:t xml:space="preserve"> </w:t>
      </w:r>
      <w:r>
        <w:t>在标准 AM 1.5 照明下，电压为 2.17 V，实现太阳能到 C</w:t>
      </w:r>
      <w:r>
        <w:t xml:space="preserve"> </w:t>
      </w:r>
      <w:r>
        <w:t>2+</w:t>
      </w:r>
      <w:r>
        <w:t xml:space="preserve"> </w:t>
      </w:r>
      <w:r>
        <w:t>转换效率为8.64%。</w:t>
      </w:r>
    </w:p>
    <w:p>
      <w:pPr>
        <w:spacing w:before="0" w:after="200" w:lineRule="auto" w:line="276"/>
      </w:pPr>
      <w:r>
        <w:rPr>
          <w:b/>
        </w:rPr>
        <w:t xml:space="preserve">Abstract (EN): </w:t>
      </w:r>
      <w:r>
        <w:t>Solar-driven electrochemical CO</w:t>
      </w:r>
      <w:r>
        <w:rPr>
          <w:vertAlign w:val="subscript"/>
        </w:rPr>
        <w:t>2</w:t>
      </w:r>
      <w:r>
        <w:t>reduction to multicarbon (C</w:t>
      </w:r>
      <w:r>
        <w:t xml:space="preserve"> </w:t>
      </w:r>
      <w:r>
        <w:t>2+</w:t>
      </w:r>
      <w:r>
        <w:t xml:space="preserve"> </w:t>
      </w:r>
      <w:r>
        <w:t>) products presents a promising avenue for artificial photosynthesis, yet remains constrained by high overpotentials and limited conversion efficiency. Here, we developed an alkaline environment-modulated prereduction strategy that capitalizes on the divergent thermodynamic stabilities of precursors, enabling the precise synthesis of iodine-doped copper nanotopologies (Cu-I NTs). Featuring tunable under-coordination defects and stabilized high-energy adsorption sites, the Cu-I NTs achieve an onset potential of only −0.37 V versus the reversible hydrogen electrode for C</w:t>
      </w:r>
      <w:r>
        <w:t xml:space="preserve"> </w:t>
      </w:r>
      <w:r>
        <w:t>2+</w:t>
      </w:r>
      <w:r>
        <w:t xml:space="preserve"> </w:t>
      </w:r>
      <w:r>
        <w:t>formation. Operando Raman measurement and density functional theory calculation reveal that the tailored surface topologies favor Cu-CO rotation adsorption, enabling dynamic reorientation from bridge- to atop-binding configurations, which collectively lowers the barrier for CO-CO coupling. Impressively, powering the electrolyzer by a perovskite/silicon tandem together with a single-junction silicon photovoltaic device, the system delivers a photocurrent of 12.34 mA cm</w:t>
      </w:r>
      <w:r>
        <w:t xml:space="preserve"> </w:t>
      </w:r>
      <w:r>
        <w:t>−2</w:t>
      </w:r>
      <w:r>
        <w:t xml:space="preserve"> </w:t>
      </w:r>
      <w:r>
        <w:t>at 2.17 V under standard AM 1.5 illumination, achieving a solar-to-C</w:t>
      </w:r>
      <w:r>
        <w:t xml:space="preserve"> </w:t>
      </w:r>
      <w:r>
        <w:t>2+</w:t>
      </w:r>
      <w:r>
        <w:t xml:space="preserve"> </w:t>
      </w:r>
      <w:r>
        <w:t>conversion efficiency of 8.64%.</w:t>
      </w:r>
    </w:p>
    <w:p>
      <w:pPr>
        <w:spacing w:before="120" w:after="120"/>
      </w:pPr>
      <w:r>
        <w:rPr>
          <w:sz w:val="18"/>
        </w:rPr>
        <w:t>——————————————————————————————————————————————————————————————————————</w:t>
      </w:r>
    </w:p>
    <w:p>
      <w:pPr>
        <w:spacing w:before="160" w:after="40" w:line="240" w:lineRule="auto"/>
      </w:pPr>
      <w:r>
        <w:rPr>
          <w:b/>
        </w:rPr>
        <w:t xml:space="preserve">[5] </w:t>
      </w:r>
      <w:hyperlink r:id="rId524">
        <w:r>
          <w:rPr>
            <w:color w:val="1155CC"/>
            <w:u w:val="single"/>
          </w:rPr>
          <w:t>通过接触电催化实现可扩展微孔液体中的微泡激活二氧化碳再生</w:t>
        </w:r>
      </w:hyperlink>
    </w:p>
    <w:p>
      <w:pPr>
        <w:spacing w:before="0" w:after="80"/>
      </w:pPr>
      <w:r>
        <w:rPr>
          <w:i/>
          <w:sz w:val="20"/>
        </w:rPr>
        <w:t>EN: Microbubble-activated CO2 regeneration in scalable microporous liquids enabled by contact electrocatalysis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525">
        <w:r>
          <w:rPr>
            <w:color w:val="1155CC"/>
            <w:u w:val="single"/>
          </w:rPr>
          <w:t>10.1126/sciadv.aef9017</w:t>
        </w:r>
      </w:hyperlink>
    </w:p>
    <w:p>
      <w:pPr>
        <w:spacing w:before="0" w:after="120"/>
      </w:pPr>
      <w:r>
        <w:rPr>
          <w:b/>
        </w:rPr>
        <w:t xml:space="preserve">Notes: </w:t>
      </w:r>
      <w:r>
        <w:t>abstract_source=crossref</w:t>
      </w:r>
    </w:p>
    <w:p>
      <w:pPr>
        <w:spacing w:before="0" w:after="80" w:lineRule="auto" w:line="276"/>
      </w:pPr>
      <w:r>
        <w:rPr>
          <w:b/>
        </w:rPr>
        <w:t xml:space="preserve">摘要（ZH）: </w:t>
      </w:r>
      <w:r>
        <w:t>常规二氧化碳（CO</w:t>
      </w:r>
      <w:r>
        <w:rPr>
          <w:vertAlign w:val="subscript"/>
        </w:rPr>
        <w:t>2</w:t>
      </w:r>
      <w:r>
        <w:t>）捕获系统受到有限的吸收能力和能源密集型再生的限制。在这里，我们通过将永久孔隙框架 (ZIF-67) 分散在液体吸收剂中，将溶剂排除的物理吸附与化学吸收结合起来并提高 CO2 来配制微孔碳捕获解决方案 (MCCS)</w:t>
      </w:r>
      <w:r>
        <w:rPr>
          <w:vertAlign w:val="subscript"/>
        </w:rPr>
        <w:t>2</w:t>
      </w:r>
      <w:r>
        <w:t>捕获能力约 45%。我们采用界面微泡激活再生 (MAR) 代替批量热剥离，将单乙醇胺 (MEA) 损失率降低约 38%。微泡活化刷新气-液-固接触，释放 100% 物理吸附的 CO</w:t>
      </w:r>
      <w:r>
        <w:rPr>
          <w:vertAlign w:val="subscript"/>
        </w:rPr>
        <w:t>2</w:t>
      </w:r>
      <w:r>
        <w:t>，而机械触发接触电催化 (CEC) 的微泡崩塌事件，使界面羟基自由基 (·OH) 在温和条件下裂解氨基甲酸酯，并再生大量额外的 37% 至 55% 的化学吸收的 CO</w:t>
      </w:r>
      <w:r>
        <w:rPr>
          <w:vertAlign w:val="subscript"/>
        </w:rPr>
        <w:t>2</w:t>
      </w:r>
      <w:r>
        <w:t>。理论分析表明·OH是控制CO的关键物种</w:t>
      </w:r>
      <w:r>
        <w:rPr>
          <w:vertAlign w:val="subscript"/>
        </w:rPr>
        <w:t>2</w:t>
      </w:r>
      <w:r>
        <w:t>CEC-MAR 过程中通过氧化碳-氮键断裂进行再生，然后通过•H 辅助中间体还原来再生胺。为了接近工程相关性，我们在环境条件下使用简单的机械搅拌实现了公斤级沸石咪唑酯骨架 (ZIF) 合成，提供可扩展的 MCCS 库存，以实现 (i) 连续输送高纯度 CO</w:t>
      </w:r>
    </w:p>
    <w:p>
      <w:pPr>
        <w:spacing w:before="0" w:after="200" w:lineRule="auto" w:line="276"/>
      </w:pPr>
      <w:r>
        <w:rPr>
          <w:b/>
        </w:rPr>
        <w:t xml:space="preserve">Abstract (EN): </w:t>
      </w:r>
      <w:r>
        <w:t>Conventional carbon dioxide (CO</w:t>
      </w:r>
      <w:r>
        <w:rPr>
          <w:vertAlign w:val="subscript"/>
        </w:rPr>
        <w:t>2</w:t>
      </w:r>
      <w:r>
        <w:t>) capture systems are constrained by limited uptake capacity and energy-intensive regeneration. Here, we formulate a microporous carbon capture solution (MCCS) by dispersing a permanent-porosity framework (ZIF-67) in a liquid absorbent, coupling solvent-excluded physisorption with chemical uptake and boosting the CO</w:t>
      </w:r>
      <w:r>
        <w:rPr>
          <w:vertAlign w:val="subscript"/>
        </w:rPr>
        <w:t>2</w:t>
      </w:r>
      <w:r>
        <w:t>capture capacity by ∼45%. Instead of bulk thermal stripping, we implement interfacial, microbubble-activated regeneration (MAR) with a decreased monoethanolamine (MEA) loss rate by ∼38%. Microbubble activation refreshes gas-liquid-solid contact to liberate 100% physiosorbed CO</w:t>
      </w:r>
      <w:r>
        <w:rPr>
          <w:vertAlign w:val="subscript"/>
        </w:rPr>
        <w:t>2</w:t>
      </w:r>
      <w:r>
        <w:t>, whereas microbubble-collapse events that mechanically trigger contact electrocatalysis (CEC), enabling interfacial hydroxyl radicals (•OH) that cleave carbamates under mild conditions and regenerates a substantial additional 37 to 55% of chemically absorbed CO</w:t>
      </w:r>
      <w:r>
        <w:rPr>
          <w:vertAlign w:val="subscript"/>
        </w:rPr>
        <w:t>2</w:t>
      </w:r>
      <w:r>
        <w:t>. Theoretical analyses reveal that •OH is the key species governing CO</w:t>
      </w:r>
      <w:r>
        <w:rPr>
          <w:vertAlign w:val="subscript"/>
        </w:rPr>
        <w:t>2</w:t>
      </w:r>
      <w:r>
        <w:t>regeneration in the CEC-MAR process through oxidative carbon-nitrogen bond cleavage, followed by •H-assisted intermediate reduction to regenerate the amine. To approach engineering relevance, we realize kilogram-scale zeolitic imidazolate framework (ZIF) synthesis under ambient conditions using simple mechanical stirring, providing scalable MCCS inventory to enable (i) continuous delivery of high-purity CO</w:t>
      </w:r>
      <w:r>
        <w:rPr>
          <w:vertAlign w:val="subscript"/>
        </w:rPr>
        <w:t>2</w:t>
      </w:r>
      <w:r>
        <w:t>(1437 millimoles over 200 minutes) from a laboratory-scale integrated system and (ii) direct electroreduction to carbon monoxide (CO) with a faradaic efficiency (FE</w:t>
      </w:r>
      <w:r>
        <w:t xml:space="preserve"> </w:t>
      </w:r>
      <w:r>
        <w:t>CO</w:t>
      </w:r>
      <w:r>
        <w:t xml:space="preserve"> </w:t>
      </w:r>
      <w:r>
        <w:t>) of 51% without CO</w:t>
      </w:r>
      <w:r>
        <w:rPr>
          <w:vertAlign w:val="subscript"/>
        </w:rPr>
        <w:t>2</w:t>
      </w:r>
      <w:r>
        <w:t>supply. More broadly, it establishes a porous-liquid, interfacial-regeneration paradigm that decouples capacity from stoichiometry and enables electrified, continuous CO</w:t>
      </w:r>
      <w:r>
        <w:rPr>
          <w:vertAlign w:val="subscript"/>
        </w:rPr>
        <w:t>2</w:t>
      </w:r>
      <w:r>
        <w:t>capture, regeneration, and utilization under scalable, low-temperature conditions.</w:t>
      </w:r>
    </w:p>
    <w:p>
      <w:pPr>
        <w:spacing w:before="120" w:after="120"/>
      </w:pPr>
      <w:r>
        <w:rPr>
          <w:sz w:val="18"/>
        </w:rPr>
        <w:t>——————————————————————————————————————————————————————————————————————</w:t>
      </w:r>
    </w:p>
    <w:p>
      <w:pPr>
        <w:spacing w:before="160" w:after="40" w:line="240" w:lineRule="auto"/>
      </w:pPr>
      <w:r>
        <w:rPr>
          <w:b/>
        </w:rPr>
        <w:t xml:space="preserve">[6] </w:t>
      </w:r>
      <w:hyperlink r:id="rId464">
        <w:r>
          <w:rPr>
            <w:color w:val="1155CC"/>
            <w:u w:val="single"/>
          </w:rPr>
          <w:t>太阳能驱动的二氧化碳介导的废塑料升级回收为增值合成气和碳纳米管</w:t>
        </w:r>
      </w:hyperlink>
    </w:p>
    <w:p>
      <w:pPr>
        <w:spacing w:before="0" w:after="80"/>
      </w:pPr>
      <w:r>
        <w:rPr>
          <w:i/>
          <w:sz w:val="20"/>
        </w:rPr>
        <w:t>EN: Solar‐Driven CO2‐Mediated Upcycling of Waste Plastics Into Value‐Added Syngas and Carbon Nanotubes</w:t>
      </w:r>
    </w:p>
    <w:p>
      <w:pPr>
        <w:spacing w:before="0" w:after="120"/>
      </w:pPr>
      <w:r>
        <w:rPr>
          <w:b/>
        </w:rPr>
        <w:t xml:space="preserve">Source: </w:t>
      </w:r>
      <w:r>
        <w:t>Wiley: Angewandte Chemie International Edition: Table of Contents</w:t>
      </w:r>
      <w:r>
        <w:t xml:space="preserve">    </w:t>
      </w:r>
      <w:r>
        <w:rPr>
          <w:b/>
        </w:rPr>
        <w:t xml:space="preserve">Pub date: </w:t>
      </w:r>
      <w:r>
        <w:t>2026-07-17 07:18:24+00:00</w:t>
      </w:r>
      <w:r>
        <w:t xml:space="preserve">    </w:t>
      </w:r>
      <w:r>
        <w:rPr>
          <w:b/>
        </w:rPr>
        <w:t xml:space="preserve">DOI: </w:t>
      </w:r>
      <w:hyperlink r:id="rId465">
        <w:r>
          <w:rPr>
            <w:color w:val="1155CC"/>
            <w:u w:val="single"/>
          </w:rPr>
          <w:t>10.1002/anie.2880918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塑料和二氧化碳</w:t>
      </w:r>
      <w:r>
        <w:rPr>
          <w:vertAlign w:val="subscript"/>
        </w:rPr>
        <w:t>2</w:t>
      </w:r>
      <w:r>
        <w:t>碳资源是两大主要废弃碳资源，其管理和回收利用日益受到关注。一氧化碳</w:t>
      </w:r>
      <w:r>
        <w:rPr>
          <w:vertAlign w:val="subscript"/>
        </w:rPr>
        <w:t>2</w:t>
      </w:r>
      <w:r>
        <w:t>介导的塑料升级回收是同时转化两种废物的一种有前景的策略，但它仍然面临能源需求高、效率低和对各种塑料的适用性有限的问题。在这里，我们报告了一种太阳能驱动的光热策略，可以实现高效节能的二氧化碳</w:t>
      </w:r>
      <w:r>
        <w:rPr>
          <w:vertAlign w:val="subscript"/>
        </w:rPr>
        <w:t>2</w:t>
      </w:r>
      <w:r>
        <w:t>将各种塑料（包括聚烯烃、聚酯、共聚物及其混合物）介导重整为高价值合成气和碳纳米管（CNT）。该工艺的合成气产量为 165.6 mmol g</w:t>
      </w:r>
      <w:r>
        <w:t xml:space="preserve"> </w:t>
      </w:r>
      <w:r>
        <w:t>猫</w:t>
      </w:r>
      <w:r>
        <w:t xml:space="preserve"> </w:t>
      </w:r>
      <w:r>
        <w:t>−1</w:t>
      </w:r>
      <w:r>
        <w:t xml:space="preserve"> </w:t>
      </w:r>
      <w:r>
        <w:t>小时</w:t>
      </w:r>
      <w:r>
        <w:t xml:space="preserve"> </w:t>
      </w:r>
      <w:r>
        <w:t>−1</w:t>
      </w:r>
      <w:r>
        <w:t xml:space="preserve"> </w:t>
      </w:r>
      <w:r>
        <w:t>，比传统热催化高一个数量级。在此系统内，CO</w:t>
      </w:r>
      <w:r>
        <w:rPr>
          <w:vertAlign w:val="subscript"/>
        </w:rPr>
        <w:t>2</w:t>
      </w:r>
      <w:r>
        <w:t>不仅可以作为氧化剂消耗塑料脱氢过程中释放的氢物质，从而提高效率并抑制甲烷化，而且还可以作为碳原料直接生成气态和固态产品。这项研究为复杂塑料废物和温室气体的价值提供了强大的解决方案，并为太阳能驱动的化学转化向循环碳经济提供了新的见解，同时进一步优化了 H</w:t>
      </w:r>
    </w:p>
    <w:p>
      <w:pPr>
        <w:spacing w:before="0" w:after="200" w:lineRule="auto" w:line="276"/>
      </w:pPr>
      <w:r>
        <w:rPr>
          <w:b/>
        </w:rPr>
        <w:t xml:space="preserve">Abstract (EN): </w:t>
      </w:r>
      <w:r>
        <w:t>Plastics and CO</w:t>
      </w:r>
      <w:r>
        <w:rPr>
          <w:vertAlign w:val="subscript"/>
        </w:rPr>
        <w:t>2</w:t>
      </w:r>
      <w:r>
        <w:t>are two major waste carbon resources, and their management and recycling are attracting increasing attention. CO</w:t>
      </w:r>
      <w:r>
        <w:rPr>
          <w:vertAlign w:val="subscript"/>
        </w:rPr>
        <w:t>2</w:t>
      </w:r>
      <w:r>
        <w:t>‐mediated plastic upcycling represents a promising strategy for the simultaneous transformation of both wastes, yet it still suffers from high energy demand, low efficiency, and limited applicability to diverse plastics. Here, we report a solar‐driven photothermal strategy that enables the efficient and energy‐saving CO</w:t>
      </w:r>
      <w:r>
        <w:rPr>
          <w:vertAlign w:val="subscript"/>
        </w:rPr>
        <w:t>2</w:t>
      </w:r>
      <w:r>
        <w:t>‐mediated reforming of various plastics, including polyolefins, polyesters, copolymers, and their mixtures, into high‐value syngas and carbon nanotubes (CNTs). The process achieves a syngas yield of 165.6 mmol g</w:t>
      </w:r>
      <w:r>
        <w:t xml:space="preserve"> </w:t>
      </w:r>
      <w:r>
        <w:t>cat</w:t>
      </w:r>
      <w:r>
        <w:t xml:space="preserve"> </w:t>
      </w:r>
      <w:r>
        <w:t>−1</w:t>
      </w:r>
      <w:r>
        <w:t xml:space="preserve"> </w:t>
      </w:r>
      <w:r>
        <w:t>h</w:t>
      </w:r>
      <w:r>
        <w:t xml:space="preserve"> </w:t>
      </w:r>
      <w:r>
        <w:t>−1</w:t>
      </w:r>
      <w:r>
        <w:t xml:space="preserve"> </w:t>
      </w:r>
      <w:r>
        <w:t>, an order of magnitude higher than that of conventional thermocatalysis. Within this system, CO</w:t>
      </w:r>
      <w:r>
        <w:rPr>
          <w:vertAlign w:val="subscript"/>
        </w:rPr>
        <w:t>2</w:t>
      </w:r>
      <w:r>
        <w:t>acts not only as an oxidant that consumes the hydrogen species released during plastic dehydrogenation, thereby enhancing efficiency and suppressing methanation but also as a carbon feedstock that directly contributes to both gaseous and solid products. This study provides a powerful solution for the valorization of complex plastic wastes and greenhouse gases and offers new insights into solar‐driven chemical transformations toward a circular carbon economy, while further optimization of the H</w:t>
      </w:r>
      <w:r>
        <w:rPr>
          <w:vertAlign w:val="subscript"/>
        </w:rPr>
        <w:t>2</w:t>
      </w:r>
      <w:r>
        <w:t>/CO ratio may expand its compatibility with specific downstream applications.</w:t>
      </w:r>
    </w:p>
    <w:p>
      <w:pPr>
        <w:spacing w:before="120" w:after="120"/>
      </w:pPr>
      <w:r>
        <w:rPr>
          <w:sz w:val="18"/>
        </w:rPr>
        <w:t>——————————————————————————————————————————————————————————————————————</w:t>
      </w:r>
    </w:p>
    <w:p>
      <w:pPr>
        <w:spacing w:before="160" w:after="40" w:line="240" w:lineRule="auto"/>
      </w:pPr>
      <w:r>
        <w:rPr>
          <w:b/>
        </w:rPr>
        <w:t xml:space="preserve">[7] </w:t>
      </w:r>
      <w:hyperlink r:id="rId466">
        <w:r>
          <w:rPr>
            <w:color w:val="1155CC"/>
            <w:u w:val="single"/>
          </w:rPr>
          <w:t>采用固定床流动反应工艺直接 CO2 合成 N-甲基苯胺的工程串联催化</w:t>
        </w:r>
      </w:hyperlink>
    </w:p>
    <w:p>
      <w:pPr>
        <w:spacing w:before="0" w:after="80"/>
      </w:pPr>
      <w:r>
        <w:rPr>
          <w:i/>
          <w:sz w:val="20"/>
        </w:rPr>
        <w:t>EN: Engineering Tandem Catalysis for Direct CO2‐Enabled N‐Methylaniline Synthesis With a Fixed‐Bed Flow Reaction Process</w:t>
      </w:r>
    </w:p>
    <w:p>
      <w:pPr>
        <w:spacing w:before="0" w:after="120"/>
      </w:pPr>
      <w:r>
        <w:rPr>
          <w:b/>
        </w:rPr>
        <w:t xml:space="preserve">Source: </w:t>
      </w:r>
      <w:r>
        <w:t>Wiley: Angewandte Chemie International Edition: Table of Contents</w:t>
      </w:r>
      <w:r>
        <w:t xml:space="preserve">    </w:t>
      </w:r>
      <w:r>
        <w:rPr>
          <w:b/>
        </w:rPr>
        <w:t xml:space="preserve">Pub date: </w:t>
      </w:r>
      <w:r>
        <w:t>2026-07-17 07:21:54+00:00</w:t>
      </w:r>
      <w:r>
        <w:t xml:space="preserve">    </w:t>
      </w:r>
      <w:r>
        <w:rPr>
          <w:b/>
        </w:rPr>
        <w:t xml:space="preserve">DOI: </w:t>
      </w:r>
      <w:hyperlink r:id="rId467">
        <w:r>
          <w:rPr>
            <w:color w:val="1155CC"/>
            <w:u w:val="single"/>
          </w:rPr>
          <w:t>10.1002/anie.3089595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连续固定床反应器内的集成串联催化代表了一种有前途但尚未充分探索的通过 CO 进行高级胺合成过程强化的策略</w:t>
      </w:r>
      <w:r>
        <w:rPr>
          <w:vertAlign w:val="subscript"/>
        </w:rPr>
        <w:t>2</w:t>
      </w:r>
      <w:r>
        <w:t>利用率。在这里，我们演示硝基苯和CO的直接转化</w:t>
      </w:r>
      <w:r>
        <w:rPr>
          <w:vertAlign w:val="subscript"/>
        </w:rPr>
        <w:t>2</w:t>
      </w:r>
      <w:r>
        <w:t>与 H</w:t>
      </w:r>
      <w:r>
        <w:rPr>
          <w:vertAlign w:val="subscript"/>
        </w:rPr>
        <w:t>2</w:t>
      </w:r>
      <w:r>
        <w:t>在 CuZnZrO 上的连续固定床反应器中转化为 N-甲基苯胺</w:t>
      </w:r>
      <w:r>
        <w:t xml:space="preserve"> </w:t>
      </w:r>
      <w:r>
        <w:t>x</w:t>
      </w:r>
      <w:r>
        <w:t xml:space="preserve"> </w:t>
      </w:r>
      <w:r>
        <w:t>催化剂，实现99%的转化率和95%的选择性，稳定运行超过100小时。机理研究确定了 Cu-ZnO 界面的 Cu 形式</w:t>
      </w:r>
      <w:r>
        <w:t xml:space="preserve"> </w:t>
      </w:r>
      <w:r>
        <w:t>+</w:t>
      </w:r>
      <w:r>
        <w:t xml:space="preserve"> </w:t>
      </w:r>
      <w:r>
        <w:t>‐O</w:t>
      </w:r>
      <w:r>
        <w:t xml:space="preserve"> </w:t>
      </w:r>
      <w:r>
        <w:t>v</w:t>
      </w:r>
      <w:r>
        <w:t xml:space="preserve"> </w:t>
      </w:r>
      <w:r>
        <w:t>－锌</w:t>
      </w:r>
      <w:r>
        <w:t xml:space="preserve"> </w:t>
      </w:r>
      <w:r>
        <w:t>2-δ</w:t>
      </w:r>
      <w:r>
        <w:t xml:space="preserve"> </w:t>
      </w:r>
      <w:r>
        <w:t>作为CO的活性位点</w:t>
      </w:r>
      <w:r>
        <w:rPr>
          <w:vertAlign w:val="subscript"/>
        </w:rPr>
        <w:t>2</w:t>
      </w:r>
      <w:r>
        <w:t>加氢生成关键中间体甲醛（CH</w:t>
      </w:r>
      <w:r>
        <w:rPr>
          <w:vertAlign w:val="subscript"/>
        </w:rPr>
        <w:t>2</w:t>
      </w:r>
      <w:r>
        <w:t>O*)，耦合 CO</w:t>
      </w:r>
      <w:r>
        <w:rPr>
          <w:vertAlign w:val="subscript"/>
        </w:rPr>
        <w:t>2</w:t>
      </w:r>
      <w:r>
        <w:t>硝基苯加氢衍生的苯胺的加氢和甲基化动力学。串联配置提供了固有的热管理优势，每摩尔硝基苯回收 0.341 kg 蒸汽（1.5 MPa，201°C），远远优于传统三步路线的甲醇消耗特性。这项工作强调串联催化作为一种​​有效的反应器级策略，将原子级活性位点工程与动力学协同作用联系起来，推进连续流二氧化碳</w:t>
      </w:r>
    </w:p>
    <w:p>
      <w:pPr>
        <w:spacing w:before="0" w:after="200" w:lineRule="auto" w:line="276"/>
      </w:pPr>
      <w:r>
        <w:rPr>
          <w:b/>
        </w:rPr>
        <w:t xml:space="preserve">Abstract (EN): </w:t>
      </w:r>
      <w:r>
        <w:t>Integrated tandem catalysis within a continuous fixed‐bed reactor represents a promising yet underexplored strategy for process intensification in advanced amine synthesis via CO</w:t>
      </w:r>
      <w:r>
        <w:rPr>
          <w:vertAlign w:val="subscript"/>
        </w:rPr>
        <w:t>2</w:t>
      </w:r>
      <w:r>
        <w:t>utilization. Here, we demonstrate the direct conversion of nitrobenzene and CO</w:t>
      </w:r>
      <w:r>
        <w:rPr>
          <w:vertAlign w:val="subscript"/>
        </w:rPr>
        <w:t>2</w:t>
      </w:r>
      <w:r>
        <w:t>with H</w:t>
      </w:r>
      <w:r>
        <w:rPr>
          <w:vertAlign w:val="subscript"/>
        </w:rPr>
        <w:t>2</w:t>
      </w:r>
      <w:r>
        <w:t>into N‐methylaniline in a continuous fixed‐bed reactor over a CuZnZrO</w:t>
      </w:r>
      <w:r>
        <w:t xml:space="preserve"> </w:t>
      </w:r>
      <w:r>
        <w:t>x</w:t>
      </w:r>
      <w:r>
        <w:t xml:space="preserve"> </w:t>
      </w:r>
      <w:r>
        <w:t>catalyst, achieving 99% conversion and 95% selectivity with stable operation exceeding 100 h. Mechanistic studies identify Cu‐ZnO interfaces in the form of Cu</w:t>
      </w:r>
      <w:r>
        <w:t xml:space="preserve"> </w:t>
      </w:r>
      <w:r>
        <w:t>+</w:t>
      </w:r>
      <w:r>
        <w:t xml:space="preserve"> </w:t>
      </w:r>
      <w:r>
        <w:t>‐O</w:t>
      </w:r>
      <w:r>
        <w:t xml:space="preserve"> </w:t>
      </w:r>
      <w:r>
        <w:t>v</w:t>
      </w:r>
      <w:r>
        <w:t xml:space="preserve"> </w:t>
      </w:r>
      <w:r>
        <w:t>‐Zn</w:t>
      </w:r>
      <w:r>
        <w:t xml:space="preserve"> </w:t>
      </w:r>
      <w:r>
        <w:t>2‐δ</w:t>
      </w:r>
      <w:r>
        <w:t xml:space="preserve"> </w:t>
      </w:r>
      <w:r>
        <w:t>serve as active sites for CO</w:t>
      </w:r>
      <w:r>
        <w:rPr>
          <w:vertAlign w:val="subscript"/>
        </w:rPr>
        <w:t>2</w:t>
      </w:r>
      <w:r>
        <w:t>hydrogenation to key intermediate formaldehyde (CH</w:t>
      </w:r>
      <w:r>
        <w:rPr>
          <w:vertAlign w:val="subscript"/>
        </w:rPr>
        <w:t>2</w:t>
      </w:r>
      <w:r>
        <w:t>O*), which couples the CO</w:t>
      </w:r>
      <w:r>
        <w:rPr>
          <w:vertAlign w:val="subscript"/>
        </w:rPr>
        <w:t>2</w:t>
      </w:r>
      <w:r>
        <w:t>hydrogenation and methylation of aniline derived from nitrobenzene hydrogenation in kinetics. The tandem configuration provides intrinsic heat‐management benefits, recovering 0.341 kg of steam (1.5 MPa, 201°C) per mole of nitrobenzene—far superior to the methanol consumption characteristic of the conventional three‐step route. This work highlights tandem catalysis as an effective reactor‐level strategy that bridges atomic‐scale active‐site engineering with kinetic synergies, advancing continuous‐flow CO</w:t>
      </w:r>
      <w:r>
        <w:rPr>
          <w:vertAlign w:val="subscript"/>
        </w:rPr>
        <w:t>2</w:t>
      </w:r>
      <w:r>
        <w:t>valorization toward higher‐value amines.</w:t>
      </w:r>
    </w:p>
    <w:p>
      <w:pPr>
        <w:spacing w:before="120" w:after="120"/>
      </w:pPr>
      <w:r>
        <w:rPr>
          <w:sz w:val="18"/>
        </w:rPr>
        <w:t>——————————————————————————————————————————————————————————————————————</w:t>
      </w:r>
    </w:p>
    <w:p>
      <w:pPr>
        <w:spacing w:before="160" w:after="40" w:line="240" w:lineRule="auto"/>
      </w:pPr>
      <w:r>
        <w:rPr>
          <w:b/>
        </w:rPr>
        <w:t xml:space="preserve">[8] </w:t>
      </w:r>
      <w:hyperlink r:id="rId526">
        <w:r>
          <w:rPr>
            <w:color w:val="1155CC"/>
            <w:u w:val="single"/>
          </w:rPr>
          <w:t>用于高温CO2电解的稳定高价铱单原子</w:t>
        </w:r>
      </w:hyperlink>
    </w:p>
    <w:p>
      <w:pPr>
        <w:spacing w:before="0" w:after="80"/>
      </w:pPr>
      <w:r>
        <w:rPr>
          <w:i/>
          <w:sz w:val="20"/>
        </w:rPr>
        <w:t>EN: Stable high-valent iridium single atoms for high-temperature CO2 electrolysis</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单原子催化剂（SAC）具有较高的原子效率和催化活性，但在高温条件下容易聚集和降解。在这里，我们提出了一种基于强金属-载体相互作用（SMSI）的热和电化学稳定的高价铱单原子合成策略，以增强固体氧化物电解池（SOEC）中的高温二氧化碳电解性能。在高温电池制造和运行过程中原位诱导的SMSI效应稳定了高价铱单原子，同时通过削弱Fe−O杂化来调节La0.6Sr0.4FeO3−δ（LSF）阴极的表面电子结构，最终促进氧空位形成并增强CO2吸附和活化。相对于原始 LSF 阴极，这种方法将 CO2 转化为 CO 的电解电流密度提高了 80.8%，在 800°C 和 1.5 V 下实现了 3.02 A cm−2，具有近 100% 的法拉第效率和超过 600 小时的出色稳定性。这些发现为设计用于高温催化反应的热和电化学稳健的 SAC 提供了可行的策略。</w:t>
      </w:r>
    </w:p>
    <w:p>
      <w:pPr>
        <w:spacing w:before="0" w:after="200" w:lineRule="auto" w:line="276"/>
      </w:pPr>
      <w:r>
        <w:rPr>
          <w:b/>
        </w:rPr>
        <w:t xml:space="preserve">Abstract (EN): </w:t>
      </w:r>
      <w:r>
        <w:t>Single-atom catalysts (SACs) offer high atomic efficiency and catalytic activity but are prone to aggregation and degradation under high-temperature conditions. Here, we propose a thermally and electrochemically stable high-valent iridium single atom synthesis strategy based on strong metal-support interactions (SMSI) to enhance high-temperature CO2 electrolysis performance in solid oxide electrolysis cells (SOECs). The SMSI effect, in situ induced during high-temperature cell fabrication and operation, stabilizes the high-valent iridium single atom and simultaneously modulates the surface electronic structure of the La0.6Sr0.4FeO3−δ (LSF) cathode by weakening the Fe−O hybridization, finally promoting oxygen vacancy formation and enhancing CO2 adsorption and activation. This approach boosts the CO2-to-CO electrolysis current density by 80.8% relative to the pristine LSF cathode, achieving 3.02 A cm−2 at 800°C and 1.5 V with nearly 100% Faradaic efficiency and excellent stability over 600 h. These findings provide a viable strategy for designing thermally and electrochemically robust SACs for high-temperature catalytic reactions.</w:t>
      </w:r>
    </w:p>
    <w:p>
      <w:pPr>
        <w:spacing w:before="120" w:after="120"/>
      </w:pPr>
      <w:r>
        <w:rPr>
          <w:sz w:val="18"/>
        </w:rPr>
        <w:t>——————————————————————————————————————————————————————————————————————</w:t>
      </w:r>
    </w:p>
    <w:p>
      <w:pPr>
        <w:spacing w:before="160" w:after="40" w:line="240" w:lineRule="auto"/>
      </w:pPr>
      <w:r>
        <w:rPr>
          <w:b/>
        </w:rPr>
        <w:t xml:space="preserve">[9] </w:t>
      </w:r>
      <w:hyperlink r:id="rId527">
        <w:r>
          <w:rPr>
            <w:color w:val="1155CC"/>
            <w:u w:val="single"/>
          </w:rPr>
          <w:t>使用带有悬垂阳离子的 [M(bpy 2+ )(CO) 3 (I)] 2+ (M = Mn, Re) 电催化剂选择性还原水中的二氧化碳</w:t>
        </w:r>
      </w:hyperlink>
    </w:p>
    <w:p>
      <w:pPr>
        <w:spacing w:before="0" w:after="80"/>
      </w:pPr>
      <w:r>
        <w:rPr>
          <w:i/>
          <w:sz w:val="20"/>
        </w:rPr>
        <w:t>EN: Selective Reduction of Carbon Dioxide in Water Using [M(bpy 2+ )(CO) 3 (I)] 2+ (M = Mn, Re) Electrocatalysts with Pendent Cations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528">
        <w:r>
          <w:rPr>
            <w:color w:val="1155CC"/>
            <w:u w:val="single"/>
          </w:rPr>
          <w:t>10.1021/jacs.6c09864</w:t>
        </w:r>
      </w:hyperlink>
    </w:p>
    <w:p>
      <w:pPr>
        <w:spacing w:before="0" w:after="120"/>
      </w:pPr>
      <w:r>
        <w:rPr>
          <w:b/>
        </w:rPr>
        <w:t xml:space="preserve">Notes: </w:t>
      </w:r>
      <w:r>
        <w:t>abstract_source=pubmed</w:t>
      </w:r>
    </w:p>
    <w:p>
      <w:pPr>
        <w:spacing w:before="0" w:after="80" w:lineRule="auto" w:line="276"/>
      </w:pPr>
      <w:r>
        <w:rPr>
          <w:b/>
        </w:rPr>
        <w:t xml:space="preserve">摘要（ZH）: </w:t>
      </w:r>
      <w:r>
        <w:t>羰基锰(I)络合物是很有前景的二氧化碳还原电催化剂，但其在均相水介质中的应用仍然因溶解度和选择性差而受到限制。在这里，我们报道了水溶性 Mn(I) 和 Re(I) 配合物 fac-[M(bpy2+)(CO)3X]2+ (X = I 或 Cl)，其特征是用 -Ph-CH2-(NMe3)+ 阳离子铵基团功能化的联吡啶配体，将水溶性与二次球稳定性结合起来。在 pH 6.8 的碳酸氢盐缓冲液中，Mn 催化剂在低过电势（η = 0.3 V）下对 CO 生成具有完全选择性，通过质子化优先机制运行，观察到的速率为 ∼10 s-1。脉冲辐射解表明，单电子还原的 Mn 物质在没有 CO2 的情况下发生二聚化，但通过初始预平衡与 CO2 竞争性反应，随后快速形成双核 CO2 桥接物质 (ΔGo = -12.4 kcal mol-1)。在较高的 0.6 V 过电势下，金属羧酸中间体 Mn-CO2H2+ 的还原可实现更快的先还原途径 (∼100 s-1)；然而，这种状态在功能上受到电极表面上电阻性非催化膜形成的限制。与类似的水溶性铼催化剂（kobs = 440 s-1，η = 0.6 V）的比较凸显了地球丰富的锰在低电势催化中的独特机械优势。这些结果证明了阳离子第二球体设计如何能够选择性、均匀地还原水中的二氧化碳，同时揭示控制催化性能的竞争性自由基和电极介导的过程。</w:t>
      </w:r>
    </w:p>
    <w:p>
      <w:pPr>
        <w:spacing w:before="0" w:after="200" w:lineRule="auto" w:line="276"/>
      </w:pPr>
      <w:r>
        <w:rPr>
          <w:b/>
        </w:rPr>
        <w:t xml:space="preserve">Abstract (EN): </w:t>
      </w:r>
      <w:r>
        <w:t>Manganese(I) carbonyl complexes are promising electrocatalysts for CO2 reduction, yet their application in homogeneous aqueous media remains limited by poor solubility and selectivity. Here, we report water-soluble Mn(I) and Re(I) complexes fac-[M(bpy2+)(CO)3X]2+ (X = I or Cl), featuring bipyridine ligands functionalized with -Ph-CH2-(NMe3)+ cationic ammonium groups that integrate water solubility with secondary-sphere stabilization. In a bicarbonate buffer at pH 6.8, the Mn catalyst is completely selective for CO production at a low overpotential (η = 0.3 V), operating by a protonation-first mechanism with observed rates of ∼10 s-1. Pulse radiolysis reveals that the one-electron-reduced Mn species undergoes dimerization in the absence of CO2 but reacts competitively with CO2 through an initial pre-equilibrium followed by fast formation of a dinuclear CO2-bridged species (ΔGo = -12.4 kcal mol-1). At a higher 0.6 V overpotential, a faster reduction-first pathway (∼100 s-1) is available upon reduction of the metallocarboxylic acid intermediate, Mn-CO2H2+; however, this regime is functionally limited by the formation of a resistive, noncatalytic film on the electrode surface. Comparison to the analogous water-soluble Re catalyst (kobs = 440 s-1, η = 0.6 V) highlights the distinct mechanistic advantages of earth-abundant Mn in low-potential catalysis. These results demonstrate how cationic second-sphere design enables selective, homogeneous CO2 reduction in water while revealing competing radical and electrode-mediated processes that govern catalytic performance.</w:t>
      </w:r>
    </w:p>
    <w:p>
      <w:pPr>
        <w:spacing w:before="120" w:after="120"/>
      </w:pPr>
      <w:r>
        <w:rPr>
          <w:sz w:val="18"/>
        </w:rPr>
        <w:t>——————————————————————————————————————————————————————————————————————</w:t>
      </w:r>
    </w:p>
    <w:p>
      <w:pPr>
        <w:spacing w:before="160" w:after="40" w:line="240" w:lineRule="auto"/>
      </w:pPr>
      <w:r>
        <w:rPr>
          <w:b/>
        </w:rPr>
        <w:t xml:space="preserve">[10] </w:t>
      </w:r>
      <w:hyperlink r:id="rId373">
        <w:r>
          <w:rPr>
            <w:color w:val="1155CC"/>
            <w:u w:val="single"/>
          </w:rPr>
          <w:t>用 H2 热化学还原 CO2 生成甲醇的综述：重点是克服平衡限制</w:t>
        </w:r>
      </w:hyperlink>
    </w:p>
    <w:p>
      <w:pPr>
        <w:spacing w:before="0" w:after="80"/>
      </w:pPr>
      <w:r>
        <w:rPr>
          <w:i/>
          <w:sz w:val="20"/>
        </w:rPr>
        <w:t>EN: A review on thermochemical reduction of CO2 with H2 to methanol: focusing on overcoming equilibrium limitations</w:t>
      </w:r>
    </w:p>
    <w:p>
      <w:pPr>
        <w:spacing w:before="0" w:after="120"/>
      </w:pPr>
      <w:r>
        <w:rPr>
          <w:b/>
        </w:rPr>
        <w:t xml:space="preserve">Source: </w:t>
      </w:r>
      <w:r>
        <w:t>ScienceDirect Publication: Applied Energy</w:t>
      </w:r>
      <w:r>
        <w:t xml:space="preserve">    </w:t>
      </w:r>
      <w:r>
        <w:rPr>
          <w:b/>
        </w:rPr>
        <w:t xml:space="preserve">Pub date: </w:t>
      </w:r>
      <w:r>
        <w:t>2026-07-20 00:00:00+00:00</w:t>
      </w:r>
      <w:r>
        <w:t xml:space="preserve">    </w:t>
      </w:r>
      <w:r>
        <w:rPr>
          <w:b/>
        </w:rPr>
        <w:t xml:space="preserve">DOI: </w:t>
      </w:r>
      <w:hyperlink r:id="rId374">
        <w:r>
          <w:rPr>
            <w:color w:val="1155CC"/>
            <w:u w:val="single"/>
          </w:rPr>
          <w:t>10.1016/j.apenergy.2026.128455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529">
        <w:r>
          <w:rPr>
            <w:color w:val="1155CC"/>
            <w:u w:val="single"/>
          </w:rPr>
          <w:t>六方密堆积2H-Cu纳米晶</w:t>
        </w:r>
      </w:hyperlink>
    </w:p>
    <w:p>
      <w:pPr>
        <w:spacing w:before="0" w:after="80"/>
      </w:pPr>
      <w:r>
        <w:rPr>
          <w:i/>
          <w:sz w:val="20"/>
        </w:rPr>
        <w:t>EN: Hexagonal Close-Packed 2H-Cu Nanocrystals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530">
        <w:r>
          <w:rPr>
            <w:color w:val="1155CC"/>
            <w:u w:val="single"/>
          </w:rPr>
          <w:t>10.1021/jacs.6c09048</w:t>
        </w:r>
      </w:hyperlink>
    </w:p>
    <w:p>
      <w:pPr>
        <w:spacing w:before="0" w:after="120"/>
      </w:pPr>
      <w:r>
        <w:rPr>
          <w:b/>
        </w:rPr>
        <w:t xml:space="preserve">Notes: </w:t>
      </w:r>
      <w:r>
        <w:t>abstract_source=pubmed</w:t>
      </w:r>
    </w:p>
    <w:p>
      <w:pPr>
        <w:spacing w:before="0" w:after="80" w:lineRule="auto" w:line="276"/>
      </w:pPr>
      <w:r>
        <w:rPr>
          <w:b/>
        </w:rPr>
        <w:t xml:space="preserve">摘要（ZH）: </w:t>
      </w:r>
      <w:r>
        <w:t>调控铜纳米材料的形貌和结构可以有效调控其性能、功能和应用。然而，直接合成具有非常规相的铜纳米材料仍然具有挑战性。在这里，我们报道了具有六方密堆积（hcp，2H型）相的铜纳米晶体（NC）的一锅湿化学合成，该相不同于其热力学稳定的面心立方（fcc）相。与传统的fcc-Cu NCs相比，所获得的2H-Cu NCs在电化学二氧化碳还原反应（CO2RR）中表现出增强的催化活性和选择性，在流通池中的碱性条件下，在600 mA cm-2下对多碳（C2+）产物实现了73.1%的法拉第效率（FE）。此外，原位表征和密度泛函理论（DFT）计算表明，2H-Cu NCs 可以优化 *CO 中间体的吸附，从而降低 C2+ 产物形成的能垒。这项工作不仅证明了利用纳米材料相工程（PEN）策略提高了Cu NCs的CO2RR性能，而且为探索非常规相纳米材料的内在性质和应用开辟了一条途径。</w:t>
      </w:r>
    </w:p>
    <w:p>
      <w:pPr>
        <w:spacing w:before="0" w:after="200" w:lineRule="auto" w:line="276"/>
      </w:pPr>
      <w:r>
        <w:rPr>
          <w:b/>
        </w:rPr>
        <w:t xml:space="preserve">Abstract (EN): </w:t>
      </w:r>
      <w:r>
        <w:t>Tuning the morphology and structure of Cu nanomaterials could effectively regulate their property, functions, and applications. However, it still remains challenging to directly synthesize Cu nanomaterials with an unconventional phase. Here, we report a one-pot wet-chemical synthesis of Cu nanocrystals (NCs) with a hexagonal close-packed (hcp, 2H type) phase, which is different from their thermodynamically stable face-centered cubic (fcc) phase. Compared to the conventional fcc-Cu NCs, the obtained 2H-Cu NCs exhibit enhanced catalytic activity and selectivity in the electrochemical carbon dioxide reduction reaction (CO2RR), achieving a high Faradaic efficiency (FE) of 73.1% toward multicarbon (C2+) products at 600 mA cm-2 under alkaline conditions in a flow cell. Moreover, in situ characterizations and density functional theory (DFT) calculations reveal that the 2H-Cu NCs can optimize the adsorption of the *CO intermediate, leading to a low energy barrier for the formation of C2+ products. This work not only demonstrates an improvement in CO2RR performance of Cu NCs by using the strategy of phase engineering of nanomaterials (PEN) but also opens up an avenue to explore the intrinsic properties and applications of unconventional-phase nanomaterials.</w:t>
      </w:r>
    </w:p>
    <w:p>
      <w:pPr>
        <w:spacing w:before="120" w:after="120"/>
      </w:pPr>
      <w:r>
        <w:rPr>
          <w:sz w:val="18"/>
        </w:rPr>
        <w:t>——————————————————————————————————————————————————————————————————————</w:t>
      </w:r>
    </w:p>
    <w:p>
      <w:pPr>
        <w:spacing w:before="160" w:after="40" w:line="240" w:lineRule="auto"/>
      </w:pPr>
      <w:r>
        <w:rPr>
          <w:b/>
        </w:rPr>
        <w:t xml:space="preserve">[12] </w:t>
      </w:r>
      <w:hyperlink r:id="rId531">
        <w:r>
          <w:rPr>
            <w:color w:val="1155CC"/>
            <w:u w:val="single"/>
          </w:rPr>
          <w:t>可化学分离的氢化钌异构体，具有独特的氢化物转移特性</w:t>
        </w:r>
      </w:hyperlink>
    </w:p>
    <w:p>
      <w:pPr>
        <w:spacing w:before="0" w:after="80"/>
      </w:pPr>
      <w:r>
        <w:rPr>
          <w:i/>
          <w:sz w:val="20"/>
        </w:rPr>
        <w:t>EN: Chemically Separable Ruthenium Hydride Isomers with Distinct Hydride Transfer Properties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532">
        <w:r>
          <w:rPr>
            <w:color w:val="1155CC"/>
            <w:u w:val="single"/>
          </w:rPr>
          <w:t>10.1021/jacs.5c22137</w:t>
        </w:r>
      </w:hyperlink>
    </w:p>
    <w:p>
      <w:pPr>
        <w:spacing w:before="0" w:after="120"/>
      </w:pPr>
      <w:r>
        <w:rPr>
          <w:b/>
        </w:rPr>
        <w:t xml:space="preserve">Notes: </w:t>
      </w:r>
      <w:r>
        <w:t>abstract_source=pubmed</w:t>
      </w:r>
    </w:p>
    <w:p>
      <w:pPr>
        <w:spacing w:before="0" w:after="80" w:lineRule="auto" w:line="276"/>
      </w:pPr>
      <w:r>
        <w:rPr>
          <w:b/>
        </w:rPr>
        <w:t xml:space="preserve">摘要（ZH）: </w:t>
      </w:r>
      <w:r>
        <w:t>过渡金属氢化物是生物和工业催化中的关键中间体，其中控制氢化物供体能力（氢度）对于优化反应性至关重要。在此，我们报道了一系列异构氢化钌，其中配体反式至氢化钌键（N-杂环卡宾或吡啶）将热力学水度调节高达 8 kcal mol-1。这些氢化物对二氧化碳和各种有机氢化物受体表现出独特的反应性，从而能够进行详细的动力学和机理分析。停流实验、同位素标记和计算研究支持了外球氢化物转移机制。利用线性自由能关系（LFER）和Marcus关系来关联热力学和动力学的变化，揭示具有强反式效应和反式影响的配体可以破坏传统的标度关系，这可以成为促进氢化物转移反应中新反应范式的有力策略。</w:t>
      </w:r>
    </w:p>
    <w:p>
      <w:pPr>
        <w:spacing w:before="0" w:after="200" w:lineRule="auto" w:line="276"/>
      </w:pPr>
      <w:r>
        <w:rPr>
          <w:b/>
        </w:rPr>
        <w:t xml:space="preserve">Abstract (EN): </w:t>
      </w:r>
      <w:r>
        <w:t>Transition metal hydrides are key intermediates in biological and industrial catalysis, where control over hydride donor ability (hydricity) is essential for optimizing reactivity. Herein, we report a series of isomeric ruthenium hydrides in which the ligand trans to the ruthenium hydride bond-either an N-heterocyclic carbene or pyridine-modulates the thermodynamic hydricity by up to 8 kcal mol-1. These hydrides exhibited distinct reactivity toward CO2 and various organic hydride acceptors, enabling detailed kinetic and mechanistic analysis. Stopped-flow experiments, isotopic labeling, and computational studies supported an outer-sphere hydride transfer mechanism. Linear free energy relationships (LFERs) and Marcus relationships were utilized to correlate the changes in thermodynamics and kinetics, revealing that ligands with strong trans effects and trans influence can disrupt conventional scaling relationships, which can be a powerful strategy for promoting new reactivity paradigms in hydride transfer reactions.</w:t>
      </w:r>
    </w:p>
    <w:p>
      <w:pPr>
        <w:spacing w:before="120" w:after="120"/>
      </w:pPr>
      <w:r>
        <w:rPr>
          <w:sz w:val="18"/>
        </w:rPr>
        <w:t>——————————————————————————————————————————————————————————————————————</w:t>
      </w:r>
    </w:p>
    <w:p>
      <w:pPr>
        <w:spacing w:before="160" w:after="40" w:line="240" w:lineRule="auto"/>
      </w:pPr>
      <w:r>
        <w:rPr>
          <w:b/>
        </w:rPr>
        <w:t xml:space="preserve">[13] </w:t>
      </w:r>
      <w:hyperlink r:id="rId533">
        <w:r>
          <w:rPr>
            <w:color w:val="1155CC"/>
            <w:u w:val="single"/>
          </w:rPr>
          <w:t>用于光催化的智能电荷缓冲器调制多时间尺度化学</w:t>
        </w:r>
      </w:hyperlink>
    </w:p>
    <w:p>
      <w:pPr>
        <w:spacing w:before="0" w:after="80"/>
      </w:pPr>
      <w:r>
        <w:rPr>
          <w:i/>
          <w:sz w:val="20"/>
        </w:rPr>
        <w:t>EN: Smart Charge Buffer-Modulated Multitime Scale Chemistry for Photocatalysis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534">
        <w:r>
          <w:rPr>
            <w:color w:val="1155CC"/>
            <w:u w:val="single"/>
          </w:rPr>
          <w:t>10.1021/jacs.6c11129</w:t>
        </w:r>
      </w:hyperlink>
    </w:p>
    <w:p>
      <w:pPr>
        <w:spacing w:before="0" w:after="120"/>
      </w:pPr>
      <w:r>
        <w:rPr>
          <w:b/>
        </w:rPr>
        <w:t xml:space="preserve">Notes: </w:t>
      </w:r>
      <w:r>
        <w:t>abstract_source=pubmed</w:t>
      </w:r>
    </w:p>
    <w:p>
      <w:pPr>
        <w:spacing w:before="0" w:after="80" w:lineRule="auto" w:line="276"/>
      </w:pPr>
      <w:r>
        <w:rPr>
          <w:b/>
        </w:rPr>
        <w:t xml:space="preserve">摘要（ZH）: </w:t>
      </w:r>
      <w:r>
        <w:t>光催化为太阳能驱动的绿色化学合成提供了一个引人注目的平台。然而，一个根本的瓶颈来自于超快激子载流子动力学和相对缓慢的表面反应动力学（从皮秒到秒）之间的时间不匹配，这极大地限制了整体效率。在这里，我们通过引入自调节“时间尺度协调”策略来解决这个长期存在的瓶颈，该策略将二茂铁甲醛（FcCHO）分子作为智能电荷缓冲器集成到能级匹配的光催化剂上。结合原位飞秒瞬态吸收光谱和DRIFTS，我们发现FcCHO通过在不同时间尺度的受电子状态和给电子状态之间可逆切换来实现多时间尺度的界面化学：光激发光催化剂的快速电子捕获发生在皮秒内，而驱动界面CO2还原的受控电子释放在动力学上延迟到第二时间尺度。这种双时间尺度的自调节电荷缓冲行为能够实现快速电荷隔离和需求驱动的电荷释放，从而将激子结合能减弱39.0%，并显着抑制电子空穴复合62.8%。重要的是，这种时间尺度的协调策略是可推广的，可以扩展到不同的光催化系统，建立一个通用的设计原理，用于同步快速电荷动力学与慢速界面反应动力学以实现绿色碳转化。</w:t>
      </w:r>
    </w:p>
    <w:p>
      <w:pPr>
        <w:spacing w:before="0" w:after="200" w:lineRule="auto" w:line="276"/>
      </w:pPr>
      <w:r>
        <w:rPr>
          <w:b/>
        </w:rPr>
        <w:t xml:space="preserve">Abstract (EN): </w:t>
      </w:r>
      <w:r>
        <w:t>Photocatalysis offers a compelling platform for green chemical synthesis driven by solar energy. However, a fundamental bottleneck arises from the temporal mismatch between ultrafast exciton-carrier kinetics and comparatively sluggish surface reaction dynamics, ranging from picoseconds to seconds, which significantly limits the overall efficiency. Here, we address this longstanding bottleneck by introducing a self-modulating "time scale coordination" strategy, which integrates ferrocene carboxaldehyde (FcCHO) molecules as a smart charge buffer onto energy-level-matched photocatalysts. Combining in situ femtosecond transient absorption spectroscopy and DRIFTS, we uncover that the FcCHO enables multitime scale interfacial chemistry through reversible switching between electron-accepting and electron-donating states across disparate time scales: rapid electron capture from photoexcited photocatalysts occurs within picoseconds, while controlled electron release to drive interfacial CO2 reduction is kinetically delayed to the second time scale. This dual-time scale, self-regulated charge buffering behavior enables rapid charge sequestration and demand-driven charge release, which weakens the exciton binding energy by 39.0% and markedly suppresses electron-hole recombination by 62.8%. Importantly, this time scale coordination strategy is generalizable and can be extended to diverse photocatalytic systems, establishing a universal design principle for synchronizing fast charge dynamics with slow interfacial reaction kinetics for green carbon conversion.</w:t>
      </w:r>
    </w:p>
    <w:p>
      <w:pPr>
        <w:spacing w:before="120" w:after="120"/>
      </w:pPr>
      <w:r>
        <w:rPr>
          <w:sz w:val="18"/>
        </w:rPr>
        <w:t>——————————————————————————————————————————————————————————————————————</w:t>
      </w:r>
    </w:p>
    <w:p>
      <w:pPr>
        <w:spacing w:before="160" w:after="40" w:line="240" w:lineRule="auto"/>
      </w:pPr>
      <w:r>
        <w:rPr>
          <w:b/>
        </w:rPr>
        <w:t xml:space="preserve">[14] </w:t>
      </w:r>
      <w:hyperlink r:id="rId535">
        <w:r>
          <w:rPr>
            <w:color w:val="1155CC"/>
            <w:u w:val="single"/>
          </w:rPr>
          <w:t>杂原子掺杂重构界面H 2 O以解决CO 2 电还原中的机理矛盾</w:t>
        </w:r>
      </w:hyperlink>
    </w:p>
    <w:p>
      <w:pPr>
        <w:spacing w:before="0" w:after="80"/>
      </w:pPr>
      <w:r>
        <w:rPr>
          <w:i/>
          <w:sz w:val="20"/>
        </w:rPr>
        <w:t>EN: Heteroatom Doping Restructures Interfacial H 2 O to Resolve Mechanistic Contradictions in CO 2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536">
        <w:r>
          <w:rPr>
            <w:color w:val="1155CC"/>
            <w:u w:val="single"/>
          </w:rPr>
          <w:t>10.1021/jacs.6c08293</w:t>
        </w:r>
      </w:hyperlink>
    </w:p>
    <w:p>
      <w:pPr>
        <w:spacing w:before="0" w:after="120"/>
      </w:pPr>
      <w:r>
        <w:rPr>
          <w:b/>
        </w:rPr>
        <w:t xml:space="preserve">Notes: </w:t>
      </w:r>
      <w:r>
        <w:t>abstract_source=pubmed</w:t>
      </w:r>
    </w:p>
    <w:p>
      <w:pPr>
        <w:spacing w:before="0" w:after="80" w:lineRule="auto" w:line="276"/>
      </w:pPr>
      <w:r>
        <w:rPr>
          <w:b/>
        </w:rPr>
        <w:t xml:space="preserve">摘要（ZH）: </w:t>
      </w:r>
      <w:r>
        <w:t>界面 H2O 越来越被认为是电催化的积极参与者，但核心挑战仍然存在：如何有意且可预测地编程其微观结构以引导质子耦合电子转移 (PCET) 和选择性。在这里，我们引入非金属掺杂作为材料编码手柄来调整模型 SnO2 催化剂上的界面水合，而不改变其本体相。在 N、P 和 S 掺杂剂中，S 独特地稳定了催化剂-电解质边界处无序的、主要是 H 下降的水合基序，从而促进 H2O 活化和定向质子传递，加速 PCET 形成甲酸盐。值得注意的是，尽管二氧化碳衍生中间体的结合较弱，但这种增强仍然出现，揭示了一种溶液结构控制的选择性杠杆，可以超越传统的基于结合能的预期。通过建立掺杂定义的水合基序和反应动力学之间的因果关系，这项工作将界面 H2O 从“背景”提升为可设计的变量，并提出了一种广泛适用的策略，通过界面溶剂化工程优化 PCET 控制的转化。</w:t>
      </w:r>
    </w:p>
    <w:p>
      <w:pPr>
        <w:spacing w:before="0" w:after="200" w:lineRule="auto" w:line="276"/>
      </w:pPr>
      <w:r>
        <w:rPr>
          <w:b/>
        </w:rPr>
        <w:t xml:space="preserve">Abstract (EN): </w:t>
      </w:r>
      <w:r>
        <w:t>Interfacial H2O is increasingly recognized as an active participant in electrocatalysis, yet a central challenge remains: how to deliberately and predictably program its microscopic structure to steer proton-coupled electron transfer (PCET) and selectivity. Here we introduce nonmetal doping as a materials-encoded handle to tune interfacial hydration on a model SnO2 catalyst without changing its bulk phase. Across N, P and S dopants, S uniquely stabilizes a disordered, predominantly H-down hydration motif at the catalyst-electrolyte boundary, which promotes H2O activation and directional proton delivery, accelerating PCET toward formate formation. Notably, this enhancement arises despite weaker binding of CO2-derived intermediates, revealing a solution-structure-controlled selectivity lever that can override conventional binding-energy-based expectations. By establishing a causal link between a doping-defined hydration motif and reaction kinetics, this work elevates interfacial H2O from a "context" to a designable variable, and suggests a broadly applicable strategy for optimizing PCET-governed transformations via interfacial solvation engineering.</w:t>
      </w:r>
    </w:p>
    <w:p>
      <w:pPr>
        <w:spacing w:before="120" w:after="120"/>
      </w:pPr>
      <w:r>
        <w:rPr>
          <w:sz w:val="18"/>
        </w:rPr>
        <w:t>——————————————————————————————————————————————————————————————————————</w:t>
      </w:r>
    </w:p>
    <w:p>
      <w:pPr>
        <w:spacing w:before="160" w:after="40" w:line="240" w:lineRule="auto"/>
      </w:pPr>
      <w:r>
        <w:rPr>
          <w:b/>
        </w:rPr>
        <w:t xml:space="preserve">[15] </w:t>
      </w:r>
      <w:hyperlink r:id="rId482">
        <w:r>
          <w:rPr>
            <w:color w:val="1155CC"/>
            <w:u w:val="single"/>
          </w:rPr>
          <w:t>非质子介质中丁二烯电羧化的 ATR-SEIRAS 研究</w:t>
        </w:r>
      </w:hyperlink>
    </w:p>
    <w:p>
      <w:pPr>
        <w:spacing w:before="0" w:after="80"/>
      </w:pPr>
      <w:r>
        <w:rPr>
          <w:i/>
          <w:sz w:val="20"/>
        </w:rPr>
        <w:t>EN: ATR-SEIRAS Studies of Butadiene Electrocarboxylation in Aprotic Media</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483">
        <w:r>
          <w:rPr>
            <w:color w:val="1155CC"/>
            <w:u w:val="single"/>
          </w:rPr>
          <w:t>10.1021/jacs.6c04924</w:t>
        </w:r>
      </w:hyperlink>
    </w:p>
    <w:p>
      <w:pPr>
        <w:spacing w:before="0" w:after="120"/>
      </w:pPr>
      <w:r>
        <w:rPr>
          <w:b/>
        </w:rPr>
        <w:t xml:space="preserve">Notes: </w:t>
      </w:r>
      <w:r>
        <w:t>abstract_source=pubmed</w:t>
      </w:r>
    </w:p>
    <w:p>
      <w:pPr>
        <w:spacing w:before="0" w:after="80" w:lineRule="auto" w:line="276"/>
      </w:pPr>
      <w:r>
        <w:rPr>
          <w:b/>
        </w:rPr>
        <w:t xml:space="preserve">摘要（ZH）: </w:t>
      </w:r>
      <w:r>
        <w:t>丁二烯 (BD) 的电羧化为利用二氧化碳合成己烯二酸酯提供了一条可持续的途径。己烯二酸酯可以转化为己二酸，这是尼龙的主要前体，目前尼龙是由化石原料生产的。然而，BD 电羧化的关键方面仍不清楚，特别是表面结合中间体和竞争性界面反应的参与，例如 CO2 还原反应 (CO2RR)。在此，我们采用原位衰减全反射表面增强红外吸收光谱（ATR-SEIRAS）、产物分析电解实验和密度泛函理论（DFT）来研究金、铜和铂的 BD 电羧化。 ATR-SEIRAS 跟踪界面物种的演变，并表明 BD 抑制 Cu 上的 CO 吸附带，但在 Pt 上保持不变，这与 DFT 预测一致，该预测是由于其优先结合和 BD 化学吸附在阴极电位增加时不稳定所致。电解实验表明，Au 上的己烯二酸法拉第效率较高，其次是 Cu 和 Pt，而 CO 选择性则显示出相反的趋势（Pt &gt; Cu &gt; Au），为光谱测量中观察到的金属依赖性趋势提供了补充证据。尽管在 BD 存在的情况下仍会形成 CO，但部分 CO2•- 被 BD 消耗以生成电羧化产物，并且产生的 CO 不会吸附在 Cu 上，因为 BD 或 BD 衍生物质在竞争中胜出并取代了它。这些发现强调了 BD 吸附的影响和电位依赖性</w:t>
      </w:r>
    </w:p>
    <w:p>
      <w:pPr>
        <w:spacing w:before="0" w:after="200" w:lineRule="auto" w:line="276"/>
      </w:pPr>
      <w:r>
        <w:rPr>
          <w:b/>
        </w:rPr>
        <w:t xml:space="preserve">Abstract (EN): </w:t>
      </w:r>
      <w:r>
        <w:t>The electrocarboxylation of butadiene (BD) offers a sustainable route to hexenedioate synthesis through CO2 utilization. Hexenedioate can be converted into adipic acid, the main precursor to Nylon, which is currently produced from fossil-based feedstocks. However, key aspects of BD electrocarboxylation remain unclear, particularly the involvement of surface-bound intermediates and competing interfacial reactions, such as the CO2 reduction reaction (CO2RR). Herein, we employ in situ Attenuated Total Reflectance Surface Enhanced Infrared Absorption Spectroscopy (ATR-SEIRAS), electrolysis experiments with product analysis and density functional theory (DFT) to investigate BD electrocarboxylation on Au, Cu, and Pt. ATR-SEIRAS tracks the evolution of interfacial species and shows that BD suppresses the CO adsorption band on Cu but remains unchanged on Pt, consistent with DFT predictions that result from its preferential binding and the destabilization of BD chemisorption at increasingly cathodic potentials. Electrolysis experiments reveal higher hexenedioate Faradaic efficiency on Au, followed by Cu and Pt, while CO selectivity shows the opposite trend (Pt &gt; Cu &gt; Au), providing complementary evidence for metal-dependent trends observed in the spectroscopic measurements. Although CO still forms in the presence of BD, part of the CO2•- is consumed by BD to generate electrocarboxylation products, and the CO that is produced does not adsorb on Cu because BD or BD-derived species outcompete and displace it. These findings highlight the effect of BD adsorption and potential-dependent radical competition in shaping electrocarboxylation reactions, emphasizing the importance of considering interfacial contributions in the electrochemical process.</w:t>
      </w:r>
    </w:p>
    <w:p>
      <w:pPr>
        <w:spacing w:before="120" w:after="120"/>
      </w:pPr>
      <w:r>
        <w:rPr>
          <w:sz w:val="18"/>
        </w:rPr>
        <w:t>——————————————————————————————————————————————————————————————————————</w:t>
      </w:r>
    </w:p>
    <w:p>
      <w:pPr>
        <w:spacing w:before="160" w:after="40" w:line="240" w:lineRule="auto"/>
      </w:pPr>
      <w:r>
        <w:rPr>
          <w:b/>
        </w:rPr>
        <w:t xml:space="preserve">[16] </w:t>
      </w:r>
      <w:hyperlink r:id="rId537">
        <w:r>
          <w:rPr>
            <w:color w:val="1155CC"/>
            <w:u w:val="single"/>
          </w:rPr>
          <w:t>在工业相关条件下通过等离激元铜-铁串联催化剂将太阳能产生的二氧化碳转化为碳氢化合物</w:t>
        </w:r>
      </w:hyperlink>
    </w:p>
    <w:p>
      <w:pPr>
        <w:spacing w:before="0" w:after="80"/>
      </w:pPr>
      <w:r>
        <w:rPr>
          <w:i/>
          <w:sz w:val="20"/>
        </w:rPr>
        <w:t>EN: Unlocking solar-derived CO2 conversion to hydrocarbons over plasmonic Cu-Fe tandem catalysts under industrially relevant conditions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太阳能驱动的二氧化碳转化为碳氢化合物为碳中性燃料提供了一条可持续的途径，但光热条件下高效的 C-C 耦合仍然具有挑战性。在这里，我们报道了一种钾促进的 Cu2Fe1 串联催化剂，用于在工业相关条件下选择性光热 CO2 加氢。在250 °C和20 bar的光照下，该催化剂对C2+烃类的选择性达到77.4%，C2-5烃产率为5.04 mmol g−1 h−1，在已报道的光热CO2加氢系统中表现出极具竞争力的性能。机理研究揭示了一个串联途径，其中 Cu 促进逆水煤气变换反应生成 CO，然后在原位形成的 χ-Fe5C2 上形成费托型烃。原位 DRIFTS、原位 XRD 和 CO-TPR 分析进一步表明，光诱导的非热效应以及 Cu-Fe 界面的局部加热，促进碳化物形成并加速关键中间体的演化。</w:t>
      </w:r>
    </w:p>
    <w:p>
      <w:pPr>
        <w:spacing w:before="0" w:after="200" w:lineRule="auto" w:line="276"/>
      </w:pPr>
      <w:r>
        <w:rPr>
          <w:b/>
        </w:rPr>
        <w:t xml:space="preserve">Abstract (EN): </w:t>
      </w:r>
      <w:r>
        <w:t>Solar-driven conversion of CO2 into hydrocarbons offers a sustainable route to carbon-neutral fuels, yet efficient C-C coupling under photo-thermal conditions remains challenging. Here, we report a potassium-promoted Cu2Fe1 tandem catalyst for selective photo-thermal CO2 hydrogenation under industrially relevant conditions. Under illumination at 250 °C and 20 bar, the catalyst achieves 77.4% selectivity towards C2+ hydrocarbons, with a C2-5 hydrocarbon yield of 5.04 mmol g−1 h−1, representing highly competitive performance among reported photo-thermal CO2 hydrogenation systems. Mechanistic studies reveal a tandem pathway in which Cu promotes the reverse water-gas shift reaction to generate CO, followed by Fischer-Tropsch-type hydrocarbon formation over in situ-formed χ-Fe5C2. In situ DRIFTS, in situ XRD and CO-TPR analyses further show that light-induced non-thermal effects, together with localized heating at the Cu-Fe interface, facilitate carbide formation and accelerate key intermediate evolution.</w:t>
      </w:r>
    </w:p>
    <w:p>
      <w:pPr>
        <w:spacing w:before="120" w:after="120"/>
      </w:pPr>
      <w:r>
        <w:rPr>
          <w:sz w:val="18"/>
        </w:rPr>
        <w:t>——————————————————————————————————————————————————————————————————————</w:t>
      </w:r>
    </w:p>
    <w:p>
      <w:pPr>
        <w:spacing w:before="160" w:after="40" w:line="240" w:lineRule="auto"/>
      </w:pPr>
      <w:r>
        <w:rPr>
          <w:b/>
        </w:rPr>
        <w:t xml:space="preserve">[17] </w:t>
      </w:r>
      <w:hyperlink r:id="rId538">
        <w:r>
          <w:rPr>
            <w:color w:val="1155CC"/>
            <w:u w:val="single"/>
          </w:rPr>
          <w:t>设计基于三嗪的缩醛胺连接多孔有机聚合物以实现高效 CO 2 捕获和转化</w:t>
        </w:r>
      </w:hyperlink>
    </w:p>
    <w:p>
      <w:pPr>
        <w:spacing w:before="0" w:after="80"/>
      </w:pPr>
      <w:r>
        <w:rPr>
          <w:i/>
          <w:sz w:val="20"/>
        </w:rPr>
        <w:t>EN: Designing Triazine-Based Aminal-Linked Porous Organic Polymers for Efficient CO 2 Capture and Conversion</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539">
        <w:r>
          <w:rPr>
            <w:color w:val="1155CC"/>
            <w:u w:val="single"/>
          </w:rPr>
          <w:t>10.1021/acsami.6c08640</w:t>
        </w:r>
      </w:hyperlink>
    </w:p>
    <w:p>
      <w:pPr>
        <w:spacing w:before="0" w:after="120"/>
      </w:pPr>
      <w:r>
        <w:rPr>
          <w:b/>
        </w:rPr>
        <w:t xml:space="preserve">Notes: </w:t>
      </w:r>
      <w:r>
        <w:t>abstract_source=pubmed</w:t>
      </w:r>
    </w:p>
    <w:p>
      <w:pPr>
        <w:spacing w:before="0" w:after="80" w:lineRule="auto" w:line="276"/>
      </w:pPr>
      <w:r>
        <w:rPr>
          <w:b/>
        </w:rPr>
        <w:t xml:space="preserve">摘要（ZH）: </w:t>
      </w:r>
      <w:r>
        <w:t>大气中二氧化碳含量的稳步上升导致了全球变暖和气候变化等严重的环境威胁。因此，开发高效的多孔纳米材料作为吸附剂和催化剂，同时捕获二氧化碳并将其催化转化为增值化学品是当今一个非常具有挑战性的研究领域。在此，我们报告了三种富氮、缩醛胺连接的多孔有机聚合物（POP）的合成，即TBAL-POP-3、TBAL-POP-4和TBAL-POP-5，它们是通过在溶剂热条件下扩展席夫碱缩合反应构建的。在这三种聚合物中，TBAL-POP-5表现出最高的比表面积（1053 m2 g-1）、最高的分级介孔分数（84%），以及在273 K和1 bar下1.92 mmol g-1的高CO2吸收容量以及在273/298 K下良好的CO2/N2选择性43.82/32.03。 TBAL-POP-5 归因于其富含介孔的分级结构，有利于有效的传质和活性位点的可及性。此外，这些材料在二甲胺硼烷作为绿色还原剂的存在下，使用 CO2 作为可持续的 C1 源，对胺的甲酰化表现出良好的催化活性。这项工作强调了富氮多孔聚合物作为集成二氧化碳捕获及其还原增值的多功能平台的双重功能。</w:t>
      </w:r>
    </w:p>
    <w:p>
      <w:pPr>
        <w:spacing w:before="0" w:after="200" w:lineRule="auto" w:line="276"/>
      </w:pPr>
      <w:r>
        <w:rPr>
          <w:b/>
        </w:rPr>
        <w:t xml:space="preserve">Abstract (EN): </w:t>
      </w:r>
      <w:r>
        <w:t>The steady rise in atmospheric CO2 levels has led to a serious environmental threat in the form of global warming and climate change. Therefore, the development of efficient porous nanomaterials as adsorbent and catalyst that simultaneously capture CO2 and catalytically convert it into value-added chemicals is a very challenging area of research today. Herein, we report the synthesis of three nitrogen-rich, aminal-linked porous organic polymers (POPs), namely, TBAL-POP-3, TBAL-POP-4, and TBAL-POP-5, constructed via extended Schiff-base condensation reaction under solvothermal conditions. Among the three polymers, TBAL-POP-5 exhibits the highest specific surface area (1053 m2 g-1), highest fraction of hierarchical mesopores (84%), and high CO2 uptake capacity of 1.92 mmol g-1 at 273 K and 1 bar and good CO2/N2 selectivity 43.82/32.03 at 273/298 K. The enhanced gas adsorption performance of TBAL-POP-5 is attributed to its mesopore-enriched hierarchical structure, which facilitates efficient mass transfer and active site accessibility. Furthermore, these materials demonstrated good catalytic activity toward the formylation of amines using CO2 as a sustainable C1 source in the presence of dimethylamine borane as a green reducing agent. This work highlights the dual functionality of nitrogen-rich porous polymers as multifunctional platforms for integrated CO2 capture and its reductive valorization.</w:t>
      </w:r>
    </w:p>
    <w:p>
      <w:pPr>
        <w:spacing w:before="120" w:after="120"/>
      </w:pPr>
      <w:r>
        <w:rPr>
          <w:sz w:val="18"/>
        </w:rPr>
        <w:t>——————————————————————————————————————————————————————————————————————</w:t>
      </w:r>
    </w:p>
    <w:p>
      <w:pPr>
        <w:spacing w:before="160" w:after="40" w:line="240" w:lineRule="auto"/>
      </w:pPr>
      <w:r>
        <w:rPr>
          <w:b/>
        </w:rPr>
        <w:t xml:space="preserve">[18] </w:t>
      </w:r>
      <w:hyperlink r:id="rId540">
        <w:r>
          <w:rPr>
            <w:color w:val="1155CC"/>
            <w:u w:val="single"/>
          </w:rPr>
          <w:t>质子阱设计的电动摆动吸附可实现可扩展且具有成本效益的直接空气捕获</w:t>
        </w:r>
      </w:hyperlink>
    </w:p>
    <w:p>
      <w:pPr>
        <w:spacing w:before="0" w:after="80"/>
      </w:pPr>
      <w:r>
        <w:rPr>
          <w:i/>
          <w:sz w:val="20"/>
        </w:rPr>
        <w:t>EN: Proton trap engineered electric swing adsorption for scalable and cost-effective direct air capture</w:t>
      </w:r>
    </w:p>
    <w:p>
      <w:pPr>
        <w:spacing w:before="0" w:after="120"/>
      </w:pPr>
      <w:r>
        <w:rPr>
          <w:b/>
        </w:rPr>
        <w:t xml:space="preserve">Source: </w:t>
      </w:r>
      <w:r>
        <w:t>Physical sciences : Nature Communications subject feeds</w:t>
      </w:r>
      <w:r>
        <w:t xml:space="preserve">    </w:t>
      </w:r>
      <w:r>
        <w:rPr>
          <w:b/>
        </w:rPr>
        <w:t xml:space="preserve">Pub date: </w:t>
      </w:r>
      <w:r>
        <w:t>2026-07-21 00:00:00+00:00</w:t>
      </w:r>
    </w:p>
    <w:p>
      <w:pPr>
        <w:spacing w:before="0" w:after="120"/>
      </w:pPr>
      <w:r>
        <w:rPr>
          <w:b/>
        </w:rPr>
        <w:t xml:space="preserve">Notes: </w:t>
      </w:r>
      <w:r>
        <w:t>abstract_source=nature_html</w:t>
      </w:r>
    </w:p>
    <w:p>
      <w:pPr>
        <w:spacing w:before="0" w:after="80" w:lineRule="auto" w:line="276"/>
      </w:pPr>
      <w:r>
        <w:rPr>
          <w:b/>
        </w:rPr>
        <w:t xml:space="preserve">摘要（ZH）: </w:t>
      </w:r>
      <w:r>
        <w:t>直接空气捕获（DAC）对于实现碳中和至关重要，但目前的技术在广泛、经济高效的部署方面面临着重大障碍。基于胺的电变吸附 (ESA) 提供了一种有前景的低能量、无蒸汽途径，但其效率从根本上受到固有的 2:1 胺与 CO2 化学计量损失的限制。在这里，我们通过在 ESA 吸附剂中设计一个点缺陷介导的质子捕获网络来克服这一瓶颈，从而实现 1:1 的胺-CO2 化学计量。我们的工程吸附剂可从 400 ppm CO2 中吸收 6.57 mmol g−1 的 CO2，比最先进的吸附剂提高了 28.8%。只需 3.4 GJ t−1 的低能量输入即可实现再生，并且二氧化碳释放率比传统热法快 48%。 N5-dGA 在 0-80% 相对湿度波动和 1 m s−1 气体速度下保持稳定。技术经济分析预计，使用可再生电力的 DAC 运营成本为 48-62 t−1 美元，比变温吸附 DAC 低 78%，低于 100 t−1 美元的二氧化碳排放目标。这项工作提出了吸附剂设计和 ESA 流程，为十亿吨级 DAC 部署建立了科学严谨且经济可行的途径。</w:t>
      </w:r>
    </w:p>
    <w:p>
      <w:pPr>
        <w:spacing w:before="0" w:after="200" w:lineRule="auto" w:line="276"/>
      </w:pPr>
      <w:r>
        <w:rPr>
          <w:b/>
        </w:rPr>
        <w:t xml:space="preserve">Abstract (EN): </w:t>
      </w:r>
      <w:r>
        <w:t>Direct air capture (DAC) is critical to achieve carbon neutrality, yet current technologies face significant barriers to widespread, cost-effective deployment. Amine-based electric swing adsorption (ESA) offers a promising low-energy, steam-free pathway, but its efficiency is fundamentally limited by an inherent 2:1 amine-to-CO2 stoichiometric penalty. Here, we overcome this bottleneck by engineering a point defect-mediated proton trapping network into ESA sorbents, enabling a 1:1 amine-CO2 stoichiometry. Our engineered sorbent achieves a CO2 uptake of 6.57 mmol g−1 from 400 ppm CO2, a 28.8% improvement over the state-of-the-art sorbents. Regeneration is achieved with a low energy input of 3.4 GJ t−1 and exhibits a CO2 release rate 48% faster than conventional thermal methods. N5-dGA remains stable under 0-80% relative humidity fluctuations and at a gas velocity of 1 m s−1. Techno-economic analysis projects DAC operating costs of $48-62 t−1 using renewable electricity, up to 78% lower than temperature swing adsorption DAC and below the $100 t−1 CO2 target. This work presents a sorbent design and ESA process, establishing a scientifically rigorous and economically viable pathway towards gigaton-scale DAC deployment.</w:t>
      </w:r>
    </w:p>
    <w:p>
      <w:pPr>
        <w:spacing w:before="120" w:after="120"/>
      </w:pPr>
      <w:r>
        <w:rPr>
          <w:sz w:val="18"/>
        </w:rPr>
        <w:t>——————————————————————————————————————————————————————————————————————</w:t>
      </w:r>
    </w:p>
    <w:p>
      <w:pPr>
        <w:spacing w:before="160" w:after="40" w:line="240" w:lineRule="auto"/>
      </w:pPr>
      <w:r>
        <w:rPr>
          <w:b/>
        </w:rPr>
        <w:t xml:space="preserve">[19] </w:t>
      </w:r>
      <w:hyperlink r:id="rId541">
        <w:r>
          <w:rPr>
            <w:color w:val="1155CC"/>
            <w:u w:val="single"/>
          </w:rPr>
          <w:t>用于通过原位产生的 CO 2 电催化碳酸氢盐至甲酸盐转化的硝化纤维素膜</w:t>
        </w:r>
      </w:hyperlink>
    </w:p>
    <w:p>
      <w:pPr>
        <w:spacing w:before="0" w:after="80"/>
      </w:pPr>
      <w:r>
        <w:rPr>
          <w:i/>
          <w:sz w:val="20"/>
        </w:rPr>
        <w:t>EN: Nitrocellulose-Based Membranes for Electrocatalytic Bicarbonate-to-Formate Conversion via In Situ Generated CO 2</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542">
        <w:r>
          <w:rPr>
            <w:color w:val="1155CC"/>
            <w:u w:val="single"/>
          </w:rPr>
          <w:t>10.1021/acsami.6c08711</w:t>
        </w:r>
      </w:hyperlink>
    </w:p>
    <w:p>
      <w:pPr>
        <w:spacing w:before="0" w:after="120"/>
      </w:pPr>
      <w:r>
        <w:rPr>
          <w:b/>
        </w:rPr>
        <w:t xml:space="preserve">Notes: </w:t>
      </w:r>
      <w:r>
        <w:t>abstract_source=pubmed</w:t>
      </w:r>
    </w:p>
    <w:p>
      <w:pPr>
        <w:spacing w:before="0" w:after="80" w:lineRule="auto" w:line="276"/>
      </w:pPr>
      <w:r>
        <w:rPr>
          <w:b/>
        </w:rPr>
        <w:t xml:space="preserve">摘要（ZH）: </w:t>
      </w:r>
      <w:r>
        <w:t>使用碳酸盐和碳酸氢盐水溶液进行 CO2 转化是反应性 CO2 捕获的一种有前途的途径，但在广泛的 pH 范围内维持高法拉第效率 (FE) 仍然具有挑战性。在质子交换膜 (PEM) 和铋阴极电催化剂之间引入混合纤维素酯 (MCE) 多孔膜可增强碳酸氢盐供给电解过程中甲酸盐生产的 FE。在此配置中，碳酸氢根离子 (HCO3-) 在电解槽内质子化，从而能够直接利用原位产生的 CO2 (i-CO2) 进行电解还原。在这里，我们研究了中间多孔膜的作用以及不同纤维素材料在电流密度高于 100 mA cm-2 时对电解性能的影响。虽然随着 pH 值的增加，阴极和 PEM 之间的直接接触会显着降低甲酸 FE，但加入 MCE 膜可增强所有 pH 值下的甲酸 FE，即使在 pH 9.2 下也能保持 78%（2.0 mol L-1 KHCO3 + 0.5 mol L-1 K2CO3），这证明了其在维持 i-CO2 生成方面的有效性。相比之下，α-纤维素和乙酰纤维素由于电池电阻增加而表现出较低的甲酸盐 FE 和较高的全电池电压。操作电化学阻抗谱和气泡形成的实时可视化表明，这些纤维素产生了大的 CO2 气泡，而当使用主要由硝化纤维素组成的 MCE 膜时，i-CO2 仍然主要保持溶解状态。这些结果表明硝酸酯基团促进 i-CO2 的产生及其运输到</w:t>
      </w:r>
    </w:p>
    <w:p>
      <w:pPr>
        <w:spacing w:before="0" w:after="200" w:lineRule="auto" w:line="276"/>
      </w:pPr>
      <w:r>
        <w:rPr>
          <w:b/>
        </w:rPr>
        <w:t xml:space="preserve">Abstract (EN): </w:t>
      </w:r>
      <w:r>
        <w:t>CO2 conversion using aqueous carbonate and bicarbonate solutions is a promising route for reactive CO2 capture, but sustaining high Faradaic efficiency (FE) over a broad pH range remains challenging. Introducing a mixed cellulose ester (MCE) porous membrane between the proton exchange membrane (PEM) and the bismuth cathode electrocatalyst enhances the FE for formate production during bicarbonate-fed electrolysis. In this configuration, bicarbonate ions (HCO3-) are protonated within the electrolyzer, enabling direct utilization of in situ-generated CO2 (i-CO2) for electroreduction. Here, we investigate the role of the intermediate porous membrane and the effects of different cellulose materials on electrolysis performance at current densities above 100 mA cm-2. Although direct contact between the cathode and PEM significantly decreases formate FE with increasing pH, incorporating the MCE membrane enhanced formate FE across all pH values, maintaining 78% even at pH 9.2 (2.0 mol L-1 KHCO3 + 0.5 mol L-1 K2CO3), demonstrating its effectiveness in sustaining i-CO2 generation. In contrast, α-cellulose and acetyl cellulose exhibit lower formate FE and higher full-cell voltage owing to increased cell resistance. Operando electrochemical impedance spectroscopy and real-time visualization of the bubble formation reveal that these celluloses produced large CO2 bubbles, whereas i-CO2 remained predominantly dissolved when using the MCE membrane, which is mainly composed of nitrocellulose. These results indicate that nitrate ester groups facilitate i-CO2 generation and its transport to the cathode catalyst. Furthermore, a 3.0 mol L-1 KOH solution that captures CO2 gas achieves 91% formate FE at 100 mA cm-2, with a full-cell voltage of 1.5 V and 80% i-CO2 utilization, highlighting the potential of this MCE-based electrolyzer design for reactive CO2 capture and utilization.</w:t>
      </w:r>
    </w:p>
    <w:p>
      <w:pPr>
        <w:spacing w:before="120" w:after="120"/>
      </w:pPr>
      <w:r>
        <w:rPr>
          <w:sz w:val="18"/>
        </w:rPr>
        <w:t>——————————————————————————————————————————————————————————————————————</w:t>
      </w:r>
    </w:p>
    <w:p>
      <w:pPr>
        <w:spacing w:before="160" w:after="40" w:line="240" w:lineRule="auto"/>
      </w:pPr>
      <w:r>
        <w:rPr>
          <w:b/>
        </w:rPr>
        <w:t xml:space="preserve">[20] </w:t>
      </w:r>
      <w:hyperlink r:id="rId543">
        <w:r>
          <w:rPr>
            <w:color w:val="1155CC"/>
            <w:u w:val="single"/>
          </w:rPr>
          <w:t>使用吸附剂实现下一代直接空气捕获的途径</w:t>
        </w:r>
      </w:hyperlink>
    </w:p>
    <w:p>
      <w:pPr>
        <w:spacing w:before="0" w:after="80"/>
      </w:pPr>
      <w:r>
        <w:rPr>
          <w:i/>
          <w:sz w:val="20"/>
        </w:rPr>
        <w:t>EN: A pathway to next-generation direct air capture using adsorbents</w:t>
      </w:r>
    </w:p>
    <w:p>
      <w:pPr>
        <w:spacing w:before="0" w:after="120"/>
      </w:pPr>
      <w:r>
        <w:rPr>
          <w:b/>
        </w:rPr>
        <w:t xml:space="preserve">Source: </w:t>
      </w:r>
      <w:r>
        <w:t>Joule</w:t>
      </w:r>
      <w:r>
        <w:t xml:space="preserve">    </w:t>
      </w:r>
      <w:r>
        <w:rPr>
          <w:b/>
        </w:rPr>
        <w:t xml:space="preserve">Pub date: </w:t>
      </w:r>
      <w:r>
        <w:t>2026-07-21 00:00:00+00:00</w:t>
      </w:r>
      <w:r>
        <w:t xml:space="preserve">    </w:t>
      </w:r>
      <w:r>
        <w:rPr>
          <w:b/>
        </w:rPr>
        <w:t xml:space="preserve">DOI: </w:t>
      </w:r>
      <w:hyperlink r:id="rId544">
        <w:r>
          <w:rPr>
            <w:color w:val="1155CC"/>
            <w:u w:val="single"/>
          </w:rPr>
          <w:t>10.1016/j.joule.2026.102587</w:t>
        </w:r>
      </w:hyperlink>
    </w:p>
    <w:p>
      <w:pPr>
        <w:spacing w:before="0" w:after="120"/>
      </w:pPr>
      <w:r>
        <w:rPr>
          <w:b/>
        </w:rPr>
        <w:t xml:space="preserve">Notes: </w:t>
      </w:r>
      <w:r>
        <w:t>abstract_source=rss_cell</w:t>
      </w:r>
    </w:p>
    <w:p>
      <w:pPr>
        <w:spacing w:before="0" w:after="80" w:lineRule="auto" w:line="276"/>
      </w:pPr>
      <w:r>
        <w:rPr>
          <w:b/>
        </w:rPr>
        <w:t xml:space="preserve">摘要（ZH）: </w:t>
      </w:r>
      <w:r>
        <w:t>随着极端天气事件的日益频繁，除碳技术的紧迫性显而易见。尽管直接空气捕获（DAC）最有希望实现大规模碳去除，但其部署面临着重大的工程障碍。本综述总结了 DAC 放大的四个关键瓶颈，涵盖接触器设计、热管理、水管理和系统耦合。这些最终通过技术经济分析相互联系起来，这有助于确定加速 DAC 实现其碳捕获目标的关键途径。</w:t>
      </w:r>
    </w:p>
    <w:p>
      <w:pPr>
        <w:spacing w:before="0" w:after="200" w:lineRule="auto" w:line="276"/>
      </w:pPr>
      <w:r>
        <w:rPr>
          <w:b/>
        </w:rPr>
        <w:t xml:space="preserve">Abstract (EN): </w:t>
      </w:r>
      <w:r>
        <w:t>As extreme weather events become increasingly frequent, the urgency of carbon removal technologies is clear. Although direct air capture (DAC) holds the greatest promise for large-scale carbon removal, its deployment faces significant engineering hurdles. This review summarizes four key bottlenecks in DAC scale-up, covering contactor design, thermal management, water management, and system coupling. These are ultimately connected with one another by techno-economic analysis, which helps identify critical pathways to accelerate DAC toward its carbon capture goals.</w:t>
      </w:r>
    </w:p>
    <w:p>
      <w:pPr>
        <w:spacing w:before="120" w:after="120"/>
      </w:pPr>
      <w:r>
        <w:rPr>
          <w:sz w:val="18"/>
        </w:rPr>
        <w:t>——————————————————————————————————————————————————————————————————————</w:t>
      </w:r>
    </w:p>
    <w:p>
      <w:pPr>
        <w:spacing w:before="160" w:after="40" w:line="240" w:lineRule="auto"/>
      </w:pPr>
      <w:r>
        <w:rPr>
          <w:b/>
        </w:rPr>
        <w:t xml:space="preserve">[21] </w:t>
      </w:r>
      <w:hyperlink r:id="rId396">
        <w:r>
          <w:rPr>
            <w:color w:val="1155CC"/>
            <w:u w:val="single"/>
          </w:rPr>
          <w:t>氨处于净零十字路口</w:t>
        </w:r>
      </w:hyperlink>
    </w:p>
    <w:p>
      <w:pPr>
        <w:spacing w:before="0" w:after="80"/>
      </w:pPr>
      <w:r>
        <w:rPr>
          <w:i/>
          <w:sz w:val="20"/>
        </w:rPr>
        <w:t>EN: Ammonia at the net-zero crossroads</w:t>
      </w:r>
    </w:p>
    <w:p>
      <w:pPr>
        <w:spacing w:before="0" w:after="120"/>
      </w:pPr>
      <w:r>
        <w:rPr>
          <w:b/>
        </w:rPr>
        <w:t xml:space="preserve">Source: </w:t>
      </w:r>
      <w:r>
        <w:t>Earth and environmental sciences : Nature Communications subject feeds</w:t>
      </w:r>
      <w:r>
        <w:t xml:space="preserve">    </w:t>
      </w:r>
      <w:r>
        <w:rPr>
          <w:b/>
        </w:rPr>
        <w:t xml:space="preserve">Pub date: </w:t>
      </w:r>
      <w:r>
        <w:t>2026-07-21 00:00:00+00:00</w:t>
      </w:r>
    </w:p>
    <w:p>
      <w:pPr>
        <w:spacing w:before="0" w:after="120"/>
      </w:pPr>
      <w:r>
        <w:rPr>
          <w:b/>
        </w:rPr>
        <w:t xml:space="preserve">Notes: </w:t>
      </w:r>
      <w:r>
        <w:t>abstract_source=nature_html</w:t>
      </w:r>
    </w:p>
    <w:p>
      <w:pPr>
        <w:spacing w:before="0" w:after="80" w:lineRule="auto" w:line="276"/>
      </w:pPr>
      <w:r>
        <w:rPr>
          <w:b/>
        </w:rPr>
        <w:t xml:space="preserve">摘要（ZH）: </w:t>
      </w:r>
      <w:r>
        <w:t>氨对于食品生产和新兴的无碳能源载体是不可或缺的，但它通过化石燃料哈伯-博世工艺合成，使其成为二氧化碳的主要来源。我们介绍了氨彩虹，这是一个结合了基于物理的建模、学习曲线分析和生命周期可持续性评估的分类框架，用于评估八种氨生产技术的净零转型。在这里，我们表明，假设全球氨需求量增加一倍以满足预计的粮食和能源需求，那么在任何当前政策或技术情景下，到 2050 年都无法实现净零氨。即使是乐观的绿色路线部署也需要广泛的基础设施，消耗超过 40% 的可用绿色氢以及大量碳捕获和可再生能源容量。电化学路线具有长期前景，但如果没有颠覆性创新，不太可能在 2070 年之前实现商业可行性。通过揭露这些隐藏的系统级负担，我们挑战了需求增长不受控制的普遍假设，并主张采取需求方措施、提高效率和替代脱碳策略。</w:t>
      </w:r>
    </w:p>
    <w:p>
      <w:pPr>
        <w:spacing w:before="0" w:after="200" w:lineRule="auto" w:line="276"/>
      </w:pPr>
      <w:r>
        <w:rPr>
          <w:b/>
        </w:rPr>
        <w:t xml:space="preserve">Abstract (EN): </w:t>
      </w:r>
      <w:r>
        <w:t>Ammonia is indispensable for food production and an emerging carbon-free energy vector, yet its synthesis via the fossil-fuelled Haber–Bosch process makes it a major source of carbon dioxide. We introduce the Ammonia Rainbow, a classification framework combining physics-based modelling, learning-curve analysis, and life-cycle sustainability assessment to evaluate net-zero transitions across eight ammonia production technologies. Here we show that, assuming global ammonia demand doubles to meet projected food and energy needs, net-zero ammonia is not achievable by 2050 under any current policy or technological scenario. Even optimistic deployment of green routes demands extensive infrastructure, consuming over 40 percent of available green hydrogen alongside large fractions of carbon capture and renewable energy capacity. Electrochemical routes offer long-term promise but are unlikely to reach commercial viability before 2070 without disruptive innovation. By exposing these hidden systems-level burdens, we challenge the prevailing assumption of unchecked demand growth and argue for demand-side measures, efficiency improvements, and alternative decarbonisation strategies.</w:t>
      </w:r>
    </w:p>
    <w:p>
      <w:pPr>
        <w:spacing w:before="120" w:after="120"/>
      </w:pPr>
      <w:r>
        <w:rPr>
          <w:sz w:val="18"/>
        </w:rPr>
        <w:t>——————————————————————————————————————————————————————————————————————</w:t>
      </w:r>
    </w:p>
    <w:p>
      <w:pPr>
        <w:spacing w:before="160" w:after="40" w:line="240" w:lineRule="auto"/>
      </w:pPr>
      <w:r>
        <w:rPr>
          <w:b/>
        </w:rPr>
        <w:t xml:space="preserve">[22] </w:t>
      </w:r>
      <w:hyperlink r:id="rId545">
        <w:r>
          <w:rPr>
            <w:color w:val="1155CC"/>
            <w:u w:val="single"/>
          </w:rPr>
          <w:t>离子对介导使微滴中的 CO 2 和 NH 3 形成环境尿素</w:t>
        </w:r>
      </w:hyperlink>
    </w:p>
    <w:p>
      <w:pPr>
        <w:spacing w:before="0" w:after="80"/>
      </w:pPr>
      <w:r>
        <w:rPr>
          <w:i/>
          <w:sz w:val="20"/>
        </w:rPr>
        <w:t>EN: Ion-Pair Mediation Enables Ambient Urea Formation from CO 2 and NH 3 in Microdroplets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546">
        <w:r>
          <w:rPr>
            <w:color w:val="1155CC"/>
            <w:u w:val="single"/>
          </w:rPr>
          <w:t>10.1021/jacs.6c12314</w:t>
        </w:r>
      </w:hyperlink>
    </w:p>
    <w:p>
      <w:pPr>
        <w:spacing w:before="0" w:after="120"/>
      </w:pPr>
      <w:r>
        <w:rPr>
          <w:b/>
        </w:rPr>
        <w:t xml:space="preserve">Notes: </w:t>
      </w:r>
      <w:r>
        <w:t>abstract_source=pubmed</w:t>
      </w:r>
    </w:p>
    <w:p>
      <w:pPr>
        <w:spacing w:before="0" w:after="80" w:lineRule="auto" w:line="276"/>
      </w:pPr>
      <w:r>
        <w:rPr>
          <w:b/>
        </w:rPr>
        <w:t xml:space="preserve">摘要（ZH）: </w:t>
      </w:r>
      <w:r>
        <w:t>在环境条件下，尿素可以在水性微滴界面处由 CO2 和 NH3 自发形成，无需催化剂或外部能量输入。然而，这种高效转化背后的分子机制仍不清楚，这主要是由于关键中间体的瞬态性质。使用具有显式空气-水界面的大规模量子力学/分子力学（QM/MM）元动力学模拟，我们确定了一种离子对介导的途径，其特征是低激活势垒，使观察到的反应性合理化。 CO2 与两个 NH3 分子反应形成稳定的 H2NCOO-⋯NH4+ 离子对（最近在微滴实验中检测到的一种物质），其激活势垒仅为 ∼ 9.4 kcal/mol。固有界面电场 (∼0.1 V/Å) 进一步将该势垒降低至∼ 4.4 kcal/mol。随后，第三个 NH3 对离子对进行亲核攻击，通过协调的质子转移过程产生尿素，其势垒非常低，约为 8.1 kcal/mol。相比之下，通过中性氨基甲酸 (H2NCOOH) 进行的途径表现出超过 18.0 kcal/mol 的势垒，并且质子化氨基甲酸本身的初始形成需要 22.9 kcal/mol 的势垒，使得两条路径在动力学上不具有竞争性。这项工作提供了微滴中自发尿素形成的关键原子学见解，并强调了界面微环境的独特物理化学特征在实现生命前相关化学方面的重要性。</w:t>
      </w:r>
    </w:p>
    <w:p>
      <w:pPr>
        <w:spacing w:before="0" w:after="200" w:lineRule="auto" w:line="276"/>
      </w:pPr>
      <w:r>
        <w:rPr>
          <w:b/>
        </w:rPr>
        <w:t xml:space="preserve">Abstract (EN): </w:t>
      </w:r>
      <w:r>
        <w:t>Urea can form spontaneously from CO2 and NH3 at aqueous microdroplet interfaces under ambient conditions, without catalysts or external energy input. However, the molecular mechanism behind this highly efficient transformation remains unclear, largely due to the transient nature of key intermediates. Using large-scale quantum mechanics/molecular mechanics (QM/MM) metadynamics simulations with an explicit air-water interface, we identify an ion-pair-mediated pathway featuring low activation barriers that rationalizes the observed reactivity. CO2 reacts with two NH3 molecules to form a stable H2NCOO-⋯NH4+ ion pair─a species recently detected in microdroplet experiments─with an activation barrier of only ∼ 9.4 kcal/mol. The intrinsic interfacial electric field (∼0.1 V/Å) further lowers this barrier to ∼ 4.4 kcal/mol. Subsequent nucleophilic attack by a third NH3 on the ion pair yields urea through a concerted proton-transfer process with a remarkably low barrier of ∼ 8.1 kcal/mol. In contrast, pathways proceeding via neutral carbamic acid (H2NCOOH) exhibit barriers exceeding 18.0 kcal/mol, and the initial formation of protonated carbamic acid itself requires a barrier of 22.9 kcal/mol, rendering both routes kinetically noncompetitive. This work provides key atomistic insights into spontaneous urea formation in microdroplets and underscores the importance of the distinct physicochemical features of the interfacial microenvironment in enabling prebiotically relevant chemistry.</w:t>
      </w:r>
    </w:p>
    <w:p>
      <w:pPr>
        <w:spacing w:before="120" w:after="120"/>
      </w:pPr>
      <w:r>
        <w:rPr>
          <w:sz w:val="18"/>
        </w:rPr>
        <w:t>——————————————————————————————————————————————————————————————————————</w:t>
      </w:r>
    </w:p>
    <w:p>
      <w:pPr>
        <w:spacing w:before="160" w:after="40" w:line="240" w:lineRule="auto"/>
      </w:pPr>
      <w:r>
        <w:rPr>
          <w:b/>
        </w:rPr>
        <w:t xml:space="preserve">[23] </w:t>
      </w:r>
      <w:hyperlink r:id="rId399">
        <w:r>
          <w:rPr>
            <w:color w:val="1155CC"/>
            <w:u w:val="single"/>
          </w:rPr>
          <w:t>CO 2 耦合加氢常压合成氨</w:t>
        </w:r>
      </w:hyperlink>
    </w:p>
    <w:p>
      <w:pPr>
        <w:spacing w:before="0" w:after="80"/>
      </w:pPr>
      <w:r>
        <w:rPr>
          <w:i/>
          <w:sz w:val="20"/>
        </w:rPr>
        <w:t>EN: Atmospheric Pressure Ammonia Synthesis via CO 2 -Coupled Hydrogenation</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400">
        <w:r>
          <w:rPr>
            <w:color w:val="1155CC"/>
            <w:u w:val="single"/>
          </w:rPr>
          <w:t>10.1021/jacs.6c11181</w:t>
        </w:r>
      </w:hyperlink>
    </w:p>
    <w:p>
      <w:pPr>
        <w:spacing w:before="0" w:after="120"/>
      </w:pPr>
      <w:r>
        <w:rPr>
          <w:b/>
        </w:rPr>
        <w:t xml:space="preserve">Notes: </w:t>
      </w:r>
      <w:r>
        <w:t>abstract_source=pubmed</w:t>
      </w:r>
    </w:p>
    <w:p>
      <w:pPr>
        <w:spacing w:before="0" w:after="80" w:lineRule="auto" w:line="276"/>
      </w:pPr>
      <w:r>
        <w:rPr>
          <w:b/>
        </w:rPr>
        <w:t xml:space="preserve">摘要（ZH）: </w:t>
      </w:r>
      <w:r>
        <w:t>哈伯-博世氨合成是全球农业和化学工业的基石，但它从根本上受到内在规模关系的限制，需要与大量碳足迹相关的能源密集型条件。在此，我们报告了一种表面氧化还原介导的化学循环策略，该策略利用二氧化碳氢化反应作为化学触发器，在大气压下驱动钴钼双金属氮化物（Co3Mo3N）氮载体上的氨合成。机理研究表明，CO2 会引发动态表面氧化，从而削弱固有的 Mo-N 键，并促进晶格氮的氢化和以 NH3 形式释放。该循环通过随后的氮化步骤结束，该步骤去除表面氧并再生氮化物晶格。这种氧化还原介导的机制使得NH3峰值浓度达到前所未有的~2.3%，在500°C和大气压下释放速率达到12.4 mmol·gcat-1·h-1，规避了历史上阻碍低压氨合成的热力学限制。我们的研究结果证明了动态表面工程如何将动力学限制与热力学约束解耦，为可持续固氮与碳利用提供了一种新的范例。</w:t>
      </w:r>
    </w:p>
    <w:p>
      <w:pPr>
        <w:spacing w:before="0" w:after="200" w:lineRule="auto" w:line="276"/>
      </w:pPr>
      <w:r>
        <w:rPr>
          <w:b/>
        </w:rPr>
        <w:t xml:space="preserve">Abstract (EN): </w:t>
      </w:r>
      <w:r>
        <w:t>The Haber-Bosch ammonia synthesis is a cornerstone of global agriculture and the chemical industry, yet it is fundamentally constrained by intrinsic scaling relations, necessitating energy-intensive conditions associated with a significant carbon footprint. Herein, we report a surface redox-mediated chemical looping strategy that utilizes the CO2 hydrogenation reaction as a chemical trigger to drive ammonia synthesis at atmospheric pressure over a cobalt-molybdenum bimetallic nitride (Co3Mo3N) nitrogen carrier. Mechanistic investigations reveal that CO2 induces a dynamic surface oxidation that weakens the intrinsic Mo-N bonds and facilitates the hydrogenation and release of lattice nitrogen as NH3. The cycle is closed by a subsequent nitridation step that removes surface oxygen and regenerates the nitride lattice. This redox-mediated mechanism enables an unprecedented NH3 peak concentration of ∼2.3% and a release rate of 12.4 mmol·gcat-1·h-1 at 500 °C under atmospheric pressure, circumventing the thermodynamic limitations that historically hinder low-pressure ammonia synthesis. Our findings demonstrate how dynamic surface engineering can decouple kinetic limitations from thermodynamic constraints, offering a novel paradigm for sustainable nitrogen fixation coupled with carbon utilization.</w:t>
      </w:r>
    </w:p>
    <w:p>
      <w:pPr>
        <w:spacing w:before="120" w:after="120"/>
      </w:pPr>
      <w:r>
        <w:rPr>
          <w:sz w:val="18"/>
        </w:rPr>
        <w:t>——————————————————————————————————————————————————————————————————————</w:t>
      </w:r>
    </w:p>
    <w:p>
      <w:pPr>
        <w:spacing w:before="160" w:after="40" w:line="240" w:lineRule="auto"/>
      </w:pPr>
      <w:r>
        <w:rPr>
          <w:b/>
        </w:rPr>
        <w:t xml:space="preserve">[24] </w:t>
      </w:r>
      <w:hyperlink r:id="rId547">
        <w:r>
          <w:rPr>
            <w:color w:val="1155CC"/>
            <w:u w:val="single"/>
          </w:rPr>
          <w:t>用于 CO2 捕获和转化的集成双极膜电渗析和电解</w:t>
        </w:r>
      </w:hyperlink>
    </w:p>
    <w:p>
      <w:pPr>
        <w:spacing w:before="0" w:after="80"/>
      </w:pPr>
      <w:r>
        <w:rPr>
          <w:i/>
          <w:sz w:val="20"/>
        </w:rPr>
        <w:t>EN: Integrated Bipolar Membrane Electrodialysis and Electrolysis for CO2 Capture and Conversion</w:t>
      </w:r>
    </w:p>
    <w:p>
      <w:pPr>
        <w:spacing w:before="0" w:after="120"/>
      </w:pPr>
      <w:r>
        <w:rPr>
          <w:b/>
        </w:rPr>
        <w:t xml:space="preserve">Source: </w:t>
      </w:r>
      <w:r>
        <w:t>Wiley: Advanced Energy Materials: Table of Contents</w:t>
      </w:r>
      <w:r>
        <w:t xml:space="preserve">    </w:t>
      </w:r>
      <w:r>
        <w:rPr>
          <w:b/>
        </w:rPr>
        <w:t xml:space="preserve">Pub date: </w:t>
      </w:r>
      <w:r>
        <w:t>2026-07-21 06:52:33+00:00</w:t>
      </w:r>
      <w:r>
        <w:t xml:space="preserve">    </w:t>
      </w:r>
      <w:r>
        <w:rPr>
          <w:b/>
        </w:rPr>
        <w:t xml:space="preserve">DOI: </w:t>
      </w:r>
      <w:hyperlink r:id="rId548">
        <w:r>
          <w:rPr>
            <w:color w:val="1155CC"/>
            <w:u w:val="single"/>
          </w:rPr>
          <w:t>10.1002/aenm.71272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使用碳捕获和转化技术实现海水脱碳仍然是一个重大的工艺工程挑战。在这里，我们提出了一个组合 CO 的集成系统</w:t>
      </w:r>
      <w:r>
        <w:rPr>
          <w:vertAlign w:val="subscript"/>
        </w:rPr>
        <w:t>2</w:t>
      </w:r>
      <w:r>
        <w:t>捕获和转化，将双极膜电渗析 (BMED) 与 CO 耦合</w:t>
      </w:r>
      <w:r>
        <w:rPr>
          <w:vertAlign w:val="subscript"/>
        </w:rPr>
        <w:t>2</w:t>
      </w:r>
      <w:r>
        <w:t>电解槽（CO</w:t>
      </w:r>
      <w:r>
        <w:rPr>
          <w:vertAlign w:val="subscript"/>
        </w:rPr>
        <w:t>2</w:t>
      </w:r>
      <w:r>
        <w:t>E) 在单一系统 (BMEED) 中。使用从海水水平 (0.0025 M) 到碳捕获吸收剂 (0.5M) 的浓度范围演示了溶解无机碳（碳酸氢盐）的电化学提取和转化，实现了 3.90 kWh/kg‐的特定能耗。集成 BMEED 的 CO 转化选择性为 98%，单位能耗为 34.00 kWh/kg-CO。相比之下，两个独立的子系统表现出 98% 的选择性和 39.22 kWh/kg-CO，高出 17%。技术经济分析表明，与独立的碳捕获和转化子系统相比，BMEED 将二氧化碳生产的平准化成本降低了 42%。整合将二氧化碳生产从非盈利基线转变为 193 美元/吨二氧化碳的盈利情景。 BMEED 展示了 CO 工艺强化的优势</w:t>
      </w:r>
      <w:r>
        <w:rPr>
          <w:vertAlign w:val="subscript"/>
        </w:rPr>
        <w:t>2</w:t>
      </w:r>
      <w:r>
        <w:t>捕获和转化并建立了一条有前途的、节能的电化学途径。</w:t>
      </w:r>
    </w:p>
    <w:p>
      <w:pPr>
        <w:spacing w:before="0" w:after="200" w:lineRule="auto" w:line="276"/>
      </w:pPr>
      <w:r>
        <w:rPr>
          <w:b/>
        </w:rPr>
        <w:t xml:space="preserve">Abstract (EN): </w:t>
      </w:r>
      <w:r>
        <w:t>Decarbonization of seawater using carbon capture and conversion technologies remains a significant process engineering challenge. Here, we present an integrated system for combined CO</w:t>
      </w:r>
      <w:r>
        <w:rPr>
          <w:vertAlign w:val="subscript"/>
        </w:rPr>
        <w:t>2</w:t>
      </w:r>
      <w:r>
        <w:t>capture and conversion, which couples bipolar membrane electrodialysis (BMED) with a CO</w:t>
      </w:r>
      <w:r>
        <w:rPr>
          <w:vertAlign w:val="subscript"/>
        </w:rPr>
        <w:t>2</w:t>
      </w:r>
      <w:r>
        <w:t>electrolyzer (CO</w:t>
      </w:r>
      <w:r>
        <w:rPr>
          <w:vertAlign w:val="subscript"/>
        </w:rPr>
        <w:t>2</w:t>
      </w:r>
      <w:r>
        <w:t>E) in a single system (BMEED). Electrochemical extraction and conversion of dissolved inorganic carbon (bicarbonate) are demonstrated using concentrations ranging from seawater level (0.0025 M) to carbon capture absorbents (0.5M), achieving a specific energy consumption of 3.90 kWh/kg‐. Integrated BMEED achieved a  to CO conversion selectivity of 98% and a specific energy consumption of 34.00 kWh/kg‐CO. By comparison, two independent subsystems exhibit 98% selectivity and 39.22 kWh/kg‐CO, which is 17% higher. Techno‐economic analyses reveal BMEED reduced the levelized cost of CO production by 42% compared to the stand‐alone carbon capture and conversion subsystems. Integration shifts CO production from a non‐profitable baseline to a profitable scenario of $193/ton‐CO. BMEED demonstrates the advantages of process intensification for CO</w:t>
      </w:r>
      <w:r>
        <w:rPr>
          <w:vertAlign w:val="subscript"/>
        </w:rPr>
        <w:t>2</w:t>
      </w:r>
      <w:r>
        <w:t>capture and conversion and establishes a promising, energy‐efficient electrochemical pathway.</w:t>
      </w:r>
    </w:p>
    <w:p>
      <w:pPr>
        <w:spacing w:before="120" w:after="120"/>
      </w:pPr>
      <w:r>
        <w:rPr>
          <w:sz w:val="18"/>
        </w:rPr>
        <w:t>——————————————————————————————————————————————————————————————————————</w:t>
      </w:r>
    </w:p>
    <w:p>
      <w:pPr>
        <w:spacing w:before="160" w:after="40" w:line="240" w:lineRule="auto"/>
      </w:pPr>
      <w:r>
        <w:rPr>
          <w:b/>
        </w:rPr>
        <w:t xml:space="preserve">[25] </w:t>
      </w:r>
      <w:hyperlink r:id="rId549">
        <w:r>
          <w:rPr>
            <w:color w:val="1155CC"/>
            <w:u w:val="single"/>
          </w:rPr>
          <w:t>受 PFAS 影响的农业土壤的综合热修复和植物修复</w:t>
        </w:r>
      </w:hyperlink>
    </w:p>
    <w:p>
      <w:pPr>
        <w:spacing w:before="0" w:after="80"/>
      </w:pPr>
      <w:r>
        <w:rPr>
          <w:i/>
          <w:sz w:val="20"/>
        </w:rPr>
        <w:t>EN: Integrated thermal and phytoremediation of agricultural soils impacted by PFAS</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550">
        <w:r>
          <w:rPr>
            <w:color w:val="1155CC"/>
            <w:u w:val="single"/>
          </w:rPr>
          <w:t>10.1073/pnas.2600786123</w:t>
        </w:r>
      </w:hyperlink>
    </w:p>
    <w:p>
      <w:pPr>
        <w:spacing w:before="0" w:after="120"/>
      </w:pPr>
      <w:r>
        <w:rPr>
          <w:b/>
        </w:rPr>
        <w:t xml:space="preserve">Notes: </w:t>
      </w:r>
      <w:r>
        <w:t>abstract_source=crossref</w:t>
      </w:r>
    </w:p>
    <w:p>
      <w:pPr>
        <w:spacing w:before="0" w:after="80" w:lineRule="auto" w:line="276"/>
      </w:pPr>
      <w:r>
        <w:rPr>
          <w:b/>
        </w:rPr>
        <w:t xml:space="preserve">摘要（ZH）: </w:t>
      </w:r>
      <w:r>
        <w:t>全氟烷基物质和多氟烷基物质 (PFAS) 是持久性合成化合物，几十年来生物固体的应用已经污染了数百万公顷的农田。传统的修复方法，例如热破坏或挖掘，成本高昂，碳密集，并且使受影响的农田不适合农业。在这里，我们提出了一种潜在的可扩展修复策略，该策略结合了植物修复、生物炭生产和增强风化，以同时去除土壤中的 PFAS、固定残留污染物并实现持久的二氧化碳去除 (CDR)。使用受实验数据约束的随机模型，我们表明通过碱性岩石改良来管理土壤 pH 值可以加速 PFOS 的去除，在典型污染水平下将修复时间缩短十多年。收获的生物质的热解有效地破坏了 PFAS 并产生生物炭，当生物炭重新应用于土壤时，可大大减少对地下水和周围环境的浸出。对估计 100 万公顷受 PFAS 影响的农田进行的全国规模模拟表明，综合 CDR 潜力约为 11 Mt CO</w:t>
      </w:r>
      <w:r>
        <w:rPr>
          <w:vertAlign w:val="subscript"/>
        </w:rPr>
        <w:t>2</w:t>
      </w:r>
      <w:r>
        <w:t>y</w:t>
      </w:r>
      <w:r>
        <w:t xml:space="preserve"> </w:t>
      </w:r>
      <w:r>
        <w:t>–1</w:t>
      </w:r>
      <w:r>
        <w:t xml:space="preserve"> </w:t>
      </w:r>
      <w:r>
        <w:t>，相当于美国2050年碳去除目标的4%至6%。我们估计修复成本中位数为每公顷 1,460 美元</w:t>
      </w:r>
      <w:r>
        <w:t xml:space="preserve"> </w:t>
      </w:r>
      <w:r>
        <w:t>–1</w:t>
      </w:r>
      <w:r>
        <w:t xml:space="preserve"> </w:t>
      </w:r>
      <w:r>
        <w:t>y</w:t>
      </w:r>
      <w:r>
        <w:t xml:space="preserve"> </w:t>
      </w:r>
      <w:r>
        <w:t>–1</w:t>
      </w:r>
      <w:r>
        <w:t xml:space="preserve"> </w:t>
      </w:r>
      <w:r>
        <w:t>——比现有技术低一个数量级以上，成本大幅降低</w:t>
      </w:r>
    </w:p>
    <w:p>
      <w:pPr>
        <w:spacing w:before="0" w:after="200" w:lineRule="auto" w:line="276"/>
      </w:pPr>
      <w:r>
        <w:rPr>
          <w:b/>
        </w:rPr>
        <w:t xml:space="preserve">Abstract (EN): </w:t>
      </w:r>
      <w:r>
        <w:t>Per- and polyfluoroalkyl substances (PFAS) are persistent synthetic compounds that have contaminated millions of hectares of agricultural land through decades of biosolids application. Conventional remediation approaches, such as thermal destruction or excavation, are prohibitively expensive, carbon intensive, and leave affected farmland unfit for agriculture. Here, we present a potential scalable remediation strategy that combines phytoremediation, biochar production, and enhanced weathering to simultaneously remove PFAS from soil, immobilize residual contamination, and achieve durable carbon dioxide removal (CDR). Using stochastic modeling constrained by experimental data, we show that soil pH management through alkaline rock amendment can accelerate PFOS removal, shortening remediation timelines by more than a decade under typical contamination levels. Pyrolysis of harvested biomass effectively destroys PFAS and produces biochar, which, when reapplied to soil, substantially reduces leaching to groundwater and the surrounding environment. National-scale simulations across the estimated one million hectares of PFAS-impacted cropland indicate a combined CDR potential of approximately 11 Mt CO</w:t>
      </w:r>
      <w:r>
        <w:rPr>
          <w:vertAlign w:val="subscript"/>
        </w:rPr>
        <w:t>2</w:t>
      </w:r>
      <w:r>
        <w:t>y</w:t>
      </w:r>
      <w:r>
        <w:t xml:space="preserve"> </w:t>
      </w:r>
      <w:r>
        <w:t>–1</w:t>
      </w:r>
      <w:r>
        <w:t xml:space="preserve"> </w:t>
      </w:r>
      <w:r>
        <w:t>, equivalent to 4 to 6% of the US 2050 carbon removal target. We estimate a median remediation cost of $1,460 USD ha</w:t>
      </w:r>
      <w:r>
        <w:t xml:space="preserve"> </w:t>
      </w:r>
      <w:r>
        <w:t>–1</w:t>
      </w:r>
      <w:r>
        <w:t xml:space="preserve"> </w:t>
      </w:r>
      <w:r>
        <w:t>y</w:t>
      </w:r>
      <w:r>
        <w:t xml:space="preserve"> </w:t>
      </w:r>
      <w:r>
        <w:t>–1</w:t>
      </w:r>
      <w:r>
        <w:t xml:space="preserve"> </w:t>
      </w:r>
      <w:r>
        <w:t>—more than an order of magnitude lower than current technologies, with costs substantially reduced through carbon removal revenues valued near the social cost of carbon. This integrated thermal and phytoremediation framework provides a viable pathway to restore contaminated farmland, mitigate PFAS exposure risks, and contribute meaningfully to national climate mitigation goals.</w:t>
      </w:r>
    </w:p>
    <w:p>
      <w:pPr>
        <w:spacing w:before="120" w:after="120"/>
      </w:pPr>
      <w:r>
        <w:rPr>
          <w:sz w:val="18"/>
        </w:rPr>
        <w:t>——————————————————————————————————————————————————————————————————————</w:t>
      </w:r>
    </w:p>
    <w:p>
      <w:pPr>
        <w:spacing w:before="160" w:after="40" w:line="240" w:lineRule="auto"/>
      </w:pPr>
      <w:r>
        <w:rPr>
          <w:b/>
        </w:rPr>
        <w:t xml:space="preserve">[26] </w:t>
      </w:r>
      <w:hyperlink r:id="rId403">
        <w:r>
          <w:rPr>
            <w:color w:val="1155CC"/>
            <w:u w:val="single"/>
          </w:rPr>
          <w:t>缺陷 MOF 中的 Cu+-Cu0 簇对用于高度协同 CO2 加氢制甲醇</w:t>
        </w:r>
      </w:hyperlink>
    </w:p>
    <w:p>
      <w:pPr>
        <w:spacing w:before="0" w:after="80"/>
      </w:pPr>
      <w:r>
        <w:rPr>
          <w:i/>
          <w:sz w:val="20"/>
        </w:rPr>
        <w:t>EN: Cu+‐Cu0 Cluster Pairs in Defective MOFs for Highly Synergistic CO2 Hydrogenation to Methanol</w:t>
      </w:r>
    </w:p>
    <w:p>
      <w:pPr>
        <w:spacing w:before="0" w:after="120"/>
      </w:pPr>
      <w:r>
        <w:rPr>
          <w:b/>
        </w:rPr>
        <w:t xml:space="preserve">Source: </w:t>
      </w:r>
      <w:r>
        <w:t>Wiley: Angewandte Chemie International Edition: Table of Contents</w:t>
      </w:r>
      <w:r>
        <w:t xml:space="preserve">    </w:t>
      </w:r>
      <w:r>
        <w:rPr>
          <w:b/>
        </w:rPr>
        <w:t xml:space="preserve">Pub date: </w:t>
      </w:r>
      <w:r>
        <w:t>2026-07-21 12:11:19+00:00</w:t>
      </w:r>
      <w:r>
        <w:t xml:space="preserve">    </w:t>
      </w:r>
      <w:r>
        <w:rPr>
          <w:b/>
        </w:rPr>
        <w:t xml:space="preserve">DOI: </w:t>
      </w:r>
      <w:hyperlink r:id="rId404">
        <w:r>
          <w:rPr>
            <w:color w:val="1155CC"/>
            <w:u w:val="single"/>
          </w:rPr>
          <w:t>10.1002/anie.3440356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多价 Cu 位点的精确排列用于 CO 的同步激活</w:t>
      </w:r>
      <w:r>
        <w:rPr>
          <w:vertAlign w:val="subscript"/>
        </w:rPr>
        <w:t>2</w:t>
      </w:r>
      <w:r>
        <w:t>和H</w:t>
      </w:r>
      <w:r>
        <w:rPr>
          <w:vertAlign w:val="subscript"/>
        </w:rPr>
        <w:t>2</w:t>
      </w:r>
      <w:r>
        <w:t>选择性甲醇合成仍然具有挑战性。在这里，我们设计了空间排列的Cu</w:t>
      </w:r>
      <w:r>
        <w:t xml:space="preserve"> </w:t>
      </w:r>
      <w:r>
        <w:t>+</w:t>
      </w:r>
      <w:r>
        <w:t xml:space="preserve"> </w:t>
      </w:r>
      <w:r>
        <w:t>‐铜</w:t>
      </w:r>
      <w:r>
        <w:rPr>
          <w:vertAlign w:val="subscript"/>
        </w:rPr>
        <w:t>0</w:t>
      </w:r>
      <w:r>
        <w:t>簇对限制在 UiO-66 (U66) 内以实现时空定向 CO</w:t>
      </w:r>
      <w:r>
        <w:rPr>
          <w:vertAlign w:val="subscript"/>
        </w:rPr>
        <w:t>2</w:t>
      </w:r>
      <w:r>
        <w:t>加氢为甲醇。该架构是通过使用 L-抗坏血酸 (LA) 在 U66 内创建缺失连接子缺陷，然后顺序锚定高密度、相邻的 Cu 来构建的。</w:t>
      </w:r>
      <w:r>
        <w:t xml:space="preserve"> </w:t>
      </w:r>
      <w:r>
        <w:t>+</w:t>
      </w:r>
      <w:r>
        <w:t xml:space="preserve"> </w:t>
      </w:r>
      <w:r>
        <w:t>‐铜</w:t>
      </w:r>
      <w:r>
        <w:rPr>
          <w:vertAlign w:val="subscript"/>
        </w:rPr>
        <w:t>0</w:t>
      </w:r>
      <w:r>
        <w:t>簇对（约 1:1 比例）产生 Cu/U66(LA-Cu) 催化剂。该催化剂在220℃、3MPa反应条件下，甲醇时空收率为688.1mg·g</w:t>
      </w:r>
      <w:r>
        <w:t xml:space="preserve"> </w:t>
      </w:r>
      <w:r>
        <w:t>−1</w:t>
      </w:r>
      <w:r>
        <w:t xml:space="preserve"> </w:t>
      </w:r>
      <w:r>
        <w:t>·小时</w:t>
      </w:r>
      <w:r>
        <w:t xml:space="preserve"> </w:t>
      </w:r>
      <w:r>
        <w:t>−1</w:t>
      </w:r>
      <w:r>
        <w:t xml:space="preserve"> </w:t>
      </w:r>
      <w:r>
        <w:t>以及超高的甲醇选择性（97.0%）。其单一甲醇选择性是高稳定性氧化物材料的1.06-1.77倍。同时，与稳定运行60-175小时的高选择性MOF基催化剂相比，催化剂200小时的稳定性显着延长。机理研究表明，Cu</w:t>
      </w:r>
      <w:r>
        <w:t xml:space="preserve"> </w:t>
      </w:r>
      <w:r>
        <w:t>+</w:t>
      </w:r>
      <w:r>
        <w:t xml:space="preserve"> </w:t>
      </w:r>
      <w:r>
        <w:t>‐铜</w:t>
      </w:r>
      <w:r>
        <w:rPr>
          <w:vertAlign w:val="subscript"/>
        </w:rPr>
        <w:t>0</w:t>
      </w:r>
      <w:r>
        <w:t>有缺陷的 U66 内的簇对不仅能够实现 CO 的分区协同激活</w:t>
      </w:r>
    </w:p>
    <w:p>
      <w:pPr>
        <w:spacing w:before="0" w:after="200" w:lineRule="auto" w:line="276"/>
      </w:pPr>
      <w:r>
        <w:rPr>
          <w:b/>
        </w:rPr>
        <w:t xml:space="preserve">Abstract (EN): </w:t>
      </w:r>
      <w:r>
        <w:t>Precise arrangement of multivalent Cu sites for the synchronized activation of CO</w:t>
      </w:r>
      <w:r>
        <w:rPr>
          <w:vertAlign w:val="subscript"/>
        </w:rPr>
        <w:t>2</w:t>
      </w:r>
      <w:r>
        <w:t>and H</w:t>
      </w:r>
      <w:r>
        <w:rPr>
          <w:vertAlign w:val="subscript"/>
        </w:rPr>
        <w:t>2</w:t>
      </w:r>
      <w:r>
        <w:t>in selective methanol synthesis remained challenging. Herein, we designed spatially arrayed Cu</w:t>
      </w:r>
      <w:r>
        <w:t xml:space="preserve"> </w:t>
      </w:r>
      <w:r>
        <w:t>+</w:t>
      </w:r>
      <w:r>
        <w:t xml:space="preserve"> </w:t>
      </w:r>
      <w:r>
        <w:t>‐Cu</w:t>
      </w:r>
      <w:r>
        <w:rPr>
          <w:vertAlign w:val="subscript"/>
        </w:rPr>
        <w:t>0</w:t>
      </w:r>
      <w:r>
        <w:t>cluster pairs confined within UiO‐66 (U66) to achieve spatiotemporally directed CO</w:t>
      </w:r>
      <w:r>
        <w:rPr>
          <w:vertAlign w:val="subscript"/>
        </w:rPr>
        <w:t>2</w:t>
      </w:r>
      <w:r>
        <w:t>hydrogenation to methanol. This architecture was constructed by creating missing‐linker defects within U66 using L‐ascorbic acid (LA), followed by sequential anchoring of high‐density, adjacent Cu</w:t>
      </w:r>
      <w:r>
        <w:t xml:space="preserve"> </w:t>
      </w:r>
      <w:r>
        <w:t>+</w:t>
      </w:r>
      <w:r>
        <w:t xml:space="preserve"> </w:t>
      </w:r>
      <w:r>
        <w:t>‐Cu</w:t>
      </w:r>
      <w:r>
        <w:rPr>
          <w:vertAlign w:val="subscript"/>
        </w:rPr>
        <w:t>0</w:t>
      </w:r>
      <w:r>
        <w:t>cluster pairs (≈1:1 ratio) to yield a Cu/U66(LA‐Cu) catalyst. Under reaction conditions of 220°C and 3 MPa, this catalyst achieved a methanol space‐time yield of 688.1 mg·g</w:t>
      </w:r>
      <w:r>
        <w:t xml:space="preserve"> </w:t>
      </w:r>
      <w:r>
        <w:t>−1</w:t>
      </w:r>
      <w:r>
        <w:t xml:space="preserve"> </w:t>
      </w:r>
      <w:r>
        <w:t>·h</w:t>
      </w:r>
      <w:r>
        <w:t xml:space="preserve"> </w:t>
      </w:r>
      <w:r>
        <w:t>−1</w:t>
      </w:r>
      <w:r>
        <w:t xml:space="preserve"> </w:t>
      </w:r>
      <w:r>
        <w:t>and an ultra‐high methanol selectivity (97.0%). Its unity‐methanol selectivity was 1.06–1.77 times that of high‐stability oxide materials. Meanwhile, catalyst's stability of 200 h was significantly prolonged compared to high‐selectivity MOF‐based catalysts that operated stably for 60–175 h. Mechanistic studies revealed that Cu</w:t>
      </w:r>
      <w:r>
        <w:t xml:space="preserve"> </w:t>
      </w:r>
      <w:r>
        <w:t>+</w:t>
      </w:r>
      <w:r>
        <w:t xml:space="preserve"> </w:t>
      </w:r>
      <w:r>
        <w:t>‐Cu</w:t>
      </w:r>
      <w:r>
        <w:rPr>
          <w:vertAlign w:val="subscript"/>
        </w:rPr>
        <w:t>0</w:t>
      </w:r>
      <w:r>
        <w:t>cluster pairs within defective U66 not only enabled partitioned synergistic activation of CO</w:t>
      </w:r>
      <w:r>
        <w:rPr>
          <w:vertAlign w:val="subscript"/>
        </w:rPr>
        <w:t>2</w:t>
      </w:r>
      <w:r>
        <w:t>and H</w:t>
      </w:r>
      <w:r>
        <w:rPr>
          <w:vertAlign w:val="subscript"/>
        </w:rPr>
        <w:t>2</w:t>
      </w:r>
      <w:r>
        <w:t>, but established an efficient electron/hydrogen transfer pathway. This facilitated the migration of active hydrogen species to CO</w:t>
      </w:r>
      <w:r>
        <w:rPr>
          <w:vertAlign w:val="subscript"/>
        </w:rPr>
        <w:t>2</w:t>
      </w:r>
      <w:r>
        <w:t>adsorption sites, where adsorbed CO</w:t>
      </w:r>
      <w:r>
        <w:rPr>
          <w:vertAlign w:val="subscript"/>
        </w:rPr>
        <w:t>2</w:t>
      </w:r>
      <w:r>
        <w:t>was converted into CO intermediates and underwent deep hydrogenation. This structural design synergistically enhanced compatibility between H</w:t>
      </w:r>
      <w:r>
        <w:rPr>
          <w:vertAlign w:val="subscript"/>
        </w:rPr>
        <w:t>2</w:t>
      </w:r>
      <w:r>
        <w:t>dissociation and CO</w:t>
      </w:r>
      <w:r>
        <w:rPr>
          <w:vertAlign w:val="subscript"/>
        </w:rPr>
        <w:t>2</w:t>
      </w:r>
      <w:r>
        <w:t>hydrogenation steps, enabling reaction to proceed efficiently along the RWGS + CO‐hydro pathway.</w:t>
      </w:r>
    </w:p>
    <w:p>
      <w:pPr>
        <w:spacing w:before="120" w:after="120"/>
      </w:pPr>
      <w:r>
        <w:rPr>
          <w:sz w:val="18"/>
        </w:rPr>
        <w:t>——————————————————————————————————————————————————————————————————————</w:t>
      </w:r>
    </w:p>
    <w:p>
      <w:pPr>
        <w:spacing w:before="160" w:after="40" w:line="240" w:lineRule="auto"/>
      </w:pPr>
      <w:r>
        <w:rPr>
          <w:b/>
        </w:rPr>
        <w:t xml:space="preserve">[27] </w:t>
      </w:r>
      <w:hyperlink r:id="rId405">
        <w:r>
          <w:rPr>
            <w:color w:val="1155CC"/>
            <w:u w:val="single"/>
          </w:rPr>
          <w:t>基于超分子笼的异质结：模拟叶绿体人工光合作用以高效生产乙醇</w:t>
        </w:r>
      </w:hyperlink>
    </w:p>
    <w:p>
      <w:pPr>
        <w:spacing w:before="0" w:after="80"/>
      </w:pPr>
      <w:r>
        <w:rPr>
          <w:i/>
          <w:sz w:val="20"/>
        </w:rPr>
        <w:t>EN: Supramolecular Cage‐Based Heterojunction: Chloroplast Mimicked Artificial Photosynthesis for Efficient Ethanol Production</w:t>
      </w:r>
    </w:p>
    <w:p>
      <w:pPr>
        <w:spacing w:before="0" w:after="120"/>
      </w:pPr>
      <w:r>
        <w:rPr>
          <w:b/>
        </w:rPr>
        <w:t xml:space="preserve">Source: </w:t>
      </w:r>
      <w:r>
        <w:t>Wiley: Angewandte Chemie International Edition: Table of Contents</w:t>
      </w:r>
      <w:r>
        <w:t xml:space="preserve">    </w:t>
      </w:r>
      <w:r>
        <w:rPr>
          <w:b/>
        </w:rPr>
        <w:t xml:space="preserve">Pub date: </w:t>
      </w:r>
      <w:r>
        <w:t>2026-07-21 12:15:01+00:00</w:t>
      </w:r>
      <w:r>
        <w:t xml:space="preserve">    </w:t>
      </w:r>
      <w:r>
        <w:rPr>
          <w:b/>
        </w:rPr>
        <w:t xml:space="preserve">DOI: </w:t>
      </w:r>
      <w:hyperlink r:id="rId406">
        <w:r>
          <w:rPr>
            <w:color w:val="1155CC"/>
            <w:u w:val="single"/>
          </w:rPr>
          <w:t>10.1002/anie.6078601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C的光合作用</w:t>
      </w:r>
      <w:r>
        <w:t xml:space="preserve"> </w:t>
      </w:r>
      <w:r>
        <w:t>2+</w:t>
      </w:r>
      <w:r>
        <w:t xml:space="preserve"> </w:t>
      </w:r>
      <w:r>
        <w:t>通过人工光合作用整体反应生产乙醇等产品是非常理想的，但通常受到碳的空间限制/利用的挑战</w:t>
      </w:r>
      <w:r>
        <w:rPr>
          <w:vertAlign w:val="subscript"/>
        </w:rPr>
        <w:t>1</w:t>
      </w:r>
      <w:r>
        <w:t>复杂的多电子还原过程中的中间体或动力学缓慢的 C─C 键耦合。受大自然的启发，通过模仿叶绿体设计了超分子仿生异质结（Zn-TIPP/CdS）光催化剂。 Zn-TIPP独特的超分子笼结构与CdS在该异质结中的耦合成功模拟了叶绿体中基质和基粒的综合功能，实现了最高的乙醇生产率之一（138.9 µmol g</w:t>
      </w:r>
      <w:r>
        <w:t xml:space="preserve"> </w:t>
      </w:r>
      <w:r>
        <w:t>−1</w:t>
      </w:r>
      <w:r>
        <w:t xml:space="preserve"> </w:t>
      </w:r>
      <w:r>
        <w:t>小时</w:t>
      </w:r>
      <w:r>
        <w:t xml:space="preserve"> </w:t>
      </w:r>
      <w:r>
        <w:t>−1</w:t>
      </w:r>
      <w:r>
        <w:t xml:space="preserve"> </w:t>
      </w:r>
      <w:r>
        <w:t>，93% 的选择性）通过人工光合作用，大大超过了大多数先前记录的光催化剂。在仿生异质结中快速电荷转移效率的驱动下，Zn-TIPP中超分子笼的空间限制和多位点催化效应使得CO能够级联转化</w:t>
      </w:r>
      <w:r>
        <w:rPr>
          <w:vertAlign w:val="subscript"/>
        </w:rPr>
        <w:t>2</w:t>
      </w:r>
      <w:r>
        <w:t>原位表征和理论计算揭示了乙醇的存在。这种氧化还原异质结的建立将促进高效光催化剂的设计，通过人工光合整体反应产生增值燃料。</w:t>
      </w:r>
    </w:p>
    <w:p>
      <w:pPr>
        <w:spacing w:before="0" w:after="200" w:lineRule="auto" w:line="276"/>
      </w:pPr>
      <w:r>
        <w:rPr>
          <w:b/>
        </w:rPr>
        <w:t xml:space="preserve">Abstract (EN): </w:t>
      </w:r>
      <w:r>
        <w:t>Photosynthesis of C</w:t>
      </w:r>
      <w:r>
        <w:t xml:space="preserve"> </w:t>
      </w:r>
      <w:r>
        <w:t>2+</w:t>
      </w:r>
      <w:r>
        <w:t xml:space="preserve"> </w:t>
      </w:r>
      <w:r>
        <w:t>products like ethanol through artificial photosynthetic overall reaction is much desired yet generally challenged by spatial confinement/utilization of C</w:t>
      </w:r>
      <w:r>
        <w:rPr>
          <w:vertAlign w:val="subscript"/>
        </w:rPr>
        <w:t>1</w:t>
      </w:r>
      <w:r>
        <w:t>intermediates or kinetically sluggish C─C bond coupling in the complex multi‐electronic reduction processes. Inspired by nature, a supramolecular biomimetic heterojunction (Zn‐TIPP/CdS) photocatalyst was designed by mimicking chloroplasts. The coupling of the unique supramolecular cage structure of Zn‐TIPP with CdS in this heterojunction successfully simulates the comprehensive functions of stroma and grana in chloroplasts, achieving one of the highest ethanol production rates (138.9 µmol g</w:t>
      </w:r>
      <w:r>
        <w:t xml:space="preserve"> </w:t>
      </w:r>
      <w:r>
        <w:t>−1</w:t>
      </w:r>
      <w:r>
        <w:t xml:space="preserve"> </w:t>
      </w:r>
      <w:r>
        <w:t>h</w:t>
      </w:r>
      <w:r>
        <w:t xml:space="preserve"> </w:t>
      </w:r>
      <w:r>
        <w:t>−1</w:t>
      </w:r>
      <w:r>
        <w:t xml:space="preserve"> </w:t>
      </w:r>
      <w:r>
        <w:t>, 93% selectivity) via artificial photosynthesis, which significantly surpasses most previously documented photocatalysts. Driven by the fast charge transfer efficiency in the biomimetic heterojunction, the spatial confinement and multisite catalytic effects of the supramolecular cage in Zn‐TIPP enable the cascade conversion of CO</w:t>
      </w:r>
      <w:r>
        <w:rPr>
          <w:vertAlign w:val="subscript"/>
        </w:rPr>
        <w:t>2</w:t>
      </w:r>
      <w:r>
        <w:t>into ethanol as revealed by in situ characterizations and theoretical calculations. The establishment of such redox heterojunction would promote the design of efficient photocatalysts for the generation of value‐added fuels through artificial photosynthetic overall reaction.</w:t>
      </w:r>
    </w:p>
    <w:p>
      <w:pPr>
        <w:spacing w:before="120" w:after="120"/>
      </w:pPr>
      <w:r>
        <w:rPr>
          <w:sz w:val="18"/>
        </w:rPr>
        <w:t>——————————————————————————————————————————————————————————————————————</w:t>
      </w:r>
    </w:p>
    <w:p>
      <w:pPr>
        <w:spacing w:before="160" w:after="40" w:line="240" w:lineRule="auto"/>
      </w:pPr>
      <w:r>
        <w:rPr>
          <w:b/>
        </w:rPr>
        <w:t xml:space="preserve">[28] </w:t>
      </w:r>
      <w:hyperlink r:id="rId420">
        <w:r>
          <w:rPr>
            <w:color w:val="1155CC"/>
            <w:u w:val="single"/>
          </w:rPr>
          <w:t>一种利用详细过程模型优化 power-to-X 能源系统运行的分解方法</w:t>
        </w:r>
      </w:hyperlink>
    </w:p>
    <w:p>
      <w:pPr>
        <w:spacing w:before="0" w:after="80"/>
      </w:pPr>
      <w:r>
        <w:rPr>
          <w:i/>
          <w:sz w:val="20"/>
        </w:rPr>
        <w:t>EN: A decomposition method for optimizing the operation of power-to-X energy systems with detailed process models</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421">
        <w:r>
          <w:rPr>
            <w:color w:val="1155CC"/>
            <w:u w:val="single"/>
          </w:rPr>
          <w:t>10.1016/j.apenergy.2026.128445</w:t>
        </w:r>
      </w:hyperlink>
    </w:p>
    <w:p>
      <w:pPr>
        <w:spacing w:before="0" w:after="120"/>
      </w:pPr>
      <w:r>
        <w:rPr>
          <w:b/>
        </w:rPr>
        <w:t xml:space="preserve">Notes: </w:t>
      </w:r>
      <w:r>
        <w:t>abstract_source=openalex</w:t>
      </w:r>
    </w:p>
    <w:p>
      <w:pPr>
        <w:spacing w:before="0" w:after="80" w:lineRule="auto" w:line="276"/>
      </w:pPr>
      <w:r>
        <w:rPr>
          <w:b/>
        </w:rPr>
        <w:t xml:space="preserve">摘要（ZH）: </w:t>
      </w:r>
      <w:r>
        <w:t>对可再生能源的日益依赖需要通过复杂的流程（例如 power-to-X）来扩展能源系统。由于这些过程的不同操作特性，相应的优化问题非常复杂，导致模型在计算上难以解决。为了解决这一计算挑战，这项工作提出了一种分解方法来解决具有详细过程模型的复杂能源系统的运行优化问题。该方法通过为每个过程合并一个代理模型，将原始优化问题分解为不同模型粒度级别的优化问题。该方法以以前专注于单个连续过程系统的工作为基础，扩展到处理多个和更复杂的过程系统。为此，我们引入了多阶段过程系统的代理建模方法，并针对操作优化问题开发了三种解决方法。该方法通过 PEM 电解槽、直接空气捕获装置和两个甲烷化过程的详细过程模型，用于最大限度地降低 power-to-X 能源系统的日常运营成本。所有三种解决方案的运营成本相当，但计算效率不同。最有效的解决方案可以在一小时内确定最佳运营策略。此外，敏感性研究评估了关键参数对方法性能的影响，证明了其稳健性和适应性。结果凸显了该提案的潜力</w:t>
      </w:r>
    </w:p>
    <w:p>
      <w:pPr>
        <w:spacing w:before="0" w:after="200" w:lineRule="auto" w:line="276"/>
      </w:pPr>
      <w:r>
        <w:rPr>
          <w:b/>
        </w:rPr>
        <w:t xml:space="preserve">Abstract (EN): </w:t>
      </w:r>
      <w:r>
        <w:t>The growing reliance on renewable energy necessitates extending energy systems with complex processes such as power-to-X. Due to the diverse operational characteristics of these processes, the corresponding optimization problems are highly complex and result in models that are computationally difficult to solve. To address this computational challenge, this work proposes a decomposition method to solve operational optimization problems for complex energy systems with detailed process models. The method decomposes the original optimization problem into optimization problems with different levels of model granularity by incorporating a surrogate model for each process. Building on prior work focusing on a single continuous process system, this method is expanded to handle multiple and more complex process systems. To this end, we introduce a surrogate modeling approach for multistage process systems and develop three solution approaches for the operational optimization problems. The method is applied to minimize the daily operational cost of a power-to-X energy system with detailed process models of a PEM electrolyzer, a direct air capture plant and two methanation processes. All three solution approaches yield comparable operational costs, but differ in computational efficiency. The most efficient solution approach identifies an optimal operational strategy in under one hour. Additionally, a sensitivity study evaluates the impact of key parameters on the performance of the method, demonstrating its robustness and adaptability. The results highlight the potential of the proposed method to efficiently optimize the operations of complex energy systems with detailed process models.</w:t>
      </w:r>
    </w:p>
    <w:p>
      <w:pPr>
        <w:spacing w:before="120" w:after="120"/>
      </w:pPr>
      <w:r>
        <w:rPr>
          <w:sz w:val="18"/>
        </w:rPr>
        <w:t>——————————————————————————————————————————————————————————————————————</w:t>
      </w:r>
    </w:p>
    <w:p>
      <w:pPr>
        <w:spacing w:before="160" w:after="40" w:line="240" w:lineRule="auto"/>
      </w:pPr>
      <w:r>
        <w:rPr>
          <w:b/>
        </w:rPr>
        <w:t xml:space="preserve">[29] </w:t>
      </w:r>
      <w:hyperlink r:id="rId506">
        <w:r>
          <w:rPr>
            <w:color w:val="1155CC"/>
            <w:u w:val="single"/>
          </w:rPr>
          <w:t>中国铝工业脱碳：碳捕集、利用和封存与可再生能源技术协同的综合评估</w:t>
        </w:r>
      </w:hyperlink>
    </w:p>
    <w:p>
      <w:pPr>
        <w:spacing w:before="0" w:after="80"/>
      </w:pPr>
      <w:r>
        <w:rPr>
          <w:i/>
          <w:sz w:val="20"/>
        </w:rPr>
        <w:t>EN: Decarbonizing China's aluminium industry: a comprehensive assessment of synergistic carbon capture, utilization, and storage with renewable energy technologies</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507">
        <w:r>
          <w:rPr>
            <w:color w:val="1155CC"/>
            <w:u w:val="single"/>
          </w:rPr>
          <w:t>10.1016/j.apenergy.2026.128454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551">
        <w:r>
          <w:rPr>
            <w:color w:val="1155CC"/>
            <w:u w:val="single"/>
          </w:rPr>
          <w:t>具有动态配位的锌磷纳米域用于电化学二氧化碳还原</w:t>
        </w:r>
      </w:hyperlink>
    </w:p>
    <w:p>
      <w:pPr>
        <w:spacing w:before="0" w:after="80"/>
      </w:pPr>
      <w:r>
        <w:rPr>
          <w:i/>
          <w:sz w:val="20"/>
        </w:rPr>
        <w:t>EN: Zinc-phosphorus nanodomains with dynamic coordination for electrochemical CO2 reduction</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单原子催化剂（SAC）因其明确的基序和电化学 CO2 还原中显着的 CO 选择性而受到青睐。然而，工作条件下的动态协调演化和结构-活动关系仍然令人非常困惑。在此，我们认为，与 Zn-N4 配置相比，具有弱键相互作用的柔性 Zn-P3 纳米域在工作条件下可能表现出电位依赖性结构调制。在 CO2 还原工作条件下，Zn-P3 结构可能会形成 Zn-Px 类配位减少的亚稳态。基于原位光谱分析、氘同位素动力学分析和理论计算，低配位Zn和可能受到扰动的P位点可能作为CO2电还原中顺序质子电子转移第一步的有效活性位点。这种动态催化纳米域内的协作分配，而不是在单个金属位点上，可能有助于提高内在活性，从而在 500 mA cm−2 下持续 100 小时提供高周转频率 (47,690 h−1) 和 CO 生产率 (213 mL h−1 cm−2)。我们的工作阐明了 SAC 的动态协调控制机制，并强调了在运行条件下探讨其结构基础的必要性。</w:t>
      </w:r>
    </w:p>
    <w:p>
      <w:pPr>
        <w:spacing w:before="0" w:after="200" w:lineRule="auto" w:line="276"/>
      </w:pPr>
      <w:r>
        <w:rPr>
          <w:b/>
        </w:rPr>
        <w:t xml:space="preserve">Abstract (EN): </w:t>
      </w:r>
      <w:r>
        <w:t>Single-atom catalysts (SACs) are favored owing to their well-defined motifs and notable CO selectivity in electrochemical CO2 reduction. However, the dynamic coordination evolution under working conditions and the structure-activity relationships remain highly puzzling. Herein, we suggest that flexible Zn–P3 nanodomains with weak-bond interactions may exhibit a potential-dependent structural modulation under working conditions compared to Zn–N4 configurations. A possible metastable state with reduced Zn–Px-like coordination may be formed from the Zn–P3 structure under CO2 reduction working conditions. Based on in situ spectroscopy analysis, deuterium isotope kinetic analysis, and theoretical calculations, the low-coordination Zn and the possibly perturbed P sites may serve as efficient active sites for the first step of sequential proton–electron transfer in the CO2 electroreduction. The collaborative assignments within this dynamic catalytic nanodomain, rather than at individual metal site, may contribute to the improved the intrinsic activity, which delivers a high turnover frequency (47,690 h−1) and a CO production rate (213 mL h−1 cm−2) at 500 mA cm−2 for 100 h. Our work elucidates the dynamic coordination-governed mechanisms of SACs and underscores the necessity of probing their structural basis under operating conditions.</w:t>
      </w:r>
    </w:p>
    <w:p>
      <w:pPr>
        <w:spacing w:before="120" w:after="120"/>
      </w:pPr>
      <w:r>
        <w:rPr>
          <w:sz w:val="18"/>
        </w:rPr>
        <w:t>——————————————————————————————————————————————————————————————————————</w:t>
      </w:r>
    </w:p>
    <w:p>
      <w:pPr>
        <w:spacing w:before="160" w:after="40" w:line="240" w:lineRule="auto"/>
      </w:pPr>
      <w:r>
        <w:rPr>
          <w:b/>
        </w:rPr>
        <w:t xml:space="preserve">[31] </w:t>
      </w:r>
      <w:hyperlink r:id="rId434">
        <w:r>
          <w:rPr>
            <w:color w:val="1155CC"/>
            <w:u w:val="single"/>
          </w:rPr>
          <w:t>光电催化中从金属中心催化到有机轨道编程</w:t>
        </w:r>
      </w:hyperlink>
    </w:p>
    <w:p>
      <w:pPr>
        <w:spacing w:before="0" w:after="80"/>
      </w:pPr>
      <w:r>
        <w:rPr>
          <w:i/>
          <w:sz w:val="20"/>
        </w:rPr>
        <w:t>EN: From Metal‐Centered Catalysis to Organic Orbital Programming in Photoelectrocatalysis</w:t>
      </w:r>
    </w:p>
    <w:p>
      <w:pPr>
        <w:spacing w:before="0" w:after="120"/>
      </w:pPr>
      <w:r>
        <w:rPr>
          <w:b/>
        </w:rPr>
        <w:t xml:space="preserve">Source: </w:t>
      </w:r>
      <w:r>
        <w:t>Wiley: Advanced Materials: Table of Contents</w:t>
      </w:r>
      <w:r>
        <w:t xml:space="preserve">    </w:t>
      </w:r>
      <w:r>
        <w:rPr>
          <w:b/>
        </w:rPr>
        <w:t xml:space="preserve">Pub date: </w:t>
      </w:r>
      <w:r>
        <w:t>2026-07-22 08:58:42+00:00</w:t>
      </w:r>
      <w:r>
        <w:t xml:space="preserve">    </w:t>
      </w:r>
      <w:r>
        <w:rPr>
          <w:b/>
        </w:rPr>
        <w:t xml:space="preserve">DOI: </w:t>
      </w:r>
      <w:hyperlink r:id="rId435">
        <w:r>
          <w:rPr>
            <w:color w:val="1155CC"/>
            <w:u w:val="single"/>
          </w:rPr>
          <w:t>10.1002/adma.74217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电催化传统上依赖于无机金属和化合物，通过晶体场调节、能带排列和缺陷工程来优化其活性。然而，周期性晶格结构本质上限制了轨道简并、能级重构以及中间吸附、电子转移和反应通量的分子尺度控制。纯有机光电催化材料提供了基于π共轭框架的独特范例，其中前沿轨道、能级分裂、电子离域和极化可以通过分子设计精确编程。供体-受体结构、轨道重叠和电子不对称性调节激子结合、电荷分离、界面耦合和中间电子占据，从而将光载流子动力学直接与反应势垒和路径选择联系起来。在水分解过程中，CO</w:t>
      </w:r>
      <w:r>
        <w:rPr>
          <w:vertAlign w:val="subscript"/>
        </w:rPr>
        <w:t>2</w:t>
      </w:r>
      <w:r>
        <w:t>减少，N</w:t>
      </w:r>
      <w:r>
        <w:rPr>
          <w:vertAlign w:val="subscript"/>
        </w:rPr>
        <w:t>2</w:t>
      </w:r>
      <w:r>
        <w:t>还原和光电化学有机合成中，这种轨道水平的可调性使得能够对质子耦合电子转移、过渡态稳定性和选择性超越传统的金属中心描述符进行精细控制。本文从原子和轨道角度分析了纯有机光电催化材料的电子结构控制原理和界面反应机制，强调了其与无机体系在能级构建方面的区别</w:t>
      </w:r>
    </w:p>
    <w:p>
      <w:pPr>
        <w:spacing w:before="0" w:after="200" w:lineRule="auto" w:line="276"/>
      </w:pPr>
      <w:r>
        <w:rPr>
          <w:b/>
        </w:rPr>
        <w:t xml:space="preserve">Abstract (EN): </w:t>
      </w:r>
      <w:r>
        <w:t>Photoelectrocatalysis has traditionally relied on inorganic metals and compounds, where activity is optimized through crystal field regulation, band alignment, and defect engineering. However, periodic lattice structures intrinsically constrain orbital degeneracy, energy‐level reconstruction, and molecular‐scale control of intermediate adsorption, electron transfer, and reaction flux. Purely organic photoelectrocatalytic materials offer a distinct paradigm based on π‐conjugated frameworks, in which frontier orbitals, energy‐level splitting, electron delocalization, and polarization can be precisely programmed through molecular design. Donor–acceptor architectures, orbital overlap, and electronic asymmetry regulate exciton binding, charge separation, interfacial coupling, and intermediate electronic occupation, thereby linking photocarrier dynamics directly with reaction barriers and pathway selection. In water splitting, CO</w:t>
      </w:r>
      <w:r>
        <w:rPr>
          <w:vertAlign w:val="subscript"/>
        </w:rPr>
        <w:t>2</w:t>
      </w:r>
      <w:r>
        <w:t>reduction, N</w:t>
      </w:r>
      <w:r>
        <w:rPr>
          <w:vertAlign w:val="subscript"/>
        </w:rPr>
        <w:t>2</w:t>
      </w:r>
      <w:r>
        <w:t>reduction, and photoelectrochemical organic synthesis, such orbital‐level tunability enables refined control over proton‐coupled electron transfer, transition‐state stabilization, and selectivity beyond conventional metal‐centered descriptors. This review analyzes the principles of electronic structure control and interfacial reaction mechanisms in purely organic photoelectrocatalytic materials from atomic and orbital perspectives, highlights their distinctions from inorganic systems in energy level construction and reaction pathway regulation, and outlines a theoretical foundation for developing organic–inorganic cooperative platforms that combine orbital programmability with structural stability.</w:t>
      </w:r>
    </w:p>
    <w:p>
      <w:pPr>
        <w:spacing w:before="120" w:after="120"/>
      </w:pPr>
      <w:r>
        <w:rPr>
          <w:sz w:val="18"/>
        </w:rPr>
        <w:t>——————————————————————————————————————————————————————————————————————</w:t>
      </w:r>
    </w:p>
    <w:p>
      <w:pPr>
        <w:spacing w:before="160" w:after="40" w:line="240" w:lineRule="auto"/>
      </w:pPr>
      <w:r>
        <w:rPr>
          <w:b/>
        </w:rPr>
        <w:t xml:space="preserve">[32] </w:t>
      </w:r>
      <w:hyperlink r:id="rId552">
        <w:r>
          <w:rPr>
            <w:color w:val="1155CC"/>
            <w:u w:val="single"/>
          </w:rPr>
          <w:t>缺氧 CeO2 纳米棒上的协同 Ni-Co 双单原子用于甲烷的高效抗焦光热干重整</w:t>
        </w:r>
      </w:hyperlink>
    </w:p>
    <w:p>
      <w:pPr>
        <w:spacing w:before="0" w:after="80"/>
      </w:pPr>
      <w:r>
        <w:rPr>
          <w:i/>
          <w:sz w:val="20"/>
        </w:rPr>
        <w:t>EN: Synergistic Ni–Co Dual Single Atoms on Oxygen‐Deficient CeO2 Nanorods for Efficient and Coke‐Resistant Photothermal Dry Reforming of Methane</w:t>
      </w:r>
    </w:p>
    <w:p>
      <w:pPr>
        <w:spacing w:before="0" w:after="120"/>
      </w:pPr>
      <w:r>
        <w:rPr>
          <w:b/>
        </w:rPr>
        <w:t xml:space="preserve">Source: </w:t>
      </w:r>
      <w:r>
        <w:t>Wiley: Advanced Materials: Table of Contents</w:t>
      </w:r>
      <w:r>
        <w:t xml:space="preserve">    </w:t>
      </w:r>
      <w:r>
        <w:rPr>
          <w:b/>
        </w:rPr>
        <w:t xml:space="preserve">Pub date: </w:t>
      </w:r>
      <w:r>
        <w:t>2026-07-22 14:02:21+00:00</w:t>
      </w:r>
      <w:r>
        <w:t xml:space="preserve">    </w:t>
      </w:r>
      <w:r>
        <w:rPr>
          <w:b/>
        </w:rPr>
        <w:t xml:space="preserve">DOI: </w:t>
      </w:r>
      <w:hyperlink r:id="rId553">
        <w:r>
          <w:rPr>
            <w:color w:val="1155CC"/>
            <w:u w:val="single"/>
          </w:rPr>
          <w:t>10.1002/adma.74284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太阳能驱动的甲烷光热催化干重整（DRM）提供了一种将两种温室气体转化为合成气的可持续途径，但其实际应用因性能不理想和失活而受到限制。在这里，我们报道了一种基于协同 Ni-Co 双单原子催化剂锚定在 CeO 上的高效稳定的光热 DRM 催化剂</w:t>
      </w:r>
      <w:r>
        <w:rPr>
          <w:vertAlign w:val="subscript"/>
        </w:rPr>
        <w:t>2</w:t>
      </w:r>
      <w:r>
        <w:t>纳米棒。 12.17 宽厘米以下</w:t>
      </w:r>
      <w:r>
        <w:t xml:space="preserve"> </w:t>
      </w:r>
      <w:r>
        <w:t>−2</w:t>
      </w:r>
      <w:r>
        <w:t xml:space="preserve"> </w:t>
      </w:r>
      <w:r>
        <w:t>照明，优化的 Ni</w:t>
      </w:r>
      <w:r>
        <w:rPr>
          <w:vertAlign w:val="subscript"/>
        </w:rPr>
        <w:t>8</w:t>
      </w:r>
      <w:r>
        <w:t>钴</w:t>
      </w:r>
      <w:r>
        <w:rPr>
          <w:vertAlign w:val="subscript"/>
        </w:rPr>
        <w:t>4</w:t>
      </w:r>
      <w:r>
        <w:t>/氧化铈</w:t>
      </w:r>
      <w:r>
        <w:rPr>
          <w:vertAlign w:val="subscript"/>
        </w:rPr>
        <w:t>2</w:t>
      </w:r>
      <w:r>
        <w:t>提供高 H</w:t>
      </w:r>
      <w:r>
        <w:rPr>
          <w:vertAlign w:val="subscript"/>
        </w:rPr>
        <w:t>2</w:t>
      </w:r>
      <w:r>
        <w:t>CO 生成率为 3383.01 和 4703.36 mmol g</w:t>
      </w:r>
      <w:r>
        <w:t xml:space="preserve"> </w:t>
      </w:r>
      <w:r>
        <w:t>−1</w:t>
      </w:r>
      <w:r>
        <w:t xml:space="preserve"> </w:t>
      </w:r>
      <w:r>
        <w:t>小时</w:t>
      </w:r>
      <w:r>
        <w:t xml:space="preserve"> </w:t>
      </w:r>
      <w:r>
        <w:t>−1</w:t>
      </w:r>
      <w:r>
        <w:t xml:space="preserve"> </w:t>
      </w:r>
      <w:r>
        <w:t>，分别与 H</w:t>
      </w:r>
      <w:r>
        <w:rPr>
          <w:vertAlign w:val="subscript"/>
        </w:rPr>
        <w:t>2</w:t>
      </w:r>
      <w:r>
        <w:t>与 CO 的比率为 0.72，超出了热力学平衡极限。此外，还获得了 40.9% 的创纪录高光燃料效率，并具有出色的长期稳定性。机理研究揭示了协同双单原子效应。 Ni单原子充当CH的主要位点</w:t>
      </w:r>
      <w:r>
        <w:rPr>
          <w:vertAlign w:val="subscript"/>
        </w:rPr>
        <w:t>4</w:t>
      </w:r>
      <w:r>
        <w:t>活化，而 Co 单原子稳定了 CeO 中丰富的氧空位</w:t>
      </w:r>
      <w:r>
        <w:rPr>
          <w:vertAlign w:val="subscript"/>
        </w:rPr>
        <w:t>2</w:t>
      </w:r>
      <w:r>
        <w:t>支持、促进CO</w:t>
      </w:r>
      <w:r>
        <w:rPr>
          <w:vertAlign w:val="subscript"/>
        </w:rPr>
        <w:t>2</w:t>
      </w:r>
      <w:r>
        <w:t>活化形成O*和OH*物质。这些氧气通量拦截 CH</w:t>
      </w:r>
      <w:r>
        <w:rPr>
          <w:vertAlign w:val="subscript"/>
        </w:rPr>
        <w:t>3</w:t>
      </w:r>
      <w:r>
        <w:t>* 通过</w:t>
      </w:r>
    </w:p>
    <w:p>
      <w:pPr>
        <w:spacing w:before="0" w:after="200" w:lineRule="auto" w:line="276"/>
      </w:pPr>
      <w:r>
        <w:rPr>
          <w:b/>
        </w:rPr>
        <w:t xml:space="preserve">Abstract (EN): </w:t>
      </w:r>
      <w:r>
        <w:t>Solar‐driven photothermal catalytic dry reforming of methane (DRM) offers a sustainable route to convert two greenhouse gases into syngas, yet its practical application is limited by unsatisfactory performance and deactivation. Here, we report an efficient and stable photothermal DRM catalyst based on synergistic Ni‐Co dual single‐atom catalysts anchored on CeO</w:t>
      </w:r>
      <w:r>
        <w:rPr>
          <w:vertAlign w:val="subscript"/>
        </w:rPr>
        <w:t>2</w:t>
      </w:r>
      <w:r>
        <w:t>nanorods. Under 12.17 W cm</w:t>
      </w:r>
      <w:r>
        <w:t xml:space="preserve"> </w:t>
      </w:r>
      <w:r>
        <w:t>−2</w:t>
      </w:r>
      <w:r>
        <w:t xml:space="preserve"> </w:t>
      </w:r>
      <w:r>
        <w:t>illumination, the optimized Ni</w:t>
      </w:r>
      <w:r>
        <w:rPr>
          <w:vertAlign w:val="subscript"/>
        </w:rPr>
        <w:t>8</w:t>
      </w:r>
      <w:r>
        <w:t>Co</w:t>
      </w:r>
      <w:r>
        <w:rPr>
          <w:vertAlign w:val="subscript"/>
        </w:rPr>
        <w:t>4</w:t>
      </w:r>
      <w:r>
        <w:t>/CeO</w:t>
      </w:r>
      <w:r>
        <w:rPr>
          <w:vertAlign w:val="subscript"/>
        </w:rPr>
        <w:t>2</w:t>
      </w:r>
      <w:r>
        <w:t>delivers high H</w:t>
      </w:r>
      <w:r>
        <w:rPr>
          <w:vertAlign w:val="subscript"/>
        </w:rPr>
        <w:t>2</w:t>
      </w:r>
      <w:r>
        <w:t>and CO production rates of 3383.01 and 4703.36 mmol g</w:t>
      </w:r>
      <w:r>
        <w:t xml:space="preserve"> </w:t>
      </w:r>
      <w:r>
        <w:t>−1</w:t>
      </w:r>
      <w:r>
        <w:t xml:space="preserve"> </w:t>
      </w:r>
      <w:r>
        <w:t>h</w:t>
      </w:r>
      <w:r>
        <w:t xml:space="preserve"> </w:t>
      </w:r>
      <w:r>
        <w:t>−1</w:t>
      </w:r>
      <w:r>
        <w:t xml:space="preserve"> </w:t>
      </w:r>
      <w:r>
        <w:t>, respectively, with an H</w:t>
      </w:r>
      <w:r>
        <w:rPr>
          <w:vertAlign w:val="subscript"/>
        </w:rPr>
        <w:t>2</w:t>
      </w:r>
      <w:r>
        <w:t>to CO ratio of 0.72 that exceeds the thermodynamic equilibrium limit. Moreover, a record‐high light‐to‐fuel efficiency of 40.9% is obtained with excellent long‐term stability. Mechanistic studies reveal a cooperative dual single‐atom effect. Ni single atoms act as the primary sites for CH</w:t>
      </w:r>
      <w:r>
        <w:rPr>
          <w:vertAlign w:val="subscript"/>
        </w:rPr>
        <w:t>4</w:t>
      </w:r>
      <w:r>
        <w:t>activation, while Co single atoms stabilize abundant oxygen vacancies in the CeO</w:t>
      </w:r>
      <w:r>
        <w:rPr>
          <w:vertAlign w:val="subscript"/>
        </w:rPr>
        <w:t>2</w:t>
      </w:r>
      <w:r>
        <w:t>support, promoting CO</w:t>
      </w:r>
      <w:r>
        <w:rPr>
          <w:vertAlign w:val="subscript"/>
        </w:rPr>
        <w:t>2</w:t>
      </w:r>
      <w:r>
        <w:t>activation to form O* and OH* species. These oxygen fluxes intercept CH</w:t>
      </w:r>
      <w:r>
        <w:rPr>
          <w:vertAlign w:val="subscript"/>
        </w:rPr>
        <w:t>3</w:t>
      </w:r>
      <w:r>
        <w:t>* via the oxygen‐assisted CH</w:t>
      </w:r>
      <w:r>
        <w:rPr>
          <w:vertAlign w:val="subscript"/>
        </w:rPr>
        <w:t>3</w:t>
      </w:r>
      <w:r>
        <w:t>O* pathway, reducing carbon deposition and the side reaction. These findings present a general strategy that employs dual single‐atom engineering to develop efficient, coke‐resistant catalysts for solar‐driven highly endothermic reactions.</w:t>
      </w:r>
    </w:p>
    <w:p>
      <w:pPr>
        <w:spacing w:before="120" w:after="120"/>
      </w:pPr>
      <w:r>
        <w:rPr>
          <w:sz w:val="18"/>
        </w:rPr>
        <w:t>——————————————————————————————————————————————————————————————————————</w:t>
      </w:r>
    </w:p>
    <w:p>
      <w:pPr>
        <w:spacing w:before="160" w:after="40" w:line="240" w:lineRule="auto"/>
      </w:pPr>
      <w:r>
        <w:rPr>
          <w:b/>
        </w:rPr>
        <w:t xml:space="preserve">[33] </w:t>
      </w:r>
      <w:hyperlink r:id="rId554">
        <w:r>
          <w:rPr>
            <w:color w:val="1155CC"/>
            <w:u w:val="single"/>
          </w:rPr>
          <w:t>反 Zn 1 O x /Cu 催化剂上的电势门控瞬态 Zn 单吸附原子引导 CO 2 的高效电还原</w:t>
        </w:r>
      </w:hyperlink>
    </w:p>
    <w:p>
      <w:pPr>
        <w:spacing w:before="0" w:after="80"/>
      </w:pPr>
      <w:r>
        <w:rPr>
          <w:i/>
          <w:sz w:val="20"/>
        </w:rPr>
        <w:t>EN: Potential-Gated Transient Zn Single Adatoms on the Inverse Zn 1 O x /Cu Catalyst Steer Efficient Electroreduction of CO 2</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555">
        <w:r>
          <w:rPr>
            <w:color w:val="1155CC"/>
            <w:u w:val="single"/>
          </w:rPr>
          <w:t>10.1021/jacs.6c10715</w:t>
        </w:r>
      </w:hyperlink>
    </w:p>
    <w:p>
      <w:pPr>
        <w:spacing w:before="0" w:after="120"/>
      </w:pPr>
      <w:r>
        <w:rPr>
          <w:b/>
        </w:rPr>
        <w:t xml:space="preserve">Notes: </w:t>
      </w:r>
      <w:r>
        <w:t>abstract_source=pubmed</w:t>
      </w:r>
    </w:p>
    <w:p>
      <w:pPr>
        <w:spacing w:before="0" w:after="80" w:lineRule="auto" w:line="276"/>
      </w:pPr>
      <w:r>
        <w:rPr>
          <w:b/>
        </w:rPr>
        <w:t xml:space="preserve">摘要（ZH）: </w:t>
      </w:r>
      <w:r>
        <w:t>反相 ZnOx/Cu 催化剂在电化学 CO2 还原反应 (eCO2RR) 中表现出卓越的活性。然而，操作条件下活性位点的动态性质阻碍了识别其结构-活性关系的原子起源。在此，我们结合大正则系综密度泛函理论和显式溶剂从头算分子动力学，揭示了原子分散反相 Zn1Ox/Cu 催化剂中的势门控瞬态单吸附原子机制。我们证明，Cu 表面上的 O 配位 Zn 位点在阴极电位下发生原位还原，转变为瞬态金属 Zn 单吸附原子，并通过 Zn-Cu 电子耦合和界面溶剂限制实现稳定稳定。这种瞬态单个吸附原子通过不对称极化在结构上预组织化学吸附的 CO2 中间体，并将质子化重定向到暴露于溶剂的氧，从而创建了原始 Cu 或嵌入 Zn 单原子上无法实现的几何路径。这种独特的反应几何结构降低了决定速率的质子化势垒，同时避免促进竞争性析氢反应。这些发现表明电化学门控瞬态单吸附原子可作为高效和选择性电催化的设计策略。</w:t>
      </w:r>
    </w:p>
    <w:p>
      <w:pPr>
        <w:spacing w:before="0" w:after="200" w:lineRule="auto" w:line="276"/>
      </w:pPr>
      <w:r>
        <w:rPr>
          <w:b/>
        </w:rPr>
        <w:t xml:space="preserve">Abstract (EN): </w:t>
      </w:r>
      <w:r>
        <w:t>The inverse ZnOx/Cu catalysts exhibit exceptional activity for the electrochemical CO2 reduction reaction (eCO2RR). However, identifying the atomistic origin of their structure-activity relationship is hindered by the dynamic nature of the active sites under operando conditions. Herein, we combine grand-canonical ensemble density functional theory and explicit-solvent ab initio molecular dynamics to reveal a potential-gated transient single-adatom mechanism in the atomically dispersed inverse Zn1Ox/Cu catalyst. We demonstrate that the O-coordinated Zn sites on Cu surfaces undergo in situ reduction at cathodic potentials, transforming into transient metallic Zn single adatoms, which are robustly stabilized via Zn-Cu electronic coupling and interfacial solvent confinement. This transient single adatom structurally preorganizes the chemisorbed CO2 intermediate via asymmetric polarization and redirects protonation toward a solvent-exposed oxygen, thereby creating a geometry-enabled pathway unavailable on pristine Cu or with embedded Zn single atoms. This distinct reaction geometry lowers the rate-determining protonation barrier while avoiding the promotion of the competing hydrogen evolution reaction. These findings suggest electrochemically gated transient single adatoms as a design strategy for highly efficient and selective electrocatalysis.</w:t>
      </w:r>
    </w:p>
    <w:p>
      <w:pPr>
        <w:spacing w:before="120" w:after="120"/>
      </w:pPr>
      <w:r>
        <w:rPr>
          <w:sz w:val="18"/>
        </w:rPr>
        <w:t>——————————————————————————————————————————————————————————————————————</w:t>
      </w:r>
    </w:p>
    <w:p>
      <w:pPr>
        <w:spacing w:before="160" w:after="40" w:line="240" w:lineRule="auto"/>
      </w:pPr>
      <w:r>
        <w:rPr>
          <w:b/>
        </w:rPr>
        <w:t xml:space="preserve">[34] </w:t>
      </w:r>
      <w:hyperlink r:id="rId556">
        <w:r>
          <w:rPr>
            <w:color w:val="1155CC"/>
            <w:u w:val="single"/>
          </w:rPr>
          <w:t>限制在金属有机框架内的明确双金属位点对的酶启发设计，用于定制光催化微环境</w:t>
        </w:r>
      </w:hyperlink>
    </w:p>
    <w:p>
      <w:pPr>
        <w:spacing w:before="0" w:after="80"/>
      </w:pPr>
      <w:r>
        <w:rPr>
          <w:i/>
          <w:sz w:val="20"/>
        </w:rPr>
        <w:t>EN: Enzyme-Inspired Design of Well-Defined Dual-Metal-Site Pairs Confined within Metal–Organic Frameworks for Tailoring Photocatalytic Microenvironments</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557">
        <w:r>
          <w:rPr>
            <w:color w:val="1155CC"/>
            <w:u w:val="single"/>
          </w:rPr>
          <w:t>10.1021/jacs.6c12430</w:t>
        </w:r>
      </w:hyperlink>
    </w:p>
    <w:p>
      <w:pPr>
        <w:spacing w:before="0" w:after="120"/>
      </w:pPr>
      <w:r>
        <w:rPr>
          <w:b/>
        </w:rPr>
        <w:t xml:space="preserve">Notes: </w:t>
      </w:r>
      <w:r>
        <w:t>abstract_source=pubmed</w:t>
      </w:r>
    </w:p>
    <w:p>
      <w:pPr>
        <w:spacing w:before="0" w:after="80" w:lineRule="auto" w:line="276"/>
      </w:pPr>
      <w:r>
        <w:rPr>
          <w:b/>
        </w:rPr>
        <w:t xml:space="preserve">摘要（ZH）: </w:t>
      </w:r>
      <w:r>
        <w:t>活性与选择性的权衡仍然是人工光合作用中的一个巨大挑战和关键问题。对于天然酶系统，限制在蛋白质折叠链中的双金属簇能够调节光合作用的活性选择性平衡。然而，目前的人工光催化剂缺乏对活性位点配置和催化微环境的精确协同控制，导致活性和特异性之间的权衡受损。在此，我们开发了一种“瓶中船”策略，将明确的双金属位点对（DMSP）Co2L2限制在氨基功能化金属有机框架UiO-67-(NH2)2的笼子中，旨在协同调节光催化CO2还原的选择性和活性。合成的Co2L2@UiO-67-(NH2)2实现了最高的合成气产率，CO/H2≈1/1，而原始Co2L2仅检测到H2而没有检测到CO。结果表明，DMSP 周围定制的微环境增强了 CO2 的特异性吸附，就像酶中的吸附一样。此外，Co2L2@UiO-67-(NH2)2 (11078.00 μmol·gDMSP-1·h-1)的电子消耗率比Co2L2+UiO-67-(NH2)2物理混合物对应物(174.30 μmol·gDMSP-1·h-1)高63倍，这归因于DMSP和DMSPs的协同催化作用。改善电荷转移。作为概念验证，这项工作将双金属位点催化剂与局部微环境工程相结合，抑制动力学上有利的析氢途径并加速二氧化碳还原反应过程，为</w:t>
      </w:r>
    </w:p>
    <w:p>
      <w:pPr>
        <w:spacing w:before="0" w:after="200" w:lineRule="auto" w:line="276"/>
      </w:pPr>
      <w:r>
        <w:rPr>
          <w:b/>
        </w:rPr>
        <w:t xml:space="preserve">Abstract (EN): </w:t>
      </w:r>
      <w:r>
        <w:t>Activity-selectivity trade-off remains a grand challenge and crucial issue in artificial photosynthesis. As for the natural enzyme system, bimetallic clusters confined in protein-folding chains enable regulating the activity-selectivity equilibrium for photosynthesis. However, current artificial photocatalysts lack the precisely synergistic control over active site configuration and catalytic microenvironments, causing the compromised trade-off between activity and specificity. Herein, we developed a "ship-in-bottle" strategy to confine well-defined dual-metal-site pairs (DMSPs) Co2L2 in the cage of amino-functionalized metal-organic framework UiO-67-(NH2)2, aiming at synergistic regulation of selectivity and activity for photocatalytic CO2 reduction. The as-synthesized Co2L2@UiO-67-(NH2)2 realized the highest syngas yield with CO/H2 ≈ 1/1, whereas only H2 but no CO was detected for original Co2L2. It was demonstrated that the tailored microenvironment around DMSPs enhanced the specific adsorption of CO2 like that in enzymes. Furthermore, the electron consumption rate of Co2L2@UiO-67-(NH2)2 (11078.00 μmol·gDMSP-1·h-1) was 63-fold higher than that of the Co2L2+UiO-67-(NH2)2 physical mixture counterpart (174.30 μmol·gDMSP-1·h-1), ascribing to the synergistic catalytic effect of DMSPs and improved charge transfer. As a proof of concept, this work integrates dual-metal-site catalysts with local microenvironment engineering to suppress the kinetically favored hydrogen evolution pathway and accelerate the CO2 reduction reaction process, providing a novel and feasible approach for optimizing artificial photosynthesis.</w:t>
      </w:r>
    </w:p>
    <w:p>
      <w:pPr>
        <w:spacing w:before="120" w:after="120"/>
      </w:pPr>
      <w:r>
        <w:rPr>
          <w:sz w:val="18"/>
        </w:rPr>
        <w:t>——————————————————————————————————————————————————————————————————————</w:t>
      </w:r>
    </w:p>
    <w:p>
      <w:pPr>
        <w:spacing w:before="160" w:after="40" w:line="240" w:lineRule="auto"/>
      </w:pPr>
      <w:r>
        <w:rPr>
          <w:b/>
        </w:rPr>
        <w:t xml:space="preserve">[35] </w:t>
      </w:r>
      <w:hyperlink r:id="rId558">
        <w:r>
          <w:rPr>
            <w:color w:val="1155CC"/>
            <w:u w:val="single"/>
          </w:rPr>
          <w:t>用于选择性气体分离的羧酸盐金属有机骨架膜的聚酯化辅助界面工程</w:t>
        </w:r>
      </w:hyperlink>
    </w:p>
    <w:p>
      <w:pPr>
        <w:spacing w:before="0" w:after="80"/>
      </w:pPr>
      <w:r>
        <w:rPr>
          <w:i/>
          <w:sz w:val="20"/>
        </w:rPr>
        <w:t>EN: Polyesterification-assisted interface engineering of carboxylate metal-organic frameworks membranes for selective gas separation</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金属有机框架（MOF）因其明确的孔隙率和可调节的化学性质而成为用于分子分离的有前途的膜材料。然而，它们的分离性能通常受到引入非选择性传输途径的晶界和界面缺陷的限制。在这里，我们提出了一种原位界面聚酯化辅助粘合策略，用于在 UiO-66 系统中使用三乙醇胺 (TEOA) 构建富含 MOF 的自支撑膜。在热处理下，TEOA 被提议诱导局部界面反应，在 MOF-MOF 接触处产生锚定聚酯物质，从而增强颗粒结合并抑制非选择性界面缺陷。所得 UiO-66 聚酯膜的 UiO-66 负载量为 92.7 wt%，CO2 渗透率为 1310 GPU，CO2/N2 选择性为 38，超过了该气体对的上限，选择性主要来自溶解度选择性传输。此外，UiO-66聚酯膜表现出良好的耐湿性和性能再生性，进一步表明聚酯化界面有助于减轻湿度引起的界面劣化并抑制颗粒界面缺陷。 MOF-808、UiO-67 和 MIL-101 系统也证明了类似的策略，表明在基于羧酸盐的 MOF 子集中具有代表性的适用性。这些结果凸显了界面化学工程在构建缺陷抑制、高度富含 MOF 的分离膜中的重要性。</w:t>
      </w:r>
    </w:p>
    <w:p>
      <w:pPr>
        <w:spacing w:before="0" w:after="200" w:lineRule="auto" w:line="276"/>
      </w:pPr>
      <w:r>
        <w:rPr>
          <w:b/>
        </w:rPr>
        <w:t xml:space="preserve">Abstract (EN): </w:t>
      </w:r>
      <w:r>
        <w:t>Metal-organic frameworks (MOFs) are promising membrane materials for molecular separations because of their well-defined porosity and tunable chemistry. However, their separation performance is often limited by grain boundaries and interfacial defects that introduce non-selective transport pathways. Here, we proposed an in-situ interfacial polyesterification-assisted bonding strategy for constructing MOF-rich self-standing membranes using triethanolamine (TEOA) in the UiO-66 system. Under thermal treatment, TEOA is proposed to induce localized interfacial reactions that generate anchored polyester species at MOF-MOF contacts, thereby enhancing particle bonding and suppressing non-selective interface defects. The resulting UiO-66 polyester membrane exhibits 92.7 wt% UiO-66 loading, a CO2 permeance of 1310 GPU, and a CO2/N2 selectivity of 38, surpassing the upper bound for this gas pair, with the selectivity arising primarily from solubility-selective transport. In addition, the UiO-66 polyester membrane shows good moisture tolerance and performance regenerability, further suggesting that the polyesterified interface helped mitigate humidity-induced interfacial deterioration and suppress particle-interface defects. A similar strategy is also demonstrated in the MOF-808, UiO-67, and MIL-101 systems, indicating representative applicability within a subset of carboxylate-based MOFs. These results highlight the importance of interfacial chemical engineering in constructing defect-suppressed, highly MOF-rich separation membranes.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559">
        <w:r>
          <w:rPr>
            <w:color w:val="1155CC"/>
            <w:u w:val="single"/>
          </w:rPr>
          <w:t>Ni(II) 催化非交替乙烯/一氧化碳共聚的范围</w:t>
        </w:r>
      </w:hyperlink>
    </w:p>
    <w:p>
      <w:pPr>
        <w:spacing w:before="0" w:after="80"/>
      </w:pPr>
      <w:r>
        <w:rPr>
          <w:i/>
          <w:sz w:val="20"/>
        </w:rPr>
        <w:t>EN: Scope of Ni(II)-Catalyzed Nonalternating Ethylene/Carbon Monoxide Copolymerization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560">
        <w:r>
          <w:rPr>
            <w:color w:val="1155CC"/>
            <w:u w:val="single"/>
          </w:rPr>
          <w:t>10.1021/jacs.6c07158</w:t>
        </w:r>
      </w:hyperlink>
    </w:p>
    <w:p>
      <w:pPr>
        <w:spacing w:before="0" w:after="120"/>
      </w:pPr>
      <w:r>
        <w:rPr>
          <w:b/>
        </w:rPr>
        <w:t xml:space="preserve">Notes: </w:t>
      </w:r>
      <w:r>
        <w:t>abstract_source=pubmed</w:t>
      </w:r>
    </w:p>
    <w:p>
      <w:pPr>
        <w:spacing w:before="0" w:after="80" w:lineRule="auto" w:line="276"/>
      </w:pPr>
      <w:r>
        <w:rPr>
          <w:b/>
        </w:rPr>
        <w:t xml:space="preserve">摘要（ZH）: </w:t>
      </w:r>
      <w:r>
        <w:t>最近取得的非交替乙烯/一氧化碳 (CO) 共聚成果是一项长期寻求的突破。它们的链内酮官能团赋予所得聚乙烯（酮-PE）具有光降解性。迄今为止，只有两种基于众所周知的结构主题的催化剂能够与酮基聚乙烯材料进行这种具有挑战性的共聚，这就提出了该反应是否仅限于如此狭窄的范围的问题。在这里，我们报道了多种中性Ni(II)配合物提供了酮-PE的途径，包括与最先进的催化剂竞争的亚膦酰亚胺Ni(II)催化剂和N-杂环卡宾(NHC)酚盐Ni(II)催化剂，与CO的结合相比，N-杂环卡宾(NHC)酚盐Ni(II)催化剂具有特殊的优先性。密度泛函理论 (DFT) 计算合理化了根据各个催化剂的活化势垒差异 ΔΔG‡ 观察到的非交替和交替链增长的选择性，并确定了 [NHC,O]-配体的强反式效应及其高空间位阻作为 CO 掺入的理想极低偏好的起源。</w:t>
      </w:r>
    </w:p>
    <w:p>
      <w:pPr>
        <w:spacing w:before="0" w:after="200" w:lineRule="auto" w:line="276"/>
      </w:pPr>
      <w:r>
        <w:rPr>
          <w:b/>
        </w:rPr>
        <w:t xml:space="preserve">Abstract (EN): </w:t>
      </w:r>
      <w:r>
        <w:t>The recent achievement of a nonalternating ethylene/carbon monoxide (CO) copolymerization was a long-sought breakthrough. Their in-chain keto functional groups endow the resulting polyethylenes (keto-PEs) with photodegradability. To date, only two types of catalysts, based on long-known structural motifs, are capable of this challenging copolymerization to keto-PE materials, raising the question whether the reaction is restricted to this narrow scope. Here, we report a diverse range of neutral Ni(II) complexes provides access to keto-PEs, including a phosphine imidate Ni(II) catalyst that is competitive with state-of-the-art catalysts and a N-heterocyclic-carbene (NHC) phenolate Ni(II) catalyst with exceptional preference for ethylene vs CO incorporation. Density functional theory (DFT) calculations rationalize the observed selectivity for nonalternating and alternating chain growth from the individual catalysts' activation barrier differences ΔΔG‡ and identify the strong trans-effect of the [NHC,O]-ligand and its high steric hindrance as origins of the desirable exceptionally low preference for CO incorporation.</w:t>
      </w:r>
    </w:p>
    <w:p>
      <w:pPr>
        <w:spacing w:before="120" w:after="120"/>
      </w:pPr>
      <w:r>
        <w:rPr>
          <w:sz w:val="18"/>
        </w:rPr>
        <w:t>——————————————————————————————————————————————————————————————————————</w:t>
      </w:r>
    </w:p>
    <w:p>
      <w:pPr>
        <w:spacing w:before="160" w:after="40" w:line="240" w:lineRule="auto"/>
      </w:pPr>
      <w:r>
        <w:rPr>
          <w:b/>
        </w:rPr>
        <w:t xml:space="preserve">[2] </w:t>
      </w:r>
      <w:hyperlink r:id="rId561">
        <w:r>
          <w:rPr>
            <w:color w:val="1155CC"/>
            <w:u w:val="single"/>
          </w:rPr>
          <w:t>低温醇解作为聚对苯二甲酸乙二醇酯回收和升级循环的策略</w:t>
        </w:r>
      </w:hyperlink>
    </w:p>
    <w:p>
      <w:pPr>
        <w:spacing w:before="0" w:after="80"/>
      </w:pPr>
      <w:r>
        <w:rPr>
          <w:i/>
          <w:sz w:val="20"/>
        </w:rPr>
        <w:t>EN: Low-temperature alcoholysis as a strategy for polyethylene terephthalate recycling and upcycling</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562">
        <w:r>
          <w:rPr>
            <w:color w:val="1155CC"/>
            <w:u w:val="single"/>
          </w:rPr>
          <w:t>10.1126/sciadv.aed4780</w:t>
        </w:r>
      </w:hyperlink>
    </w:p>
    <w:p>
      <w:pPr>
        <w:spacing w:before="0" w:after="120"/>
      </w:pPr>
      <w:r>
        <w:rPr>
          <w:b/>
        </w:rPr>
        <w:t xml:space="preserve">Notes: </w:t>
      </w:r>
      <w:r>
        <w:t>abstract_source=crossref</w:t>
      </w:r>
    </w:p>
    <w:p>
      <w:pPr>
        <w:spacing w:before="0" w:after="80" w:lineRule="auto" w:line="276"/>
      </w:pPr>
      <w:r>
        <w:rPr>
          <w:b/>
        </w:rPr>
        <w:t xml:space="preserve">摘要（ZH）: </w:t>
      </w:r>
      <w:r>
        <w:t>消费后塑料废物有潜力成为综合循环经济中的宝贵原料，可以在热塑性材料和热固性材料之间相互转化。然而，经济有效且可持续的回收或升级回收方法的开发通常受到恶劣的反应条件、有限的催化剂性能和整体低工艺效率的限制。在这里，我们报道了聚对苯二甲酸乙二醇酯 (PET) 的低温 (120°C) 醇解，允许在解聚过程中应用功能性生物衍生醇。异戊烯醇等萜类化合物被证明非常有效，支持有效解聚和再聚合成 PET。不饱和萜烯解产物还用于通过硫醇烯光化学制备聚合物网络，并利用数字光处理技术配制成适合三维打印的光固化树脂。基于萜类化合物的网络还能够有效解聚，证明了 PET/萜类化合物循环化学回收的潜力。这项工作将 PET 低温醇解作为推进更广泛的循环 PET 材料经济的实用策略。</w:t>
      </w:r>
    </w:p>
    <w:p>
      <w:pPr>
        <w:spacing w:before="0" w:after="200" w:lineRule="auto" w:line="276"/>
      </w:pPr>
      <w:r>
        <w:rPr>
          <w:b/>
        </w:rPr>
        <w:t xml:space="preserve">Abstract (EN): </w:t>
      </w:r>
      <w:r>
        <w:t>Postconsumer plastic waste has the potential to serve as a valuable feedstock in an integrated circular economy in which it can be interconverted between thermoplastic and thermoset materials. However, the development of cost-effective and sustainable recycling or upcycling methods is often constrained by harsh reaction conditions, limited catalyst performance, and overall low process efficiency. Here, we report the low-temperature (120°C) alcoholysis of polyethylene terephthalate (PET) that allows the application of functional, bioderivable alcohols in the depolymerization process. Terpenoids such as prenol proved highly effective, supporting both efficient depolymerization and repolymerization to PET. The unsaturated terpenolysis products were also used to prepare polymer networks via thiol-ene photochemistry and formulated into photocurable resins suitable for three-dimensional printing using digital light processing technology. The terpenoid-based networks were also able to be efficiently depolymerized, demonstrating the potential for loop-to-loop chemical recycling of PET/terpenoid materials. This work establishes low-temperature alcoholysis of PET as a practical strategy for advancing a broader circular PET-based materials economy.</w:t>
      </w:r>
    </w:p>
    <w:p>
      <w:pPr>
        <w:spacing w:before="120" w:after="120"/>
      </w:pPr>
      <w:r>
        <w:rPr>
          <w:sz w:val="18"/>
        </w:rPr>
        <w:t>——————————————————————————————————————————————————————————————————————</w:t>
      </w:r>
    </w:p>
    <w:p>
      <w:pPr>
        <w:spacing w:before="160" w:after="40" w:line="240" w:lineRule="auto"/>
      </w:pPr>
      <w:r>
        <w:rPr>
          <w:b/>
        </w:rPr>
        <w:t xml:space="preserve">[3] </w:t>
      </w:r>
      <w:hyperlink r:id="rId464">
        <w:r>
          <w:rPr>
            <w:color w:val="1155CC"/>
            <w:u w:val="single"/>
          </w:rPr>
          <w:t>太阳能驱动的二氧化碳介导的废塑料升级回收为增值合成气和碳纳米管</w:t>
        </w:r>
      </w:hyperlink>
    </w:p>
    <w:p>
      <w:pPr>
        <w:spacing w:before="0" w:after="80"/>
      </w:pPr>
      <w:r>
        <w:rPr>
          <w:i/>
          <w:sz w:val="20"/>
        </w:rPr>
        <w:t>EN: Solar‐Driven CO2‐Mediated Upcycling of Waste Plastics Into Value‐Added Syngas and Carbon Nanotubes</w:t>
      </w:r>
    </w:p>
    <w:p>
      <w:pPr>
        <w:spacing w:before="0" w:after="120"/>
      </w:pPr>
      <w:r>
        <w:rPr>
          <w:b/>
        </w:rPr>
        <w:t xml:space="preserve">Source: </w:t>
      </w:r>
      <w:r>
        <w:t>Wiley: Angewandte Chemie International Edition: Table of Contents</w:t>
      </w:r>
      <w:r>
        <w:t xml:space="preserve">    </w:t>
      </w:r>
      <w:r>
        <w:rPr>
          <w:b/>
        </w:rPr>
        <w:t xml:space="preserve">Pub date: </w:t>
      </w:r>
      <w:r>
        <w:t>2026-07-17 07:18:24+00:00</w:t>
      </w:r>
      <w:r>
        <w:t xml:space="preserve">    </w:t>
      </w:r>
      <w:r>
        <w:rPr>
          <w:b/>
        </w:rPr>
        <w:t xml:space="preserve">DOI: </w:t>
      </w:r>
      <w:hyperlink r:id="rId465">
        <w:r>
          <w:rPr>
            <w:color w:val="1155CC"/>
            <w:u w:val="single"/>
          </w:rPr>
          <w:t>10.1002/anie.2880918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塑料和二氧化碳</w:t>
      </w:r>
      <w:r>
        <w:rPr>
          <w:vertAlign w:val="subscript"/>
        </w:rPr>
        <w:t>2</w:t>
      </w:r>
      <w:r>
        <w:t>碳资源是两大主要废弃碳资源，其管理和回收利用日益受到关注。一氧化碳</w:t>
      </w:r>
      <w:r>
        <w:rPr>
          <w:vertAlign w:val="subscript"/>
        </w:rPr>
        <w:t>2</w:t>
      </w:r>
      <w:r>
        <w:t>介导的塑料升级回收是同时转化两种废物的一种有前景的策略，但它仍然面临能源需求高、效率低和对各种塑料的适用性有限的问题。在这里，我们报告了一种太阳能驱动的光热策略，可以实现高效节能的二氧化碳</w:t>
      </w:r>
      <w:r>
        <w:rPr>
          <w:vertAlign w:val="subscript"/>
        </w:rPr>
        <w:t>2</w:t>
      </w:r>
      <w:r>
        <w:t>将各种塑料（包括聚烯烃、聚酯、共聚物及其混合物）介导重整为高价值合成气和碳纳米管（CNT）。该工艺的合成气产量为 165.6 mmol g</w:t>
      </w:r>
      <w:r>
        <w:t xml:space="preserve"> </w:t>
      </w:r>
      <w:r>
        <w:t>猫</w:t>
      </w:r>
      <w:r>
        <w:t xml:space="preserve"> </w:t>
      </w:r>
      <w:r>
        <w:t>−1</w:t>
      </w:r>
      <w:r>
        <w:t xml:space="preserve"> </w:t>
      </w:r>
      <w:r>
        <w:t>小时</w:t>
      </w:r>
      <w:r>
        <w:t xml:space="preserve"> </w:t>
      </w:r>
      <w:r>
        <w:t>−1</w:t>
      </w:r>
      <w:r>
        <w:t xml:space="preserve"> </w:t>
      </w:r>
      <w:r>
        <w:t>，比传统热催化高一个数量级。在此系统内，CO</w:t>
      </w:r>
      <w:r>
        <w:rPr>
          <w:vertAlign w:val="subscript"/>
        </w:rPr>
        <w:t>2</w:t>
      </w:r>
      <w:r>
        <w:t>不仅可以作为氧化剂消耗塑料脱氢过程中释放的氢物质，从而提高效率并抑制甲烷化，而且还可以作为碳原料直接生成气态和固态产品。这项研究为复杂塑料废物和温室气体的价值提供了强大的解决方案，并为太阳能驱动的化学转化向循环碳经济提供了新的见解，同时进一步优化了 H</w:t>
      </w:r>
    </w:p>
    <w:p>
      <w:pPr>
        <w:spacing w:before="0" w:after="200" w:lineRule="auto" w:line="276"/>
      </w:pPr>
      <w:r>
        <w:rPr>
          <w:b/>
        </w:rPr>
        <w:t xml:space="preserve">Abstract (EN): </w:t>
      </w:r>
      <w:r>
        <w:t>Plastics and CO</w:t>
      </w:r>
      <w:r>
        <w:rPr>
          <w:vertAlign w:val="subscript"/>
        </w:rPr>
        <w:t>2</w:t>
      </w:r>
      <w:r>
        <w:t>are two major waste carbon resources, and their management and recycling are attracting increasing attention. CO</w:t>
      </w:r>
      <w:r>
        <w:rPr>
          <w:vertAlign w:val="subscript"/>
        </w:rPr>
        <w:t>2</w:t>
      </w:r>
      <w:r>
        <w:t>‐mediated plastic upcycling represents a promising strategy for the simultaneous transformation of both wastes, yet it still suffers from high energy demand, low efficiency, and limited applicability to diverse plastics. Here, we report a solar‐driven photothermal strategy that enables the efficient and energy‐saving CO</w:t>
      </w:r>
      <w:r>
        <w:rPr>
          <w:vertAlign w:val="subscript"/>
        </w:rPr>
        <w:t>2</w:t>
      </w:r>
      <w:r>
        <w:t>‐mediated reforming of various plastics, including polyolefins, polyesters, copolymers, and their mixtures, into high‐value syngas and carbon nanotubes (CNTs). The process achieves a syngas yield of 165.6 mmol g</w:t>
      </w:r>
      <w:r>
        <w:t xml:space="preserve"> </w:t>
      </w:r>
      <w:r>
        <w:t>cat</w:t>
      </w:r>
      <w:r>
        <w:t xml:space="preserve"> </w:t>
      </w:r>
      <w:r>
        <w:t>−1</w:t>
      </w:r>
      <w:r>
        <w:t xml:space="preserve"> </w:t>
      </w:r>
      <w:r>
        <w:t>h</w:t>
      </w:r>
      <w:r>
        <w:t xml:space="preserve"> </w:t>
      </w:r>
      <w:r>
        <w:t>−1</w:t>
      </w:r>
      <w:r>
        <w:t xml:space="preserve"> </w:t>
      </w:r>
      <w:r>
        <w:t>, an order of magnitude higher than that of conventional thermocatalysis. Within this system, CO</w:t>
      </w:r>
      <w:r>
        <w:rPr>
          <w:vertAlign w:val="subscript"/>
        </w:rPr>
        <w:t>2</w:t>
      </w:r>
      <w:r>
        <w:t>acts not only as an oxidant that consumes the hydrogen species released during plastic dehydrogenation, thereby enhancing efficiency and suppressing methanation but also as a carbon feedstock that directly contributes to both gaseous and solid products. This study provides a powerful solution for the valorization of complex plastic wastes and greenhouse gases and offers new insights into solar‐driven chemical transformations toward a circular carbon economy, while further optimization of the H</w:t>
      </w:r>
      <w:r>
        <w:rPr>
          <w:vertAlign w:val="subscript"/>
        </w:rPr>
        <w:t>2</w:t>
      </w:r>
      <w:r>
        <w:t>/CO ratio may expand its compatibility with specific downstream applications.</w:t>
      </w:r>
    </w:p>
    <w:p>
      <w:pPr>
        <w:spacing w:before="120" w:after="120"/>
      </w:pPr>
      <w:r>
        <w:rPr>
          <w:sz w:val="18"/>
        </w:rPr>
        <w:t>——————————————————————————————————————————————————————————————————————</w:t>
      </w:r>
    </w:p>
    <w:p>
      <w:pPr>
        <w:spacing w:before="160" w:after="40" w:line="240" w:lineRule="auto"/>
      </w:pPr>
      <w:r>
        <w:rPr>
          <w:b/>
        </w:rPr>
        <w:t xml:space="preserve">[4] </w:t>
      </w:r>
      <w:hyperlink r:id="rId563">
        <w:r>
          <w:rPr>
            <w:color w:val="1155CC"/>
            <w:u w:val="single"/>
          </w:rPr>
          <w:t>通过硼辅助机械化学将硅橡胶升级为增值聚硼硅氧烷</w:t>
        </w:r>
      </w:hyperlink>
    </w:p>
    <w:p>
      <w:pPr>
        <w:spacing w:before="0" w:after="80"/>
      </w:pPr>
      <w:r>
        <w:rPr>
          <w:i/>
          <w:sz w:val="20"/>
        </w:rPr>
        <w:t>EN: Upcycling of Silicone Rubber into Value‐Added Polyborosiloxane via Boron‐Assisted Mechanochemistry</w:t>
      </w:r>
    </w:p>
    <w:p>
      <w:pPr>
        <w:spacing w:before="0" w:after="120"/>
      </w:pPr>
      <w:r>
        <w:rPr>
          <w:b/>
        </w:rPr>
        <w:t xml:space="preserve">Source: </w:t>
      </w:r>
      <w:r>
        <w:t>Wiley: Advanced Materials: Table of Contents</w:t>
      </w:r>
      <w:r>
        <w:t xml:space="preserve">    </w:t>
      </w:r>
      <w:r>
        <w:rPr>
          <w:b/>
        </w:rPr>
        <w:t xml:space="preserve">Pub date: </w:t>
      </w:r>
      <w:r>
        <w:t>2026-07-17 11:14:40+00:00</w:t>
      </w:r>
      <w:r>
        <w:t xml:space="preserve">    </w:t>
      </w:r>
      <w:r>
        <w:rPr>
          <w:b/>
        </w:rPr>
        <w:t xml:space="preserve">DOI: </w:t>
      </w:r>
      <w:hyperlink r:id="rId564">
        <w:r>
          <w:rPr>
            <w:color w:val="1155CC"/>
            <w:u w:val="single"/>
          </w:rPr>
          <w:t>10.1002/adma.74158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硅橡胶因其卓越的耐热性、化学惰性和长期稳定性而在现代生活中不可或缺。然而，其 Si-O-Si 主链的坚固性使其成为最难回收的材料之一，导致废物持续积累和严重的环境问题。在此，我们报告了一种硼辅助热机械断裂（BATS）升级回收策略，该策略直接将交联硅橡胶废料转化为高价值的聚硼硅氧烷（PBS），这是一种被称为橡皮泥的经典应变率响应材料。在温和条件下，BATS 裂解 Si-O-Si 主链并将其重建为动态 Si-O-B 连接，通过无溶剂、无副产物的过程将硅橡胶废料转化为高价值的动态聚合物。由于这种硼辅助断裂过程直接作用于硅氧烷链，因此它广泛适用于各种硅橡胶废料，并且可以使用传统的聚合物加工设备来实施。此外，所得的 PBS 在冲击保护和速率响应传感方面表现出实用性。据我们所知，BATS 策略似乎是直接将硅橡胶废料从聚合物到聚合物升级改造为价值更高的材料的第一个例子。这项工作为硅橡胶废料建立了一个通用的、可扩展的、可持续的聚合物到聚合物的升级回收平台，并为推进循环有机硅经济提供了一个有前景的策略。</w:t>
      </w:r>
    </w:p>
    <w:p>
      <w:pPr>
        <w:spacing w:before="0" w:after="200" w:lineRule="auto" w:line="276"/>
      </w:pPr>
      <w:r>
        <w:rPr>
          <w:b/>
        </w:rPr>
        <w:t xml:space="preserve">Abstract (EN): </w:t>
      </w:r>
      <w:r>
        <w:t>Silicone rubber is indispensable in modern life owing to its exceptional thermal resistance, chemical inertness and long‐term stability. However, the robustness of its Si–O–Si backbone makes it among the most difficult materials to recycle, leading to persistent waste accumulation and serious environmental concerns. Herein, we report a boron‐assisted thermomechanical scission (BATS) upcycling strategy that directly converts crosslinked silicone rubber waste into high‐value polyborosiloxane (PBS), a classic strain‐rate‐responsive material known as Silly Putty. Under mild conditions, BATS cleaves Si–O–Si backbones and reconstructs them into dynamic Si–O–B linkages, transforming silicone rubber waste into a high‐value dynamic polymer through a solvent‐free, byproduct‐free process. Because this boron‐assisted scission process acts directly on siloxane chains, it is broadly applicable to diverse silicone rubber wastes and can be implemented using conventional polymer‐processing equipment. Moreover, the resulting PBS exhibits practical utility in impact protection and rate‐responsive sensing. To the best of our knowledge, the BATS strategy appears to be the first example of direct polymer‐to‐polymer upcycling of silicone rubber waste into a substantially higher‐value material. This work establishes a general, scalable, and sustainable polymer‐to‐polymer upcycling platform for silicone rubber waste and offers a promising strategy for advancing a circular organosilicon economy.</w:t>
      </w:r>
    </w:p>
    <w:p>
      <w:pPr>
        <w:spacing w:before="120" w:after="120"/>
      </w:pPr>
      <w:r>
        <w:rPr>
          <w:sz w:val="18"/>
        </w:rPr>
        <w:t>——————————————————————————————————————————————————————————————————————</w:t>
      </w:r>
    </w:p>
    <w:p>
      <w:pPr>
        <w:spacing w:before="160" w:after="40" w:line="240" w:lineRule="auto"/>
      </w:pPr>
      <w:r>
        <w:rPr>
          <w:b/>
        </w:rPr>
        <w:t xml:space="preserve">[5] </w:t>
      </w:r>
      <w:hyperlink r:id="rId565">
        <w:r>
          <w:rPr>
            <w:color w:val="1155CC"/>
            <w:u w:val="single"/>
          </w:rPr>
          <w:t>使用工程大肠杆菌合成聚（4HB-co-PhLA）和聚（3HB-co-4HB-co-PhLA）作为可持续热熔粘合剂</w:t>
        </w:r>
      </w:hyperlink>
    </w:p>
    <w:p>
      <w:pPr>
        <w:spacing w:before="0" w:after="80"/>
      </w:pPr>
      <w:r>
        <w:rPr>
          <w:i/>
          <w:sz w:val="20"/>
        </w:rPr>
        <w:t>EN: Synthesis of poly(4HB-co-PhLA) and poly(3HB-co-4HB-co-PhLA) as sustainable hot-melt adhesives using engineered Escherichia coli</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传统的石油基粘合剂是不可生物降解的，会引起环境问题。聚羟基脂肪酸酯（PHA）是由可再生碳源合成的细菌聚酯，由于可生物降解性和结构多样性，是有前途的粘合剂候选者。在这里，我们报道了芳香族PHA共聚物，聚[4-羟基丁酸酯（4HB）-co-苯基乳酸（PhLA）]和聚[3-羟基丁酸酯（3HB）-co-4HB-co-PhLA]，表现出热稳定性和热熔胶（HMA）性能。大肠杆菌菌株经过工程改造，可以从葡萄糖生产这些聚合物，并且通过优化异源表达、引入额外的 CoA 转移酶和暂时调节基因表达来增强聚合物的生物合成。我们应用计算机模拟来系统地识别改善多种单体合成的工程目标。最终的工程菌株产生 10.2 g l−1 的聚（32.7 mol% 4HB-co-PhLA）和 52.8 g l−1 的聚（3HB-co-2.7 mol% 4HB-co-5.6 mol% PhLA）。所得聚合物表现出粘合性能和可重复使用性，扩展了可用的聚合物性能组合。总体而言，我们提出了一种可持续且可扩展的策略，用于微生物生产可重复使用的生物基 HMA，具有可调的粘合性能和实际应用潜力。</w:t>
      </w:r>
    </w:p>
    <w:p>
      <w:pPr>
        <w:spacing w:before="0" w:after="200" w:lineRule="auto" w:line="276"/>
      </w:pPr>
      <w:r>
        <w:rPr>
          <w:b/>
        </w:rPr>
        <w:t xml:space="preserve">Abstract (EN): </w:t>
      </w:r>
      <w:r>
        <w:t>Conventional petroleum-based adhesives are non-biodegradable and raise environmental concerns. Polyhydroxyalkanoates (PHAs), bacterial polyesters synthesized from renewable carbon sources, are promising adhesive candidates due to biodegradability and structural diversity. Here, we report aromatic PHA copolymers, poly[4-hydroxybutyrate(4HB)-co-phenyllactate(PhLA)] and poly[3-hydroxybutyrate(3HB)-co-4HB-co-PhLA], exhibiting thermal stability and hot-melt adhesive (HMA) properties. Escherichia coli strains are engineered to produce these polymers from glucose and polymer biosynthesis is enhanced by optimizing heterologous expression, introducing additional CoA transferases and temporally regulating gene expression. We applied in silico simulations to systematically identify engineering targets that improve the synthesis of multiple monomers. The final engineered strains produce 10.2 g l−1 of poly(32.7 mol% 4HB-co-PhLA) and 52.8 g l−1 of poly(3HB-co-2.7 mol% 4HB-co-5.6 mol% PhLA). The resulting polymers demonstrate adhesive performance and reusability, expanding the available polymer property portfolio. Overall, we present a sustainable and expandable strategy for the microbial production of reusable, bio-based HMAs with tunable adhesive properties and practical application potential.</w:t>
      </w:r>
    </w:p>
    <w:p>
      <w:pPr>
        <w:spacing w:before="120" w:after="120"/>
      </w:pPr>
      <w:r>
        <w:rPr>
          <w:sz w:val="18"/>
        </w:rPr>
        <w:t>——————————————————————————————————————————————————————————————————————</w:t>
      </w:r>
    </w:p>
    <w:p>
      <w:pPr>
        <w:spacing w:before="160" w:after="40" w:line="240" w:lineRule="auto"/>
      </w:pPr>
      <w:r>
        <w:rPr>
          <w:b/>
        </w:rPr>
        <w:t xml:space="preserve">[6] </w:t>
      </w:r>
      <w:hyperlink r:id="rId566">
        <w:r>
          <w:rPr>
            <w:color w:val="1155CC"/>
            <w:u w:val="single"/>
          </w:rPr>
          <w:t>当含氟聚合物自我回收时：用于环境含氟聚合物升级循环的自蔓延化学</w:t>
        </w:r>
      </w:hyperlink>
    </w:p>
    <w:p>
      <w:pPr>
        <w:spacing w:before="0" w:after="80"/>
      </w:pPr>
      <w:r>
        <w:rPr>
          <w:i/>
          <w:sz w:val="20"/>
        </w:rPr>
        <w:t>EN: When fluoropolymers recycle themselves: self-propagating chemistry for ambient fluoropolymer upcycling</w:t>
      </w:r>
    </w:p>
    <w:p>
      <w:pPr>
        <w:spacing w:before="0" w:after="120"/>
      </w:pPr>
      <w:r>
        <w:rPr>
          <w:b/>
        </w:rPr>
        <w:t xml:space="preserve">Source: </w:t>
      </w:r>
      <w:r>
        <w:t>National Science Review Advance Access</w:t>
      </w:r>
      <w:r>
        <w:t xml:space="preserve">    </w:t>
      </w:r>
      <w:r>
        <w:rPr>
          <w:b/>
        </w:rPr>
        <w:t xml:space="preserve">Pub date: </w:t>
      </w:r>
      <w:r>
        <w:t>2026-07-22 00:00:00+00:00</w:t>
      </w:r>
      <w:r>
        <w:t xml:space="preserve">    </w:t>
      </w:r>
      <w:r>
        <w:rPr>
          <w:b/>
        </w:rPr>
        <w:t xml:space="preserve">DOI: </w:t>
      </w:r>
      <w:hyperlink r:id="rId567">
        <w:r>
          <w:rPr>
            <w:color w:val="1155CC"/>
            <w:u w:val="single"/>
          </w:rPr>
          <w:t>10.1093/nsr/nwag452</w:t>
        </w:r>
      </w:hyperlink>
    </w:p>
    <w:p>
      <w:pPr>
        <w:spacing w:before="0" w:after="120"/>
      </w:pPr>
      <w:r>
        <w:rPr>
          <w:b/>
        </w:rPr>
        <w:t xml:space="preserve">Notes: </w:t>
      </w:r>
      <w:r>
        <w:t>abstract_source=openalex</w:t>
      </w:r>
    </w:p>
    <w:p>
      <w:pPr>
        <w:spacing w:before="0" w:after="80" w:lineRule="auto" w:line="276"/>
      </w:pPr>
      <w:r>
        <w:rPr>
          <w:b/>
        </w:rPr>
        <w:t xml:space="preserve">摘要（ZH）: </w:t>
      </w:r>
      <w:r>
        <w:t>亚历山德鲁·弗拉德；当含氟聚合物自我回收时：环境含氟聚合物升级循环的自蔓延化学，国家科学评论，，nwag452，</w:t>
      </w:r>
    </w:p>
    <w:p>
      <w:pPr>
        <w:spacing w:before="0" w:after="200" w:lineRule="auto" w:line="276"/>
      </w:pPr>
      <w:r>
        <w:rPr>
          <w:b/>
        </w:rPr>
        <w:t xml:space="preserve">Abstract (EN): </w:t>
      </w:r>
      <w:r>
        <w:t>Alexandru Vlad; When fluoropolymers recycle themselves: self-propagating chemistry for ambient fluoropolymer upcycling, National Science Review, , nwag452,</w:t>
      </w:r>
    </w:p>
    <w:p>
      <w:pPr>
        <w:spacing w:before="120" w:after="120"/>
      </w:pPr>
      <w:r>
        <w:rPr>
          <w:sz w:val="18"/>
        </w:rPr>
        <w:t>——————————————————————————————————————————————————————————————————————</w:t>
      </w:r>
    </w:p>
    <w:p>
      <w:pPr>
        <w:spacing w:before="160" w:after="40" w:line="240" w:lineRule="auto"/>
      </w:pPr>
      <w:r>
        <w:rPr>
          <w:b/>
        </w:rPr>
        <w:t xml:space="preserve">[7] </w:t>
      </w:r>
      <w:hyperlink r:id="rId568">
        <w:r>
          <w:rPr>
            <w:color w:val="1155CC"/>
            <w:u w:val="single"/>
          </w:rPr>
          <w:t>缠结使圆形工程塑料成为可能</w:t>
        </w:r>
      </w:hyperlink>
    </w:p>
    <w:p>
      <w:pPr>
        <w:spacing w:before="0" w:after="80"/>
      </w:pPr>
      <w:r>
        <w:rPr>
          <w:i/>
          <w:sz w:val="20"/>
        </w:rPr>
        <w:t>EN: Entanglements enable circular engineering plastics</w:t>
      </w:r>
    </w:p>
    <w:p>
      <w:pPr>
        <w:spacing w:before="0" w:after="120"/>
      </w:pPr>
      <w:r>
        <w:rPr>
          <w:b/>
        </w:rPr>
        <w:t xml:space="preserve">Source: </w:t>
      </w:r>
      <w:r>
        <w:t>Nature Materials</w:t>
      </w:r>
      <w:r>
        <w:t xml:space="preserve">    </w:t>
      </w:r>
      <w:r>
        <w:rPr>
          <w:b/>
        </w:rPr>
        <w:t xml:space="preserve">Pub date: </w:t>
      </w:r>
      <w:r>
        <w:t>2026-07-22 00:00:00+00:00</w:t>
      </w:r>
      <w:r>
        <w:t xml:space="preserve">    </w:t>
      </w:r>
      <w:r>
        <w:rPr>
          <w:b/>
        </w:rPr>
        <w:t xml:space="preserve">DOI: </w:t>
      </w:r>
      <w:hyperlink r:id="rId569">
        <w:r>
          <w:rPr>
            <w:color w:val="1155CC"/>
            <w:u w:val="single"/>
          </w:rPr>
          <w:t>10.1038/s41563-026-02665-9</w:t>
        </w:r>
      </w:hyperlink>
    </w:p>
    <w:p>
      <w:pPr>
        <w:spacing w:before="0" w:after="120"/>
      </w:pPr>
      <w:r>
        <w:rPr>
          <w:b/>
        </w:rPr>
        <w:t xml:space="preserve">Notes: </w:t>
      </w:r>
      <w:r>
        <w:t>abstract_source=rss_nature</w:t>
      </w:r>
    </w:p>
    <w:p>
      <w:pPr>
        <w:spacing w:before="0" w:after="80" w:lineRule="auto" w:line="276"/>
      </w:pPr>
      <w:r>
        <w:rPr>
          <w:b/>
        </w:rPr>
        <w:t xml:space="preserve">摘要（ZH）: </w:t>
      </w:r>
      <w:r>
        <w:t>以纠缠为主导的设计策略将密集的物理链纠缠与稀疏的可触发裂解的共价交联相结合。这一策略使得高性能热固性材料具有世代不变的再生能力，为循环工程塑料开辟了一条道路。</w:t>
      </w:r>
    </w:p>
    <w:p>
      <w:pPr>
        <w:spacing w:before="0" w:after="200" w:lineRule="auto" w:line="276"/>
      </w:pPr>
      <w:r>
        <w:rPr>
          <w:b/>
        </w:rPr>
        <w:t xml:space="preserve">Abstract (EN): </w:t>
      </w:r>
      <w:r>
        <w:t>An entanglement-dominated design strategy combines dense physical chain entanglements with sparse trigger-cleavable covalent crosslinks. This strategy enables high-performance thermosets with generation-invariant regeneration, opening an avenue for circular engineering plastics.</w:t>
      </w:r>
    </w:p>
    <w:p>
      <w:pPr>
        <w:spacing w:before="120" w:after="120"/>
      </w:pPr>
      <w:r>
        <w:rPr>
          <w:sz w:val="18"/>
        </w:rPr>
        <w:t>——————————————————————————————————————————————————————————————————————</w:t>
      </w:r>
    </w:p>
    <w:p>
      <w:pPr>
        <w:spacing w:before="160" w:after="40" w:line="240" w:lineRule="auto"/>
      </w:pPr>
      <w:r>
        <w:rPr>
          <w:b/>
        </w:rPr>
        <w:t xml:space="preserve">[8] </w:t>
      </w:r>
      <w:hyperlink r:id="rId570">
        <w:r>
          <w:rPr>
            <w:color w:val="1155CC"/>
            <w:u w:val="single"/>
          </w:rPr>
          <w:t>动态材料重构主导高电压波动电解槽电堆中聚酯塑料的稳定高效升级</w:t>
        </w:r>
      </w:hyperlink>
    </w:p>
    <w:p>
      <w:pPr>
        <w:spacing w:before="0" w:after="80"/>
      </w:pPr>
      <w:r>
        <w:rPr>
          <w:i/>
          <w:sz w:val="20"/>
        </w:rPr>
        <w:t>EN: Dynamic Material Reconstruction Dominates Stable and Efficient Upgrading of Polyester Plastics in Electrolyzer Stacks With High Voltage Fluctuations</w:t>
      </w:r>
    </w:p>
    <w:p>
      <w:pPr>
        <w:spacing w:before="0" w:after="120"/>
      </w:pPr>
      <w:r>
        <w:rPr>
          <w:b/>
        </w:rPr>
        <w:t xml:space="preserve">Source: </w:t>
      </w:r>
      <w:r>
        <w:t>Wiley: Advanced Materials: Table of Contents</w:t>
      </w:r>
      <w:r>
        <w:t xml:space="preserve">    </w:t>
      </w:r>
      <w:r>
        <w:rPr>
          <w:b/>
        </w:rPr>
        <w:t xml:space="preserve">Pub date: </w:t>
      </w:r>
      <w:r>
        <w:t>2026-07-22 08:55:17+00:00</w:t>
      </w:r>
      <w:r>
        <w:t xml:space="preserve">    </w:t>
      </w:r>
      <w:r>
        <w:rPr>
          <w:b/>
        </w:rPr>
        <w:t xml:space="preserve">DOI: </w:t>
      </w:r>
      <w:hyperlink r:id="rId571">
        <w:r>
          <w:rPr>
            <w:color w:val="1155CC"/>
            <w:u w:val="single"/>
          </w:rPr>
          <w:t>10.1002/adma.74298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从聚对苯二甲酸乙二醇酯 (PET) 废物中电氧化乙二醇 (EG) 来生产有价值的商品，为循环塑料经济提供了一种新方法。然而，反应效率受到不可控副反应和竞争性水氧化的显着限制，特别是在高电压或波动电压下。在这里，我们提出了一种在 1.4-2.3 V 超宽电位范围内与可逆氢电极相比的有效 EG 转化为甲酸盐的方法，在硫改性 NiCo 基催化剂上法拉第效率持续超过 95%。研究表明，由硫氧化还原电化学控制的结构重建工程提供了活性（氧）氢氧化物位点，可促进关键的 C-C 断裂，且具有良好的鲁棒性。因此，该系统在膜电极组件 (MEA) 电解槽中表现出超过 1100 小时的卓越耐用性，并且对电压间歇和波动具有良好的耐受性。通过5×4cm更大规模的部署</w:t>
      </w:r>
      <w:r>
        <w:rPr>
          <w:vertAlign w:val="subscript"/>
        </w:rPr>
        <w:t>2</w:t>
      </w:r>
      <w:r>
        <w:t>MEA 系列堆栈可提供 193.1 mmol h 的甲酸盐生产率</w:t>
      </w:r>
      <w:r>
        <w:t xml:space="preserve"> </w:t>
      </w:r>
      <w:r>
        <w:t>−1</w:t>
      </w:r>
      <w:r>
        <w:t xml:space="preserve"> </w:t>
      </w:r>
      <w:r>
        <w:t>来自现实世界的 PET 废物水解产物的 4.0 A 电流，以及 97% 的高碳选择性和 500 小时的稳定运行。这种电气化工艺展现了巨大的盈利能力和负碳预算，凸显了其推动循环塑料经济和实现碳中和的巨大潜力。</w:t>
      </w:r>
    </w:p>
    <w:p>
      <w:pPr>
        <w:spacing w:before="0" w:after="200" w:lineRule="auto" w:line="276"/>
      </w:pPr>
      <w:r>
        <w:rPr>
          <w:b/>
        </w:rPr>
        <w:t xml:space="preserve">Abstract (EN): </w:t>
      </w:r>
      <w:r>
        <w:t>The electrooxidation of ethylene glycol (EG) from polyethylene terephthalate (PET) waste to produce valuable commodities offers a novel approach to the circular plastic economy. However, reaction efficiency is significantly limited by uncontrollable side reactions and competitive water oxidation, particularly at high or fluctuating voltages. Here, we present an efficient EG‐to‐formate evolution at an ultrawide potential range of 1.4–2.3 V versus reversible hydrogen electrode, with Faradaic efficiencies of over 95% persisting on a sulfur‐modified NiCo‐based catalyst. It has been revealed that structural reconstruction engineering, governed by sulfur redox electrochemistry, provides active (oxy)hydroxide sites that promote key C–C scission with good robustness. Accordingly, this system exhibits exceptional durability of over 1100 h in a membrane electrode assembly (MEA) electrolyzer and good tolerance to voltage intermittences and fluctuations. Deployment on a larger scale through a 5 × 4 cm</w:t>
      </w:r>
      <w:r>
        <w:rPr>
          <w:vertAlign w:val="subscript"/>
        </w:rPr>
        <w:t>2</w:t>
      </w:r>
      <w:r>
        <w:t>MEA series stack affords a formate productivity of 193.1 mmol h</w:t>
      </w:r>
      <w:r>
        <w:t xml:space="preserve"> </w:t>
      </w:r>
      <w:r>
        <w:t>−1</w:t>
      </w:r>
      <w:r>
        <w:t xml:space="preserve"> </w:t>
      </w:r>
      <w:r>
        <w:t>at 4.0 A from real‐world PET waste hydrolysate, together with high carbon selectivity of 97% and stable operation for 500 h. This electrified process demonstrates great profitability and a negative carbon budget, highlighting its significant potential to advance the circular plastic economy and achieve carbon neutrality.</w:t>
      </w:r>
    </w:p>
    <w:p>
      <w:pPr>
        <w:spacing w:before="120" w:after="120"/>
      </w:pPr>
      <w:r>
        <w:rPr>
          <w:sz w:val="18"/>
        </w:rPr>
        <w:t>——————————————————————————————————————————————————————————————————————</w:t>
      </w:r>
    </w:p>
    <w:p>
      <w:pPr>
        <w:spacing w:before="160" w:after="40" w:line="240" w:lineRule="auto"/>
      </w:pPr>
      <w:r>
        <w:rPr>
          <w:b/>
        </w:rPr>
        <w:t xml:space="preserve">[9] </w:t>
      </w:r>
      <w:hyperlink r:id="rId572">
        <w:r>
          <w:rPr>
            <w:color w:val="1155CC"/>
            <w:u w:val="single"/>
          </w:rPr>
          <w:t>解决全球吸收性卫生产品废物问题的研究重点</w:t>
        </w:r>
      </w:hyperlink>
    </w:p>
    <w:p>
      <w:pPr>
        <w:spacing w:before="0" w:after="80"/>
      </w:pPr>
      <w:r>
        <w:rPr>
          <w:i/>
          <w:sz w:val="20"/>
        </w:rPr>
        <w:t>EN: Research priorities for addressing global absorbent hygiene product waste</w:t>
      </w:r>
    </w:p>
    <w:p>
      <w:pPr>
        <w:spacing w:before="0" w:after="120"/>
      </w:pPr>
      <w:r>
        <w:rPr>
          <w:b/>
        </w:rPr>
        <w:t xml:space="preserve">Source: </w:t>
      </w:r>
      <w:r>
        <w:t>Nature Sustainability</w:t>
      </w:r>
      <w:r>
        <w:t xml:space="preserve">    </w:t>
      </w:r>
      <w:r>
        <w:rPr>
          <w:b/>
        </w:rPr>
        <w:t xml:space="preserve">Pub date: </w:t>
      </w:r>
      <w:r>
        <w:t>2026-07-23 00:00:00+00:00</w:t>
      </w:r>
      <w:r>
        <w:t xml:space="preserve">    </w:t>
      </w:r>
      <w:r>
        <w:rPr>
          <w:b/>
        </w:rPr>
        <w:t xml:space="preserve">DOI: </w:t>
      </w:r>
      <w:hyperlink r:id="rId573">
        <w:r>
          <w:rPr>
            <w:color w:val="1155CC"/>
            <w:u w:val="single"/>
          </w:rPr>
          <w:t>10.1038/s41893-026-01903-x</w:t>
        </w:r>
      </w:hyperlink>
    </w:p>
    <w:p>
      <w:pPr>
        <w:spacing w:before="0" w:after="120"/>
      </w:pPr>
      <w:r>
        <w:rPr>
          <w:b/>
        </w:rPr>
        <w:t xml:space="preserve">Notes: </w:t>
      </w:r>
      <w:r>
        <w:t>abstract_source=rss_nature</w:t>
      </w:r>
    </w:p>
    <w:p>
      <w:pPr>
        <w:spacing w:before="0" w:after="80" w:lineRule="auto" w:line="276"/>
      </w:pPr>
      <w:r>
        <w:rPr>
          <w:b/>
        </w:rPr>
        <w:t xml:space="preserve">摘要（ZH）: </w:t>
      </w:r>
      <w:r>
        <w:t>吸收性卫生用品 (AHP)——儿童尿布、成人失禁产品和经期产品——是塑料废物的主要来源。本视角强调了 AHP 废物的材料和社会复杂性，并为科学家确定了帮助解决正在发生的 AHP 危机的机会。</w:t>
      </w:r>
    </w:p>
    <w:p>
      <w:pPr>
        <w:spacing w:before="0" w:after="200" w:lineRule="auto" w:line="276"/>
      </w:pPr>
      <w:r>
        <w:rPr>
          <w:b/>
        </w:rPr>
        <w:t xml:space="preserve">Abstract (EN): </w:t>
      </w:r>
      <w:r>
        <w:t>Absorbent hygiene products (AHPs) — child diapers, adult incontinence products and period products — are a major source of plastic waste. This Perspective highlights the materials and societal complexity of AHP waste and identifies opportunities for scientists to help address the unfolding AHP crisis.</w:t>
      </w:r>
    </w:p>
    <w:p>
      <w:pPr>
        <w:spacing w:before="120" w:after="120"/>
      </w:pPr>
      <w:r>
        <w:rPr>
          <w:sz w:val="18"/>
        </w:rPr>
        <w:t>——————————————————————————————————————————————————————————————————————</w:t>
      </w:r>
    </w:p>
    <w:p>
      <w:pPr>
        <w:spacing w:before="160" w:after="40" w:line="240" w:lineRule="auto"/>
      </w:pPr>
      <w:r>
        <w:rPr>
          <w:b/>
        </w:rPr>
        <w:t xml:space="preserve">[10] </w:t>
      </w:r>
      <w:hyperlink r:id="rId574">
        <w:r>
          <w:rPr>
            <w:color w:val="1155CC"/>
            <w:u w:val="single"/>
          </w:rPr>
          <w:t>从裂纹到知情的循环：通过再生塑料的高通量原位失效分析进行力学指导的决策</w:t>
        </w:r>
      </w:hyperlink>
    </w:p>
    <w:p>
      <w:pPr>
        <w:spacing w:before="0" w:after="80"/>
      </w:pPr>
      <w:r>
        <w:rPr>
          <w:i/>
          <w:sz w:val="20"/>
        </w:rPr>
        <w:t>EN: From cracks to informed circularity: Mechanics-guided decisions via high-throughput in situ failure analysis of recycled plastics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575">
        <w:r>
          <w:rPr>
            <w:color w:val="1155CC"/>
            <w:u w:val="single"/>
          </w:rPr>
          <w:t>10.1126/sciadv.aeh0456</w:t>
        </w:r>
      </w:hyperlink>
    </w:p>
    <w:p>
      <w:pPr>
        <w:spacing w:before="0" w:after="120"/>
      </w:pPr>
      <w:r>
        <w:rPr>
          <w:b/>
        </w:rPr>
        <w:t xml:space="preserve">Notes: </w:t>
      </w:r>
      <w:r>
        <w:t>abstract_source=crossref</w:t>
      </w:r>
    </w:p>
    <w:p>
      <w:pPr>
        <w:spacing w:before="0" w:after="80" w:lineRule="auto" w:line="276"/>
      </w:pPr>
      <w:r>
        <w:rPr>
          <w:b/>
        </w:rPr>
        <w:t xml:space="preserve">摘要（ZH）: </w:t>
      </w:r>
      <w:r>
        <w:t>现实条件下的材料会受到机械和化学应力的耦合作用，但当前的测试平台无法捕获它们对材料行为和失效的综合影响，特别是当需要多个样本进行稳健测量时。对于回收材料来说，这种限制非常严重，其性能无法从一些常规测试中推断出来。在这里，我们介绍了一个原位、高通量光弹性平台，用于在受控化学条件下进行多样本测试，并具有全场应力可视化。使用回收的聚对苯二甲酸乙二醇酯 (rPET) 作为同时加载和变化 pH 条件下的模型系统，我们发现与原始 PET 相比，裂纹扩展更早发生，寿命更短，并量化了失效前机械化学加工区域从 ∼0.08 毫米扩大到 ∼0.25 毫米。将这些发现扩展到垃圾填埋场土工织物（rPET 的日益增长的应用），我们发现，在 pH 值高于 9 的情况下，碱性降解会削弱 rPET 相对于原始 PET 的环境和经济优势。这种集成工作流程将仪器与机械见解与可持续发展决策联系起来，可以加速新兴循环材料的部署。</w:t>
      </w:r>
    </w:p>
    <w:p>
      <w:pPr>
        <w:spacing w:before="0" w:after="200" w:lineRule="auto" w:line="276"/>
      </w:pPr>
      <w:r>
        <w:rPr>
          <w:b/>
        </w:rPr>
        <w:t xml:space="preserve">Abstract (EN): </w:t>
      </w:r>
      <w:r>
        <w:t>Materials under real-world conditions are subjected to coupled mechanical and chemical stressors, yet current testing platforms cannot capture their combined effects on material behavior and failure, particularly when multiple specimens are required for robust measurements. This limitation is acute for recycled materials, whose performance cannot be inferred from a few conventional tests. Here, we introduce an in situ, high-throughput photoelasticity platform for multispecimen testing under controlled chemical conditions with full-field stress visualization. Using recycled polyethylene terephthalate (rPET) as a model system under simultaneous loading and varying pH, we reveal earlier onset of crack propagation and shorter lifetimes compared to virgin PET and quantify mechanochemical process zone expansion from ∼0.08 to ∼0.25 millimeters before failure. Extending these findings to landfill geotextiles, a growing application of rPET, we show that alkaline degradation erodes rPET environmental and economic advantages over virgin PET above pH 9. This integrated workflow, linking instrumentation to mechanistic insights to sustainability-informed decision-making, can accelerate the deployment of emerging, circular materials.</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576">
        <w:r>
          <w:rPr>
            <w:color w:val="1155CC"/>
            <w:u w:val="single"/>
          </w:rPr>
          <w:t>深层和浅层皮质层在人类听觉皮层音调预测、比较和适应中的不同作用</w:t>
        </w:r>
      </w:hyperlink>
    </w:p>
    <w:p>
      <w:pPr>
        <w:spacing w:before="0" w:after="80"/>
      </w:pPr>
      <w:r>
        <w:rPr>
          <w:i/>
          <w:sz w:val="20"/>
        </w:rPr>
        <w:t>EN: Distinct Roles of Deep and Superficial Cortical Layers in Tone Prediction, Comparison, and Adaptation in Human Auditory Cortices</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听觉感知依赖于先前的感觉来形成期望并适应重复的输入。然而，这些过程如何与皮质深度的频率特定偏好相互作用仍不清楚。使用超高场功能磁共振成像（7T），参与者聆听了重复结构和可预测性不同的随机音调序列。我们对刺激偏好、重复抑制和期望的体素响应进行建模，将其独特且共享的方差划分到三个深度箱（粒下、粒状、上粒）。与期望相关的信号解释了深层中最独特的方差，与内部模型表示相一致。由刺激偏好和期望共同解释的方差在表面层中最强，这与自上而下的预测（预测误差信号）的内容特定对齐一致。最后，重复抑制均匀地解释了深度上的方差。总之，数据表明深层包含特定于内容的预测模型，浅层记录预测输入对齐，而重复抑制提供了深度不变的局部增益控制，可补充预测处理。</w:t>
      </w:r>
    </w:p>
    <w:p>
      <w:pPr>
        <w:spacing w:before="0" w:after="200" w:lineRule="auto" w:line="276"/>
      </w:pPr>
      <w:r>
        <w:rPr>
          <w:b/>
        </w:rPr>
        <w:t xml:space="preserve">Abstract (EN): </w:t>
      </w:r>
      <w:r>
        <w:t>Auditory perception relies on prior sensations to form expectations and adapt to repeated inputs. Yet, how these processes interact with frequency-specific preference across cortical depth remains unclear. Using ultra-high-field functional magnetic resonance imaging (at 7T), participants listened to stochastic tone sequences varying in their repetition structure and predictability. We modelled voxel-wise responses for stimulus preference, repetition suppression, and expectations, partitioning their unique and shared variance across three depth bins (infragranular, granular, supragranular). Expectation-related signals explained most unique variance in deep layers, aligning with internal model representations. Variance jointly explained by stimulus preference and expectation was instead strongest in superficial layers, consistent with the content-specific alignment of top-down predictions (prediction error signalling). Finally, repetition suppression accounted for variance uniformly across depth. Together, the data suggest that deep layers contain content-specific predictive models, superficial layers register prediction-input alignment, and repetition suppression provides a depth-invariant, local gain control that complements predictive processing.</w:t>
      </w:r>
    </w:p>
    <w:p>
      <w:pPr>
        <w:spacing w:before="120" w:after="120"/>
      </w:pPr>
      <w:r>
        <w:rPr>
          <w:sz w:val="18"/>
        </w:rPr>
        <w:t>——————————————————————————————————————————————————————————————————————</w:t>
      </w:r>
    </w:p>
    <w:p>
      <w:pPr>
        <w:spacing w:before="160" w:after="40" w:line="240" w:lineRule="auto"/>
      </w:pPr>
      <w:r>
        <w:rPr>
          <w:b/>
        </w:rPr>
        <w:t xml:space="preserve">[2] </w:t>
      </w:r>
      <w:hyperlink r:id="rId577">
        <w:r>
          <w:rPr>
            <w:color w:val="1155CC"/>
            <w:u w:val="single"/>
          </w:rPr>
          <w:t>光催化水氧化和电子转移反应中的铁 (V)-Oxo TAML 自由基阳离子配合物</w:t>
        </w:r>
      </w:hyperlink>
    </w:p>
    <w:p>
      <w:pPr>
        <w:spacing w:before="0" w:after="80"/>
      </w:pPr>
      <w:r>
        <w:rPr>
          <w:i/>
          <w:sz w:val="20"/>
        </w:rPr>
        <w:t>EN: An Iron(V)-Oxo TAML Radical Cation Complex in Photocatalytic Water Oxidation and Electron-Transfer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578">
        <w:r>
          <w:rPr>
            <w:color w:val="1155CC"/>
            <w:u w:val="single"/>
          </w:rPr>
          <w:t>10.1021/jacs.6c12367</w:t>
        </w:r>
      </w:hyperlink>
    </w:p>
    <w:p>
      <w:pPr>
        <w:spacing w:before="0" w:after="120"/>
      </w:pPr>
      <w:r>
        <w:rPr>
          <w:b/>
        </w:rPr>
        <w:t xml:space="preserve">Notes: </w:t>
      </w:r>
      <w:r>
        <w:t>abstract_source=pubmed</w:t>
      </w:r>
    </w:p>
    <w:p>
      <w:pPr>
        <w:spacing w:before="0" w:after="80" w:lineRule="auto" w:line="276"/>
      </w:pPr>
      <w:r>
        <w:rPr>
          <w:b/>
        </w:rPr>
        <w:t xml:space="preserve">摘要（ZH）: </w:t>
      </w:r>
      <w:r>
        <w:t>铁(V)-氧配合物已被提议作为催化水氧化中的关键反应中间体。然而，具有氧化还原活性（非无害）配体且形式氧化态超过+5的铁氧配合物仍然难以捉摸。在此，我们报道了带有单电子氧化四酰胺大环配体的铁(V)-氧配合物[FeV(O)(TAML•+)]，可有效氧化水通过O-O键形成产生双氧(O2)。前体 [FeIII(TAML)]- 配合物可作为 2,3-二氯-5,6-二氰基-对苯醌 (DDQ) 光化学氧化水的有效催化剂。瞬时吸收测量揭示了逐步的光驱动途径：[FeIII(TAML)]-和DDQ首先通过μ-氧二聚体中间体[(TAML)FeIV(O)FeIV(TAML)]2-生成[FeV(O)(TAML)]-。随后电子转移 (ET) 至 DDQ (3DDQ*) 的三重激发态，产生 [FeV(O)(TAML•+)] 中间体和 DDQ•-。在水存在下，该络合物发生反应，产生推测的[FeIV(OOH)(TAML)]-中间体。 [FeV(O)(TAML•+)]与H2O和D2O在298 K下的反应速率常数分别确定为1.4 × 106和7.1 × 105 M-1 s-1，氘动力学同位素效应(KIE)为2.0。在ET反应中，[FeV(O)(TAML•+)]是一种高活性氧化剂，具有极小的重组能(λ = 0.80 eV)。如此小的重组能归因于[FeV(O)(TAML•+)]以TAML配体为中心的ET还原。据我们所知，这种铁(V)-氧代TAML自由基阳离子络合物[FeV(O)(TAML•+)]代表了最强大的高价阳离子络合物之一。</w:t>
      </w:r>
    </w:p>
    <w:p>
      <w:pPr>
        <w:spacing w:before="0" w:after="200" w:lineRule="auto" w:line="276"/>
      </w:pPr>
      <w:r>
        <w:rPr>
          <w:b/>
        </w:rPr>
        <w:t xml:space="preserve">Abstract (EN): </w:t>
      </w:r>
      <w:r>
        <w:t>Iron(V)-oxo complexes have been proposed as critical reactive intermediates in catalytic water oxidation. However, iron-oxo complexes bearing redox-active (noninnocent) ligands with a formal oxidation state exceeding +5 have remained elusive. Herein, we report that an iron(V)-oxo complex bearing a one-electron oxidized tetraamido macrocyclic ligand, [FeV(O)(TAML•+)], effectively oxidizes water to evolve dioxygen (O2) via O-O bond formation. The precursor [FeIII(TAML)]- complex acts as an effective catalyst for the photochemical oxidation of water by 2,3-dichloro-5,6-dicyano-p-benzoquinone (DDQ). Transient absorption measurements reveal a stepwise, photodriven pathway: [FeIII(TAML)]- and DDQ first generate [FeV(O)(TAML)]- via a μ-oxo dimer intermediate, [(TAML)FeIV(O)FeIV(TAML)]2-. Subsequent electron transfer (ET) to the triplet excited state of DDQ (3DDQ*) yields the [FeV(O)(TAML•+)] intermediate and DDQ•-. In the presence of water, this complex reacts to produce a presumed [FeIV(OOH)(TAML)]- intermediate. The rate constants of the reaction of [FeV(O)(TAML•+)] with H2O and D2O at 298 K are determined to be 1.4 × 106 and 7.1 × 105 M-1 s-1, respectively, giving a deuterium kinetic isotope effect (KIE) of 2.0. In ET reactions, [FeV(O)(TAML•+)] is a highly reactive oxidant with an extremely small reorganization energy (λ = 0.80 eV). Such a small reorganization energy is ascribed to the TAML ligand-centered ET reduction of [FeV(O)(TAML•+)]. To the best of our knowledge, this iron(V)-oxo TAML radical cation complex, [FeV(O)(TAML•+)], represents one of the most powerful high-valent iron-oxo oxidants identified to date in water oxidation and electron transfer reactions.</w:t>
      </w:r>
    </w:p>
    <w:p>
      <w:pPr>
        <w:spacing w:before="120" w:after="120"/>
      </w:pPr>
      <w:r>
        <w:rPr>
          <w:sz w:val="18"/>
        </w:rPr>
        <w:t>——————————————————————————————————————————————————————————————————————</w:t>
      </w:r>
    </w:p>
    <w:p>
      <w:pPr>
        <w:spacing w:before="160" w:after="40" w:line="240" w:lineRule="auto"/>
      </w:pPr>
      <w:r>
        <w:rPr>
          <w:b/>
        </w:rPr>
        <w:t xml:space="preserve">[3] </w:t>
      </w:r>
      <w:hyperlink r:id="rId579">
        <w:r>
          <w:rPr>
            <w:color w:val="1155CC"/>
            <w:u w:val="single"/>
          </w:rPr>
          <w:t>还原反转了斯通-威尔士重排的热力学</w:t>
        </w:r>
      </w:hyperlink>
    </w:p>
    <w:p>
      <w:pPr>
        <w:spacing w:before="0" w:after="80"/>
      </w:pPr>
      <w:r>
        <w:rPr>
          <w:i/>
          <w:sz w:val="20"/>
        </w:rPr>
        <w:t>EN: Reduction Inverts the Thermodynamics of the Stone–Wales Rearrangement</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580">
        <w:r>
          <w:rPr>
            <w:color w:val="1155CC"/>
            <w:u w:val="single"/>
          </w:rPr>
          <w:t>10.1021/jacs.6c10392</w:t>
        </w:r>
      </w:hyperlink>
    </w:p>
    <w:p>
      <w:pPr>
        <w:spacing w:before="0" w:after="120"/>
      </w:pPr>
      <w:r>
        <w:rPr>
          <w:b/>
        </w:rPr>
        <w:t xml:space="preserve">Notes: </w:t>
      </w:r>
      <w:r>
        <w:t>abstract_source=pubmed</w:t>
      </w:r>
    </w:p>
    <w:p>
      <w:pPr>
        <w:spacing w:before="0" w:after="80" w:lineRule="auto" w:line="276"/>
      </w:pPr>
      <w:r>
        <w:rPr>
          <w:b/>
        </w:rPr>
        <w:t xml:space="preserve">摘要（ZH）: </w:t>
      </w:r>
      <w:r>
        <w:t>我们证明，多环芳烃的碱金属掺杂可以重塑势能表面，有利于中性状态下不受欢迎的异构体。对于钾、铷和铯掺杂系统，这种效应可以在低至 250 °C 的温度下实现高效的逆斯通威尔士重排。相比之下，锂和钠掺杂专门促进湾区域的环化脱氢。在密度泛函理论的支持下，我们提出了一种机械上一致的途径，并通过单晶 X 射线衍射、紫外可见光谱和磁力测定报告了关键阴离子中间体的分离和表征。这些发现强调了还原如何解锁芳香系统中原本无法实现的重排，并让我们了解石墨烯、碳纳米管和富勒烯的功能化。</w:t>
      </w:r>
    </w:p>
    <w:p>
      <w:pPr>
        <w:spacing w:before="0" w:after="200" w:lineRule="auto" w:line="276"/>
      </w:pPr>
      <w:r>
        <w:rPr>
          <w:b/>
        </w:rPr>
        <w:t xml:space="preserve">Abstract (EN): </w:t>
      </w:r>
      <w:r>
        <w:t>We demonstrate that alkali-metal doping of polycyclic aromatic hydrocarbons can reshape the potential energy surface in favor of an isomer that is disfavored in the neutral state. This effect enables an efficient inverse Stone-Wales rearrangement at temperatures as low as 250 °C for potassium-, rubidium-, and cesium-doped systems. In contrast, lithium and sodium doping exclusively promote cyclodehydrogenation at cove regions. Supported by density functional theory, we propose a mechanistically consistent pathway and report the isolation and characterization of key anionic intermediates by single-crystal X-ray diffraction, UV-vis spectroscopy, and magnetometry. These findings highlight how reduction can unlock otherwise inaccessible rearrangements in aromatic systems and inform our understanding of the functionalization of graphene, carbon nanotubes, and fullerenes.</w:t>
      </w:r>
    </w:p>
    <w:p>
      <w:pPr>
        <w:spacing w:before="120" w:after="120"/>
      </w:pPr>
      <w:r>
        <w:rPr>
          <w:sz w:val="18"/>
        </w:rPr>
        <w:t>——————————————————————————————————————————————————————————————————————</w:t>
      </w:r>
    </w:p>
    <w:p>
      <w:pPr>
        <w:spacing w:before="160" w:after="40" w:line="240" w:lineRule="auto"/>
      </w:pPr>
      <w:r>
        <w:rPr>
          <w:b/>
        </w:rPr>
        <w:t xml:space="preserve">[4] </w:t>
      </w:r>
      <w:hyperlink r:id="rId581">
        <w:r>
          <w:rPr>
            <w:color w:val="1155CC"/>
            <w:u w:val="single"/>
          </w:rPr>
          <w:t>考虑极端天气和频率安全的多时间尺度运行模拟方法：发挥储能多维度支撑能力</w:t>
        </w:r>
      </w:hyperlink>
    </w:p>
    <w:p>
      <w:pPr>
        <w:spacing w:before="0" w:after="80"/>
      </w:pPr>
      <w:r>
        <w:rPr>
          <w:i/>
          <w:sz w:val="20"/>
        </w:rPr>
        <w:t>EN: Multi-time scale operation simulation method considering extreme weather and frequency security: exploiting the multi-dimensional support capability of energy storage</w:t>
      </w:r>
    </w:p>
    <w:p>
      <w:pPr>
        <w:spacing w:before="0" w:after="120"/>
      </w:pPr>
      <w:r>
        <w:rPr>
          <w:b/>
        </w:rPr>
        <w:t xml:space="preserve">Source: </w:t>
      </w:r>
      <w:r>
        <w:t>ScienceDirect Publication: Applied Energy</w:t>
      </w:r>
      <w:r>
        <w:t xml:space="preserve">    </w:t>
      </w:r>
      <w:r>
        <w:rPr>
          <w:b/>
        </w:rPr>
        <w:t xml:space="preserve">Pub date: </w:t>
      </w:r>
      <w:r>
        <w:t>2026-07-17 00:00:00+00:00</w:t>
      </w:r>
      <w:r>
        <w:t xml:space="preserve">    </w:t>
      </w:r>
      <w:r>
        <w:rPr>
          <w:b/>
        </w:rPr>
        <w:t xml:space="preserve">DOI: </w:t>
      </w:r>
      <w:hyperlink r:id="rId582">
        <w:r>
          <w:rPr>
            <w:color w:val="1155CC"/>
            <w:u w:val="single"/>
          </w:rPr>
          <w:t>10.1016/j.apenergy.2026.128481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583">
        <w:r>
          <w:rPr>
            <w:color w:val="1155CC"/>
            <w:u w:val="single"/>
          </w:rPr>
          <w:t>地缘政治冲突与企业能源转型：俄罗斯-乌克兰冲突的准自然实验</w:t>
        </w:r>
      </w:hyperlink>
    </w:p>
    <w:p>
      <w:pPr>
        <w:spacing w:before="0" w:after="80"/>
      </w:pPr>
      <w:r>
        <w:rPr>
          <w:i/>
          <w:sz w:val="20"/>
        </w:rPr>
        <w:t>EN: Geopolitical conflict and firms’ energy transition: A quasi-natural experiment from the Russia–Ukraine conflict</w:t>
      </w:r>
    </w:p>
    <w:p>
      <w:pPr>
        <w:spacing w:before="0" w:after="120"/>
      </w:pPr>
      <w:r>
        <w:rPr>
          <w:b/>
        </w:rPr>
        <w:t xml:space="preserve">Source: </w:t>
      </w:r>
      <w:r>
        <w:t>ScienceDirect Publication: Energy Policy</w:t>
      </w:r>
      <w:r>
        <w:t xml:space="preserve">    </w:t>
      </w:r>
      <w:r>
        <w:rPr>
          <w:b/>
        </w:rPr>
        <w:t xml:space="preserve">Pub date: </w:t>
      </w:r>
      <w:r>
        <w:t>2026-07-17 00:00:00+00:00</w:t>
      </w:r>
      <w:r>
        <w:t xml:space="preserve">    </w:t>
      </w:r>
      <w:r>
        <w:rPr>
          <w:b/>
        </w:rPr>
        <w:t xml:space="preserve">DOI: </w:t>
      </w:r>
      <w:hyperlink r:id="rId584">
        <w:r>
          <w:rPr>
            <w:color w:val="1155CC"/>
            <w:u w:val="single"/>
          </w:rPr>
          <w:t>10.1016/j.enpol.2026.115491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585">
        <w:r>
          <w:rPr>
            <w:color w:val="1155CC"/>
            <w:u w:val="single"/>
          </w:rPr>
          <w:t>为什么当我们孤独时痛苦会更痛，以及原罪的神话：书籍简介</w:t>
        </w:r>
      </w:hyperlink>
    </w:p>
    <w:p>
      <w:pPr>
        <w:spacing w:before="0" w:after="80"/>
      </w:pPr>
      <w:r>
        <w:rPr>
          <w:i/>
          <w:sz w:val="20"/>
        </w:rPr>
        <w:t>EN: Why pain hurts more when we’re lonely, and the myth of original sin: Books in brief</w:t>
      </w:r>
    </w:p>
    <w:p>
      <w:pPr>
        <w:spacing w:before="0" w:after="120"/>
      </w:pPr>
      <w:r>
        <w:rPr>
          <w:b/>
        </w:rPr>
        <w:t xml:space="preserve">Source: </w:t>
      </w:r>
      <w:r>
        <w:t>Nature</w:t>
      </w:r>
      <w:r>
        <w:t xml:space="preserve">    </w:t>
      </w:r>
      <w:r>
        <w:rPr>
          <w:b/>
        </w:rPr>
        <w:t xml:space="preserve">Pub date: </w:t>
      </w:r>
      <w:r>
        <w:t>2026-07-17 00:00:00+00:00</w:t>
      </w:r>
      <w:r>
        <w:t xml:space="preserve">    </w:t>
      </w:r>
      <w:r>
        <w:rPr>
          <w:b/>
        </w:rPr>
        <w:t xml:space="preserve">DOI: </w:t>
      </w:r>
      <w:hyperlink r:id="rId586">
        <w:r>
          <w:rPr>
            <w:color w:val="1155CC"/>
            <w:u w:val="single"/>
          </w:rPr>
          <w:t>10.1038/d41586-026-02264-3</w:t>
        </w:r>
      </w:hyperlink>
    </w:p>
    <w:p>
      <w:pPr>
        <w:spacing w:before="0" w:after="120"/>
      </w:pPr>
      <w:r>
        <w:rPr>
          <w:b/>
        </w:rPr>
        <w:t xml:space="preserve">Notes: </w:t>
      </w:r>
      <w:r>
        <w:t>abstract_source=nature_html</w:t>
      </w:r>
    </w:p>
    <w:p>
      <w:pPr>
        <w:spacing w:before="0" w:after="80" w:lineRule="auto" w:line="276"/>
      </w:pPr>
      <w:r>
        <w:rPr>
          <w:b/>
        </w:rPr>
        <w:t xml:space="preserve">摘要（ZH）: </w:t>
      </w:r>
      <w:r>
        <w:t>安德鲁·罗宾逊回顾了五个最佳科学精选。安德鲁·罗宾逊回顾了五个最佳科学精选。</w:t>
      </w:r>
    </w:p>
    <w:p>
      <w:pPr>
        <w:spacing w:before="0" w:after="200" w:lineRule="auto" w:line="276"/>
      </w:pPr>
      <w:r>
        <w:rPr>
          <w:b/>
        </w:rPr>
        <w:t xml:space="preserve">Abstract (EN): </w:t>
      </w:r>
      <w:r>
        <w:t>Andrew Robinson reviews five of the best science picks. Andrew Robinson reviews five of the best science picks.</w:t>
      </w:r>
    </w:p>
    <w:p>
      <w:pPr>
        <w:spacing w:before="120" w:after="120"/>
      </w:pPr>
      <w:r>
        <w:rPr>
          <w:sz w:val="18"/>
        </w:rPr>
        <w:t>——————————————————————————————————————————————————————————————————————</w:t>
      </w:r>
    </w:p>
    <w:p>
      <w:pPr>
        <w:spacing w:before="160" w:after="40" w:line="240" w:lineRule="auto"/>
      </w:pPr>
      <w:r>
        <w:rPr>
          <w:b/>
        </w:rPr>
        <w:t xml:space="preserve">[7] </w:t>
      </w:r>
      <w:hyperlink r:id="rId587">
        <w:r>
          <w:rPr>
            <w:color w:val="1155CC"/>
            <w:u w:val="single"/>
          </w:rPr>
          <w:t>π-扩展芳基偶氮低聚噻吩和低聚噻吩并苯中光致变色和电荷传输的耦合</w:t>
        </w:r>
      </w:hyperlink>
    </w:p>
    <w:p>
      <w:pPr>
        <w:spacing w:before="0" w:after="80"/>
      </w:pPr>
      <w:r>
        <w:rPr>
          <w:i/>
          <w:sz w:val="20"/>
        </w:rPr>
        <w:t>EN: Coupling Photochromism and Charge Transport in π-Extended Arylazo Oligothiophenes and Oligothienoacenes</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588">
        <w:r>
          <w:rPr>
            <w:color w:val="1155CC"/>
            <w:u w:val="single"/>
          </w:rPr>
          <w:t>10.1021/jacs.6c06319</w:t>
        </w:r>
      </w:hyperlink>
    </w:p>
    <w:p>
      <w:pPr>
        <w:spacing w:before="0" w:after="120"/>
      </w:pPr>
      <w:r>
        <w:rPr>
          <w:b/>
        </w:rPr>
        <w:t xml:space="preserve">Notes: </w:t>
      </w:r>
      <w:r>
        <w:t>abstract_source=pubmed</w:t>
      </w:r>
    </w:p>
    <w:p>
      <w:pPr>
        <w:spacing w:before="0" w:after="80" w:lineRule="auto" w:line="276"/>
      </w:pPr>
      <w:r>
        <w:rPr>
          <w:b/>
        </w:rPr>
        <w:t xml:space="preserve">摘要（ZH）: </w:t>
      </w:r>
      <w:r>
        <w:t>开发将有效的电荷传输与强大的光开关结合起来的光响应分子材料仍然具有挑战性，因为增强一种功能的结构特征通常会损害另一种功能。在这项研究中，系统地研究了芳基偶氮低聚噻吩和低聚噻吩并苯的两个同源系列，其中偶氮光开关直接缀合到π-延伸的噻吩支架上。紫外可见 (UV-vis) 光谱与理论计算相结合表明，在溶液中，π-延伸使可见光下的 E → Z 光异构化成为可能，同时通过激活旋转异构化途径降低了热 Z → E 反向转换的障碍。芳基氟化通过加强分子内 S(n)·π 相互作用来抵消这种效应，将 Z 异构体的半衰期从几分钟延长到几小时。在固态下，π-延伸促进分子间密集堆积，从而抑制光异构化。单晶分析表明，引入大体积的三苯甲基会降低堆积密度，恢复晶体薄膜中的 E ⇆ Z 光致变色性，并诱导晶体向非晶态转变，如 X 射线衍射 (XRD) 和显微分析所证明的那样。由此产生的光驱动分子和形态重组能够在两接触平面器件中实现可逆的、光诱导的电导率调制。空间电荷限制电流测量表明，电导率变化与异构体依赖性电子迁移率特性相关。总的来说，这些发现建立了 π 扩展</w:t>
      </w:r>
    </w:p>
    <w:p>
      <w:pPr>
        <w:spacing w:before="0" w:after="200" w:lineRule="auto" w:line="276"/>
      </w:pPr>
      <w:r>
        <w:rPr>
          <w:b/>
        </w:rPr>
        <w:t xml:space="preserve">Abstract (EN): </w:t>
      </w:r>
      <w:r>
        <w:t>Developing photoresponsive molecular materials that couple efficient charge transport with robust photoswitching remains challenging because structural features enhancing one function often compromise the other. In this study, two homologous series of arylazo oligothiophenes and oligothienoacenes-in which an azo photoswitch is directly conjugated to a π-extended thiophenic scaffold-were systematically investigated. Ultraviolet-visible (UV-vis) spectroscopy combined with theoretical calculations shows that, in solution, π-extension enables E → Z photoisomerization using visible light but concurrently lowers the barrier for thermal Z → E back-conversion by activating rotational isomerization pathways. Aryl fluorination counteracts this effect by strengthening intramolecular S(n)···π interactions, extending the Z-isomer half-life from minutes to hours. In the solid state, π-extension promotes dense intermolecular packing that inhibits photoisomerization. Introduction of a bulky trityl group reduces packing density, as revealed by single-crystal analysis, restoring E ⇆ Z photochromism in crystalline thin films and inducing a crystalline-to-amorphous transformation, as evidenced by X-ray diffraction (XRD) and microscopic analysis. The resulting light-driven molecular and morphological reorganization enables reversible, light-induced modulation of electrical conductivity in two-contact planar devices. Space-charge-limited-current measurements show that conductivity changes correlate with isomer-dependent electron mobility properties. Overall, these findings establish π-extended azo-thiophene scaffolds as a versatile platform to couple photochromism and morphological reorganization with charge transport phenomena.</w:t>
      </w:r>
    </w:p>
    <w:p>
      <w:pPr>
        <w:spacing w:before="120" w:after="120"/>
      </w:pPr>
      <w:r>
        <w:rPr>
          <w:sz w:val="18"/>
        </w:rPr>
        <w:t>——————————————————————————————————————————————————————————————————————</w:t>
      </w:r>
    </w:p>
    <w:p>
      <w:pPr>
        <w:spacing w:before="160" w:after="40" w:line="240" w:lineRule="auto"/>
      </w:pPr>
      <w:r>
        <w:rPr>
          <w:b/>
        </w:rPr>
        <w:t xml:space="preserve">[8] </w:t>
      </w:r>
      <w:hyperlink r:id="rId589">
        <w:r>
          <w:rPr>
            <w:color w:val="1155CC"/>
            <w:u w:val="single"/>
          </w:rPr>
          <w:t>仿生边缘智能：超低能量钙钛矿突触器件的途径</w:t>
        </w:r>
      </w:hyperlink>
    </w:p>
    <w:p>
      <w:pPr>
        <w:spacing w:before="0" w:after="80"/>
      </w:pPr>
      <w:r>
        <w:rPr>
          <w:i/>
          <w:sz w:val="20"/>
        </w:rPr>
        <w:t>EN: Bio-Inspired Edge Intelligence: Pathways to Ultra-Low Energy Perovskite Synaptic Devices</w:t>
      </w:r>
    </w:p>
    <w:p>
      <w:pPr>
        <w:spacing w:before="0" w:after="120"/>
      </w:pPr>
      <w:r>
        <w:rPr>
          <w:b/>
        </w:rPr>
        <w:t xml:space="preserve">Source: </w:t>
      </w:r>
      <w:r>
        <w:t>ACS Energy Letters: Latest Articles (ACS Publications)</w:t>
      </w:r>
      <w:r>
        <w:t xml:space="preserve">    </w:t>
      </w:r>
      <w:r>
        <w:rPr>
          <w:b/>
        </w:rPr>
        <w:t xml:space="preserve">Pub date: </w:t>
      </w:r>
      <w:r>
        <w:t>2026-07-17 00:00:00+00:00</w:t>
      </w:r>
      <w:r>
        <w:t xml:space="preserve">    </w:t>
      </w:r>
      <w:r>
        <w:rPr>
          <w:b/>
        </w:rPr>
        <w:t xml:space="preserve">DOI: </w:t>
      </w:r>
      <w:hyperlink r:id="rId590">
        <w:r>
          <w:rPr>
            <w:color w:val="1155CC"/>
            <w:u w:val="single"/>
          </w:rPr>
          <w:t>10.1021/acsenergylett.6c01514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591">
        <w:r>
          <w:rPr>
            <w:color w:val="1155CC"/>
            <w:u w:val="single"/>
          </w:rPr>
          <w:t>刺激响应合成凝聚层：结构设计、动力学和功能</w:t>
        </w:r>
      </w:hyperlink>
    </w:p>
    <w:p>
      <w:pPr>
        <w:spacing w:before="0" w:after="80"/>
      </w:pPr>
      <w:r>
        <w:rPr>
          <w:i/>
          <w:sz w:val="20"/>
        </w:rPr>
        <w:t>EN: Stimuli-Responsive Synthetic Coacervates: Structural Design, Dynamics, and Functions</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592">
        <w:r>
          <w:rPr>
            <w:color w:val="1155CC"/>
            <w:u w:val="single"/>
          </w:rPr>
          <w:t>10.1021/acsami.6c06781</w:t>
        </w:r>
      </w:hyperlink>
    </w:p>
    <w:p>
      <w:pPr>
        <w:spacing w:before="0" w:after="120"/>
      </w:pPr>
      <w:r>
        <w:rPr>
          <w:b/>
        </w:rPr>
        <w:t xml:space="preserve">Notes: </w:t>
      </w:r>
      <w:r>
        <w:t>abstract_source=pubmed</w:t>
      </w:r>
    </w:p>
    <w:p>
      <w:pPr>
        <w:spacing w:before="0" w:after="80" w:lineRule="auto" w:line="276"/>
      </w:pPr>
      <w:r>
        <w:rPr>
          <w:b/>
        </w:rPr>
        <w:t xml:space="preserve">摘要（ZH）: </w:t>
      </w:r>
      <w:r>
        <w:t>液-液相分离（LLPS）是一个有趣的过程，其中均匀溶液分层混合成富溶质相和贫溶质相，是活细胞中形成生物分子凝聚物的普遍机制。生物分子凝聚体，也称为无膜细胞器，在许多基本生理过程中发挥着关键作用，包括基因转录、信号转导和应激反应。有趣的 LLPS 现象激发了由生物聚合物、合成大分子或小分子组成的人工凝聚层的开发，推动了对智能功能材料的探索。对于这些合成凝聚层，调整其结构并通过外部刺激操纵相分离行为对于实现精确的功能控制至关重要。本综述总结了基于 LLPS 的刺激响应凝聚层的最新进展，重点关注结构设计、形成机制、刺激响应特性和功能应用。我们根据用于调节相分离的刺激源的多样性对凝聚层进行彻底分类，特别强调潜在的分子水平机制。我们重点介绍刺激响应凝聚层的应用，从药物输送、微反应器到生物传感。还提出了用于下一代智能材料的刺激响应 LLPS 系统的前景，旨在阐明其在缩小生物凝聚层的复杂性与艺术表现之间的差距方面的巨大潜力</w:t>
      </w:r>
    </w:p>
    <w:p>
      <w:pPr>
        <w:spacing w:before="0" w:after="200" w:lineRule="auto" w:line="276"/>
      </w:pPr>
      <w:r>
        <w:rPr>
          <w:b/>
        </w:rPr>
        <w:t xml:space="preserve">Abstract (EN): </w:t>
      </w:r>
      <w:r>
        <w:t>Liquid-liquid phase separation (LLPS), an interesting process in which a homogeneous solution demixes into solute-rich and solute-poor phases, serves as a ubiquitous mechanism for the formation of biomolecular condensates in living cells. Biomolecular condensates, also known as membraneless organelles, play critical roles in many fundamental physiological processes, including gene transcription, signal transduction, and stress responses. The intriguing LLPS phenomenon has inspired the development of artificial coacervates composed of biopolymers, synthetic macromolecules, or small molecules, driving exploration toward smart functional materials. For these synthetic coacervates, tailoring their structures and manipulating phase separation behaviors through external stimuli are essential to achieve precise functional control. This review summarizes recent advances in stimuli-responsive LLPS-based coacervates, focusing on structural design, formation mechanisms, stimuli-responsive characteristics, and functional applications. We thoroughly categorize the coacervates based on the diversity of stimulus sources used to regulate phase separation, with particular emphasis on the underlying molecular-level mechanisms. We highlight the applications of stimuli-responsive coacervates ranging from drug delivery and microreactors to biosensing. The prospects for stimuli-responsive LLPS systems for next-generation smart materials are also presented, aiming to elucidate their great potential in bridging the gap between the sophistication of biological coacervates and the performance of artificial smart materials.</w:t>
      </w:r>
    </w:p>
    <w:p>
      <w:pPr>
        <w:spacing w:before="120" w:after="120"/>
      </w:pPr>
      <w:r>
        <w:rPr>
          <w:sz w:val="18"/>
        </w:rPr>
        <w:t>——————————————————————————————————————————————————————————————————————</w:t>
      </w:r>
    </w:p>
    <w:p>
      <w:pPr>
        <w:spacing w:before="160" w:after="40" w:line="240" w:lineRule="auto"/>
      </w:pPr>
      <w:r>
        <w:rPr>
          <w:b/>
        </w:rPr>
        <w:t xml:space="preserve">[10] </w:t>
      </w:r>
      <w:hyperlink r:id="rId593">
        <w:r>
          <w:rPr>
            <w:color w:val="1155CC"/>
            <w:u w:val="single"/>
          </w:rPr>
          <w:t>用于高分辨率量子点发光二极管显示器的裂解辅助转印技术</w:t>
        </w:r>
      </w:hyperlink>
    </w:p>
    <w:p>
      <w:pPr>
        <w:spacing w:before="0" w:after="80"/>
      </w:pPr>
      <w:r>
        <w:rPr>
          <w:i/>
          <w:sz w:val="20"/>
        </w:rPr>
        <w:t>EN: A cracking-assisted transfer printing technology for high-resolution quantum dot light-emitting diode displays</w:t>
      </w:r>
    </w:p>
    <w:p>
      <w:pPr>
        <w:spacing w:before="0" w:after="120"/>
      </w:pPr>
      <w:r>
        <w:rPr>
          <w:b/>
        </w:rPr>
        <w:t xml:space="preserve">Source: </w:t>
      </w:r>
      <w:r>
        <w:t>Nature Electronics</w:t>
      </w:r>
      <w:r>
        <w:t xml:space="preserve">    </w:t>
      </w:r>
      <w:r>
        <w:rPr>
          <w:b/>
        </w:rPr>
        <w:t xml:space="preserve">Pub date: </w:t>
      </w:r>
      <w:r>
        <w:t>2026-07-17 00:00:00+00:00</w:t>
      </w:r>
      <w:r>
        <w:t xml:space="preserve">    </w:t>
      </w:r>
      <w:r>
        <w:rPr>
          <w:b/>
        </w:rPr>
        <w:t xml:space="preserve">DOI: </w:t>
      </w:r>
      <w:hyperlink r:id="rId594">
        <w:r>
          <w:rPr>
            <w:color w:val="1155CC"/>
            <w:u w:val="single"/>
          </w:rPr>
          <w:t>10.1038/s41928-026-01670-9</w:t>
        </w:r>
      </w:hyperlink>
    </w:p>
    <w:p>
      <w:pPr>
        <w:spacing w:before="0" w:after="120"/>
      </w:pPr>
      <w:r>
        <w:rPr>
          <w:b/>
        </w:rPr>
        <w:t xml:space="preserve">Notes: </w:t>
      </w:r>
      <w:r>
        <w:t>abstract_source=nature_html</w:t>
      </w:r>
    </w:p>
    <w:p>
      <w:pPr>
        <w:spacing w:before="0" w:after="80" w:lineRule="auto" w:line="276"/>
      </w:pPr>
      <w:r>
        <w:rPr>
          <w:b/>
        </w:rPr>
        <w:t xml:space="preserve">摘要（ZH）: </w:t>
      </w:r>
      <w:r>
        <w:t>无机胶体量子点发光二极管由于其颜色特性和电稳定性，可用于构建下一代电致发光显示器。然而，为了创建高分辨率和大面积的显示器，需要一种像素集成方法，该方法可以将量子点阵列沉积在有源矩阵背板上并保持均匀性和精度，而不会出现颜色交叉污染。在这里，我们报告了一种裂纹辅助转移印刷技术，可用于在大面积上形成高分辨率全彩像素阵列图案。该技术使用受控裂解过程来破坏量子点之间的颗粒间内聚键。这有利于后续高精度拾取并转移到薄膜晶体管背板。通过该技术，我们可以实现尺寸小至 600 nm 的像素，并在高达 4 英寸的区域内进行电致发光和均匀像素化。我们打造了分辨率为每英寸 341 像素的无镉全彩有源矩阵显示器，以及具有灵活外形的蓝色有源矩阵显示器。此外，通过精确的纳米界面控制和高量子点堆积密度，裂解辅助转移印刷可以提高电致发光性能，比其他量子点图案化技术具有更高的最大亮度和使用寿命。</w:t>
      </w:r>
    </w:p>
    <w:p>
      <w:pPr>
        <w:spacing w:before="0" w:after="200" w:lineRule="auto" w:line="276"/>
      </w:pPr>
      <w:r>
        <w:rPr>
          <w:b/>
        </w:rPr>
        <w:t xml:space="preserve">Abstract (EN): </w:t>
      </w:r>
      <w:r>
        <w:t>Inorganic colloidal quantum dot light-emitting diodes could be used to build next-generation electroluminescent displays due to their colour properties and electrical stability. However, to create high-resolution and large-area displays, a pixel integration method is required, which can deposit quantum dot arrays on an active-matrix backplane and maintain uniformity and precision, without colour cross-contamination. Here we report a cracking-assisted transfer printing technology that can be used to pattern high-resolution full-colour pixel arrays over large areas. The technology uses a controlled cracking process to fracture interparticle cohesive bonds between quantum dots. This facilitates subsequent pick-up and transfer to a thin-film transistor backplane with high precision. With the technology, we achieve pixels down to a size of 600 nm with electroluminescent emission and uniform pixelization over areas up to 4 inches. We create a cadmium-free full-colour active-matrix display with a resolution of 341 pixels per inch, as well as a blue active-matrix display with a flexible form factor. Furthermore, the cracking-assisted transfer printing can improve electroluminescence performance—with higher maximum luminance and operational lifetime than other quantum dot patterning techniques—through precise nano-interface control and high quantum dot packing density.</w:t>
      </w:r>
    </w:p>
    <w:p>
      <w:pPr>
        <w:spacing w:before="120" w:after="120"/>
      </w:pPr>
      <w:r>
        <w:rPr>
          <w:sz w:val="18"/>
        </w:rPr>
        <w:t>——————————————————————————————————————————————————————————————————————</w:t>
      </w:r>
    </w:p>
    <w:p>
      <w:pPr>
        <w:spacing w:before="160" w:after="40" w:line="240" w:lineRule="auto"/>
      </w:pPr>
      <w:r>
        <w:rPr>
          <w:b/>
        </w:rPr>
        <w:t xml:space="preserve">[11] </w:t>
      </w:r>
      <w:hyperlink r:id="rId595">
        <w:r>
          <w:rPr>
            <w:color w:val="1155CC"/>
            <w:u w:val="single"/>
          </w:rPr>
          <w:t>作者更正：中国自来水安全的空间评估</w:t>
        </w:r>
      </w:hyperlink>
    </w:p>
    <w:p>
      <w:pPr>
        <w:spacing w:before="0" w:after="80"/>
      </w:pPr>
      <w:r>
        <w:rPr>
          <w:i/>
          <w:sz w:val="20"/>
        </w:rPr>
        <w:t>EN: Author Correction: Spatial assessment of tap-water safety in China</w:t>
      </w:r>
    </w:p>
    <w:p>
      <w:pPr>
        <w:spacing w:before="0" w:after="120"/>
      </w:pPr>
      <w:r>
        <w:rPr>
          <w:b/>
        </w:rPr>
        <w:t xml:space="preserve">Source: </w:t>
      </w:r>
      <w:r>
        <w:t>Nature Sustainability</w:t>
      </w:r>
      <w:r>
        <w:t xml:space="preserve">    </w:t>
      </w:r>
      <w:r>
        <w:rPr>
          <w:b/>
        </w:rPr>
        <w:t xml:space="preserve">Pub date: </w:t>
      </w:r>
      <w:r>
        <w:t>2026-07-17 00:00:00+00:00</w:t>
      </w:r>
      <w:r>
        <w:t xml:space="preserve">    </w:t>
      </w:r>
      <w:r>
        <w:rPr>
          <w:b/>
        </w:rPr>
        <w:t xml:space="preserve">DOI: </w:t>
      </w:r>
      <w:hyperlink r:id="rId596">
        <w:r>
          <w:rPr>
            <w:color w:val="1155CC"/>
            <w:u w:val="single"/>
          </w:rPr>
          <w:t>10.1038/s41893-026-01911-x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597">
        <w:r>
          <w:rPr>
            <w:color w:val="1155CC"/>
            <w:u w:val="single"/>
          </w:rPr>
          <w:t>用于癌症筛查和早期检测的多功能肿瘤微环境响应纳米探针</w:t>
        </w:r>
      </w:hyperlink>
    </w:p>
    <w:p>
      <w:pPr>
        <w:spacing w:before="0" w:after="80"/>
      </w:pPr>
      <w:r>
        <w:rPr>
          <w:i/>
          <w:sz w:val="20"/>
        </w:rPr>
        <w:t>EN: A Versatile Tumor Microenvironment-Responsive Nanoprobe for Cancer Screening and Early Detection</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598">
        <w:r>
          <w:rPr>
            <w:color w:val="1155CC"/>
            <w:u w:val="single"/>
          </w:rPr>
          <w:t>10.1021/jacs.6c08163</w:t>
        </w:r>
      </w:hyperlink>
    </w:p>
    <w:p>
      <w:pPr>
        <w:spacing w:before="0" w:after="120"/>
      </w:pPr>
      <w:r>
        <w:rPr>
          <w:b/>
        </w:rPr>
        <w:t xml:space="preserve">Notes: </w:t>
      </w:r>
      <w:r>
        <w:t>abstract_source=pubmed</w:t>
      </w:r>
    </w:p>
    <w:p>
      <w:pPr>
        <w:spacing w:before="0" w:after="80" w:lineRule="auto" w:line="276"/>
      </w:pPr>
      <w:r>
        <w:rPr>
          <w:b/>
        </w:rPr>
        <w:t xml:space="preserve">摘要（ZH）: </w:t>
      </w:r>
      <w:r>
        <w:t>当肿瘤只有毫米大小时，在早期阶段可靠地检测出各种癌症是非常具有挑战性的。为了解决这个问题，我们开发了一种肿瘤微环境 (TME) 响应纳米探针 PR-KAd@CD-AuNC，能够通过体内第二近红外 (NIR-II) 荧光成像和体外比色尿液分析进行交叉验证的癌症检测。该纳米探针由三个集成组件组成：肾可清除信号输出段（环糊精功能化金纳米簇，CD-AuNC）、肿瘤靶向和尺寸控制组件（PR）以及基质金属蛋白酶2（MMP2）可裂解连接体（KAd）。 PR由用于延长循环的8臂聚乙二醇和用于αvβ3整合素靶向的c(RGDfK)肽组成，在静脉注射PR-KAd@CD-AuNC后定向选择性肿瘤积聚。 CD-AuNC 的固有发射波长高于 1100 nm，可实现高分辨率、实时 NIR-II 荧光成像，并具有减弱的光子散射，从而实现精确的肿瘤描绘。在 TME 内，特异性过表达的 MMP2 裂解 KAd 连接子，从~10 nm 亲本纳米探针释放~2 nm CD-AuNC 片段。这些碎片小于~5.5 nm肾滤过阈值，通过肾排泄。同时，CD-AuNC 的过氧化物酶样活性催化四甲基联苯胺氧化，产生可见的蓝色信号，提供了一种简单且低成本的尿液分析方法，适合广泛的癌症筛查应用。这种双模态策略有效地区分癌症与炎症和其他疾病，</w:t>
      </w:r>
    </w:p>
    <w:p>
      <w:pPr>
        <w:spacing w:before="0" w:after="200" w:lineRule="auto" w:line="276"/>
      </w:pPr>
      <w:r>
        <w:rPr>
          <w:b/>
        </w:rPr>
        <w:t xml:space="preserve">Abstract (EN): </w:t>
      </w:r>
      <w:r>
        <w:t>It has been highly challenging to reliably detect various cancers at an early stage when tumors are just millimeters in size. To address this, we developed a tumor microenvironment (TME)-responsive nanoprobe, PR-KAd@CD-AuNC, enabling cross-validated cancer detection through in vivo second near-infrared (NIR-II) fluorescence imaging and in vitro colorimetric urinalysis. The nanoprobe consists of three integrated components: a renal-clearable signal-output segment (cyclodextrin-functionalized gold nanocluster, CD-AuNC), a tumor-targeting and size-controlling component (PR), and a matrix metalloproteinase-2 (MMP2)-cleavable linker (KAd). PR, composed of 8-arm poly(ethylene glycol) for prolonged circulation and c(RGDfK) peptides for αvβ3 integrin targeting, directed selective tumor accumulation after intravenous injection of PR-KAd@CD-AuNC. The intrinsic emission of CD-AuNC above 1100 nm enabled high-resolution, real-time NIR-II fluorescence imaging with attenuated photon scattering, allowing precise tumor delineation. Within the TME, specifically overexpressed MMP2 cleaved the KAd linker, releasing ∼2 nm CD-AuNC fragments from the ∼10 nm parent nanoprobe. Being smaller than the ∼5.5 nm renal filtration threshold, these fragments were renally excreted. Concurrently, the peroxidase-like activity of CD-AuNC catalyzed tetramethylbenzidine oxidation to produce a visible blue signal, providing a simple and low-cost urinalysis method suitable for broad cancer screening applications. This dual-modality strategy effectively distinguished cancers from inflammation and other diseases, detecting small tumors for multiple cancer types with a sensitivity surpassing that of computed tomography (CT) imaging, which makes it a promising early detection approach. Furthermore, it was also employed to dynamically assess cancer therapeutic efficacy (i.e., immunotherapy, chemotherapy, and surgical resection), suggesting clinical value for guiding treatment decisions.</w:t>
      </w:r>
    </w:p>
    <w:p>
      <w:pPr>
        <w:spacing w:before="120" w:after="120"/>
      </w:pPr>
      <w:r>
        <w:rPr>
          <w:sz w:val="18"/>
        </w:rPr>
        <w:t>——————————————————————————————————————————————————————————————————————</w:t>
      </w:r>
    </w:p>
    <w:p>
      <w:pPr>
        <w:spacing w:before="160" w:after="40" w:line="240" w:lineRule="auto"/>
      </w:pPr>
      <w:r>
        <w:rPr>
          <w:b/>
        </w:rPr>
        <w:t xml:space="preserve">[13] </w:t>
      </w:r>
      <w:hyperlink r:id="rId599">
        <w:r>
          <w:rPr>
            <w:color w:val="1155CC"/>
            <w:u w:val="single"/>
          </w:rPr>
          <w:t>一个分子的两种机制：开发一种针对 Rpn13 和 CRBN 的“真正”双功能降解剂</w:t>
        </w:r>
      </w:hyperlink>
    </w:p>
    <w:p>
      <w:pPr>
        <w:spacing w:before="0" w:after="80"/>
      </w:pPr>
      <w:r>
        <w:rPr>
          <w:i/>
          <w:sz w:val="20"/>
        </w:rPr>
        <w:t>EN: Two Mechanisms One Molecule: Developing a ‘Truly’ Bifunctional Degrader Targeting Rpn13 and CRBN</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600">
        <w:r>
          <w:rPr>
            <w:color w:val="1155CC"/>
            <w:u w:val="single"/>
          </w:rPr>
          <w:t>10.1021/jacs.6c02914</w:t>
        </w:r>
      </w:hyperlink>
    </w:p>
    <w:p>
      <w:pPr>
        <w:spacing w:before="0" w:after="120"/>
      </w:pPr>
      <w:r>
        <w:rPr>
          <w:b/>
        </w:rPr>
        <w:t xml:space="preserve">Notes: </w:t>
      </w:r>
      <w:r>
        <w:t>abstract_source=pubmed</w:t>
      </w:r>
    </w:p>
    <w:p>
      <w:pPr>
        <w:spacing w:before="0" w:after="80" w:lineRule="auto" w:line="276"/>
      </w:pPr>
      <w:r>
        <w:rPr>
          <w:b/>
        </w:rPr>
        <w:t xml:space="preserve">摘要（ZH）: </w:t>
      </w:r>
      <w:r>
        <w:t>靶向蛋白质降解（TPD）已成为消除疾病相关蛋白质的强大策略，但目前的方法仍然很大程度上局限于劫持泛素连接酶。我们之前介绍过 ByeTAC，这是一种双功能分子，可直接将蛋白质招募到蛋白酶体以进行不依赖于 E 连接酶的降解。在此，我们报告了“Truly”降解剂，这是一类新型双机制分子，它将蛋白酶体受体 Rpn13 的配体与 cereblon (CRBN) 的配体结合在一起，同时参与不依赖于泛素的降解途径和依赖于泛素的降解途径。结构引导设计确定了支持有效底物加工的最佳接头长度，其中 PEG4 衍生物 (Truly-4) 可在多种癌细胞类型中诱导 Rpn13 和 CRBN 的强烈消耗。值得注意的是，Truly-4 是第一个被证明可以降解全长 Rpn13 的非共价小分子，Rpn13 是之前使用共价或结构域限制策略接近的靶标。机理研究证实，Rpn13 的降解通过 CRBN 依赖性 E3 连接酶活性进行，而 CRBN 降解通过 E 连接酶独立过程发生，与 ByeTAC 机制一致。重要的是，Truly-4 在血液和实体癌细胞系中诱导选择性细胞毒性，但在健康细胞中则不然，尽管 Rpn13 消耗相当，这表明双重降解可以将靶标参与与毒性分开。这些发现为工程双功能降解剂建立了一个通用框架，对蛋白酶体进行编程以执行并行降解机制</w:t>
      </w:r>
    </w:p>
    <w:p>
      <w:pPr>
        <w:spacing w:before="0" w:after="200" w:lineRule="auto" w:line="276"/>
      </w:pPr>
      <w:r>
        <w:rPr>
          <w:b/>
        </w:rPr>
        <w:t xml:space="preserve">Abstract (EN): </w:t>
      </w:r>
      <w:r>
        <w:t>Targeted protein degradation (TPD) has emerged as a powerful strategy to eliminate disease-relevant proteins, yet current approaches remain largely constrained to hijacking ubiquitin ligases. We previously introduced ByeTACs, bifunctional molecules that directly recruit proteins to the proteasome for E-ligase independent degradation. Here, we report "Truly" degraders, a new class of dual-mechanism molecules that combine a ligand for the proteasomal receptor Rpn13 with a ligand for cereblon (CRBN) to simultaneously engage both ubiquitin-independent and ubiquitin-dependent degradation pathways. Structure-guided design identified an optimal linker length that supports efficient substrate processing, with the PEG4 derivative (Truly-4) inducing robust depletion of both Rpn13 and CRBN in several cancer cell types. Remarkably, Truly-4 is the first noncovalent small molecule shown to degrade full-length Rpn13, a target previously approached using covalent or domain-restricted strategies. Mechanistic studies confirmed that degradation of Rpn13 proceeds via CRBN-dependent E3 ligase activity, whereas CRBN degradation occurs through an E-ligase independent process, consistent with a ByeTAC mechanism. Importantly, Truly-4 induces selective cytotoxicity in hematologic and solid cancer cell lines but not in healthy cells, despite comparable Rpn13 depletion, indicating that dual degradation can uncouple target engagement from toxicity. These findings establish a generalizable framework for engineering bifunctional degraders that program the proteasome to execute parallel degradation mechanisms and highlight proteasome receptors as druggable nodes for selective destruction of disease-relevant proteins.</w:t>
      </w:r>
    </w:p>
    <w:p>
      <w:pPr>
        <w:spacing w:before="120" w:after="120"/>
      </w:pPr>
      <w:r>
        <w:rPr>
          <w:sz w:val="18"/>
        </w:rPr>
        <w:t>——————————————————————————————————————————————————————————————————————</w:t>
      </w:r>
    </w:p>
    <w:p>
      <w:pPr>
        <w:spacing w:before="160" w:after="40" w:line="240" w:lineRule="auto"/>
      </w:pPr>
      <w:r>
        <w:rPr>
          <w:b/>
        </w:rPr>
        <w:t xml:space="preserve">[14] </w:t>
      </w:r>
      <w:hyperlink r:id="rId601">
        <w:r>
          <w:rPr>
            <w:color w:val="1155CC"/>
            <w:u w:val="single"/>
          </w:rPr>
          <w:t>初级配位球对非血红素 Fe 酶催化 C(sp 3 )–H 官能化中阴离子反弹选择性的影响：EgtB 和 ACCO 的比较实验和计算研究</w:t>
        </w:r>
      </w:hyperlink>
    </w:p>
    <w:p>
      <w:pPr>
        <w:spacing w:before="0" w:after="80"/>
      </w:pPr>
      <w:r>
        <w:rPr>
          <w:i/>
          <w:sz w:val="20"/>
        </w:rPr>
        <w:t>EN: Influence of Primary Coordination Sphere on Anion Rebound Selectivity in Nonheme Fe Enzyme-Catalyzed C(sp 3 )–H Functionalization: A Comparative Experimental and Computational Study of EgtB and ACCO</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602">
        <w:r>
          <w:rPr>
            <w:color w:val="1155CC"/>
            <w:u w:val="single"/>
          </w:rPr>
          <w:t>10.1021/jacs.6c06323</w:t>
        </w:r>
      </w:hyperlink>
    </w:p>
    <w:p>
      <w:pPr>
        <w:spacing w:before="0" w:after="120"/>
      </w:pPr>
      <w:r>
        <w:rPr>
          <w:b/>
        </w:rPr>
        <w:t xml:space="preserve">Notes: </w:t>
      </w:r>
      <w:r>
        <w:t>abstract_source=pubmed</w:t>
      </w:r>
    </w:p>
    <w:p>
      <w:pPr>
        <w:spacing w:before="0" w:after="80" w:lineRule="auto" w:line="276"/>
      </w:pPr>
      <w:r>
        <w:rPr>
          <w:b/>
        </w:rPr>
        <w:t xml:space="preserve">摘要（ZH）: </w:t>
      </w:r>
      <w:r>
        <w:t>开发 C-F 键形成的酶机制仍然是一个长期存在的挑战。在这里，我们重新利用生物合成非血红素 Fe 酶 EgtB（其具有三组氨酸面部三联体）来催化 C(sp3)-H 氟化反应。 EgtB 的定向进化提供了两种具有相反对映体的全新氟原子转移酶 EgtBCHF1 和 EgtBCHF2，总活性提高了 28 倍。与我们之前进化的非血红素铁氟原子转移生物催化剂 ACCOCHF（包含二组氨酸一羧酸盐面部三联体）相比，进化的 EgtBCHF 变体表现出意想不到的羟基化活性。 18O标记实验表明羟基源自水而不是残留的O2。计算研究表明，与二组氨酸一羧酸盐系统相比，三组氨酸支撑的 Fe(III) 中心表现出增强的路易斯酸性，允许 Fe(III) 结合水去质子化形成催化自由基羟基化的 Fe(III)-OH 物质。 EgtB 和 ACCO 中的初级配位层诱变进一步支持了 Fe 配位化学在控制自由基反弹反应性和选择性中的关键作用。计算研究表明，Fe 配位化学强烈影响氟原子的夺取和自由基反弹，内在的 C-X（X = F、OH 和 N3）键形成自由基反弹偏好，顺序为 N3 &gt; OH &gt; F。此外，多元线性回归分析表明，氟原子的夺取主要受内在的 Fe 控制。</w:t>
      </w:r>
    </w:p>
    <w:p>
      <w:pPr>
        <w:spacing w:before="0" w:after="200" w:lineRule="auto" w:line="276"/>
      </w:pPr>
      <w:r>
        <w:rPr>
          <w:b/>
        </w:rPr>
        <w:t xml:space="preserve">Abstract (EN): </w:t>
      </w:r>
      <w:r>
        <w:t>Developing enzymatic mechanisms for C-F bond formation remains a long-standing challenge. Here, we repurposed the biosynthetic nonheme Fe enzyme EgtB, which features a three-histidine facial triad, to catalyze C(sp3)-H fluorination reactions. Directed evolution of EgtB afforded two new-to-nature fluorine atom transferases with opposite enantiopreference, EgtBCHF1 and EgtBCHF2, with up to 28-fold improved total activity. In contrast to our previously evolved nonheme Fe fluorine atom transfer biocatalyst ACCOCHF, which contains a two-histidine-one-carboxylate facial triad, the evolved EgtBCHF variants displayed unexpected hydroxylation activity. 18O-labeling experiments showed that the hydroxy group originated from water rather than residual O2. Computational studies suggested that the three-histidine-supported Fe(III) center exhibits enhanced Lewis acidity compared to the two-histidine-one-carboxylate system, allowing deprotonation of Fe(III)-bound water to form a Fe(III)-OH species that catalyzes radical hydroxylation. Primary coordination-sphere mutagenesis in EgtB and ACCO further supported the critical role of Fe coordination chemistry in controlling radical rebound reactivity and selectivity. Computational studies revealed that Fe coordination chemistry strongly influences both fluorine atom abstraction and radical rebound, with the intrinsic C-X (X = F, OH, and N3) bond forming radical rebound preference following the order N3 &gt; OH &gt; F. Furthermore, multivariate linear regression analysis revealed that fluorine atom abstraction is primarily governed by the intrinsic Fe-F bond strength, whereas fluorine rebound is predominantly controlled by the electronic structure of the Fe(III) intermediate. Together, these findings provide mechanistic insights into nonheme Fe enzymology and reprogramming toward selective radical rebound reactions, including challenging C-H fluorination.</w:t>
      </w:r>
    </w:p>
    <w:p>
      <w:pPr>
        <w:spacing w:before="120" w:after="120"/>
      </w:pPr>
      <w:r>
        <w:rPr>
          <w:sz w:val="18"/>
        </w:rPr>
        <w:t>——————————————————————————————————————————————————————————————————————</w:t>
      </w:r>
    </w:p>
    <w:p>
      <w:pPr>
        <w:spacing w:before="160" w:after="40" w:line="240" w:lineRule="auto"/>
      </w:pPr>
      <w:r>
        <w:rPr>
          <w:b/>
        </w:rPr>
        <w:t xml:space="preserve">[15] </w:t>
      </w:r>
      <w:hyperlink r:id="rId603">
        <w:r>
          <w:rPr>
            <w:color w:val="1155CC"/>
            <w:u w:val="single"/>
          </w:rPr>
          <w:t>二吡咯稠合萘二酰亚胺作为高性能有机半导体的构建模块</w:t>
        </w:r>
      </w:hyperlink>
    </w:p>
    <w:p>
      <w:pPr>
        <w:spacing w:before="0" w:after="80"/>
      </w:pPr>
      <w:r>
        <w:rPr>
          <w:i/>
          <w:sz w:val="20"/>
        </w:rPr>
        <w:t>EN: Dipyrrole-Fused Naphthalene Diimide as a Building Block for High-Performance Organic Semiconductors</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604">
        <w:r>
          <w:rPr>
            <w:color w:val="1155CC"/>
            <w:u w:val="single"/>
          </w:rPr>
          <w:t>10.1021/jacs.6c07621</w:t>
        </w:r>
      </w:hyperlink>
    </w:p>
    <w:p>
      <w:pPr>
        <w:spacing w:before="0" w:after="120"/>
      </w:pPr>
      <w:r>
        <w:rPr>
          <w:b/>
        </w:rPr>
        <w:t xml:space="preserve">Notes: </w:t>
      </w:r>
      <w:r>
        <w:t>abstract_source=pubmed</w:t>
      </w:r>
    </w:p>
    <w:p>
      <w:pPr>
        <w:spacing w:before="0" w:after="80" w:lineRule="auto" w:line="276"/>
      </w:pPr>
      <w:r>
        <w:rPr>
          <w:b/>
        </w:rPr>
        <w:t xml:space="preserve">摘要（ZH）: </w:t>
      </w:r>
      <w:r>
        <w:t>萘二酰亚胺（NDI）的核心成环代表了调节其电子结构和固态组织的强大策略。在这里，我们报告了第一个吡咯稠合 NDI (NDPI) 框架并阐明了其结构和电子特性。单晶X射线衍射揭示了高度平坦的π核，具有短的π-π堆积距离（3.33 Å）和强的分子间N-H·O氢键（2.07 Å），突出了吡咯环化引入的独特超分子特征。在此基础上，合成了一系列供体-受体聚合物，并在 OFET 器件中进行了系统评估。该聚合物表现出1.32-1.39 eV的光学带隙。器件迁移率范围为 0.10 至 0.59 cm2 V-1 s-1，电荷传输行为可根据施主强度从平衡双极性调节到单极性 n 型。 AFM 和 GIWAXS 分析的相关性表明，电荷迁移率不仅取决于结晶度，还取决于 π-π 堆叠和域连接之间的相互作用。这项工作将 NDPI 确立为高性能有机半导体的通用构建模块。</w:t>
      </w:r>
    </w:p>
    <w:p>
      <w:pPr>
        <w:spacing w:before="0" w:after="200" w:lineRule="auto" w:line="276"/>
      </w:pPr>
      <w:r>
        <w:rPr>
          <w:b/>
        </w:rPr>
        <w:t xml:space="preserve">Abstract (EN): </w:t>
      </w:r>
      <w:r>
        <w:t>Core annulation of naphthalene diimide (NDI) represents a powerful strategy to modulate its electronic structure and solid-state organization. Here, we report the first pyrrole-fused NDI (NDPI) framework and elucidate its structural and electronic characteristics. Single-crystal X-ray diffraction reveals a highly planar π-core with short π-π stacking distance (3.33 Å) and strong intermolecular N-H···O hydrogen bonding (2.07 Å), highlighting the unique supramolecular features introduced by pyrrole annulation. Building on this motif, a series of donor-acceptor polymers was synthesized and systematically evaluated in OFET devices. The polymers exhibit optical bandgaps of 1.32-1.39 eV. Device mobilities range from 0.10 to 0.59 cm2 V-1 s-1, with charge transport behavior tunable from balanced ambipolar to unipolar n-type depending on donor strength. Correlation of AFM and GIWAXS analyses suggests that charge mobility is governed not solely by crystallinity, but by the interplay between π-π stacking and domain connectivity. This work establishes NDPI as a versatile building block for high-performance organic semiconductors.</w:t>
      </w:r>
    </w:p>
    <w:p>
      <w:pPr>
        <w:spacing w:before="120" w:after="120"/>
      </w:pPr>
      <w:r>
        <w:rPr>
          <w:sz w:val="18"/>
        </w:rPr>
        <w:t>——————————————————————————————————————————————————————————————————————</w:t>
      </w:r>
    </w:p>
    <w:p>
      <w:pPr>
        <w:spacing w:before="160" w:after="40" w:line="240" w:lineRule="auto"/>
      </w:pPr>
      <w:r>
        <w:rPr>
          <w:b/>
        </w:rPr>
        <w:t xml:space="preserve">[16] </w:t>
      </w:r>
      <w:hyperlink r:id="rId605">
        <w:r>
          <w:rPr>
            <w:color w:val="1155CC"/>
            <w:u w:val="single"/>
          </w:rPr>
          <w:t>表面限制效应使肿瘤中的生物正交药物释放成为可能</w:t>
        </w:r>
      </w:hyperlink>
    </w:p>
    <w:p>
      <w:pPr>
        <w:spacing w:before="0" w:after="80"/>
      </w:pPr>
      <w:r>
        <w:rPr>
          <w:i/>
          <w:sz w:val="20"/>
        </w:rPr>
        <w:t>EN: Surface-Confinement Effect Enables Bioorthogonal Drug Release in Tumors</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606">
        <w:r>
          <w:rPr>
            <w:color w:val="1155CC"/>
            <w:u w:val="single"/>
          </w:rPr>
          <w:t>10.1021/jacs.6c10046</w:t>
        </w:r>
      </w:hyperlink>
    </w:p>
    <w:p>
      <w:pPr>
        <w:spacing w:before="0" w:after="120"/>
      </w:pPr>
      <w:r>
        <w:rPr>
          <w:b/>
        </w:rPr>
        <w:t xml:space="preserve">Notes: </w:t>
      </w:r>
      <w:r>
        <w:t>abstract_source=pubmed</w:t>
      </w:r>
    </w:p>
    <w:p>
      <w:pPr>
        <w:spacing w:before="0" w:after="80" w:lineRule="auto" w:line="276"/>
      </w:pPr>
      <w:r>
        <w:rPr>
          <w:b/>
        </w:rPr>
        <w:t xml:space="preserve">摘要（ZH）: </w:t>
      </w:r>
      <w:r>
        <w:t>受控药物释放策略从实验室到临床转化的一个关键挑战是，随着生物复杂性的增加，反应效率急剧下降。一个能够维持类生物正交药物释放（且受生理环境干扰最小化）的平台将解决未满足的临床需求。这与放射治疗介导的药物释放特别相关，其中前药的氧化活化常常受到体内反应中间体的快速猝灭的影响。在这里，我们设计了一种基于铪的纳米级金属有机层平台，利用独特的“表面限制效应”来克服这一挑战。通过将前药共价束缚到 Hf-nMOLs 表面，我们构建了二维纳米反应器，将活化过程空间定位在富含活性物质的界面内。这种设计有效地将激活步骤与生物清除剂隔离开来，确保在不断增加的生物复杂性中有效负载释放效率。当装载拓扑异构酶 I 抑制剂 Exatecan 时，Hf-nMOLs 系统实现了 568 nM·Gy-1 的瘤内药物释放 G 值，在低剂量 X 射线照射下产生有效的放射增敏和显着的肿瘤生长抑制。这项工作提出了一种稳健的放化疗组合的多功能策略，实现了放疗激活的多种有效载荷的同时释放。我们的研究结果还表明，工程纳米级表面限制可能提供一种通用的材料策略</w:t>
      </w:r>
    </w:p>
    <w:p>
      <w:pPr>
        <w:spacing w:before="0" w:after="200" w:lineRule="auto" w:line="276"/>
      </w:pPr>
      <w:r>
        <w:rPr>
          <w:b/>
        </w:rPr>
        <w:t xml:space="preserve">Abstract (EN): </w:t>
      </w:r>
      <w:r>
        <w:t>A critical challenge in the bench-to-bedside translation of controlled drug release strategies is the sharp decline in reaction efficiency as biological complexity increases. A platform capable of maintaining bioorthogonal-like drug release─remaining minimally perturbed by physiological environments─would address an unmet clinical need. This is particularly relevant for radiotherapy-mediated drug release, where the oxidative activation of prodrugs is often compromised by the rapid quenching of reactive intermediates in vivo. Herein, we engineer a hafnium-based nanoscale metal-organic layer platform that leverages a unique "surface-confinement effect" to overcome this challenge. By covalently tethering prodrugs to the Hf-nMOLs surface, we constructed two-dimensional nanoreactors that spatially localize the activation process within an interface enriched with reactive species. This design effectively insulates the activation step from biological scavengers, ensuring efficient payload release efficiency across increasing biological complexity. When loaded with the topoisomerase I inhibitor Exatecan, the Hf-nMOLs system achieved an intratumoral drug-release G-value of 568 nM·Gy-1, resulting in potent radiosensitization and significant tumor-growth suppression under low-dose X-ray irradiation. This work presents a versatile strategy for robust radio-chemotherapeutic combinations, achieving the simultaneous release of diverse payloads activated by radiotherapy. Our findings also suggest that engineering nanoscale surface confinement may provide a generalizable materials strategy to help confer bioorthogonality to otherwise labile activation reactions.</w:t>
      </w:r>
    </w:p>
    <w:p>
      <w:pPr>
        <w:spacing w:before="120" w:after="120"/>
      </w:pPr>
      <w:r>
        <w:rPr>
          <w:sz w:val="18"/>
        </w:rPr>
        <w:t>——————————————————————————————————————————————————————————————————————</w:t>
      </w:r>
    </w:p>
    <w:p>
      <w:pPr>
        <w:spacing w:before="160" w:after="40" w:line="240" w:lineRule="auto"/>
      </w:pPr>
      <w:r>
        <w:rPr>
          <w:b/>
        </w:rPr>
        <w:t xml:space="preserve">[17] </w:t>
      </w:r>
      <w:hyperlink r:id="rId607">
        <w:r>
          <w:rPr>
            <w:color w:val="1155CC"/>
            <w:u w:val="single"/>
          </w:rPr>
          <w:t>受控前体分化使得钯催化的环丁烯醇发散羰基化成为可能</w:t>
        </w:r>
      </w:hyperlink>
    </w:p>
    <w:p>
      <w:pPr>
        <w:spacing w:before="0" w:after="80"/>
      </w:pPr>
      <w:r>
        <w:rPr>
          <w:i/>
          <w:sz w:val="20"/>
        </w:rPr>
        <w:t>EN: Controlled Precursor Differentiation Enables Palladium-Catalyzed Divergent Carbonylation of Cyclobutenols</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608">
        <w:r>
          <w:rPr>
            <w:color w:val="1155CC"/>
            <w:u w:val="single"/>
          </w:rPr>
          <w:t>10.1021/jacs.6c11571</w:t>
        </w:r>
      </w:hyperlink>
    </w:p>
    <w:p>
      <w:pPr>
        <w:spacing w:before="0" w:after="120"/>
      </w:pPr>
      <w:r>
        <w:rPr>
          <w:b/>
        </w:rPr>
        <w:t xml:space="preserve">Notes: </w:t>
      </w:r>
      <w:r>
        <w:t>abstract_source=pubmed</w:t>
      </w:r>
    </w:p>
    <w:p>
      <w:pPr>
        <w:spacing w:before="0" w:after="80" w:lineRule="auto" w:line="276"/>
      </w:pPr>
      <w:r>
        <w:rPr>
          <w:b/>
        </w:rPr>
        <w:t xml:space="preserve">摘要（ZH）: </w:t>
      </w:r>
      <w:r>
        <w:t>控制反应选择性是合成化学中的一个核心挑战，特别是当多种竞争反应模式共存于单一底物中时。现有策略通常依赖于底物激活过程中的选择性控制或依赖于常见中间体的下游分歧。然而，当不同的前体态可以独立地演化成不同的反应流形时，这些范式的效果就不那么有效了。在这里，我们引入前体分化作为实现不同羰基化的独特策略。通过底物演化的条件控制调节，常见的环丁烯醇底物可以在催化接合之前选择性地转化为两种不同的反应前体，从而能够进入两种不同的羰基化途径。在钯催化下，该策略能够从同一环丁烯醇平台高度选择性地合成保留羟基的环丁烷甲酰胺或环丁烯酰胺。该方法具有广泛的底物范围（99 个示例）、始终如一的高选择性 (&gt;20:1) 以及与药物和生物相关分子的兼容性。此外，所得环丁烯酰胺产品可作为多功能平台中间体，用于选择性合成结构不同的3-氮杂双环[3.2.0]庚烷和3-氮杂双环[3.1.1]庚烷骨架。机理研究支持羰基化之前的条件控制前体分化过程，为通过选择性控制o实现不同的羰基化提供了概念基础。</w:t>
      </w:r>
    </w:p>
    <w:p>
      <w:pPr>
        <w:spacing w:before="0" w:after="200" w:lineRule="auto" w:line="276"/>
      </w:pPr>
      <w:r>
        <w:rPr>
          <w:b/>
        </w:rPr>
        <w:t xml:space="preserve">Abstract (EN): </w:t>
      </w:r>
      <w:r>
        <w:t>Controlling reaction selectivity is a central challenge in synthetic chemistry, particularly when multiple competing reactivity modes coexist within a single substrate. Existing strategies generally rely either on selectivity control during substrate activation or on downstream divergence from a common intermediate. However, these paradigms are less effective when distinct precursor states can independently evolve into distinct reaction manifolds. Herein, we introduce precursor differentiation as a distinct strategy for achieving divergent carbonylation. Through condition-controlled modulation of substrate evolution, a common cyclobutenol substrate can be selectively diverted into two distinct reactive precursors prior to catalytic engagement, thereby enabling access to two different carbonylation pathways. Under palladium catalysis, this strategy enables the highly selective synthesis of either hydroxyl-retained cyclobutanecarboxamides or cyclobutenamides from the same cyclobutenol platform. The method exhibits broad substrate scope (99 examples), consistently high selectivity (&gt;20:1), and compatibility with pharmaceuticals and biologically relevant molecules. Furthermore, the resulting cyclobutenamide products serve as versatile platform intermediates for the selective synthesis of structurally distinct 3-azabicyclo[3.2.0]heptane and 3-azabicyclo[3.1.1]heptane frameworks. Mechanistic studies support a condition-controlled precursor differentiation process prior to carbonylation, providing a conceptual basis for achieving divergent carbonylation through selective control of precursor evolution.</w:t>
      </w:r>
    </w:p>
    <w:p>
      <w:pPr>
        <w:spacing w:before="120" w:after="120"/>
      </w:pPr>
      <w:r>
        <w:rPr>
          <w:sz w:val="18"/>
        </w:rPr>
        <w:t>——————————————————————————————————————————————————————————————————————</w:t>
      </w:r>
    </w:p>
    <w:p>
      <w:pPr>
        <w:spacing w:before="160" w:after="40" w:line="240" w:lineRule="auto"/>
      </w:pPr>
      <w:r>
        <w:rPr>
          <w:b/>
        </w:rPr>
        <w:t xml:space="preserve">[18] </w:t>
      </w:r>
      <w:hyperlink r:id="rId609">
        <w:r>
          <w:rPr>
            <w:color w:val="1155CC"/>
            <w:u w:val="single"/>
          </w:rPr>
          <w:t>胚胎和出生后巨噬细胞对于牙齿的正常发育和体内平衡是必需的</w:t>
        </w:r>
      </w:hyperlink>
    </w:p>
    <w:p>
      <w:pPr>
        <w:spacing w:before="0" w:after="80"/>
      </w:pPr>
      <w:r>
        <w:rPr>
          <w:i/>
          <w:sz w:val="20"/>
        </w:rPr>
        <w:t>EN: Embryonic and postnatal macrophages are necessary for proper tooth development and homeostasis</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除了先天免疫功能之外，巨噬细胞在牙齿中的作用仍有待探索。这项研究表明，巨噬细胞在早期发育过程中填充牙组织，并在出生后萌芽前阶段数量增加。在不断生长的牙齿中，它们在一生中与上皮和间充质干细胞生态位相关。为了研究它们在发育中的作用，我们使用神经嵴特异性 Wnt1Cre/Csf1fl/fl 和一般 Csf1R 敲除小鼠模型从基因上破坏巨噬细胞迁移。这会导致牙本质和牙釉质沉积异常、萌出缺陷、早期牙齿畸形和成骨受损。值得注意的是，该表型通过骨髓移植得到部分挽救。此外，野生型成年小鼠中巨噬细胞的短期药理学耗竭导致持续生长的牙齿根尖部的牙本质和牙釉质发生显着崩解，在停止氯膦酸盐后会恢复。治疗后，巨噬细胞迅速重新填充牙组织，并通过单细胞 RNA-seq 分析观察到 M2 修复状态表型的存在。总的来说，我们的研究结果揭示了巨噬细胞在牙齿发育和间充质和上皮牙室模式中的重要作用。巨噬细胞在牙齿中以前未被认识的作用让人想起它们在复杂组织再生中的功能，需要未来的研究来剖析精确的细胞和分子机制。</w:t>
      </w:r>
    </w:p>
    <w:p>
      <w:pPr>
        <w:spacing w:before="0" w:after="200" w:lineRule="auto" w:line="276"/>
      </w:pPr>
      <w:r>
        <w:rPr>
          <w:b/>
        </w:rPr>
        <w:t xml:space="preserve">Abstract (EN): </w:t>
      </w:r>
      <w:r>
        <w:t>The role of macrophages in teeth, beyond their function in innate immunity, remains unexplored. This study demonstrates that macrophages populate dental tissues during early development and increase in number during pre-eruptive stages postnatally. In continuously growing teeth, they are associated with epithelial and mesenchymal stem cell niches throughout lifetime. To investigate their role in development, we genetically disrupt macrophage migration using neural-crest specific Wnt1Cre/Csf1fl/fl and general Csf1R knockout mouse models. This results in abnormal dentin and enamel deposition, eruption defects, early tooth mispatterning, and impaired osteogenesis. Notably, the phenotype is partially rescued via bone marrow transplantation. In addition, the short-term pharmacological depletion of macrophages in wildtype adult mice causes striking disintegration of both dentin and enamel in the apical part of continuously-growing teeth, which is restored after withdrawal of clodronate. Following treatment, macrophages rapidly repopulate dental tissue and the presence of M2 reparative state phenotype is observed by single-cell RNA-seq analysis. Overall, our findings reveal essential role of macrophages in the dental development and patterning of both mesenchymal and epithelial tooth compartments. This previously unrecognized role of macrophages in teeth is reminiscent of their function in complex tissue regeneration and requires future studies to dissect precise cellular and molecular mechanisms.</w:t>
      </w:r>
    </w:p>
    <w:p>
      <w:pPr>
        <w:spacing w:before="120" w:after="120"/>
      </w:pPr>
      <w:r>
        <w:rPr>
          <w:sz w:val="18"/>
        </w:rPr>
        <w:t>——————————————————————————————————————————————————————————————————————</w:t>
      </w:r>
    </w:p>
    <w:p>
      <w:pPr>
        <w:spacing w:before="160" w:after="40" w:line="240" w:lineRule="auto"/>
      </w:pPr>
      <w:r>
        <w:rPr>
          <w:b/>
        </w:rPr>
        <w:t xml:space="preserve">[19] </w:t>
      </w:r>
      <w:hyperlink r:id="rId610">
        <w:r>
          <w:rPr>
            <w:color w:val="1155CC"/>
            <w:u w:val="single"/>
          </w:rPr>
          <w:t>磺基转移酶信号传导维持成纤维细胞身份并拮抗治疗性心脏重编程</w:t>
        </w:r>
      </w:hyperlink>
    </w:p>
    <w:p>
      <w:pPr>
        <w:spacing w:before="0" w:after="80"/>
      </w:pPr>
      <w:r>
        <w:rPr>
          <w:i/>
          <w:sz w:val="20"/>
        </w:rPr>
        <w:t>EN: Sulfotransferase signaling sustains fibroblast identity and antagonizes therapeutic cardiac reprogramming</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分化的细胞通过抑制细胞命运的主动机制来维持其身份，但破坏这些屏障可以增强器官修复的直接重编程。在细胞命运稳定性的调节因子中，糖基化相关基因已成为心脏重编程的障碍。在这里，我们证明碳水化合物磺基转移酶是命运稳定的核心调节因子，CHST7 通过 CD44 发挥作用来控制核 JUNB 水平、染色质结合和下游转录活性。整合的 RNA-seq 和 ATAC-seq 分析表明，CHST7 在 JUNB 和 CTCF 富集位点保持开放染色质，同时限制 MEF2C 富集区域的可及性，共同增强成纤维细胞身份并抑制心脏命运获得。我们进一步确定 PIP4K2C 作为下游效应器，其抑制可提高心脏重编程效率并改善体内心肌修复。这些发现定义了细胞命运转换的磺基转移酶依赖性屏障，对心脏再生具有治疗意义。</w:t>
      </w:r>
    </w:p>
    <w:p>
      <w:pPr>
        <w:spacing w:before="0" w:after="200" w:lineRule="auto" w:line="276"/>
      </w:pPr>
      <w:r>
        <w:rPr>
          <w:b/>
        </w:rPr>
        <w:t xml:space="preserve">Abstract (EN): </w:t>
      </w:r>
      <w:r>
        <w:t>Differentiated cells maintain their identity through active mechanisms that suppress alternative cell fates, but disrupting these barriers can enhance direct reprogramming for organ repair. Among the regulators of cell fate stability, glycosylation-associated genes have emerged as barriers to cardiac reprogramming. Here we show that carbohydrate sulfotransferases are central fate-stabilizing regulators, with CHST7 acting through CD44 to control nuclear JUNB levels, chromatin binding, and downstream transcriptional activity. Integrated RNA-seq and ATAC-seq analyses reveal that CHST7 maintains open chromatin at JUNB- and CTCF-enriched loci while restricting accessibility at MEF2C-enriched regions, collectively reinforcing fibroblast identity and suppressing cardiac fate acquisition. We further identify PIP4K2C as a downstream effector whose inhibition enhances cardiac reprogramming efficiency and improves myocardial repair in vivo. These findings define a sulfotransferase-dependent barrier to cell fate conversion with therapeutic implications for heart regeneration.</w:t>
      </w:r>
    </w:p>
    <w:p>
      <w:pPr>
        <w:spacing w:before="120" w:after="120"/>
      </w:pPr>
      <w:r>
        <w:rPr>
          <w:sz w:val="18"/>
        </w:rPr>
        <w:t>——————————————————————————————————————————————————————————————————————</w:t>
      </w:r>
    </w:p>
    <w:p>
      <w:pPr>
        <w:spacing w:before="160" w:after="40" w:line="240" w:lineRule="auto"/>
      </w:pPr>
      <w:r>
        <w:rPr>
          <w:b/>
        </w:rPr>
        <w:t xml:space="preserve">[20] </w:t>
      </w:r>
      <w:hyperlink r:id="rId611">
        <w:r>
          <w:rPr>
            <w:color w:val="1155CC"/>
            <w:u w:val="single"/>
          </w:rPr>
          <w:t>CD33 和簇蛋白通过生物物理和遗传相互作用来调节阿尔茨海默病风险</w:t>
        </w:r>
      </w:hyperlink>
    </w:p>
    <w:p>
      <w:pPr>
        <w:spacing w:before="0" w:after="80"/>
      </w:pPr>
      <w:r>
        <w:rPr>
          <w:i/>
          <w:sz w:val="20"/>
        </w:rPr>
        <w:t>EN: CD33 and clusterin interact biophysically and genetically to modulate Alzheimer risk</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CD33 变异与阿尔茨海默病 (AD) 之间的联系机制尚不清楚。在这里，我们结合结构、细胞和遗传分析来描述在 CD33 风险等位基因携带者中上调的 CD33M 剪接亚型如何调节小胶质细胞功能。我们发现 CD33M 胞外域二聚化，能够结合大的多唾液酸化分子。我们证明另一种 AD 风险蛋白 - 簇蛋白 (CLU) ± Aβ 寡聚物（但不是 ApoE）以纳摩尔亲和力与 CD33M 结合，但不与 CD33m 结合。我们发现，在人单核细胞中，CD33M:CLU 结合诱导 CD33M ITIM 磷酸化，招募 SHP-1，抑制 Aβ 吞噬作用，并损害淀粉样斑块的清除。我们鉴定出一种可溶性 CD33M 胞外域片段 (sCD33M)——表达 CD33m 的细胞中不存在——这可能有助于 CD33M 在 AD 中的作用。遗传分析证实 CD33:CLU 相互作用可调节淀粉样蛋白负荷、认知和疾病风险。这些发现定义了一个机制 CLU:Aβ:CD33M 轴，强调 CD33M 二聚化和配体结合位点作为潜在的治疗靶点。</w:t>
      </w:r>
    </w:p>
    <w:p>
      <w:pPr>
        <w:spacing w:before="0" w:after="200" w:lineRule="auto" w:line="276"/>
      </w:pPr>
      <w:r>
        <w:rPr>
          <w:b/>
        </w:rPr>
        <w:t xml:space="preserve">Abstract (EN): </w:t>
      </w:r>
      <w:r>
        <w:t>Mechanisms linking CD33 variants to Alzheimer Disease (AD) are poorly defined. Here, we combine structural, cellular, and genetic analyses to delineate how the CD33M splice isoform, upregulated in carriers of CD33 risk alleles, modulates microglial function. We show that CD33M ectodomain dimerizes, enabling binding of large multi-sialylated molecules. We demonstrate that another AD risk protein - clusterin (CLU) ± Aβ oligomers (but not ApoE) binds with nanomolar avidity to CD33M, but not CD33m. We show that in human monocytes CD33M:CLU binding induces CD33M ITIM phosphorylation, recruits SHP-1, suppresses Aβ phagocytosis, and impairs clearance of amyloid plaques. We identify a soluble CD33M ectodomain fragment (sCD33M) - absent from CD33m-expressing cells - which could contribute to the role of CD33M in AD. Genetic analyses confirm that CD33:CLU interaction modulates amyloid burden, cognition, and disease risk. These findings define a mechanistic CLU:Aβ:CD33M axis, highlighting CD33M dimerization and ligand-binding sites as potential therapeutic targets.</w:t>
      </w:r>
    </w:p>
    <w:p>
      <w:pPr>
        <w:spacing w:before="120" w:after="120"/>
      </w:pPr>
      <w:r>
        <w:rPr>
          <w:sz w:val="18"/>
        </w:rPr>
        <w:t>——————————————————————————————————————————————————————————————————————</w:t>
      </w:r>
    </w:p>
    <w:p>
      <w:pPr>
        <w:spacing w:before="160" w:after="40" w:line="240" w:lineRule="auto"/>
      </w:pPr>
      <w:r>
        <w:rPr>
          <w:b/>
        </w:rPr>
        <w:t xml:space="preserve">[21] </w:t>
      </w:r>
      <w:hyperlink r:id="rId612">
        <w:r>
          <w:rPr>
            <w:color w:val="1155CC"/>
            <w:u w:val="single"/>
          </w:rPr>
          <w:t>T-box转录因子的错误调节驱动慢性瘙痒背后的BNP-NPR1信号传导</w:t>
        </w:r>
      </w:hyperlink>
    </w:p>
    <w:p>
      <w:pPr>
        <w:spacing w:before="0" w:after="80"/>
      </w:pPr>
      <w:r>
        <w:rPr>
          <w:i/>
          <w:sz w:val="20"/>
        </w:rPr>
        <w:t>EN: Misregulation of T-box transcription factors drives BNP–NPR1 signalling underlying chronic itch</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慢性瘙痒造成了重大的临床负担，其标志是脑钠肽（BNP）通路的激活，尽管其转录控制仍不清楚。我们发现特应性皮炎患者皮肤中的 T 盒转录因子 20 (TBX20) 上调，并且 NPR1+ 角质形成细胞中的表达增加。 ChIP 峰检出、ChIP-qPCR 和双荧光素酶检测显示 TBX20 激活 NPR1 启动子。在小鼠中，角质形成细胞特异性 TBX20 敲除（TBX20fl/fl；K14-Cre）可减少抓挠、IL-4 和制瘤素 M 水平、嗜碱性粒细胞标记物，并降低皮肤 NPR1 表达。 TBX20 也在 NPR1+ 感觉神经元的子集中表达，神经元特异性缺失同样可以减轻瘙痒、嗜碱性粒细胞浸润和屏障功能障碍。 RNA-seq 将 lipocalin-2 识别为 TBX20-NPR1 轴的下游效应子，其缺失可减少瘙痒。相反，AAV 介导的 TBX20 救援会加剧症状。 Neuregulin 1 抑制 TBX20，减弱 IL-13 驱动的 NPR1 信号传导，并减少瘙痒。这些发现将 TBX20-NPR1 轴定义为慢性瘙痒和皮肤功能障碍的关键调节因子。</w:t>
      </w:r>
    </w:p>
    <w:p>
      <w:pPr>
        <w:spacing w:before="0" w:after="200" w:lineRule="auto" w:line="276"/>
      </w:pPr>
      <w:r>
        <w:rPr>
          <w:b/>
        </w:rPr>
        <w:t xml:space="preserve">Abstract (EN): </w:t>
      </w:r>
      <w:r>
        <w:t>Chronic itch poses a significant clinical burden, with activation of the brain natriuretic peptide (BNP) pathway as a hallmark, though its transcriptional control remains unclear. We identify T-box transcription factor 20 (TBX20) as upregulated in skin of atopic dermatitis patients, with increased expression in NPR1+ keratinocytes. ChIP peak calling, ChIP-qPCR and dual-luciferase assays show TBX20 activates the NPR1 promoter. In mice, keratinocyte-specific TBX20 knockout (TBX20fl/fl; K14-Cre) reduces scratching, IL-4 and Oncostatin M levels, basophil markers, and decreases cutaneous NPR1 expression. TBX20 is also expressed in a subset of NPR1+ sensory neurons, and neuron-specific deletion similarly alleviates itch, basophil infiltration, and barrier dysfunction. RNA-seq identifies lipocalin-2 as a downstream effector of the TBX20-NPR1 axis, and its deletion reduces itch. Conversely, AAV-mediated TBX20 rescue exacerbates symptoms. Neuregulin 1 suppresses TBX20, attenuates IL-13-driven NPR1 signalling, and reduces itch. These findings define a TBX20-NPR1 axis as a critical regulator of chronic itch and skin dysfunction.</w:t>
      </w:r>
    </w:p>
    <w:p>
      <w:pPr>
        <w:spacing w:before="120" w:after="120"/>
      </w:pPr>
      <w:r>
        <w:rPr>
          <w:sz w:val="18"/>
        </w:rPr>
        <w:t>——————————————————————————————————————————————————————————————————————</w:t>
      </w:r>
    </w:p>
    <w:p>
      <w:pPr>
        <w:spacing w:before="160" w:after="40" w:line="240" w:lineRule="auto"/>
      </w:pPr>
      <w:r>
        <w:rPr>
          <w:b/>
        </w:rPr>
        <w:t xml:space="preserve">[22] </w:t>
      </w:r>
      <w:hyperlink r:id="rId613">
        <w:r>
          <w:rPr>
            <w:color w:val="1155CC"/>
            <w:u w:val="single"/>
          </w:rPr>
          <w:t>条件镇痛与言语诱导安慰剂镇痛的不同神经相关性的荟萃分析证据</w:t>
        </w:r>
      </w:hyperlink>
    </w:p>
    <w:p>
      <w:pPr>
        <w:spacing w:before="0" w:after="80"/>
      </w:pPr>
      <w:r>
        <w:rPr>
          <w:i/>
          <w:sz w:val="20"/>
        </w:rPr>
        <w:t>EN: Meta-analytic evidence for distinct neural correlates of conditioned versus verbally induced placebo analgesia</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安慰剂镇痛表明，即使没有积极治疗，信念和期望也可以显着改变疼痛。安慰剂镇痛可以通过言语暗示、经典条件反射或它们的组合来诱导，尽管条件神经反应在言语指令影响之外的作用仍不清楚。我们对 16 项参与者内安慰剂神经影像研究 (n = 409) 的个体参与者数据进行了系统的荟萃分析，采用单变量和多变量分析来确定单独建议与建议与条件相结合诱导的安慰剂镇痛的共同和独特机制。这两种技术都能增加疼痛时背外侧前额叶和下顶叶皮质的活动，并减少岛叶、壳核和初级感觉区域的活动。添加条件反射可以增强与情境表征和疼痛调节相关的区域（例如，背外侧/背内侧前额皮质）的参与，并减少伤害性区域（例如，初级感觉和岛叶区域）。调节还加强了镇痛和伤害性活动之间的负相关性，如神经疼痛特征所量化的。将调节与指令相结合可产生更好的安慰剂镇痛效果，这是通过增加腹内侧前额叶和背侧尾状核活动以及减少感觉伤害和小脑活动来介导的。这些发现表明这两种策略依赖于大脑中部分不同的机制。</w:t>
      </w:r>
    </w:p>
    <w:p>
      <w:pPr>
        <w:spacing w:before="0" w:after="200" w:lineRule="auto" w:line="276"/>
      </w:pPr>
      <w:r>
        <w:rPr>
          <w:b/>
        </w:rPr>
        <w:t xml:space="preserve">Abstract (EN): </w:t>
      </w:r>
      <w:r>
        <w:t>Placebo analgesia demonstrates that belief and expectation can significantly alter pain, even without active treatment. Placebo analgesia can be induced through verbal suggestion, classical conditioning, or their combination, though the role of conditioned neural responses above and beyond effects of verbal instructions remains unclear. We conduct a systematic meta-analysis of individual participant data from 16 within-participant placebo neuroimaging studies (n = 409), employing univariate and multivariate analyses to identify shared and distinct mechanisms of placebo analgesia induced by suggestions alone versus suggestions combined with conditioning. Both techniques increase activity during pain in the dorsolateral prefrontal and inferior parietal cortices and decrease activation in the insula, putamen, and primary sensory areas. Adding conditioning enhances engagement of regions associated with context representation and pain modulation (e.g., dorsolateral/dorsomedial prefrontal cortices) and decreases in nociceptive regions (e.g., primary sensory and insular areas). Conditioning also strengthens the negative association between analgesia and nociceptive activity, as quantified by the Neurologic Pain Signature. Combining conditioning with instructions yields greater placebo analgesia, mediated by increased ventromedial prefrontal and dorsal caudate activity, alongside decreased sensory-nociceptive and cerebellar activity. These findings suggest the two strategies rely on partially distinct mechanisms in the brain.</w:t>
      </w:r>
    </w:p>
    <w:p>
      <w:pPr>
        <w:spacing w:before="120" w:after="120"/>
      </w:pPr>
      <w:r>
        <w:rPr>
          <w:sz w:val="18"/>
        </w:rPr>
        <w:t>——————————————————————————————————————————————————————————————————————</w:t>
      </w:r>
    </w:p>
    <w:p>
      <w:pPr>
        <w:spacing w:before="160" w:after="40" w:line="240" w:lineRule="auto"/>
      </w:pPr>
      <w:r>
        <w:rPr>
          <w:b/>
        </w:rPr>
        <w:t xml:space="preserve">[23] </w:t>
      </w:r>
      <w:hyperlink r:id="rId614">
        <w:r>
          <w:rPr>
            <w:color w:val="1155CC"/>
            <w:u w:val="single"/>
          </w:rPr>
          <w:t>围产期抗逆转录病毒治疗会损害啮齿动物模型中的妊娠后心脏逆转重塑</w:t>
        </w:r>
      </w:hyperlink>
    </w:p>
    <w:p>
      <w:pPr>
        <w:spacing w:before="0" w:after="80"/>
      </w:pPr>
      <w:r>
        <w:rPr>
          <w:i/>
          <w:sz w:val="20"/>
        </w:rPr>
        <w:t>EN: Antiretroviral therapy in the peripartum period impairs post pregnancy cardiac reverse remodeling in a rodent model</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心血管（CV）疾病是全世界孕产妇死亡的主要原因，并且与支持胎儿生长所需的心脏代谢重塑部分相关。在健康怀孕期间，这些适应会在产后逆转，而不会产生长期后果。然而，逆重塑 (RR) 受损会增加未来的心血管风险。感染艾滋病毒的孕妇面临着额外的风险，但目前尚不清楚这是由慢性低水平病毒血症还是持续抗逆转录病毒治疗（ART）引起的。怀孕期间使用的抗逆转录病毒治疗通常包括核苷逆转录酶抑制剂 (NRTI)，它会影响线粒体（维持心脏功能所必需的细胞器）。在这里，我们测试了含有 NRTI 的 ART 对母体心脏产生负面影响的假设。使用大鼠模型，我们表明 ART 会损害妊娠相关的心脏 RR。从机制上讲，ART 会引起心脏和肝脏的线粒体改变，导致血脂异常，从而共同损害心脏功能。这些发现强调了孕产妇心血管健康研究的重要性以及进一步研究 ART 长期影响的必要性。</w:t>
      </w:r>
    </w:p>
    <w:p>
      <w:pPr>
        <w:spacing w:before="0" w:after="200" w:lineRule="auto" w:line="276"/>
      </w:pPr>
      <w:r>
        <w:rPr>
          <w:b/>
        </w:rPr>
        <w:t xml:space="preserve">Abstract (EN): </w:t>
      </w:r>
      <w:r>
        <w:t>Cardiovascular (CV) disease is the leading cause of maternal mortality worldwide and has been partially linked to the cardiometabolic remodeling required to support fetal growth. In healthy pregnancies, these adaptations reverse postpartum without long-term consequences; however, impaired reverse remodeling (RR) increases future CV risk. Pregnant women living with HIV face additional risk, though it remains unclear whether this is driven by chronic low-level viremia or continuous antiretroviral therapy (ART). ART used during pregnancy often includes nucleoside reverse transcriptase inhibitors (NRTIs), which can affect mitochondria - organelles essential for maintaining cardiac function. Here, we tested the hypothesis that NRTI-containing ART negatively impacts the maternal heart. Using a rat model, we show that ART impairs pregnancy-associated cardiac RR. Mechanistically, ART induced mitochondrial alterations in both the heart and the liver, leading to dyslipidemia that collectively compromised cardiac function. These findings emphasize the importance of maternal cardiovascular health research and the need for further studies on the long-term effects of ART.</w:t>
      </w:r>
    </w:p>
    <w:p>
      <w:pPr>
        <w:spacing w:before="120" w:after="120"/>
      </w:pPr>
      <w:r>
        <w:rPr>
          <w:sz w:val="18"/>
        </w:rPr>
        <w:t>——————————————————————————————————————————————————————————————————————</w:t>
      </w:r>
    </w:p>
    <w:p>
      <w:pPr>
        <w:spacing w:before="160" w:after="40" w:line="240" w:lineRule="auto"/>
      </w:pPr>
      <w:r>
        <w:rPr>
          <w:b/>
        </w:rPr>
        <w:t xml:space="preserve">[24] </w:t>
      </w:r>
      <w:hyperlink r:id="rId615">
        <w:r>
          <w:rPr>
            <w:color w:val="1155CC"/>
            <w:u w:val="single"/>
          </w:rPr>
          <w:t>hPSC 衍生的肺类器官揭示细胞外基质硬度指导区域特异性肺上皮分化</w:t>
        </w:r>
      </w:hyperlink>
    </w:p>
    <w:p>
      <w:pPr>
        <w:spacing w:before="0" w:after="80"/>
      </w:pPr>
      <w:r>
        <w:rPr>
          <w:i/>
          <w:sz w:val="20"/>
        </w:rPr>
        <w:t>EN: Extracellular matrix stiffness directs region-specific lung epithelial differentiation revealed by hPSC-derived lung organoids</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人类呼吸系统的区域上皮谱系位于细胞外基质（ECM）内，其力学沿气道-肺泡轴变化，但 ECM 硬度如何指导上皮命运仍不清楚。在这里，利用嵌入硬度可调水凝胶中的人类多能干细胞衍生的肺类器官作为体外模型，我们证明了 ECM 硬度控制区域特异性上皮分化。 ECM 硬度的逐步软化产生具有近端到远端气道上皮成分和仿生生理功能的气道类器官。在肺泡分化过程中，硬度增加会促进 2 型 (AT2) 和 1 型 (AT1) 肺泡成熟，并驱动 AT2 向 AT1 的转变。此外，RNA 测序揭示 ECM 硬度主要通过机械转导途径调节上皮命运。最后，这些类器官再现了 SARS-CoV-2 变体的感染向性。总之，这项研究阐明了 ECM 硬度是上皮细胞命运规范和区域特异性肺类器官生成的关键决定因素，这为研究区域特异性肺发育、疾病发病机制和药物筛选提供了有价值的体外模型。</w:t>
      </w:r>
    </w:p>
    <w:p>
      <w:pPr>
        <w:spacing w:before="0" w:after="200" w:lineRule="auto" w:line="276"/>
      </w:pPr>
      <w:r>
        <w:rPr>
          <w:b/>
        </w:rPr>
        <w:t xml:space="preserve">Abstract (EN): </w:t>
      </w:r>
      <w:r>
        <w:t>Regional epithelial lineages of the human respiratory system reside within an extracellular matrix (ECM) whose mechanics vary along the airway–alveolar axis, yet how ECM stiffness directs epithelial fates remains unclear. Here, utilizing human pluripotent stem cell-derived lung organoids embedded in stiffness-tunable hydrogels as an in vitro model, we show ECM stiffness governs region-specific epithelial differentiation. Stepwise softening of ECM stiffness yields airway organoids with proximal-to-distal airway epithelial compositions and biomimetic physiological functions. During alveolar differentiation, increased stiffness promotes alveolar type 2 (AT2) and type 1 (AT1) maturation and drives AT2-to-AT1 transition. Furthermore, RNA sequencing reveals ECM stiffness regulates epithelial fates primarily through mechanotransduction pathways. Finally, these organoids reproduce the infection tropisms of SARS-CoV-2 variants. Together, this research elucidates ECM stiffness as a critical determinant of epithelial cell fate specification and region-specific lung organoid generation, which offers a valuable in vitro model for studying region-specific lung development, diseases pathogenesis, and drug screening.</w:t>
      </w:r>
    </w:p>
    <w:p>
      <w:pPr>
        <w:spacing w:before="120" w:after="120"/>
      </w:pPr>
      <w:r>
        <w:rPr>
          <w:sz w:val="18"/>
        </w:rPr>
        <w:t>——————————————————————————————————————————————————————————————————————</w:t>
      </w:r>
    </w:p>
    <w:p>
      <w:pPr>
        <w:spacing w:before="160" w:after="40" w:line="240" w:lineRule="auto"/>
      </w:pPr>
      <w:r>
        <w:rPr>
          <w:b/>
        </w:rPr>
        <w:t xml:space="preserve">[25] </w:t>
      </w:r>
      <w:hyperlink r:id="rId616">
        <w:r>
          <w:rPr>
            <w:color w:val="1155CC"/>
            <w:u w:val="single"/>
          </w:rPr>
          <w:t>甘油代谢触发锥虫在哺乳动物组织样条件下分化为可传播形式</w:t>
        </w:r>
      </w:hyperlink>
    </w:p>
    <w:p>
      <w:pPr>
        <w:spacing w:before="0" w:after="80"/>
      </w:pPr>
      <w:r>
        <w:rPr>
          <w:i/>
          <w:sz w:val="20"/>
        </w:rPr>
        <w:t>EN: Glycerol metabolism triggers trypanosome differentiation into transmissible forms in mammalian tissue-like conditions</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在哺乳动物宿主中，布氏锥虫以细长的血流形式增殖，然后进行群体感应（QS）依赖性分化为不可分裂的可传染的短节 QS 形式，这一过程既控制寄生虫血症又能够传播给采采蝇。然而，该模型无法解释慢性感染患者和牛中的传播如何发生，因为这些地方的寄生虫密度通常太低，无法触发 QS 介导的分化。我们确定了由脂肪细胞衍生的甘油驱动的相关甘油依赖性途径，为这种传输悖论提供了解释。我们发现，在寄生虫密度较低的情况下，甘油（0.2 mM）和葡萄糖（4 mM）的生理水平模仿脂肪和皮下间质液，甘油促进了新的增殖形式的出现，我们称之为细长的甘油形式。与细长形式不同，这些细胞是可传播的，因为它们（i）在体外分化为原循环形式，出现在受感染果蝇的中肠中，并且（ii）在果蝇中建立感染。此外，在寄生虫密度较高的情况下，组织中的甘油量可以延长短截-QS形式（称为短截-QS/Glyc）的寿命，从而增加组织寄生虫的传播机会，尤其是在皮肤中。总而言之，我们的研究结果表明，局部代谢条件本身或与寄生虫密度相结合，可以提高传播能力。</w:t>
      </w:r>
    </w:p>
    <w:p>
      <w:pPr>
        <w:spacing w:before="0" w:after="200" w:lineRule="auto" w:line="276"/>
      </w:pPr>
      <w:r>
        <w:rPr>
          <w:b/>
        </w:rPr>
        <w:t xml:space="preserve">Abstract (EN): </w:t>
      </w:r>
      <w:r>
        <w:t>In the mammalian host, Trypanosoma brucei proliferates as slender bloodstream forms before undergoing quorum-sensing (QS)-dependent differentiation into non-dividing transmissible stumpy-QS forms, a process that both controls parasitaemia and enables transmission to the tsetse fly. However, this model does not explain how transmission occurs in chronically infected patients and cattle, where parasite densities are often too low to trigger QS-mediated differentiation. We identify a relevant glycerol-dependent pathway driven by adipocyte-derived glycerol that offers an explanation for this transmission paradox. We show that, at low parasite density, and with physiological levels of glycerol (0.2 mM) and glucose (4 mM) mimicking adipose and hypodermal interstitial fluids, glycerol promotes the emergence of novel proliferative forms that we termed, slender-Glyc forms. These cells are transmissible, unlike the slender forms, since they (i) differentiate in vitro into procyclic forms, which appear in the midgut of the infected flies, and (ii) establish infections in the fly. In addition, at high parasite density, tissular amounts of glycerol extends the lifespan of stumpy-QS forms (named stumpy-QS/Glyc), increasing transmission chances for tissue parasites, especially in the skin. Altogether, our findings suggest that local metabolic conditions, either on their own or in combination with parasite density, can drive transmission capacity.</w:t>
      </w:r>
    </w:p>
    <w:p>
      <w:pPr>
        <w:spacing w:before="120" w:after="120"/>
      </w:pPr>
      <w:r>
        <w:rPr>
          <w:sz w:val="18"/>
        </w:rPr>
        <w:t>——————————————————————————————————————————————————————————————————————</w:t>
      </w:r>
    </w:p>
    <w:p>
      <w:pPr>
        <w:spacing w:before="160" w:after="40" w:line="240" w:lineRule="auto"/>
      </w:pPr>
      <w:r>
        <w:rPr>
          <w:b/>
        </w:rPr>
        <w:t xml:space="preserve">[26] </w:t>
      </w:r>
      <w:hyperlink r:id="rId617">
        <w:r>
          <w:rPr>
            <w:color w:val="1155CC"/>
            <w:u w:val="single"/>
          </w:rPr>
          <w:t>用于多平台研究聚糖与蛋白质、病毒和细胞相互作用的多功能聚糖探针</w:t>
        </w:r>
      </w:hyperlink>
    </w:p>
    <w:p>
      <w:pPr>
        <w:spacing w:before="0" w:after="80"/>
      </w:pPr>
      <w:r>
        <w:rPr>
          <w:i/>
          <w:sz w:val="20"/>
        </w:rPr>
        <w:t>EN: Versatile Glycan Probes for Multiplatform Investigation of Glycan Interactions with Proteins, Viruses, and Cells</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聚糖介导的相互作用对于发育、微生物定植、免疫信号传导和癌症进展至关重要。聚糖微阵列通过揭示溶液或细胞水平的动力学和动力学的技术支持对这些复杂的相互作用进行高通量分析，彻底改变了糖生物学。我们引入了基于三功能 Fmoc-氨基-叠氮 (FAA) 连接体的多功能聚糖探针，从而能够对聚糖介导的相互作用进行多平台研究。这些 FAA 探针支持共价和非共价阵列平台上的聚糖呈现，允许直接比较不同蛋白质的聚糖识别。值得注意的是，某些病毒粘附素和免疫凝集素表现出对非共价平台的偏好。叠氮基团允许通过“点击化学”进一步功能化，实现生物素化以固定在生物层干涉测量生物传感器上用于流感病毒结合，或荧光标记用于细胞上聚糖-凝集素相互作用的流式细胞术分析。这些多功能探针为使用互补方法深入探究聚糖相互作用提供了一个统一的平台，具有推进基于聚糖的诊断和治疗的巨大潜力。</w:t>
      </w:r>
    </w:p>
    <w:p>
      <w:pPr>
        <w:spacing w:before="0" w:after="200" w:lineRule="auto" w:line="276"/>
      </w:pPr>
      <w:r>
        <w:rPr>
          <w:b/>
        </w:rPr>
        <w:t xml:space="preserve">Abstract (EN): </w:t>
      </w:r>
      <w:r>
        <w:t>Glycan-mediated interactions are vital to development, microbial colonisation, immune signalling, and cancer progression. Glycan microarrays have revolutionised glycobiology by enabling high-throughput analysis of these complex interactions, supported by techniques that reveal kinetics and dynamics in solution or at the cellular level. We introduce multifunctional glycan probes based on a tri-functional Fmoc-Amino-Azido (FAA) linker, enabling multi-platform investigation of glycan-mediated interactions. These FAA probes support glycan presentation on both covalent and non-covalent array platforms, allowing direct comparison of glycan recognition by diverse proteins. Notably, certain viral adhesins and immune lectins show a preference for the non-covalent platform. The azido group allows further functionalisation via ‘click chemistry’, enabling biotinylation for immobilisation on bio-layer interferometry biosensors for influenza virus binding, or fluorescent tagging for flow cytometry analysis of glycan-lectin interactions on cells. These versatile probes offer a unified platform for in-depth interrogation of glycan interactions using complementary approaches, with strong potential to advance glycan-based diagnostics and therapeutics.</w:t>
      </w:r>
    </w:p>
    <w:p>
      <w:pPr>
        <w:spacing w:before="120" w:after="120"/>
      </w:pPr>
      <w:r>
        <w:rPr>
          <w:sz w:val="18"/>
        </w:rPr>
        <w:t>——————————————————————————————————————————————————————————————————————</w:t>
      </w:r>
    </w:p>
    <w:p>
      <w:pPr>
        <w:spacing w:before="160" w:after="40" w:line="240" w:lineRule="auto"/>
      </w:pPr>
      <w:r>
        <w:rPr>
          <w:b/>
        </w:rPr>
        <w:t xml:space="preserve">[27] </w:t>
      </w:r>
      <w:hyperlink r:id="rId618">
        <w:r>
          <w:rPr>
            <w:color w:val="1155CC"/>
            <w:u w:val="single"/>
          </w:rPr>
          <w:t>ASB2抑制脂质积累促进小鼠肝脏ILC1稳态适应性和抗肿瘤免疫</w:t>
        </w:r>
      </w:hyperlink>
    </w:p>
    <w:p>
      <w:pPr>
        <w:spacing w:before="0" w:after="80"/>
      </w:pPr>
      <w:r>
        <w:rPr>
          <w:i/>
          <w:sz w:val="20"/>
        </w:rPr>
        <w:t>EN: ASB2 inhibits lipid accumulation to promote ILC1 homeostatic fitness and anti-tumor immunity in the mouse liver</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1 型先天淋巴细胞 (ILC1) 在成人肝脏中含量丰富，对于免疫监视和调节至关重要，但其维持和功能的调节仍待探索。在这里，我们重新分析了已发表的单细胞 RNA 测序数据，发现成年小鼠肝脏 ILC1 中 Asb2 的表达增加。在小鼠中，有条件地去除 NKp46+ 细胞中的 Asb2，耗尽 ILC1 和 NK 细胞中的 ASB2，会损害 ILC1 存活并减少成年肝脏 ILC1 数量。蛋白质组学和批量 RNA 测序揭示了 ASB2 缺陷的 ILC1 中脂质代谢途径丰富，同时脂质储存增加。重要的是，脂质合成的药理学抑制可防止 ASB2 缺陷的 ILC1 体外凋亡。在结直肠癌肝转移的小鼠模型中，我们发现ILC1脂质储存增加，并且ILC1细胞中条件性Asb2缺乏会加剧肝转移进展。相反，抑制野生型结直肠癌小鼠体内的脂质积累可以延长动物的存活时间，这可能是通过促进 ILC1 介导的抗肿瘤免疫来实现的。因此，我们的研究揭示了 ASB2 调节的脂质代谢作为 ILC1 稳态适应性和肿瘤监测的看门人，强调了基于 ILC1 的潜在肝肿瘤治疗策略。</w:t>
      </w:r>
    </w:p>
    <w:p>
      <w:pPr>
        <w:spacing w:before="0" w:after="200" w:lineRule="auto" w:line="276"/>
      </w:pPr>
      <w:r>
        <w:rPr>
          <w:b/>
        </w:rPr>
        <w:t xml:space="preserve">Abstract (EN): </w:t>
      </w:r>
      <w:r>
        <w:t>Type 1 innate lymphoid cells (ILC1) are abundant in the adult liver and are pivotal for immune surveillance and modulation, but the regulation of their maintenance and functionality remains underexplored. Here, we re-analyze published single-cell RNA- sequencing data and find increased expression of Asb2 in ILC1s from adult mouse livers. Conditional ablation of Asb2 in NKp46+ cells, depleting ASB2 in ILC1s and NK cells, in mice impairs ILC1 survival and reduces adult liver ILC1 numbers. Proteomics and bulk RNA-sequencing reveal enriched lipid metabolism pathways in ASB2-deficient ILC1s, concomitant with increased lipid storage. Importantly, pharmacological inhibition of lipid synthesis prevents the apoptosis of ASB2-deficient ILC1s in vitro. In a mouse model of colorectal cancer liver metastasis, we find increased ILC1 lipid storage, and conditional Asb2 deficiency in ILC1 cells exacerbates liver metastasis progression. Conversely, inhibiting lipid accumulation in wild-type colorectal cancer-bearing mice prolongs animal survival, potentially via promoting ILC1-mediated anti-tumor immunity. Thus, our study uncovers ASB2-regulated lipid metabolism as a gatekeeper for ILC1 homeostatic fitness and tumor surveillance, highlighting potential ILC1-based therapeutic strategies against liver tumors.</w:t>
      </w:r>
    </w:p>
    <w:p>
      <w:pPr>
        <w:spacing w:before="120" w:after="120"/>
      </w:pPr>
      <w:r>
        <w:rPr>
          <w:sz w:val="18"/>
        </w:rPr>
        <w:t>——————————————————————————————————————————————————————————————————————</w:t>
      </w:r>
    </w:p>
    <w:p>
      <w:pPr>
        <w:spacing w:before="160" w:after="40" w:line="240" w:lineRule="auto"/>
      </w:pPr>
      <w:r>
        <w:rPr>
          <w:b/>
        </w:rPr>
        <w:t xml:space="preserve">[28] </w:t>
      </w:r>
      <w:hyperlink r:id="rId619">
        <w:r>
          <w:rPr>
            <w:color w:val="1155CC"/>
            <w:u w:val="single"/>
          </w:rPr>
          <w:t>克服抗真菌耐药性：组蛋白 5 门控纳米装置，用于按需输送表面活性剂以对抗白色念珠菌感染</w:t>
        </w:r>
      </w:hyperlink>
    </w:p>
    <w:p>
      <w:pPr>
        <w:spacing w:before="0" w:after="80"/>
      </w:pPr>
      <w:r>
        <w:rPr>
          <w:i/>
          <w:sz w:val="20"/>
        </w:rPr>
        <w:t>EN: Overcoming Antifungal Resistance: A Histatin 5-Gated Nanodevice for On-Demand Surfactant Delivery against C. albicans Infections</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620">
        <w:r>
          <w:rPr>
            <w:color w:val="1155CC"/>
            <w:u w:val="single"/>
          </w:rPr>
          <w:t>10.1021/acsami.6c06984</w:t>
        </w:r>
      </w:hyperlink>
    </w:p>
    <w:p>
      <w:pPr>
        <w:spacing w:before="0" w:after="120"/>
      </w:pPr>
      <w:r>
        <w:rPr>
          <w:b/>
        </w:rPr>
        <w:t xml:space="preserve">Notes: </w:t>
      </w:r>
      <w:r>
        <w:t>abstract_source=pubmed</w:t>
      </w:r>
    </w:p>
    <w:p>
      <w:pPr>
        <w:spacing w:before="0" w:after="80" w:lineRule="auto" w:line="276"/>
      </w:pPr>
      <w:r>
        <w:rPr>
          <w:b/>
        </w:rPr>
        <w:t xml:space="preserve">摘要（ZH）: </w:t>
      </w:r>
      <w:r>
        <w:t>真菌感染发病率的不断上升，加上抗真菌耐药性的出现，构成了全球公共卫生的巨大挑战。白色念珠菌是一种常见的机会性真菌，可导致危及生命的广泛念珠菌病，尤其是在免疫功能低下的患者中。传统的抗真菌药物，包括唑类、棘白菌素类和多烯类，具有一些缺点，例如宿主毒性和耐药真菌菌株的快速出现。为了克服这些限制，我们使用介孔二氧化硅纳米颗粒设计了一种刺激响应的门控抗菌纳米颗粒，用抗菌肽组蛋白 5 (Hst5) 进行功能化，并负载表面活性剂 (3-(甲基)-1-十四烷基咪唑) [C14MIM]+。纳米颗粒对白色念珠菌表现出有效的抗菌活性，其最低抑制浓度值与目前的临床抗真菌药物相当。至关重要的是，纳米装置表现出双重作用机制，导致膜破裂并诱导活性氧的产生，从而有效地阻碍耐药性的发展。此外，纳米颗粒与传统抗真菌药物表现出强烈的协同相互作用，显着增强其功效。除了其浮游活性外，该系统还能有效抑制生物膜形成，并表现出与人类真皮细胞系的高度生物相容性。基于这些结果，纳米装置成功地融入伤口敷料基质中，证明了其在皮肤局部治疗方面的巨大转化潜力。</w:t>
      </w:r>
    </w:p>
    <w:p>
      <w:pPr>
        <w:spacing w:before="0" w:after="200" w:lineRule="auto" w:line="276"/>
      </w:pPr>
      <w:r>
        <w:rPr>
          <w:b/>
        </w:rPr>
        <w:t xml:space="preserve">Abstract (EN): </w:t>
      </w:r>
      <w:r>
        <w:t>The escalating incidence of fungal infections, coupled with the emergence of antifungal resistance, represents a formidable global public health challenge. Candida albicans is a common opportunistic fungus that causes life-threatening, widespread candidiasis, especially in immunocompromised patients. Conventional antifungals, including azoles, echinocandins, and polyenes, have some drawbacks, such as host toxicity and the rapid appearance of resistant fungal strains. To overcome these limitations, we engineered a stimuli-responsive gated antimicrobial nanoparticle using mesoporous silica nanoparticles, functionalized with the antimicrobial peptide histatin 5 (Hst5) and loaded with the surfactant (3-(methyl)-1-tetradecylimidazolium) [C14MIM]+. The nanoparticles exhibit potent antimicrobial activity against C. albicans, with minimum inhibitory concentration values comparable to current clinical antifungals. Crucially, the nanodevice exhibits a dual mechanism of action, causing membrane disruption and inducing reactive oxygen species generation, which effectively hinders the development of resistance. Furthermore, the nanoparticles display strong synergistic interactions with conventional antifungals, significantly enhancing their efficacy. In addition to its planktonic activity, the system effectively inhibits biofilm formation and demonstrates high biocompatibility with human dermal cell lines. Based on these results, the nanodevice is successfully incorporated into a wound dressing matrix, demonstrating its promising translational potential for the topical treatment of cutaneous candidiasis.</w:t>
      </w:r>
    </w:p>
    <w:p>
      <w:pPr>
        <w:spacing w:before="120" w:after="120"/>
      </w:pPr>
      <w:r>
        <w:rPr>
          <w:sz w:val="18"/>
        </w:rPr>
        <w:t>——————————————————————————————————————————————————————————————————————</w:t>
      </w:r>
    </w:p>
    <w:p>
      <w:pPr>
        <w:spacing w:before="160" w:after="40" w:line="240" w:lineRule="auto"/>
      </w:pPr>
      <w:r>
        <w:rPr>
          <w:b/>
        </w:rPr>
        <w:t xml:space="preserve">[29] </w:t>
      </w:r>
      <w:hyperlink r:id="rId621">
        <w:r>
          <w:rPr>
            <w:color w:val="1155CC"/>
            <w:u w:val="single"/>
          </w:rPr>
          <w:t>五配位 Al(Salen) 催化剂的立体动力学</w:t>
        </w:r>
      </w:hyperlink>
    </w:p>
    <w:p>
      <w:pPr>
        <w:spacing w:before="0" w:after="80"/>
      </w:pPr>
      <w:r>
        <w:rPr>
          <w:i/>
          <w:sz w:val="20"/>
        </w:rPr>
        <w:t>EN: Stereodynamism in Pentacoordinate Al(Salen)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2026-07-17 00:00:00+00:00</w:t>
      </w:r>
      <w:r>
        <w:t xml:space="preserve">    </w:t>
      </w:r>
      <w:r>
        <w:rPr>
          <w:b/>
        </w:rPr>
        <w:t xml:space="preserve">DOI: </w:t>
      </w:r>
      <w:hyperlink r:id="rId622">
        <w:r>
          <w:rPr>
            <w:color w:val="1155CC"/>
            <w:u w:val="single"/>
          </w:rPr>
          <w:t>10.1021/jacs.6c04267</w:t>
        </w:r>
      </w:hyperlink>
    </w:p>
    <w:p>
      <w:pPr>
        <w:spacing w:before="0" w:after="120"/>
      </w:pPr>
      <w:r>
        <w:rPr>
          <w:b/>
        </w:rPr>
        <w:t xml:space="preserve">Notes: </w:t>
      </w:r>
      <w:r>
        <w:t>abstract_source=pubmed</w:t>
      </w:r>
    </w:p>
    <w:p>
      <w:pPr>
        <w:spacing w:before="0" w:after="80" w:lineRule="auto" w:line="276"/>
      </w:pPr>
      <w:r>
        <w:rPr>
          <w:b/>
        </w:rPr>
        <w:t xml:space="preserve">摘要（ZH）: </w:t>
      </w:r>
      <w:r>
        <w:t>M(Salen) 配合物因其所赋予的通用性和选择性而成为不对称催化中的图腾。因此，开发统一模型以将这些破坏性参与者的功能置于结构基础上对于维持创新至关重要。受 Jacobsen 催化剂 (M = Al) 对当代合成的变革性影响的启发，报告了对 Al(Salen) 配合物溶液相行为的彻底三维结构研究，并辅以固态 27Al MAS NMR 和计算研究。对古老的 Al(Salen)Cl 配合物的跨学科分析揭示了溶液中 R,R-(M) 和 R,R-(P) 物质通过分子间卤化物催化重排实现的快速平衡。与已建立的模型相反，主干仍然处于跨双赤道构象：对映（轴向）构型（M/P）是通过基于方形的金字塔（sbp）和扭曲的三角双锥（dtbp）之间的配位几何形状的变化来强制执行的。具有保守点手性 [R,R-(M) 和 R,R-(P)] 的正交螺旋非对映异构体的出现收敛于修正模型，以描述基于 Addison 几何参数 τ 的五配位 M(Salen) 配合物的行为。动态金属配位几何结构产生的立体动力学被确定为未来反应设计和感应模型中应考虑的关键参数。预计五配位 Al(Salen) 配合物的这种有趣行为将在不对称催化之外找到应用</w:t>
      </w:r>
    </w:p>
    <w:p>
      <w:pPr>
        <w:spacing w:before="0" w:after="200" w:lineRule="auto" w:line="276"/>
      </w:pPr>
      <w:r>
        <w:rPr>
          <w:b/>
        </w:rPr>
        <w:t xml:space="preserve">Abstract (EN): </w:t>
      </w:r>
      <w:r>
        <w:t>M(Salen) complexes are totemic in asymmetric catalysis on account of the generality and selectivity that they confer. Consequently, the development of unifying models to place the function of these disruptive actors on a structural foundation is essential to sustain innovation. Motivated by the transformative effect that the Jacobsen catalyst (M = Al) has had on contemporary synthesis, a thorough three-dimensional structural investigation of the solution phase behavior of Al(Salen) complexes is reported, and complemented by solid-state 27Al MAS NMR and computational investigations. This interdisciplinary analysis of the venerable Al(Salen)Cl complex reveals a rapid equilibrium of R,R-(M) and R,R-(P) species in solution enabled by intermolecular halide-catalyzed rearrangements. Contrary to established models, the backbone remains in the trans-diequatorial conformation: the antipodal (axial) configurations (M/P) are enforced by a change in coordination geometry between square based pyramidal (sbp) and distorted trigonal bipyramidal (dtbp). The occurrence of orthogonal helical diastereomers, with conserved point chirality [R,R-(M) and R,R-(P)] converges on a revised model to describe the behavior of pentacoordinate M(Salen) complexes based on the Addison geometry parameter τ. Stereodynamism resulting from dynamic metal coordination geometry is determined to be a key parameter that should be considered in future reaction design and induction models. It is envisaged that this intriguing behavior of pentacoordinate Al(Salen) complexes will find application beyond asymmetric catalysis.</w:t>
      </w:r>
    </w:p>
    <w:p>
      <w:pPr>
        <w:spacing w:before="120" w:after="120"/>
      </w:pPr>
      <w:r>
        <w:rPr>
          <w:sz w:val="18"/>
        </w:rPr>
        <w:t>——————————————————————————————————————————————————————————————————————</w:t>
      </w:r>
    </w:p>
    <w:p>
      <w:pPr>
        <w:spacing w:before="160" w:after="40" w:line="240" w:lineRule="auto"/>
      </w:pPr>
      <w:r>
        <w:rPr>
          <w:b/>
        </w:rPr>
        <w:t xml:space="preserve">[30] </w:t>
      </w:r>
      <w:hyperlink r:id="rId623">
        <w:r>
          <w:rPr>
            <w:color w:val="1155CC"/>
            <w:u w:val="single"/>
          </w:rPr>
          <w:t>发现：一颗有大气层的岩石系外行星——它能孕育生命吗？</w:t>
        </w:r>
      </w:hyperlink>
    </w:p>
    <w:p>
      <w:pPr>
        <w:spacing w:before="0" w:after="80"/>
      </w:pPr>
      <w:r>
        <w:rPr>
          <w:i/>
          <w:sz w:val="20"/>
        </w:rPr>
        <w:t>EN: Found: a rocky exoplanet with an atmosphere — could it host life?</w:t>
      </w:r>
    </w:p>
    <w:p>
      <w:pPr>
        <w:spacing w:before="0" w:after="120"/>
      </w:pPr>
      <w:r>
        <w:rPr>
          <w:b/>
        </w:rPr>
        <w:t xml:space="preserve">Source: </w:t>
      </w:r>
      <w:r>
        <w:t>Nature</w:t>
      </w:r>
      <w:r>
        <w:t xml:space="preserve">    </w:t>
      </w:r>
      <w:r>
        <w:rPr>
          <w:b/>
        </w:rPr>
        <w:t xml:space="preserve">Pub date: </w:t>
      </w:r>
      <w:r>
        <w:t>2026-07-17 00:00:00+00:00</w:t>
      </w:r>
      <w:r>
        <w:t xml:space="preserve">    </w:t>
      </w:r>
      <w:r>
        <w:rPr>
          <w:b/>
        </w:rPr>
        <w:t xml:space="preserve">DOI: </w:t>
      </w:r>
      <w:hyperlink r:id="rId624">
        <w:r>
          <w:rPr>
            <w:color w:val="1155CC"/>
            <w:u w:val="single"/>
          </w:rPr>
          <w:t>10.1038/d41586-026-02200-5</w:t>
        </w:r>
      </w:hyperlink>
    </w:p>
    <w:p>
      <w:pPr>
        <w:spacing w:before="0" w:after="120"/>
      </w:pPr>
      <w:r>
        <w:rPr>
          <w:b/>
        </w:rPr>
        <w:t xml:space="preserve">Notes: </w:t>
      </w:r>
      <w:r>
        <w:t>abstract_source=nature_html</w:t>
      </w:r>
    </w:p>
    <w:p>
      <w:pPr>
        <w:spacing w:before="0" w:after="80" w:lineRule="auto" w:line="276"/>
      </w:pPr>
      <w:r>
        <w:rPr>
          <w:b/>
        </w:rPr>
        <w:t xml:space="preserve">摘要（ZH）: </w:t>
      </w:r>
      <w:r>
        <w:t>天文学家发现氦气从 LHS 1140b 中逸出，LHS 1140b 是一颗在其恒星“宜居带”内运行的系外行星。天文学家发现氦气从 LHS 1140b 中逸出，LHS 1140b 是一颗在其恒星“宜居带”内运行的系外行星。</w:t>
      </w:r>
    </w:p>
    <w:p>
      <w:pPr>
        <w:spacing w:before="0" w:after="200" w:lineRule="auto" w:line="276"/>
      </w:pPr>
      <w:r>
        <w:rPr>
          <w:b/>
        </w:rPr>
        <w:t xml:space="preserve">Abstract (EN): </w:t>
      </w:r>
      <w:r>
        <w:t>Astronomers have spotted helium escaping from LHS 1140b, an exoplanet orbiting in its star’s ‘habitable zone’. Astronomers have spotted helium escaping from LHS 1140b, an exoplanet orbiting in its star’s ‘habitable zone’.</w:t>
      </w:r>
    </w:p>
    <w:p>
      <w:pPr>
        <w:spacing w:before="120" w:after="120"/>
      </w:pPr>
      <w:r>
        <w:rPr>
          <w:sz w:val="18"/>
        </w:rPr>
        <w:t>——————————————————————————————————————————————————————————————————————</w:t>
      </w:r>
    </w:p>
    <w:p>
      <w:pPr>
        <w:spacing w:before="160" w:after="40" w:line="240" w:lineRule="auto"/>
      </w:pPr>
      <w:r>
        <w:rPr>
          <w:b/>
        </w:rPr>
        <w:t xml:space="preserve">[31] </w:t>
      </w:r>
      <w:hyperlink r:id="rId625">
        <w:r>
          <w:rPr>
            <w:color w:val="1155CC"/>
            <w:u w:val="single"/>
          </w:rPr>
          <w:t>巨型太空镜能否增强地球上的绿色能源？一家初创公司旨在找出答案</w:t>
        </w:r>
      </w:hyperlink>
    </w:p>
    <w:p>
      <w:pPr>
        <w:spacing w:before="0" w:after="80"/>
      </w:pPr>
      <w:r>
        <w:rPr>
          <w:i/>
          <w:sz w:val="20"/>
        </w:rPr>
        <w:t>EN: Can giant space mirrors boost green energy on Earth? A start-up aims to find out</w:t>
      </w:r>
    </w:p>
    <w:p>
      <w:pPr>
        <w:spacing w:before="0" w:after="120"/>
      </w:pPr>
      <w:r>
        <w:rPr>
          <w:b/>
        </w:rPr>
        <w:t xml:space="preserve">Source: </w:t>
      </w:r>
      <w:r>
        <w:t>Nature</w:t>
      </w:r>
      <w:r>
        <w:t xml:space="preserve">    </w:t>
      </w:r>
      <w:r>
        <w:rPr>
          <w:b/>
        </w:rPr>
        <w:t xml:space="preserve">Pub date: </w:t>
      </w:r>
      <w:r>
        <w:t>2026-07-17 00:00:00+00:00</w:t>
      </w:r>
      <w:r>
        <w:t xml:space="preserve">    </w:t>
      </w:r>
      <w:r>
        <w:rPr>
          <w:b/>
        </w:rPr>
        <w:t xml:space="preserve">DOI: </w:t>
      </w:r>
      <w:hyperlink r:id="rId626">
        <w:r>
          <w:rPr>
            <w:color w:val="1155CC"/>
            <w:u w:val="single"/>
          </w:rPr>
          <w:t>10.1038/d41586-026-02218-9</w:t>
        </w:r>
      </w:hyperlink>
    </w:p>
    <w:p>
      <w:pPr>
        <w:spacing w:before="0" w:after="120"/>
      </w:pPr>
      <w:r>
        <w:rPr>
          <w:b/>
        </w:rPr>
        <w:t xml:space="preserve">Notes: </w:t>
      </w:r>
      <w:r>
        <w:t>abstract_source=nature_html</w:t>
      </w:r>
    </w:p>
    <w:p>
      <w:pPr>
        <w:spacing w:before="0" w:after="80" w:lineRule="auto" w:line="276"/>
      </w:pPr>
      <w:r>
        <w:rPr>
          <w:b/>
        </w:rPr>
        <w:t xml:space="preserve">摘要（ZH）: </w:t>
      </w:r>
      <w:r>
        <w:t>天文学家深感担忧，计划在轨道上部署 50,000 颗带镜面卫星的阵列将严重损害望远镜。天文学家深感担忧，计划在轨道上部署 50,000 颗带镜面卫星的阵列将严重损害望远镜。</w:t>
      </w:r>
    </w:p>
    <w:p>
      <w:pPr>
        <w:spacing w:before="0" w:after="200" w:lineRule="auto" w:line="276"/>
      </w:pPr>
      <w:r>
        <w:rPr>
          <w:b/>
        </w:rPr>
        <w:t xml:space="preserve">Abstract (EN): </w:t>
      </w:r>
      <w:r>
        <w:t>Astronomers are deeply worried that a planned array of 50,000 mirror-bearing satellites in orbit will severely compromise telescopes. Astronomers are deeply worried that a planned array of 50,000 mirror-bearing satellites in orbit will severely compromise telescopes.</w:t>
      </w:r>
    </w:p>
    <w:p>
      <w:pPr>
        <w:spacing w:before="120" w:after="120"/>
      </w:pPr>
      <w:r>
        <w:rPr>
          <w:sz w:val="18"/>
        </w:rPr>
        <w:t>——————————————————————————————————————————————————————————————————————</w:t>
      </w:r>
    </w:p>
    <w:p>
      <w:pPr>
        <w:spacing w:before="160" w:after="40" w:line="240" w:lineRule="auto"/>
      </w:pPr>
      <w:r>
        <w:rPr>
          <w:b/>
        </w:rPr>
        <w:t xml:space="preserve">[32] </w:t>
      </w:r>
      <w:hyperlink r:id="rId627">
        <w:r>
          <w:rPr>
            <w:color w:val="1155CC"/>
            <w:u w:val="single"/>
          </w:rPr>
          <w:t>使用 LocScale-2.0 进行置信引导的冷冻电镜图优化</w:t>
        </w:r>
      </w:hyperlink>
    </w:p>
    <w:p>
      <w:pPr>
        <w:spacing w:before="0" w:after="80"/>
      </w:pPr>
      <w:r>
        <w:rPr>
          <w:i/>
          <w:sz w:val="20"/>
        </w:rPr>
        <w:t>EN: Confidence-guided cryo-EM map optimisation with LocScale-2.0</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低温样品电子显微镜 (cryo-EM) 图通常显示质量不均匀，高分辨率特征与弱或秩序不良的区域共存。这种变化使结构解释变得复杂，特别是对于异质大分子组装体。在这里，我们提出了 LocScale-2.0，一个上下文感知的地图优化框架，无需事先了解分子结构或组成即可运行。通过利用生物大分子对电子散射的普遍预期，它增强了局部细节和连接性，同时保留了微弱但与生物相关的结构背景。我们进一步介绍 LocScale-FEM，这是一种贝叶斯近似深度学习方法，可以模拟这种优化来生成特征增强的地图。 LocScaleFEM 提供体素方面的置信度评分，提供基于统计的可靠性度量，对特征增强地图中的局部相位误差敏感，并突出显示需要谨慎解释的区域。选定的示例说明了置信引导图优化如何帮助生物学解释并提高冷冻电镜密度分析的客观性。</w:t>
      </w:r>
    </w:p>
    <w:p>
      <w:pPr>
        <w:spacing w:before="0" w:after="200" w:lineRule="auto" w:line="276"/>
      </w:pPr>
      <w:r>
        <w:rPr>
          <w:b/>
        </w:rPr>
        <w:t xml:space="preserve">Abstract (EN): </w:t>
      </w:r>
      <w:r>
        <w:t>Cryogenic sample electron microscopy (cryo-EM) maps often display uneven quality, with high-resolution features coexisting alongside weak or poorly ordered regions. Such variation complicates structural interpretation, especially for heterogeneous macromolecular assemblies. Here, we present LocScale-2.0, a context-aware map optimisation framework that operates without prior knowledge of molecular structure or composition. By leveraging general expectations of electron scattering by biological macromolecules, it enhances local detail and connectivity while preserving weak but biologically relevant structural context. We further introduce LocScale-FEM, a Bayesian approximate deep-learning approach that emulates this optimisation to generate feature-enhanced maps. LocScaleFEM provides voxel-wise confidence scores that give a statistically grounded measure of reliability, are sensitive to local phase error in the feature-enhanced map, and highlight regions where interpretation warrants caution. Selected examples illustrate how confidence-guided map optimisation can aid biological interpretation and increase objectivity in cryo-EM density analysis.</w:t>
      </w:r>
    </w:p>
    <w:p>
      <w:pPr>
        <w:spacing w:before="120" w:after="120"/>
      </w:pPr>
      <w:r>
        <w:rPr>
          <w:sz w:val="18"/>
        </w:rPr>
        <w:t>——————————————————————————————————————————————————————————————————————</w:t>
      </w:r>
    </w:p>
    <w:p>
      <w:pPr>
        <w:spacing w:before="160" w:after="40" w:line="240" w:lineRule="auto"/>
      </w:pPr>
      <w:r>
        <w:rPr>
          <w:b/>
        </w:rPr>
        <w:t xml:space="preserve">[33] </w:t>
      </w:r>
      <w:hyperlink r:id="rId628">
        <w:r>
          <w:rPr>
            <w:color w:val="1155CC"/>
            <w:u w:val="single"/>
          </w:rPr>
          <w:t>农业毁林和随后的造林对土壤生物多样性和生态系统多功能性的影响</w:t>
        </w:r>
      </w:hyperlink>
    </w:p>
    <w:p>
      <w:pPr>
        <w:spacing w:before="0" w:after="80"/>
      </w:pPr>
      <w:r>
        <w:rPr>
          <w:i/>
          <w:sz w:val="20"/>
        </w:rPr>
        <w:t>EN: Consequences of agricultural deforestation and subsequent afforestation on soil biodiversity and ecosystem multifunctionality</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地球目前正处于大规模砍伐森林与植树造林并存的时代。大规模农业砍伐和随后的造林对土壤生物群多样性、生态系统多功能性（EMF）的影响以及土壤生物群多样性与EMF（BEFm）之间的关系仍不清楚。在这里，我们调查了 4000 公里南北横断面上的 405 个配对地块，横跨热带、亚热带、温带和寒带。我们测量 19 种生态功能并对土壤生物群（包括细菌、真菌、古细菌、病毒、原生生物和无脊椎动物）和宏基因组进行测序。我们发现，农业砍伐使土壤多营养生物多样性减少了 25%，电磁场减少了 58%，而植树造林已部分恢复了这些生物多样性，但尚未达到原始水平。农业毁林使四个气候带的 BEFm 正关系脱钩，而造林恢复了热带和亚热带的 BEFm 正关系，但在温带和北方地区则不然。温暖地区的造林会引发潜在的多营养级联，从而增强 EMF，从而加强 BEFm 关系。造林引起的生物地球化学循环基因的变化对温暖地区电磁场的驱动作用比寒冷地区更显着。我们的研究提供了气候调节 BEFm 关系恢复的综合证据，并为 EMF 的机制提供了多营养和宏基因组的见解。</w:t>
      </w:r>
    </w:p>
    <w:p>
      <w:pPr>
        <w:spacing w:before="0" w:after="200" w:lineRule="auto" w:line="276"/>
      </w:pPr>
      <w:r>
        <w:rPr>
          <w:b/>
        </w:rPr>
        <w:t xml:space="preserve">Abstract (EN): </w:t>
      </w:r>
      <w:r>
        <w:t>The Earth is currently in an era where massive deforestation and afforestation coexist. The impact of large-scale agricultural deforestation and the subsequent afforestation on soil biota multidiversity, ecosystem multifunctionality (EMF), and the relationship between soil biota multidiversity and EMF (BEFm) remain unclear. Here, we investigate 405 paired plots along a 4000 km south-north transect, spanning tropical, subtropical, temperate, and boreal zones. We measure 19 ecological functions and sequence soil biota (including bacteria, fungi, archaea, viruses, protists, and invertebrates) and metagenomes. We find that agricultural deforestation reduces soil multitrophic biodiversity by 25% and EMF by 58%, and afforestation has partially restored them, but pristine levels have not been reached. Agricultural deforestation decouples the positive BEFm relationship across four climatic zones, while afforestation restores the positive BEFm relationship in tropics and subtropics but not in temperate and boreal zones. Afforestation in the warmer zone triggers potential multitrophic cascades to enhance EMF, thereby strengthening BEFm relationship. The changes in biogeochemical-cycling genes induced by afforestation exert more significant driving effects on EMF in the warmer zone than the colder zone. Our study provides integrative evidence that climate modulates the recovery of BEFm relationship and offers multitrophic and metagenomic insights into the mechanisms underlying EMF.</w:t>
      </w:r>
    </w:p>
    <w:p>
      <w:pPr>
        <w:spacing w:before="120" w:after="120"/>
      </w:pPr>
      <w:r>
        <w:rPr>
          <w:sz w:val="18"/>
        </w:rPr>
        <w:t>——————————————————————————————————————————————————————————————————————</w:t>
      </w:r>
    </w:p>
    <w:p>
      <w:pPr>
        <w:spacing w:before="160" w:after="40" w:line="240" w:lineRule="auto"/>
      </w:pPr>
      <w:r>
        <w:rPr>
          <w:b/>
        </w:rPr>
        <w:t xml:space="preserve">[34] </w:t>
      </w:r>
      <w:hyperlink r:id="rId629">
        <w:r>
          <w:rPr>
            <w:color w:val="1155CC"/>
            <w:u w:val="single"/>
          </w:rPr>
          <w:t>核心元件在启动子诞生和转录调控中发挥独特作用</w:t>
        </w:r>
      </w:hyperlink>
    </w:p>
    <w:p>
      <w:pPr>
        <w:spacing w:before="0" w:after="80"/>
      </w:pPr>
      <w:r>
        <w:rPr>
          <w:i/>
          <w:sz w:val="20"/>
        </w:rPr>
        <w:t>EN: Core elements play distinct roles in promoter birth and transcriptional regulation</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基因表达塑造表型和进化。然而，基因调控的研究主要集中在转录因子上，而忽视了核心启动子。为了研究启动子如何出现并调节转录，我们确定了大肠杆菌组成型和转录因子调节启动子中核心元件-35和-10的序列功能图谱。体内转录景观和体外 RNA 聚合酶启动子相互作用的表征表明 -10 元件对于启动子从随机序列进化至关重要。相比之下，-35 元素虽然广泛保守，但对于启动子的诞生来说是可有可无的。相反，它通过与转录激活剂和 RNA 聚合酶的协调相互作用对基因调控产生更大的影响。我们进一步表明，进化微调转录因子调节启动子的-35和-10序列，通过降低基础表达同时提高诱导表达来实现接近最大的倍数变化。一个值得注意的例外是 PluxI，其泄漏表达为启动群体感应提供了关键的基线。这些发现阐明了启动子设计原理，并强调了核心元件、RNA 聚合酶和转录因子的相互依赖性和共同进化。</w:t>
      </w:r>
    </w:p>
    <w:p>
      <w:pPr>
        <w:spacing w:before="0" w:after="200" w:lineRule="auto" w:line="276"/>
      </w:pPr>
      <w:r>
        <w:rPr>
          <w:b/>
        </w:rPr>
        <w:t xml:space="preserve">Abstract (EN): </w:t>
      </w:r>
      <w:r>
        <w:t>Gene expression shapes phenotypes and evolution. However, studies of gene regulation focus on transcription factors, overlooking core promoters. To investigate how promoters emerge and regulate transcription, we determine the sequence–function landscapes of core elements, −35 and −10, in constitutive and transcription factor-regulated promoters in Escherichia coli. Characterization of in vivo transcriptional landscapes and in vitro RNA polymerase–promoter interactions shows the −10 element as essential for promoter evolution from random sequences. In contrast, the −35 element, though broadly conserved, is dispensable for promoter birth. Instead, it exerts greater impact on gene regulation via coordinated interactions with transcription activators and RNA polymerase. We further show that evolution fine-tunes the −35 and −10 sequences of transcription factor-regulated promoters to achieve near-maximal fold changes by lowering basal while elevating induced expression. A notable exception is PluxI, whose leaky expression provides a crucial baseline for initiating quorum sensing. These findings elucidate promoter design principles and underscore the interdependence and coevolution of core elements, RNA polymerase, and transcription factors.</w:t>
      </w:r>
    </w:p>
    <w:p>
      <w:pPr>
        <w:spacing w:before="120" w:after="120"/>
      </w:pPr>
      <w:r>
        <w:rPr>
          <w:sz w:val="18"/>
        </w:rPr>
        <w:t>——————————————————————————————————————————————————————————————————————</w:t>
      </w:r>
    </w:p>
    <w:p>
      <w:pPr>
        <w:spacing w:before="160" w:after="40" w:line="240" w:lineRule="auto"/>
      </w:pPr>
      <w:r>
        <w:rPr>
          <w:b/>
        </w:rPr>
        <w:t xml:space="preserve">[35] </w:t>
      </w:r>
      <w:hyperlink r:id="rId630">
        <w:r>
          <w:rPr>
            <w:color w:val="1155CC"/>
            <w:u w:val="single"/>
          </w:rPr>
          <w:t>在不断变化的气候中生存和发展的安全住所</w:t>
        </w:r>
      </w:hyperlink>
    </w:p>
    <w:p>
      <w:pPr>
        <w:spacing w:before="0" w:after="80"/>
      </w:pPr>
      <w:r>
        <w:rPr>
          <w:i/>
          <w:sz w:val="20"/>
        </w:rPr>
        <w:t>EN: A Safe Shelter to Survive and Thrive in a Changing Climate</w:t>
      </w:r>
    </w:p>
    <w:p>
      <w:pPr>
        <w:spacing w:before="0" w:after="120"/>
      </w:pPr>
      <w:r>
        <w:rPr>
          <w:b/>
        </w:rPr>
        <w:t xml:space="preserve">Source: </w:t>
      </w:r>
      <w:r>
        <w:t>National Science Review Advance Access</w:t>
      </w:r>
      <w:r>
        <w:t xml:space="preserve">    </w:t>
      </w:r>
      <w:r>
        <w:rPr>
          <w:b/>
        </w:rPr>
        <w:t xml:space="preserve">Pub date: </w:t>
      </w:r>
      <w:r>
        <w:t>2026-07-17 00:00:00+00:00</w:t>
      </w:r>
      <w:r>
        <w:t xml:space="preserve">    </w:t>
      </w:r>
      <w:r>
        <w:rPr>
          <w:b/>
        </w:rPr>
        <w:t xml:space="preserve">DOI: </w:t>
      </w:r>
      <w:hyperlink r:id="rId631">
        <w:r>
          <w:rPr>
            <w:color w:val="1155CC"/>
            <w:u w:val="single"/>
          </w:rPr>
          <w:t>10.1093/nsr/nwag441</w:t>
        </w:r>
      </w:hyperlink>
    </w:p>
    <w:p>
      <w:pPr>
        <w:spacing w:before="0" w:after="120"/>
      </w:pPr>
      <w:r>
        <w:rPr>
          <w:b/>
        </w:rPr>
        <w:t xml:space="preserve">Notes: </w:t>
      </w:r>
      <w:r>
        <w:t>abstract_source=openalex</w:t>
      </w:r>
    </w:p>
    <w:p>
      <w:pPr>
        <w:spacing w:before="0" w:after="80" w:lineRule="auto" w:line="276"/>
      </w:pPr>
      <w:r>
        <w:rPr>
          <w:b/>
        </w:rPr>
        <w:t xml:space="preserve">摘要（ZH）: </w:t>
      </w:r>
      <w:r>
        <w:t>Lidia Morawska、Tunga Salthammer、Tharindu Fernando Warnakulasuriya；在不断变化的气候中生存和繁荣的安全住所，国家科学评论，，</w:t>
      </w:r>
    </w:p>
    <w:p>
      <w:pPr>
        <w:spacing w:before="0" w:after="200" w:lineRule="auto" w:line="276"/>
      </w:pPr>
      <w:r>
        <w:rPr>
          <w:b/>
        </w:rPr>
        <w:t xml:space="preserve">Abstract (EN): </w:t>
      </w:r>
      <w:r>
        <w:t>Lidia Morawska, Tunga Salthammer, Tharindu Fernando Warnakulasuriya; A Safe Shelter to Survive and Thrive in a Changing Climate, National Science Review, ,</w:t>
      </w:r>
    </w:p>
    <w:p>
      <w:pPr>
        <w:spacing w:before="120" w:after="120"/>
      </w:pPr>
      <w:r>
        <w:rPr>
          <w:sz w:val="18"/>
        </w:rPr>
        <w:t>——————————————————————————————————————————————————————————————————————</w:t>
      </w:r>
    </w:p>
    <w:p>
      <w:pPr>
        <w:spacing w:before="160" w:after="40" w:line="240" w:lineRule="auto"/>
      </w:pPr>
      <w:r>
        <w:rPr>
          <w:b/>
        </w:rPr>
        <w:t xml:space="preserve">[36] </w:t>
      </w:r>
      <w:hyperlink r:id="rId632">
        <w:r>
          <w:rPr>
            <w:color w:val="1155CC"/>
            <w:u w:val="single"/>
          </w:rPr>
          <w:t>具有可逆热行为的可溶性共价有机框架的非平面单体策略</w:t>
        </w:r>
      </w:hyperlink>
    </w:p>
    <w:p>
      <w:pPr>
        <w:spacing w:before="0" w:after="80"/>
      </w:pPr>
      <w:r>
        <w:rPr>
          <w:i/>
          <w:sz w:val="20"/>
        </w:rPr>
        <w:t>EN: Nonplanar Monomer Strategy for Soluble Covalent Organic Frameworks with Reversible Thermal Behavior</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633">
        <w:r>
          <w:rPr>
            <w:color w:val="1155CC"/>
            <w:u w:val="single"/>
          </w:rPr>
          <w:t>10.1021/acsami.6c08677</w:t>
        </w:r>
      </w:hyperlink>
    </w:p>
    <w:p>
      <w:pPr>
        <w:spacing w:before="0" w:after="120"/>
      </w:pPr>
      <w:r>
        <w:rPr>
          <w:b/>
        </w:rPr>
        <w:t xml:space="preserve">Notes: </w:t>
      </w:r>
      <w:r>
        <w:t>abstract_source=pubmed</w:t>
      </w:r>
    </w:p>
    <w:p>
      <w:pPr>
        <w:spacing w:before="0" w:after="80" w:lineRule="auto" w:line="276"/>
      </w:pPr>
      <w:r>
        <w:rPr>
          <w:b/>
        </w:rPr>
        <w:t xml:space="preserve">摘要（ZH）: </w:t>
      </w:r>
      <w:r>
        <w:t>传统共价有机框架（COF）固有的不溶性和较差的加工性能对其实际应用构成了巨大的障碍。在此，我们提出了一种分子设计范式，通过使用具有空间拥挤的双层共轭苯环的非平面单体来构建可溶性热触发溶解性COF（HTS-COF），从而规避了这一限制。这种结构大大扩大了层间距并减弱了 π-π 堆积相互作用，从而在不影响结晶度或结构完整性的情况下赋予可逆的热引发溶解度。由此产生的 HTS-COF 很容易通过溶液加工成均匀的膜和气凝胶。值得注意的是，在动态过滤下，HTS-COF 膜可从水性和有机介质中实现快速高效的碘螯合，表现出出色的截留效率和循环稳定性。</w:t>
      </w:r>
    </w:p>
    <w:p>
      <w:pPr>
        <w:spacing w:before="0" w:after="200" w:lineRule="auto" w:line="276"/>
      </w:pPr>
      <w:r>
        <w:rPr>
          <w:b/>
        </w:rPr>
        <w:t xml:space="preserve">Abstract (EN): </w:t>
      </w:r>
      <w:r>
        <w:t>The inherent insolubility and poor processability of conventional covalent organic frameworks (COFs) represent a formidable obstacle to their practical deployment. Herein, we present a molecular design paradigm that circumvents this limitation by using a nonplanar monomer featuring a sterically congested, double‑layer conjugated benzene ring to construct a soluble heat-triggered solubility COF (HTS-COF). This structure substantially enlarges the interlayer spacing and attenuates π-π stacking interactions, thereby conferring reversible heat‑triggered solubility without compromising crystallinity or structural integrity. The resultant HTS‑COF readily undergoes solution processing into uniform membranes and aerogels. Notably, under dynamic filtration, the HTS‑COF membrane achieves expeditious and highly efficient iodine sequestration from both aqueous and organic media, exhibiting outstanding rejection efficiency and cycling stability.</w:t>
      </w:r>
    </w:p>
    <w:p>
      <w:pPr>
        <w:spacing w:before="120" w:after="120"/>
      </w:pPr>
      <w:r>
        <w:rPr>
          <w:sz w:val="18"/>
        </w:rPr>
        <w:t>——————————————————————————————————————————————————————————————————————</w:t>
      </w:r>
    </w:p>
    <w:p>
      <w:pPr>
        <w:spacing w:before="160" w:after="40" w:line="240" w:lineRule="auto"/>
      </w:pPr>
      <w:r>
        <w:rPr>
          <w:b/>
        </w:rPr>
        <w:t xml:space="preserve">[37] </w:t>
      </w:r>
      <w:hyperlink r:id="rId634">
        <w:r>
          <w:rPr>
            <w:color w:val="1155CC"/>
            <w:u w:val="single"/>
          </w:rPr>
          <w:t>通过氧化物通道中的耗尽电荷增强实现神经形态应用的无层间铁电晶体管</w:t>
        </w:r>
      </w:hyperlink>
    </w:p>
    <w:p>
      <w:pPr>
        <w:spacing w:before="0" w:after="80"/>
      </w:pPr>
      <w:r>
        <w:rPr>
          <w:i/>
          <w:sz w:val="20"/>
        </w:rPr>
        <w:t>EN: Interlayer-Free Ferroelectric Transistors via Depletion Charge Boosting in Oxide Channel for Neuromorphic Applications</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635">
        <w:r>
          <w:rPr>
            <w:color w:val="1155CC"/>
            <w:u w:val="single"/>
          </w:rPr>
          <w:t>10.1021/acsami.6c10355</w:t>
        </w:r>
      </w:hyperlink>
    </w:p>
    <w:p>
      <w:pPr>
        <w:spacing w:before="0" w:after="120"/>
      </w:pPr>
      <w:r>
        <w:rPr>
          <w:b/>
        </w:rPr>
        <w:t xml:space="preserve">Notes: </w:t>
      </w:r>
      <w:r>
        <w:t>abstract_source=pubmed</w:t>
      </w:r>
    </w:p>
    <w:p>
      <w:pPr>
        <w:spacing w:before="0" w:after="80" w:lineRule="auto" w:line="276"/>
      </w:pPr>
      <w:r>
        <w:rPr>
          <w:b/>
        </w:rPr>
        <w:t xml:space="preserve">摘要（ZH）: </w:t>
      </w:r>
      <w:r>
        <w:t>由于氧化物半导体与低温互补金属氧化物半导体（CMOS）工艺的兼容性，氧化物半导体被认为是替代硅作为铁电场效应晶体管（FeFET）沟道材料的有前途的候选材料之一。然而，氧化物半导体中固有的空穴缺陷限制了完全的铁电极化转变，并且克服这种限制的实用沟道工程策略很少被证明。本研究展示了在氧化铟镓 (IGO) 通道原子层沉积期间通过原位 Ar+ 等离子体处理的耗尽电荷增强方法。在优化的等离子体处理条件下（300 W，60 s），IGO 前通道中等离子体诱导的电离氧空位充当耗尽电荷，补偿锆掺杂 HfO2 (HZO) 层中的负束缚电荷。工程化的 IGO/HZO FeFET 具有 1.612 V 的改进存储窗口、高达 5120 个脉冲的增强/抑制循环以及 64 种电导状态的 100 秒的稳定多级保留。此外，基于多层感知的人工神经网络模拟在 125 个训练周期后的识别准确率约为 89%。这种耗尽电荷增强技术为改进基于氧化物通道的 FeFET 走向神经形态应用提供了一条潜在途径。</w:t>
      </w:r>
    </w:p>
    <w:p>
      <w:pPr>
        <w:spacing w:before="0" w:after="200" w:lineRule="auto" w:line="276"/>
      </w:pPr>
      <w:r>
        <w:rPr>
          <w:b/>
        </w:rPr>
        <w:t xml:space="preserve">Abstract (EN): </w:t>
      </w:r>
      <w:r>
        <w:t>Oxide semiconductors are considered one of the promising candidates to replace silicon as the channel material in ferroelectric field-effect transistors (FeFETs), owing to their compatibility with low-temperature complementary metal-oxide-semiconductor (CMOS) processing. However, intrinsic hole deficiency in oxide semiconductors limits complete ferroelectric polarization switching, and practical channel engineering strategies to overcome this limitation have rarely been demonstrated. This study demonstrates a depletion charge boosting method via in situ Ar+ plasma treatment during atomic layer deposition of the indium-gallium oxide (IGO) channel. Under the optimized plasma treatment condition (300 W for 60 s), plasma-induced ionized oxygen vacancies in the IGO front channel function as depletion charges that compensate for the negative bound charges in the zirconium-doped HfO2 (HZO) layer. The engineered IGO/HZO FeFETs exhibit an improved memory window of 1.612 V, potentiation/depression cycling up to 5120 pulses, and stable multi-level retention of 100 s for 64 conductance states. Furthermore, the multilayer perception-based artificial neural network simulations yield a recognition accuracy of approximately 89% after 125 training epochs. This depletion charge boosting technology provides a potential pathway for improving oxide channel-based FeFETs toward neuromorphic applications.</w:t>
      </w:r>
    </w:p>
    <w:p>
      <w:pPr>
        <w:spacing w:before="120" w:after="120"/>
      </w:pPr>
      <w:r>
        <w:rPr>
          <w:sz w:val="18"/>
        </w:rPr>
        <w:t>——————————————————————————————————————————————————————————————————————</w:t>
      </w:r>
    </w:p>
    <w:p>
      <w:pPr>
        <w:spacing w:before="160" w:after="40" w:line="240" w:lineRule="auto"/>
      </w:pPr>
      <w:r>
        <w:rPr>
          <w:b/>
        </w:rPr>
        <w:t xml:space="preserve">[38] </w:t>
      </w:r>
      <w:hyperlink r:id="rId636">
        <w:r>
          <w:rPr>
            <w:color w:val="1155CC"/>
            <w:u w:val="single"/>
          </w:rPr>
          <w:t>用于催化特性预测的酶特异性蛋白质语言模型</w:t>
        </w:r>
      </w:hyperlink>
    </w:p>
    <w:p>
      <w:pPr>
        <w:spacing w:before="0" w:after="80"/>
      </w:pPr>
      <w:r>
        <w:rPr>
          <w:i/>
          <w:sz w:val="20"/>
        </w:rPr>
        <w:t>EN: An enzyme-specific protein language model for catalytic property prediction</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酶驱动细胞新陈代谢，但从氨基酸序列预测催化特性仍然具有挑战性。现有的蛋白质语言模型（PLM）提供了强大的通用表示，但对于高通量筛选通常效率低下，并且不足以适应酶特异性任务。在这里，我们提出了 EnzGFM，一种基于 Mamba-Transformer 混合架构的酶特异性 PLM，具有分层预训练来捕获酶特异性模式。在酶特性预测基准中，EnzGFM 始终优于基于 Transformer 的 PLM，加速速度提高了 2-5 倍，在动力学参数预测方面相对提高了 16.67%，在酶反应图谱方面相对提高了 15.69%，在 EC 数分类方面提高了 13.19%，在突变效应评估方面提高了 20.04%。在 EnzGFM 的基础上，我们开发了 EnzGFM-Agent，这是一种以酶为中心的代理管道。实验验证进一步表明 EnzGFM-Agent 可以丰富小型候选池中的有益变体。总之，这些结果表明 EnzGFM 捕获酶特异性序列功能模式，而 EnzGFM-Agent 将这些预测转化为实验上可行的候选物，并有助于减轻实际酶工程的湿实验室筛选负担。</w:t>
      </w:r>
    </w:p>
    <w:p>
      <w:pPr>
        <w:spacing w:before="0" w:after="200" w:lineRule="auto" w:line="276"/>
      </w:pPr>
      <w:r>
        <w:rPr>
          <w:b/>
        </w:rPr>
        <w:t xml:space="preserve">Abstract (EN): </w:t>
      </w:r>
      <w:r>
        <w:t>Enzymes drive cellular metabolism, yet predicting catalytic properties from amino acid sequences remains challenging. Existing protein language models (PLMs) provide powerful general-purpose representations but are often inefficient for high-throughput screening and insufficiently adapted to enzyme-specific tasks. Here, we propose EnzGFM, an enzyme-specific PLM based on a Mamba-Transformer hybrid architecture with hierarchical pre-training to capture enzyme-specific patterns. Across enzyme property prediction benchmarks, EnzGFM consistently outperforms Transformer-based PLMs with 2–5-fold acceleration, achieving relative improvements of 16.67% in kinetic parameter prediction, 15.69% in enzyme-reaction mapping, 13.19% in EC number classification, and 20.04% in mutation effect assessment. Building on EnzGFM, we develop EnzGFM-Agent, an enzyme-focused agentic pipeline. Experimental validation further suggests that EnzGFM-Agent can enrich beneficial variants within small candidate pools. Together, these results demonstrate that EnzGFM captures enzyme-specific sequence-function patterns, while EnzGFM-Agent translates these predictions into experimentally actionable candidates and can help reduce wet-lab screening burden for practical enzyme engineering.</w:t>
      </w:r>
    </w:p>
    <w:p>
      <w:pPr>
        <w:spacing w:before="120" w:after="120"/>
      </w:pPr>
      <w:r>
        <w:rPr>
          <w:sz w:val="18"/>
        </w:rPr>
        <w:t>——————————————————————————————————————————————————————————————————————</w:t>
      </w:r>
    </w:p>
    <w:p>
      <w:pPr>
        <w:spacing w:before="160" w:after="40" w:line="240" w:lineRule="auto"/>
      </w:pPr>
      <w:r>
        <w:rPr>
          <w:b/>
        </w:rPr>
        <w:t xml:space="preserve">[39] </w:t>
      </w:r>
      <w:hyperlink r:id="rId637">
        <w:r>
          <w:rPr>
            <w:color w:val="1155CC"/>
            <w:u w:val="single"/>
          </w:rPr>
          <w:t>利用医学知识引导多模态大语言模型，用于自动食管胃十二指肠镜诊断和报告</w:t>
        </w:r>
      </w:hyperlink>
    </w:p>
    <w:p>
      <w:pPr>
        <w:spacing w:before="0" w:after="80"/>
      </w:pPr>
      <w:r>
        <w:rPr>
          <w:i/>
          <w:sz w:val="20"/>
        </w:rPr>
        <w:t>EN: Bootstrapping multimodal large language model with medical knowledge for automatic esophagogastroduodenoscopy diagnosis and reporting</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食管胃十二指肠镜检查（EGD）是诊断胃肠道（GI）疾病的重要临床检查，而随后的EGD报告在临床决策和治疗干预中发挥着至关重要的作用。本文首次尝试利用医学知识引导多模态大语言模型 (MLLM) 用于 EGD 诊断和报告 (EDR)。我们收集了迄今为止最大的多中心 EGD 数据集，包含 4461 名参与者、203,838 张 EGD 图像和 4461 份相应的 EGD 报告。实验结果表明，所提出的方法 MLLM-EDR 对 19 种胃肠道疾病的平均诊断准确度为 0.882，优于最先进的人工智能模型 (0.720) 和初级内窥镜医师 (0.784)。我们生成的报告的完整性和真实性得分与高级内窥镜医师创建的报告的质量相匹配。此外，我们的方法将内窥镜医师的工作量从 7 分钟减少到 13.48 秒。这些结果凸显了 MLLM-EDR 对于人工智能辅助 EGD 诊断和报告应用的活力和意义。</w:t>
      </w:r>
    </w:p>
    <w:p>
      <w:pPr>
        <w:spacing w:before="0" w:after="200" w:lineRule="auto" w:line="276"/>
      </w:pPr>
      <w:r>
        <w:rPr>
          <w:b/>
        </w:rPr>
        <w:t xml:space="preserve">Abstract (EN): </w:t>
      </w:r>
      <w:r>
        <w:t>Esophagogastroduodenoscopy (EGD) is an essential clinical procedure for diagnosing gastrointestinal (GI) diseases, while the subsequent EGD reports play a vital role in clinical decision-making and therapeutic interventions. This paper makes the first attempt to bootstrap Multimodal Large Language Models (MLLM) with medical knowledge for EGD diagnosis and reporting (EDR). We collected the largest multicentric EGD dataset so far, containing 4461 participants with 203,838 EGD images and 4461 corresponding EGD reports. Experimental results demonstrate that the proposed method, MLLM-EDR, achieves an average diagnostic accuracy of 0.882 for nineteen GI diseases, outperforming both state-of-the-art AI models (0.720) and junior endoscopists (0.784). The completeness and facticity scores of our generated reports match the quality of those created by senior endoscopists. Moreover, our method substantially reduces the endoscopists’ workload from 7 minutes to 13.48 seconds. These results highlight the vigor and significance of MLLM-EDR for AI-assisted EGD diagnostic and reporting applications.</w:t>
      </w:r>
    </w:p>
    <w:p>
      <w:pPr>
        <w:spacing w:before="120" w:after="120"/>
      </w:pPr>
      <w:r>
        <w:rPr>
          <w:sz w:val="18"/>
        </w:rPr>
        <w:t>——————————————————————————————————————————————————————————————————————</w:t>
      </w:r>
    </w:p>
    <w:p>
      <w:pPr>
        <w:spacing w:before="160" w:after="40" w:line="240" w:lineRule="auto"/>
      </w:pPr>
      <w:r>
        <w:rPr>
          <w:b/>
        </w:rPr>
        <w:t xml:space="preserve">[40] </w:t>
      </w:r>
      <w:hyperlink r:id="rId638">
        <w:r>
          <w:rPr>
            <w:color w:val="1155CC"/>
            <w:u w:val="single"/>
          </w:rPr>
          <w:t>压缩学习支架高阶网络结构以增强人类知识获取</w:t>
        </w:r>
      </w:hyperlink>
    </w:p>
    <w:p>
      <w:pPr>
        <w:spacing w:before="0" w:after="80"/>
      </w:pPr>
      <w:r>
        <w:rPr>
          <w:i/>
          <w:sz w:val="20"/>
        </w:rPr>
        <w:t>EN: Compressive learning scaffolds higher-order network structure to enhance human knowledge acquisition</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人类自然地寻求知识，但整合大量、碎片化的信息仍然具有挑战性。传统上，知识获取依赖于网络内的随机游走——一个无指导且低效的过程。在这里，我们引入“压缩学习”，这是一种概念框架，它将高阶结构特征（特别是节点度不均匀性）嵌入到预学习轨迹中，以支持更有效的学习。我们表明，无标度网络由于其明显的程度不均匀性，比其他网络类型更具可压缩性和可学习性。至关重要的是，突出这种非同质高阶结构的预学习路径有利于后续的网络学习。脑磁图（MEG）记录显示，压缩预学习增强了背侧前扣带皮层（ACC）的结构化神经表征。两阶段计算模型表明，压缩学习构建了一个由高阶结构定义的网络骨架，可以有效地容纳新的输入。总之，我们的结果强调了高阶网络结构在人类学习中的核心作用，并提供了一种有效地将碎片信息整合到连贯知识框架中的战略方法。</w:t>
      </w:r>
    </w:p>
    <w:p>
      <w:pPr>
        <w:spacing w:before="0" w:after="200" w:lineRule="auto" w:line="276"/>
      </w:pPr>
      <w:r>
        <w:rPr>
          <w:b/>
        </w:rPr>
        <w:t xml:space="preserve">Abstract (EN): </w:t>
      </w:r>
      <w:r>
        <w:t>Humans naturally seek knowledge, yet integrating vast, fragmented information remains challenging. Traditionally, knowledge acquisition has relied on random walks within network—an unguided and inefficient process. Here, we introduce “compressive learning”, a conceptual framework that embeds higher-order structural features—specifically node-degree inhomogeneity—into pre-learning trajectories to scaffold more efficient learning. We show that scale-free networks, owing to their pronounced degree inhomogeneity, are more compressible and more learnable than other network types. Critically, pre-learning paths that highlight this inhomogeneous higher-order structure facilitate subsequent network learning. Magnetoencephalography (MEG) recordings reveal that compressive pre-learning enhances structured neural representations in the dorsal anterior cingulate cortex (ACC). Two-stage computational modeling indicates that compressive learning constructs a network skeleton defined by higher-order structure that efficiently accommodates new inputs. Together, our results highlight the central role of higher-order network structure in human learning and offer a strategic approach to effectively integrating fragmented information into a coherent knowledge framework.</w:t>
      </w:r>
    </w:p>
    <w:p>
      <w:pPr>
        <w:spacing w:before="120" w:after="120"/>
      </w:pPr>
      <w:r>
        <w:rPr>
          <w:sz w:val="18"/>
        </w:rPr>
        <w:t>——————————————————————————————————————————————————————————————————————</w:t>
      </w:r>
    </w:p>
    <w:p>
      <w:pPr>
        <w:spacing w:before="160" w:after="40" w:line="240" w:lineRule="auto"/>
      </w:pPr>
      <w:r>
        <w:rPr>
          <w:b/>
        </w:rPr>
        <w:t xml:space="preserve">[41] </w:t>
      </w:r>
      <w:hyperlink r:id="rId639">
        <w:r>
          <w:rPr>
            <w:color w:val="1155CC"/>
            <w:u w:val="single"/>
          </w:rPr>
          <w:t>IL-26驱动的表观遗传重塑促进结直肠癌的免疫逃避</w:t>
        </w:r>
      </w:hyperlink>
    </w:p>
    <w:p>
      <w:pPr>
        <w:spacing w:before="0" w:after="80"/>
      </w:pPr>
      <w:r>
        <w:rPr>
          <w:i/>
          <w:sz w:val="20"/>
        </w:rPr>
        <w:t>EN: IL-26-driven epigenetic remodeling promotes immune evasion in colorectal cancer</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癌细胞通过肿瘤微环境中炎症分泌组驱动的表观遗传重塑获得恶性特征。然而，免疫源性炎症因子如何调节癌细胞表观遗传学仍知之甚少。在这里，我们证明肿瘤特异性 17 型 T 细胞产生的 IL-26 是与癌症恶性肿瘤相关的表观遗传重编程的关键介质。我们发现，结直肠肿瘤中表达 IL-26 的 T 细胞选择性积累，对免疫检查点阻断疗法具有抗性。 IL-26 通过易位到肿瘤细胞的细胞核中发挥非典型细胞因子的作用，在细胞核中直接结合 STAT1 并与 NF-κB 和 AP-1 形成转录复合物。核 IL-26 诱导转录活性染色质状态，其特征是 BRD4 和 H3K27ac 富集，导致 CXCL 趋化因子上调。该过程通过抑制 CD8 + T 细胞反应促进中性粒细胞浸润并增强免疫逃避和肿瘤进展。总之，这些发现支持了一种模型，其中肿瘤特异性 17 型 T 细胞通过 IL-26 直接重新编程癌细胞表观遗传学，重塑肿瘤免疫微环境以促进免疫逃避。</w:t>
      </w:r>
    </w:p>
    <w:p>
      <w:pPr>
        <w:spacing w:before="0" w:after="200" w:lineRule="auto" w:line="276"/>
      </w:pPr>
      <w:r>
        <w:rPr>
          <w:b/>
        </w:rPr>
        <w:t xml:space="preserve">Abstract (EN): </w:t>
      </w:r>
      <w:r>
        <w:t>Cancer cells acquire malignant traits through epigenetic remodeling driven by inflammatory secretomes in the tumor microenvironment. However, how immune-derived inflammatory factors regulate cancer cell epigenetics remains poorly understood. Here, we show that IL-26 produced by tumor-specific type 17 T cells acts as a key mediator of epigenetic reprogramming associated with cancer malignancy. We identify selective accumulation of IL-26–expressing T cells in colorectal tumors resistant to immune checkpoint blockade therapy. IL-26 functions as a noncanonical cytokine by translocating into the nucleus of tumor cells, where it directly binds STAT1 and forms transcriptional complexes with NF-κB and AP-1. Nuclear IL-26 induces a transcriptionally active chromatin state characterized by BRD4 and H3K27ac enrichment, resulting in upregulation of CXCL chemokines. This process promotes neutrophil infiltration and enhances immune evasion and tumor progression by suppressing CD8 + T cell responses. Together, these findings support a model in which tumor-specific type 17 T cells directly reprogram cancer cell epigenetics through IL-26, reshaping the tumor immune microenvironment to promote immune evasion.</w:t>
      </w:r>
    </w:p>
    <w:p>
      <w:pPr>
        <w:spacing w:before="120" w:after="120"/>
      </w:pPr>
      <w:r>
        <w:rPr>
          <w:sz w:val="18"/>
        </w:rPr>
        <w:t>——————————————————————————————————————————————————————————————————————</w:t>
      </w:r>
    </w:p>
    <w:p>
      <w:pPr>
        <w:spacing w:before="160" w:after="40" w:line="240" w:lineRule="auto"/>
      </w:pPr>
      <w:r>
        <w:rPr>
          <w:b/>
        </w:rPr>
        <w:t xml:space="preserve">[42] </w:t>
      </w:r>
      <w:hyperlink r:id="rId640">
        <w:r>
          <w:rPr>
            <w:color w:val="1155CC"/>
            <w:u w:val="single"/>
          </w:rPr>
          <w:t>40S 核糖体蛋白缺陷的趋同性核蛋白内稳态改变</w:t>
        </w:r>
      </w:hyperlink>
    </w:p>
    <w:p>
      <w:pPr>
        <w:spacing w:before="0" w:after="80"/>
      </w:pPr>
      <w:r>
        <w:rPr>
          <w:i/>
          <w:sz w:val="20"/>
        </w:rPr>
        <w:t>EN: Convergent nuclear proteostasis alterations across 40S ribosomal protein deficiencies</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核糖体生物发生的缺陷导致核糖体病，但畸形前核糖体的致病作用仍不清楚。使用前核糖体分离、活细胞和共聚焦显微镜以及自动成像屏幕，我们追踪了 33 种小亚基核糖体蛋白 (RPS) 耗尽后失效的前核糖体。我们发现，无论受影响的 40S 亚基成熟阶段如何，所有 RPS 缺陷都会导致核仁前核糖体材料在核质中积累。这些异常颗粒表现为分散的复合物或持久的聚集体，是在有丝分裂后期的核仁重新组装过程中产生的。尽管核仁形态基本保持完整，但它们的积累会损害核仁因子的循环并破坏核仁-核质蛋白质稳态。不同的 RPS 缺陷会产生不同的前核糖体行为，表明成熟特异性。值得注意的是，RPS19（由 Diamond-Blackfan 贫血中最常见的突变基因编码的蛋白质）的缺失会导致特别严重的缺陷。我们的研究结果表明，核质前核糖体聚集和分散是 RPS 缺陷的常见后果，也是 40S 核糖体病发病机制的潜在因素。</w:t>
      </w:r>
    </w:p>
    <w:p>
      <w:pPr>
        <w:spacing w:before="0" w:after="200" w:lineRule="auto" w:line="276"/>
      </w:pPr>
      <w:r>
        <w:rPr>
          <w:b/>
        </w:rPr>
        <w:t xml:space="preserve">Abstract (EN): </w:t>
      </w:r>
      <w:r>
        <w:t>Defects in ribosome biogenesis cause ribosomopathies, but the pathogenic role of malformed preribosomes remains unclear. Using preribosome fractionation, live-cell and confocal microscopy, and automated imaging screens, we tracked abortive preribosomes following depletion of the 33 small-subunit ribosomal proteins (RPSs). We found that all RPS deficiencies lead to accumulation of nucleolar preribosome materials in the nucleoplasm, regardless of the affected 40S subunit maturation stage. These aberrant particles appear as dispersed complexes or persistent aggregates arising during nucleolar reassembly in late mitosis. Although nucleolar morphology remains largely intact, their accumulation impairs recycling of nucleolar factors and disrupts nucleolar–nucleoplasmic proteostasis. Distinct RPS deficiencies produce different preribosome behaviors, indicating maturation-specific properties. Notably, depletion of RPS19, the protein encoded by the most frequently mutated gene in Diamond–Blackfan anemia, causes particularly severe defects. Our findings identify nucleoplasmic preribosome aggregation and dispersion as common consequences of RPS deficits and potential contributors to 40S ribosomopathy pathogenesis.</w:t>
      </w:r>
    </w:p>
    <w:p>
      <w:pPr>
        <w:spacing w:before="120" w:after="120"/>
      </w:pPr>
      <w:r>
        <w:rPr>
          <w:sz w:val="18"/>
        </w:rPr>
        <w:t>——————————————————————————————————————————————————————————————————————</w:t>
      </w:r>
    </w:p>
    <w:p>
      <w:pPr>
        <w:spacing w:before="160" w:after="40" w:line="240" w:lineRule="auto"/>
      </w:pPr>
      <w:r>
        <w:rPr>
          <w:b/>
        </w:rPr>
        <w:t xml:space="preserve">[43] </w:t>
      </w:r>
      <w:hyperlink r:id="rId641">
        <w:r>
          <w:rPr>
            <w:color w:val="1155CC"/>
            <w:u w:val="single"/>
          </w:rPr>
          <w:t>甲基转移酶核酶活性位点的神奇甲基效应</w:t>
        </w:r>
      </w:hyperlink>
    </w:p>
    <w:p>
      <w:pPr>
        <w:spacing w:before="0" w:after="80"/>
      </w:pPr>
      <w:r>
        <w:rPr>
          <w:i/>
          <w:sz w:val="20"/>
        </w:rPr>
        <w:t>EN: A magic methyl effect in the active site of a methyltransferase ribozyme</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RNA 的化学丰富度通过转录后修饰大大增强，其中 RNA 甲基化是最突出的类型。 RNA 修饰调节 RNA 分子的稳定性、折叠和相互作用模式。此外，新出现的数据表明 RNA 修饰还直接调节催化 RNA 分子（即核酶）的活性。在这里，我们采用经典和混合量子经典 (QM/MM) 分子动力学 (MD) 模拟来研究人工甲基转移酶核酶 MTR1 的反应机制。重要的是，我们查明了活性位点核苷酸的 2'-O-甲基化如何通过降低核糖环的构象灵活性和刚性化活性位点来协同增强核酶活性。最后，本文报道的修改后的 MTR1 晶体结构以 2.6 Å 分辨率求解，验证了我们的模拟结果。总而言之，我们的工作支持了所谓的修饰 RNA 在早期 RNA 催化中的核心作用，并可能指导更有效核酶的合理设计。</w:t>
      </w:r>
    </w:p>
    <w:p>
      <w:pPr>
        <w:spacing w:before="0" w:after="200" w:lineRule="auto" w:line="276"/>
      </w:pPr>
      <w:r>
        <w:rPr>
          <w:b/>
        </w:rPr>
        <w:t xml:space="preserve">Abstract (EN): </w:t>
      </w:r>
      <w:r>
        <w:t>The chemical richness of RNAs is greatly enhanced by post-transcriptional modifications with RNA methylation as the most prominent type. RNA modifications modulate the stability, folding and interaction pattern of RNA molecules. Furthermore, emerging data suggests RNA modifications also directly regulate the activity of catalytic RNA molecules, i.e., ribozymes. Here, we employ classical and hybrid quantum-classical (QM/MM) molecular dynamics (MD) simulations to investigate the reaction mechanism of an artificial methyltransferase ribozyme MTR1. Importantly, we pinpoint how 2’-O-methylations of active site nucleotides synergistically enhance ribozyme activity by reducing the conformational flexibility of the ribose rings and rigidifying the active site. Finally, the herein reported crystal structure of the modified MTR1, solved at 2.6 Å resolution, validates the results of our simulations. Taken together, our work supports the purported central role of modified RNA for early RNA catalysis and may guide rational design of more efficient ribozymes.</w:t>
      </w:r>
    </w:p>
    <w:p>
      <w:pPr>
        <w:spacing w:before="120" w:after="120"/>
      </w:pPr>
      <w:r>
        <w:rPr>
          <w:sz w:val="18"/>
        </w:rPr>
        <w:t>——————————————————————————————————————————————————————————————————————</w:t>
      </w:r>
    </w:p>
    <w:p>
      <w:pPr>
        <w:spacing w:before="160" w:after="40" w:line="240" w:lineRule="auto"/>
      </w:pPr>
      <w:r>
        <w:rPr>
          <w:b/>
        </w:rPr>
        <w:t xml:space="preserve">[44] </w:t>
      </w:r>
      <w:hyperlink r:id="rId642">
        <w:r>
          <w:rPr>
            <w:color w:val="1155CC"/>
            <w:u w:val="single"/>
          </w:rPr>
          <w:t>脸上的可穿戴传感器是肉眼看不见的</w:t>
        </w:r>
      </w:hyperlink>
    </w:p>
    <w:p>
      <w:pPr>
        <w:spacing w:before="0" w:after="80"/>
      </w:pPr>
      <w:r>
        <w:rPr>
          <w:i/>
          <w:sz w:val="20"/>
        </w:rPr>
        <w:t>EN: Wearable sensors on the face are invisible to the eye</w:t>
      </w:r>
    </w:p>
    <w:p>
      <w:pPr>
        <w:spacing w:before="0" w:after="120"/>
      </w:pPr>
      <w:r>
        <w:rPr>
          <w:b/>
        </w:rPr>
        <w:t xml:space="preserve">Source: </w:t>
      </w:r>
      <w:r>
        <w:t>Nature</w:t>
      </w:r>
      <w:r>
        <w:t xml:space="preserve">    </w:t>
      </w:r>
      <w:r>
        <w:rPr>
          <w:b/>
        </w:rPr>
        <w:t xml:space="preserve">Pub date: </w:t>
      </w:r>
      <w:r>
        <w:t>2026-07-17 00:00:00+00:00</w:t>
      </w:r>
      <w:r>
        <w:t xml:space="preserve">    </w:t>
      </w:r>
      <w:r>
        <w:rPr>
          <w:b/>
        </w:rPr>
        <w:t xml:space="preserve">DOI: </w:t>
      </w:r>
      <w:hyperlink r:id="rId643">
        <w:r>
          <w:rPr>
            <w:color w:val="1155CC"/>
            <w:u w:val="single"/>
          </w:rPr>
          <w:t>10.1038/d41586-026-02193-1</w:t>
        </w:r>
      </w:hyperlink>
    </w:p>
    <w:p>
      <w:pPr>
        <w:spacing w:before="0" w:after="120"/>
      </w:pPr>
      <w:r>
        <w:rPr>
          <w:b/>
        </w:rPr>
        <w:t xml:space="preserve">Notes: </w:t>
      </w:r>
      <w:r>
        <w:t>abstract_source=nature_html</w:t>
      </w:r>
    </w:p>
    <w:p>
      <w:pPr>
        <w:spacing w:before="0" w:after="80" w:lineRule="auto" w:line="276"/>
      </w:pPr>
      <w:r>
        <w:rPr>
          <w:b/>
        </w:rPr>
        <w:t xml:space="preserve">摘要（ZH）: </w:t>
      </w:r>
      <w:r>
        <w:t>测量脑电波等的电极是看不见或摸不着的。测量脑电波等的电极是看不见或摸不着的。</w:t>
      </w:r>
    </w:p>
    <w:p>
      <w:pPr>
        <w:spacing w:before="0" w:after="200" w:lineRule="auto" w:line="276"/>
      </w:pPr>
      <w:r>
        <w:rPr>
          <w:b/>
        </w:rPr>
        <w:t xml:space="preserve">Abstract (EN): </w:t>
      </w:r>
      <w:r>
        <w:t>Electrodes that measure brain waves and more cannot be seen or felt. Electrodes that measure brain waves and more cannot be seen or felt.</w:t>
      </w:r>
    </w:p>
    <w:p>
      <w:pPr>
        <w:spacing w:before="120" w:after="120"/>
      </w:pPr>
      <w:r>
        <w:rPr>
          <w:sz w:val="18"/>
        </w:rPr>
        <w:t>——————————————————————————————————————————————————————————————————————</w:t>
      </w:r>
    </w:p>
    <w:p>
      <w:pPr>
        <w:spacing w:before="160" w:after="40" w:line="240" w:lineRule="auto"/>
      </w:pPr>
      <w:r>
        <w:rPr>
          <w:b/>
        </w:rPr>
        <w:t xml:space="preserve">[45] </w:t>
      </w:r>
      <w:hyperlink r:id="rId644">
        <w:r>
          <w:rPr>
            <w:color w:val="1155CC"/>
            <w:u w:val="single"/>
          </w:rPr>
          <w:t>水催化超快形成水合氢簇</w:t>
        </w:r>
      </w:hyperlink>
    </w:p>
    <w:p>
      <w:pPr>
        <w:spacing w:before="0" w:after="80"/>
      </w:pPr>
      <w:r>
        <w:rPr>
          <w:i/>
          <w:sz w:val="20"/>
        </w:rPr>
        <w:t>EN: Water-catalyzed ultrafast formation of hydronium clusters</w:t>
      </w:r>
    </w:p>
    <w:p>
      <w:pPr>
        <w:spacing w:before="0" w:after="120"/>
      </w:pPr>
      <w:r>
        <w:rPr>
          <w:b/>
        </w:rPr>
        <w:t xml:space="preserve">Source: </w:t>
      </w:r>
      <w:r>
        <w:t>National Science Review Advance Access</w:t>
      </w:r>
      <w:r>
        <w:t xml:space="preserve">    </w:t>
      </w:r>
      <w:r>
        <w:rPr>
          <w:b/>
        </w:rPr>
        <w:t xml:space="preserve">Pub date: </w:t>
      </w:r>
      <w:r>
        <w:t>2026-07-17 00:00:00+00:00</w:t>
      </w:r>
      <w:r>
        <w:t xml:space="preserve">    </w:t>
      </w:r>
      <w:r>
        <w:rPr>
          <w:b/>
        </w:rPr>
        <w:t xml:space="preserve">DOI: </w:t>
      </w:r>
      <w:hyperlink r:id="rId645">
        <w:r>
          <w:rPr>
            <w:color w:val="1155CC"/>
            <w:u w:val="single"/>
          </w:rPr>
          <w:t>10.1093/nsr/nwag443</w:t>
        </w:r>
      </w:hyperlink>
    </w:p>
    <w:p>
      <w:pPr>
        <w:spacing w:before="0" w:after="120"/>
      </w:pPr>
      <w:r>
        <w:rPr>
          <w:b/>
        </w:rPr>
        <w:t xml:space="preserve">Notes: </w:t>
      </w:r>
      <w:r>
        <w:t>abstract_source=rss_oup</w:t>
      </w:r>
    </w:p>
    <w:p>
      <w:pPr>
        <w:spacing w:before="0" w:after="80" w:lineRule="auto" w:line="276"/>
      </w:pPr>
      <w:r>
        <w:rPr>
          <w:b/>
        </w:rPr>
        <w:t xml:space="preserve">摘要（ZH）: </w:t>
      </w:r>
      <w:r>
        <w:t>水通过氢键网络催化质子传输，但引发这种行为所需的最小结构复杂性仍未解决。在这里，我们通过使用飞秒反应显微镜实时监测选定尺寸的水合氢簇 (H2O)n-1H+ 的超快形成来跟踪水合质子的诞生。我们观察到形成时间尺度的动力学崩溃，从水二聚体 (n = 2) 的 ∼ 259 fs 下降到三聚体 (n = 3) 的 ∼ 70 fs，然后收敛为更大的尺寸。这将循环水三聚体确定为最小催化单元。从头算分子动力学模拟表明，这种加速不是由仍然超快的初始质子转移步骤驱动的，而是由控制水合氢溶剂化产物分离的反应势垒的消除驱动的。我们的研究结果表明，仅三个水分子的协同作用就建立了有效水催化的关键拓扑阈值，为更广泛的水反应性的开始提供了微观蓝图。</w:t>
      </w:r>
    </w:p>
    <w:p>
      <w:pPr>
        <w:spacing w:before="0" w:after="200" w:lineRule="auto" w:line="276"/>
      </w:pPr>
      <w:r>
        <w:rPr>
          <w:b/>
        </w:rPr>
        <w:t xml:space="preserve">Abstract (EN): </w:t>
      </w:r>
      <w:r>
        <w:t>Water catalyzes proton transport through hydrogen-bond networks, yet the minimal structural complexity required to initiate this behavior remains unresolved. Here, we track the birth of the hydrated proton by monitoring the ultrafast formation of size-selected hydronium clusters (H2O)n-1H+ in real time using femtosecond reaction microscopy. We observe a kinetic collapse in the formation timescale, which drops from ∼ 259 fs for the water dimer (n = 2) to ∼ 70 fs for the trimer (n = 3) before converging for larger sizes. This identifies the cyclic water trimer as the minimal catalytic unit. Ab initio molecular dynamics simulations reveal that this acceleration is not driven by the initial proton transfer step, which remains ultrafast, but by the elimination of the reaction barrier governing the separation of the hydronium-solvated products. Our findings demonstrate that the cooperative action of just three water molecules establishes the critical topological threshold for efficient water catalysis, providing a microscopic blueprint for the onset of broader aqueous reactivity.</w:t>
      </w:r>
    </w:p>
    <w:p>
      <w:pPr>
        <w:spacing w:before="120" w:after="120"/>
      </w:pPr>
      <w:r>
        <w:rPr>
          <w:sz w:val="18"/>
        </w:rPr>
        <w:t>——————————————————————————————————————————————————————————————————————</w:t>
      </w:r>
    </w:p>
    <w:p>
      <w:pPr>
        <w:spacing w:before="160" w:after="40" w:line="240" w:lineRule="auto"/>
      </w:pPr>
      <w:r>
        <w:rPr>
          <w:b/>
        </w:rPr>
        <w:t xml:space="preserve">[46] </w:t>
      </w:r>
      <w:hyperlink r:id="rId646">
        <w:r>
          <w:rPr>
            <w:color w:val="1155CC"/>
            <w:u w:val="single"/>
          </w:rPr>
          <w:t>黑皮质素张力降低可调节小鼠怀孕期间的喂养</w:t>
        </w:r>
      </w:hyperlink>
    </w:p>
    <w:p>
      <w:pPr>
        <w:spacing w:before="0" w:after="80"/>
      </w:pPr>
      <w:r>
        <w:rPr>
          <w:i/>
          <w:sz w:val="20"/>
        </w:rPr>
        <w:t>EN: Reduced melanocortin tone modulates feeding during pregnancy in mice</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在怀孕期间，哺乳动物增加食物摄入量，以满足与胎儿生长和发育相关的代谢需求增加。然而，介导怀孕期间增加喂养的分子和神经回路机制在很大程度上尚不清楚。在这里，我们证明了小鼠怀孕期间弓状核刺鼠相关肽（AgRP）神经元被激活，而阿片黑皮素原（POMC）神经元被抑制。这些变化对于促进怀孕期间的食欲亢进是迫切需要的，因为 AgRP 神经元的化学遗传学抑制或 POMC 神经元的激活都会将怀孕小鼠的进食量降低到非怀孕水平。最后，我们利用非怀孕和怀孕小鼠弓状核的单细胞分辨率空间转录组学来表征怀孕引起的弓状核神经元转录组状态的变化，包括许多控制能量稳态的神经元（包括 AgRP 和 POMC 神经元）的显着变化。总之，这些发现概述了调节怀孕期间增加喂养的回路机制，提供了与生殖和新陈代谢交叉点条件相关的重要机制见解。</w:t>
      </w:r>
    </w:p>
    <w:p>
      <w:pPr>
        <w:spacing w:before="0" w:after="200" w:lineRule="auto" w:line="276"/>
      </w:pPr>
      <w:r>
        <w:rPr>
          <w:b/>
        </w:rPr>
        <w:t xml:space="preserve">Abstract (EN): </w:t>
      </w:r>
      <w:r>
        <w:t>During pregnancy mammals increase their food intake to accommodate the elevated metabolic demands associated with fetal growth and development. However, the molecular and neural circuit mechanisms mediating increased feeding during pregnancy are largely unknown. Here, we demonstrate that arcuate nucleus agouti-related peptide (AgRP) neurons are activated and pro-opiomelanocortin (POMC) neurons are inhibited during pregnancy in mice. These changes are acutely required for promoting hyperphagia during pregnancy as chemogenetic inhibition of AgRP neurons or activation of POMC neurons both reduced the feeding of pregnant mice to non-pregnant levels. Finally, we utilized single cell resolution spatial transcriptomics in the arcuate nucleus of non-pregnant and pregnant mice to characterize pregnancy-induced changes in the transcriptomic state of arcuate nucleus neurons, including significant changes in many neurons controlling energy homeostasis, including AgRP and POMC neurons. Together, these findings outline a circuit mechanism regulating increased feeding during pregnancy, providing important mechanistic insights related to conditions at the intersection of reproduction and metabolism.</w:t>
      </w:r>
    </w:p>
    <w:p>
      <w:pPr>
        <w:spacing w:before="120" w:after="120"/>
      </w:pPr>
      <w:r>
        <w:rPr>
          <w:sz w:val="18"/>
        </w:rPr>
        <w:t>——————————————————————————————————————————————————————————————————————</w:t>
      </w:r>
    </w:p>
    <w:p>
      <w:pPr>
        <w:spacing w:before="160" w:after="40" w:line="240" w:lineRule="auto"/>
      </w:pPr>
      <w:r>
        <w:rPr>
          <w:b/>
        </w:rPr>
        <w:t xml:space="preserve">[47] </w:t>
      </w:r>
      <w:hyperlink r:id="rId647">
        <w:r>
          <w:rPr>
            <w:color w:val="1155CC"/>
            <w:u w:val="single"/>
          </w:rPr>
          <w:t>β-arrestin 募集促进与 G 蛋白的直接关联</w:t>
        </w:r>
      </w:hyperlink>
    </w:p>
    <w:p>
      <w:pPr>
        <w:spacing w:before="0" w:after="80"/>
      </w:pPr>
      <w:r>
        <w:rPr>
          <w:i/>
          <w:sz w:val="20"/>
        </w:rPr>
        <w:t>EN: β-arrestin recruitment facilitates a direct association with G proteins</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G 蛋白偶联受体 (GPCR) 是 FDA 批准的几乎三分之一药物的靶标。已知 GPCR 通过异源三聚体 G 蛋白和 β-抑制蛋白发出信号。传统上，这些途径被认为在很大程度上是可分离的，G 蛋白主要启动下游信号传导，而 β-抑制蛋白除了调节自身的信号传导事件外，还调节受体运输和脱敏。最近的研究表明 G 蛋白和 β-arrestin 在 GPCR 信号传导中发挥综合作用，但 G 蛋白：β-arrestin 相互作用的细胞和生化要求仍不清楚。在这里，我们证明 G 蛋白和 β-arrestins 可以直接相互作用。通过利用 β-arrestin 偏向受体和人为强制 β-arrestin 重新定位，我们证明将 β-arrestin 募集到质膜足以与 G 蛋白 Gαi 相互作用。使用纯化的蛋白质，我们证明 Gαi 直接与 β-arrestin 相互作用。此外，我们发现 Gαi 家族成员与 β-arrestin 的关联程度不同，并且这种选择性很大程度上存在于 Gαi 的 α 螺旋结构域内。这些发现描述了驱动 G 蛋白和 β-抑制蛋白之间直接相互作用的细胞和生化条件，并阐明了它们相互作用的分子基础。</w:t>
      </w:r>
    </w:p>
    <w:p>
      <w:pPr>
        <w:spacing w:before="0" w:after="200" w:lineRule="auto" w:line="276"/>
      </w:pPr>
      <w:r>
        <w:rPr>
          <w:b/>
        </w:rPr>
        <w:t xml:space="preserve">Abstract (EN): </w:t>
      </w:r>
      <w:r>
        <w:t>G protein-coupled receptors (GPCRs) are targets for almost a third of all FDA-approved drugs. GPCRs are known to signal through both heterotrimeric G proteins and β-arrestins. Traditionally these pathways were viewed as largely separable, with G proteins primarily initiating downstream signaling while β-arrestins modulate receptor trafficking and desensitization in addition to regulating their own signaling events. Recent studies suggest an integrated role of G proteins and β-arrestins in GPCR signaling, however the cellular and biochemical requirements for G protein:β-arrestin interactions remain unclear. Here, we show that G proteins and β-arrestins can directly interact. Through utilization of β-arrestin-biased receptors and artificially enforced β-arrestin relocalization, we demonstrate that recruitment of β-arrestin to the plasma membrane is sufficient to interact with the G protein Gαi. Using purified proteins, we show that Gαi directly interacts with β-arrestin. In addition, we find that Gαi family members differ in their degree of association with β-arrestin, and that a large degree of this selectivity resides within the alpha helical domain of Gαi. These findings delineate the cellular and biochemical conditions that drive direct interactions between G proteins and β-arrestins and illuminate the molecular basis for how they interact.</w:t>
      </w:r>
    </w:p>
    <w:p>
      <w:pPr>
        <w:spacing w:before="120" w:after="120"/>
      </w:pPr>
      <w:r>
        <w:rPr>
          <w:sz w:val="18"/>
        </w:rPr>
        <w:t>——————————————————————————————————————————————————————————————————————</w:t>
      </w:r>
    </w:p>
    <w:p>
      <w:pPr>
        <w:spacing w:before="160" w:after="40" w:line="240" w:lineRule="auto"/>
      </w:pPr>
      <w:r>
        <w:rPr>
          <w:b/>
        </w:rPr>
        <w:t xml:space="preserve">[48] </w:t>
      </w:r>
      <w:hyperlink r:id="rId648">
        <w:r>
          <w:rPr>
            <w:color w:val="1155CC"/>
            <w:u w:val="single"/>
          </w:rPr>
          <w:t>在没有瓣核酸内切酶 1 的情况下，两种不同的冈崎片段失效模式主导诱变</w:t>
        </w:r>
      </w:hyperlink>
    </w:p>
    <w:p>
      <w:pPr>
        <w:spacing w:before="0" w:after="80"/>
      </w:pPr>
      <w:r>
        <w:rPr>
          <w:i/>
          <w:sz w:val="20"/>
        </w:rPr>
        <w:t>EN: Two distinct Okazaki fragment failure modes dominate mutagenesis in the absence of flap endonuclease 1</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酵母 RAD27 基因编码 Rad27/Fen1 核酸酶，该酶有助于冈崎片段成熟 (OFM)、DNA 错配修复 (MMR)、碱基切除修复和其他过程期间的基因组稳定性。在这里，我们分析了缺乏 RAD27 的酿酒酵母的全基因组突变积累，并表明它的缺失提高了通过多种机制途径产生的多种突变类别。 rad27Δ 细胞的总体突变率比野生型高 60 倍以上，仅略低于 MMR 缺陷菌株。然而，rad27Δ细胞中的大多数突变不能用错配修复缺陷、跨损伤合成升高或其他 Rad27 相关修复过程中的缺陷来解释。相反，突变谱表明冈崎片段中间体通过连接前 DNA 末端滑动 (SBL) 和模板切换 (TS) 进行异常加工。后者可能通过复制相关过程（例如瞬时引物重定位（TPR））或通过重组介导的机制（包括同源重组）产生。 SBL 解释了 rad27Δ 细胞中的大部分插入突变，而 TS 解释了大部分替换、插入、删除和拷贝数变异，通常涉及非本地模板。我们的结果表明 Rad27 通过多种机制上不同的作用抑制基因组不稳定性。总之，这些发现表明 Rad27/Fen1 是与 MMR 同等的复制相关基因组稳定性的决定因素。</w:t>
      </w:r>
    </w:p>
    <w:p>
      <w:pPr>
        <w:spacing w:before="0" w:after="200" w:lineRule="auto" w:line="276"/>
      </w:pPr>
      <w:r>
        <w:rPr>
          <w:b/>
        </w:rPr>
        <w:t xml:space="preserve">Abstract (EN): </w:t>
      </w:r>
      <w:r>
        <w:t>The yeast RAD27 gene encodes the Rad27/Fen1 nuclease, which contributes to genome stability during Okazaki fragment maturation (OFM), DNA mismatch repair (MMR), base excision repair, and other processes. Here, we analyze whole genome mutation accumulation in Saccharomyces cerevisiae lacking RAD27 and show that its loss elevates diverse mutation classes arising through multiple mechanistic pathways. Overall mutation rates in rad27Δ cells are over 60-fold higher than in wild type and only modestly lower than in MMR-deficient strains. However, most mutations in rad27Δ cells cannot be explained by defective MMR, elevated translesion synthesis, or defects in other Rad27-associated repair processes. Instead, mutation spectra implicate aberrant processing of Okazaki fragment intermediates via DNA terminus slippage before ligation (SBL) and template switching (TS). The latter may arise through replication-associated processes such as transient primer relocation (TPR) or through recombination-mediated mechanisms including homoeologous recombination. SBL accounts for the majority of insertion mutations in rad27Δ cells, while TS explains substantial fractions of substitutions, insertions, deletions, and copy number variants, often involving non-local templates. Our results indicate that Rad27 suppresses genome instability through multiple mechanistically distinct roles. Together, these findings reveal Rad27/Fen1 to be a determinant of replication-associated genome stability on par with MMR.</w:t>
      </w:r>
    </w:p>
    <w:p>
      <w:pPr>
        <w:spacing w:before="120" w:after="120"/>
      </w:pPr>
      <w:r>
        <w:rPr>
          <w:sz w:val="18"/>
        </w:rPr>
        <w:t>——————————————————————————————————————————————————————————————————————</w:t>
      </w:r>
    </w:p>
    <w:p>
      <w:pPr>
        <w:spacing w:before="160" w:after="40" w:line="240" w:lineRule="auto"/>
      </w:pPr>
      <w:r>
        <w:rPr>
          <w:b/>
        </w:rPr>
        <w:t xml:space="preserve">[49] </w:t>
      </w:r>
      <w:hyperlink r:id="rId649">
        <w:r>
          <w:rPr>
            <w:color w:val="1155CC"/>
            <w:u w:val="single"/>
          </w:rPr>
          <w:t>主要尿蛋白 1 调节雄性小鼠情感共情模型内侧前额叶皮层的神经元兴奋性</w:t>
        </w:r>
      </w:hyperlink>
    </w:p>
    <w:p>
      <w:pPr>
        <w:spacing w:before="0" w:after="80"/>
      </w:pPr>
      <w:r>
        <w:rPr>
          <w:i/>
          <w:sz w:val="20"/>
        </w:rPr>
        <w:t>EN: Major urinary protein 1 modulates neuronal excitability in the medial prefrontal cortex in a male mouse model of affective empathy</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情感同理心描述了分享他人情感的能力，但控制同理心敏感性个体差异的分子机制仍然知之甚少。使用抑郁症社会传播 (STD) 的雄性小鼠模型，我们证明，与 STD 不敏感的观察小鼠相比，STD 敏感的观察小鼠表现出更高的神经元兴奋性，并且内侧前额叶皮层 (mPFC) 中主要尿蛋白 1 (MUP1) 的表达上调。从机制上讲，MUP1 通过调节星形胶质细胞谷氨酸转运蛋白 1 (GLT1) 来增强 mPFC 神经元兴奋性，从而驱动 STD 敏感表型。通过虚拟筛选，我们确定了两种可双向调节 STD 相关行为的小分子化合物（C25 和 C11）。总之，我们的工作将 MUP1 确立为 STD 脆弱性的主调节器，破译了驱动个体间异质情感同理心的机制，并揭示了与同理心相关的精神疾病的可行的治疗候选药物。</w:t>
      </w:r>
    </w:p>
    <w:p>
      <w:pPr>
        <w:spacing w:before="0" w:after="200" w:lineRule="auto" w:line="276"/>
      </w:pPr>
      <w:r>
        <w:rPr>
          <w:b/>
        </w:rPr>
        <w:t xml:space="preserve">Abstract (EN): </w:t>
      </w:r>
      <w:r>
        <w:t>Affective empathy describes the capacity to share others’ emotions, yet the molecular mechanisms governing individual differences in empathic sensitivity remain poorly understood. Using a male mouse model of social transmission of depression (STD), we demonstrated that STD‑sensitive observer mice exhibit heightened neuronal excitability and upregulated major urinary protein 1 (MUP1) expression in the medial prefrontal cortex (mPFC) compared with STD‑insensitive observer mice. Mechanistically, MUP1 drives the STD‑sensitive phenotype by modulating astrocytic glutamate transporter 1 (GLT1) to augment mPFC neuronal excitability. Via virtual screening, we identified two small‑molecule compounds (C25 and C11) that bidirectionally modulate STD‑related behaviors. In summary, our work establishes MUP1 as a master modulator of STD vulnerability, deciphers mechanisms driving heterogeneous affective empathy across individuals, and unveils actionable therapeutic candidates for empathy-related psychiatric illnesses.</w:t>
      </w:r>
    </w:p>
    <w:p>
      <w:pPr>
        <w:spacing w:before="120" w:after="120"/>
      </w:pPr>
      <w:r>
        <w:rPr>
          <w:sz w:val="18"/>
        </w:rPr>
        <w:t>——————————————————————————————————————————————————————————————————————</w:t>
      </w:r>
    </w:p>
    <w:p>
      <w:pPr>
        <w:spacing w:before="160" w:after="40" w:line="240" w:lineRule="auto"/>
      </w:pPr>
      <w:r>
        <w:rPr>
          <w:b/>
        </w:rPr>
        <w:t xml:space="preserve">[50] </w:t>
      </w:r>
      <w:hyperlink r:id="rId650">
        <w:r>
          <w:rPr>
            <w:color w:val="1155CC"/>
            <w:u w:val="single"/>
          </w:rPr>
          <w:t>男性在睾丸组织移植后恢复精子的能力：科学家的想法</w:t>
        </w:r>
      </w:hyperlink>
    </w:p>
    <w:p>
      <w:pPr>
        <w:spacing w:before="0" w:after="80"/>
      </w:pPr>
      <w:r>
        <w:rPr>
          <w:i/>
          <w:sz w:val="20"/>
        </w:rPr>
        <w:t>EN: Man’s ability to make sperm restored after testicular tissue transplant: what scientists think</w:t>
      </w:r>
    </w:p>
    <w:p>
      <w:pPr>
        <w:spacing w:before="0" w:after="120"/>
      </w:pPr>
      <w:r>
        <w:rPr>
          <w:b/>
        </w:rPr>
        <w:t xml:space="preserve">Source: </w:t>
      </w:r>
      <w:r>
        <w:t>Nature</w:t>
      </w:r>
      <w:r>
        <w:t xml:space="preserve">    </w:t>
      </w:r>
      <w:r>
        <w:rPr>
          <w:b/>
        </w:rPr>
        <w:t xml:space="preserve">Pub date: </w:t>
      </w:r>
      <w:r>
        <w:t>2026-07-17 00:00:00+00:00</w:t>
      </w:r>
      <w:r>
        <w:t xml:space="preserve">    </w:t>
      </w:r>
      <w:r>
        <w:rPr>
          <w:b/>
        </w:rPr>
        <w:t xml:space="preserve">DOI: </w:t>
      </w:r>
      <w:hyperlink r:id="rId651">
        <w:r>
          <w:rPr>
            <w:color w:val="1155CC"/>
            <w:u w:val="single"/>
          </w:rPr>
          <w:t>10.1038/d41586-026-02191-3</w:t>
        </w:r>
      </w:hyperlink>
    </w:p>
    <w:p>
      <w:pPr>
        <w:spacing w:before="0" w:after="120"/>
      </w:pPr>
      <w:r>
        <w:rPr>
          <w:b/>
        </w:rPr>
        <w:t xml:space="preserve">Notes: </w:t>
      </w:r>
      <w:r>
        <w:t>abstract_source=nature_html</w:t>
      </w:r>
    </w:p>
    <w:p>
      <w:pPr>
        <w:spacing w:before="0" w:after="80" w:lineRule="auto" w:line="276"/>
      </w:pPr>
      <w:r>
        <w:rPr>
          <w:b/>
        </w:rPr>
        <w:t xml:space="preserve">摘要（ZH）: </w:t>
      </w:r>
      <w:r>
        <w:t>化疗前从一名 10 岁儿童身上取出的睾丸样本冷冻保存，16 年后仍可存活。化疗前从一名 10 岁儿童身上取出的睾丸样本冷冻保存，16 年后仍可存活。</w:t>
      </w:r>
    </w:p>
    <w:p>
      <w:pPr>
        <w:spacing w:before="0" w:after="200" w:lineRule="auto" w:line="276"/>
      </w:pPr>
      <w:r>
        <w:rPr>
          <w:b/>
        </w:rPr>
        <w:t xml:space="preserve">Abstract (EN): </w:t>
      </w:r>
      <w:r>
        <w:t>Testicle sample removed from a ten-year-old before chemotherapy and frozen proves viable 16 years later. Testicle sample removed from a ten-year-old before chemotherapy and frozen proves viable 16 years later.</w:t>
      </w:r>
    </w:p>
    <w:p>
      <w:pPr>
        <w:spacing w:before="120" w:after="120"/>
      </w:pPr>
      <w:r>
        <w:rPr>
          <w:sz w:val="18"/>
        </w:rPr>
        <w:t>——————————————————————————————————————————————————————————————————————</w:t>
      </w:r>
    </w:p>
    <w:p>
      <w:pPr>
        <w:spacing w:before="160" w:after="40" w:line="240" w:lineRule="auto"/>
      </w:pPr>
      <w:r>
        <w:rPr>
          <w:b/>
        </w:rPr>
        <w:t xml:space="preserve">[51] </w:t>
      </w:r>
      <w:hyperlink r:id="rId652">
        <w:r>
          <w:rPr>
            <w:color w:val="1155CC"/>
            <w:u w:val="single"/>
          </w:rPr>
          <w:t>简报聊天：甜蜜！太空中发现难以捉摸的糖分子</w:t>
        </w:r>
      </w:hyperlink>
    </w:p>
    <w:p>
      <w:pPr>
        <w:spacing w:before="0" w:after="80"/>
      </w:pPr>
      <w:r>
        <w:rPr>
          <w:i/>
          <w:sz w:val="20"/>
        </w:rPr>
        <w:t>EN: Briefing Chat: Sweet! Elusive sugar molecules found in space</w:t>
      </w:r>
    </w:p>
    <w:p>
      <w:pPr>
        <w:spacing w:before="0" w:after="120"/>
      </w:pPr>
      <w:r>
        <w:rPr>
          <w:b/>
        </w:rPr>
        <w:t xml:space="preserve">Source: </w:t>
      </w:r>
      <w:r>
        <w:t>Nature</w:t>
      </w:r>
      <w:r>
        <w:t xml:space="preserve">    </w:t>
      </w:r>
      <w:r>
        <w:rPr>
          <w:b/>
        </w:rPr>
        <w:t xml:space="preserve">Pub date: </w:t>
      </w:r>
      <w:r>
        <w:t>2026-07-17 00:00:00+00:00</w:t>
      </w:r>
      <w:r>
        <w:t xml:space="preserve">    </w:t>
      </w:r>
      <w:r>
        <w:rPr>
          <w:b/>
        </w:rPr>
        <w:t xml:space="preserve">DOI: </w:t>
      </w:r>
      <w:hyperlink r:id="rId653">
        <w:r>
          <w:rPr>
            <w:color w:val="1155CC"/>
            <w:u w:val="single"/>
          </w:rPr>
          <w:t>10.1038/d41586-026-02263-4</w:t>
        </w:r>
      </w:hyperlink>
    </w:p>
    <w:p>
      <w:pPr>
        <w:spacing w:before="0" w:after="120"/>
      </w:pPr>
      <w:r>
        <w:rPr>
          <w:b/>
        </w:rPr>
        <w:t xml:space="preserve">Notes: </w:t>
      </w:r>
      <w:r>
        <w:t>abstract_source=nature_html</w:t>
      </w:r>
    </w:p>
    <w:p>
      <w:pPr>
        <w:spacing w:before="0" w:after="80" w:lineRule="auto" w:line="276"/>
      </w:pPr>
      <w:r>
        <w:rPr>
          <w:b/>
        </w:rPr>
        <w:t xml:space="preserve">摘要（ZH）: </w:t>
      </w:r>
      <w:r>
        <w:t>《自然》工作人员讨论了在星际空间中发现的四碳“真正的糖”——此外，刻在墙上的公式揭示了一位玛雅数学家的名字。聆听科学界最伟大的故事 | 2026 年 7 月 17 日</w:t>
      </w:r>
    </w:p>
    <w:p>
      <w:pPr>
        <w:spacing w:before="0" w:after="200" w:lineRule="auto" w:line="276"/>
      </w:pPr>
      <w:r>
        <w:rPr>
          <w:b/>
        </w:rPr>
        <w:t xml:space="preserve">Abstract (EN): </w:t>
      </w:r>
      <w:r>
        <w:t>Nature staff discuss the discovery of a four carbon ‘true sugar’ in interstellar space — plus, a formula inscribed on a wall reveals a Maya mathematician’s name. Hear the biggest stories from the world of science | 17 July 2026</w:t>
      </w:r>
    </w:p>
    <w:p>
      <w:pPr>
        <w:spacing w:before="120" w:after="120"/>
      </w:pPr>
      <w:r>
        <w:rPr>
          <w:sz w:val="18"/>
        </w:rPr>
        <w:t>——————————————————————————————————————————————————————————————————————</w:t>
      </w:r>
    </w:p>
    <w:p>
      <w:pPr>
        <w:spacing w:before="160" w:after="40" w:line="240" w:lineRule="auto"/>
      </w:pPr>
      <w:r>
        <w:rPr>
          <w:b/>
        </w:rPr>
        <w:t xml:space="preserve">[52] </w:t>
      </w:r>
      <w:hyperlink r:id="rId654">
        <w:r>
          <w:rPr>
            <w:color w:val="1155CC"/>
            <w:u w:val="single"/>
          </w:rPr>
          <w:t>膜攻击复合物的内化成分破坏蛋白质稳态并获得警报素样特性</w:t>
        </w:r>
      </w:hyperlink>
    </w:p>
    <w:p>
      <w:pPr>
        <w:spacing w:before="0" w:after="80"/>
      </w:pPr>
      <w:r>
        <w:rPr>
          <w:i/>
          <w:sz w:val="20"/>
        </w:rPr>
        <w:t>EN: Internalized components of membrane attack complexes disrupt proteostasis and acquire alarmin-like properties</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膜攻击复合物（MAC）的免疫作用被广泛归因于其导致细胞死亡的能力。在这里，我们证明 MAC 成分 C9 形成具有促炎作用的非溶细胞聚集体。在患者发炎组织内检测到 C9 的细胞内聚集物，与内皮细胞 (EC) 激活相关，但与细胞死亡增加无关。我们将 NUMBL 确定为 Rab35 效应子，直接结合表面结合的 C9，促进 C9 内化并进入内溶酶体途径。在酸化的内溶酶体中，C9 形成不溶性聚集体，在激活 NF-κB 的过程中以降解性聚集吞噬为目标。为了发生 C9 聚集吞噬，Rab5 效应子 ZFYVE21 与 RNF34 复合，将 C9 聚集体桥接到 LC3B+ 聚集体膜上。我们在体内检测了 C9 聚集体，并表明在三个不同的小鼠模型中，ZFYVE21-RNF34 信号轴是 C9 聚集吞噬和 NF-κB 依赖性 EC 激活所必需的。 EC 中 ZFYVE21 有条件缺失的小鼠表现出聚集减少，从而减轻了皮肤移植后的全身炎症并减少了组织损伤。我们的数据表明，MAC 的 C9 成分形成具有类似警报素特性的细胞内聚集体。</w:t>
      </w:r>
    </w:p>
    <w:p>
      <w:pPr>
        <w:spacing w:before="0" w:after="200" w:lineRule="auto" w:line="276"/>
      </w:pPr>
      <w:r>
        <w:rPr>
          <w:b/>
        </w:rPr>
        <w:t xml:space="preserve">Abstract (EN): </w:t>
      </w:r>
      <w:r>
        <w:t>Immune effects of membrane attack complexes (MAC) have been widely attributed to their abilities to cause cell death. Here, we show that the MAC component, C9, forms non-cytolytic aggregates with pro-inflammatory effects. Intracellular aggregates of C9 are detected within inflamed tissues of patients in association with endothelial cell (EC) activation but not increased cell death. We identify NUMBL as a Rab35 effector that directly binds surface-bound C9 to promote C9 internalization and entry into the endolysosomal pathway. Within acidified endolysosomes, C9 forms insoluble aggregates that are targeted for degradative aggrephagy in a process that activates NF-κB. For C9 aggrephagy to occur, ZFYVE21, a Rab5 effector, complexes with RNF34 to bridge C9 aggregates to LC3B+ aggresome membranes. We detect C9 aggregates in vivo, and we show that a ZFYVE21-RNF34 signaling axis is required for C9 aggrephagy and NF-κB -dependent EC activation in three separate mouse models. Mice with conditional loss of ZFYVE21 in ECs show reduced aggregraphy, resulting in attenuated systemic inflammation and reduced tissue injury following skin transplantation. Our data show that the C9 component of MACs forms intracellular aggregates with alarmin-like properties.</w:t>
      </w:r>
    </w:p>
    <w:p>
      <w:pPr>
        <w:spacing w:before="120" w:after="120"/>
      </w:pPr>
      <w:r>
        <w:rPr>
          <w:sz w:val="18"/>
        </w:rPr>
        <w:t>——————————————————————————————————————————————————————————————————————</w:t>
      </w:r>
    </w:p>
    <w:p>
      <w:pPr>
        <w:spacing w:before="160" w:after="40" w:line="240" w:lineRule="auto"/>
      </w:pPr>
      <w:r>
        <w:rPr>
          <w:b/>
        </w:rPr>
        <w:t xml:space="preserve">[53] </w:t>
      </w:r>
      <w:hyperlink r:id="rId655">
        <w:r>
          <w:rPr>
            <w:color w:val="1155CC"/>
            <w:u w:val="single"/>
          </w:rPr>
          <w:t>地中海流出水域供应北大西洋对流地点</w:t>
        </w:r>
      </w:hyperlink>
    </w:p>
    <w:p>
      <w:pPr>
        <w:spacing w:before="0" w:after="80"/>
      </w:pPr>
      <w:r>
        <w:rPr>
          <w:i/>
          <w:sz w:val="20"/>
        </w:rPr>
        <w:t>EN: Mediterranean outflow waters supply North Atlantic convection sites</w:t>
      </w:r>
    </w:p>
    <w:p>
      <w:pPr>
        <w:spacing w:before="0" w:after="120"/>
      </w:pPr>
      <w:r>
        <w:rPr>
          <w:b/>
        </w:rPr>
        <w:t xml:space="preserve">Source: </w:t>
      </w:r>
      <w:r>
        <w:t>Earth and environmental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地中海流出水（MOW）向北流动的分支将温暖的咸水带入北大西洋副极地，在那里深层对流有助于形成水团，为大西洋经向翻转环流的下肢提供水源。由于其独特的温盐特性，MOW 的存在可能充当这些水域形成的预处理因素。然而，副极地地区的复杂动态使得使用传统示踪剂和数据集追踪其超出∼" role="presentation"&gt;∼\sim50°N的路径具有挑战性。我们使用二十多年来在北大西洋获取的Argo浮子盐度和氧气剖面的广泛数据集来追踪向北流动的MOW并描述其沿途的演化特征。在这里，我们表明这些观测允许采用多示踪剂方法，为MOW在副极地盆地中的存在提供了有力的证据，包括厄明格海最近被确定为发生主要深对流过程的盆地，这些发现凸显了 MOW 在影响大规模翻转环流中的潜在作用。</w:t>
      </w:r>
    </w:p>
    <w:p>
      <w:pPr>
        <w:spacing w:before="0" w:after="200" w:lineRule="auto" w:line="276"/>
      </w:pPr>
      <w:r>
        <w:rPr>
          <w:b/>
        </w:rPr>
        <w:t xml:space="preserve">Abstract (EN): </w:t>
      </w:r>
      <w:r>
        <w:t>The northward-flowing branch of the Mediterranean Outflow Water (MOW) carries warm and saline water into the Subpolar North Atlantic, where deep convection contributes to the formation of water masses that feed the lower limb of the Atlantic Meridional Overturning Circulation. Due to its distinctive thermohaline characteristics, the MOW presence may act as a preconditioning factor for the formation of these waters. However, the complex dynamics of the subpolar regions make tracing its pathway beyond &amp;#x223C;" role="presentation"&gt;∼\sim50°N using conventional tracers and datasets challenging. We use an extensive dataset of Argo float salinity and oxygen profiles acquired over the North Atlantic during more than two decades to track the northward-flowing MOW and characterize its evolution along the way. Here we show that these observations allow for a multi-tracer approach, providing robust evidence of MOW’s presence in the subpolar basins, including the Irminger Sea, which has recently been identified as a basin where major deep convective processes occur. These findings highlight the potential role of the MOW in influencing the large-scale overturning circulation.</w:t>
      </w:r>
    </w:p>
    <w:p>
      <w:pPr>
        <w:spacing w:before="120" w:after="120"/>
      </w:pPr>
      <w:r>
        <w:rPr>
          <w:sz w:val="18"/>
        </w:rPr>
        <w:t>——————————————————————————————————————————————————————————————————————</w:t>
      </w:r>
    </w:p>
    <w:p>
      <w:pPr>
        <w:spacing w:before="160" w:after="40" w:line="240" w:lineRule="auto"/>
      </w:pPr>
      <w:r>
        <w:rPr>
          <w:b/>
        </w:rPr>
        <w:t xml:space="preserve">[54] </w:t>
      </w:r>
      <w:hyperlink r:id="rId656">
        <w:r>
          <w:rPr>
            <w:color w:val="1155CC"/>
            <w:u w:val="single"/>
          </w:rPr>
          <w:t>在西方关于人类在亚洲扩张的叙述中，日本的旧石器时代值得更多关注</w:t>
        </w:r>
      </w:hyperlink>
    </w:p>
    <w:p>
      <w:pPr>
        <w:spacing w:before="0" w:after="80"/>
      </w:pPr>
      <w:r>
        <w:rPr>
          <w:i/>
          <w:sz w:val="20"/>
        </w:rPr>
        <w:t>EN: The Japanese Palaeolithic deserves more attention in Western narratives about human expansion across Asia</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在西方有关人类在亚洲扩张的叙述中，日本值得更多的关注。它拥有 10,000 多个旧石器时代遗址，其中许多遗址的年代都已确定。日本提供了更新世航海和远距离旧石器时代交流网络的绝佳范例。琉球群岛的冲绳可能是人类故意将动物转移到新环境的最早例子之一。日本也可能是美洲殖民化的起点。</w:t>
      </w:r>
    </w:p>
    <w:p>
      <w:pPr>
        <w:spacing w:before="0" w:after="200" w:lineRule="auto" w:line="276"/>
      </w:pPr>
      <w:r>
        <w:rPr>
          <w:b/>
        </w:rPr>
        <w:t xml:space="preserve">Abstract (EN): </w:t>
      </w:r>
      <w:r>
        <w:t>Japan deserves more attention than it has so far received in Western narratives about the expansion of humans across Asia. It has over 10,000 Palaeolithic sites, many of which are well-dated. Japan provides excellent examples of Pleistocene sea-faring and long-distance Palaeolithic exchange networks. Okinawa in the Ryukyu Islands may provide one of the earliest examples of humans deliberately trans-locating an animal to a new environment. Japan may also have been a starting point for the colonisation of the Americas.</w:t>
      </w:r>
    </w:p>
    <w:p>
      <w:pPr>
        <w:spacing w:before="120" w:after="120"/>
      </w:pPr>
      <w:r>
        <w:rPr>
          <w:sz w:val="18"/>
        </w:rPr>
        <w:t>——————————————————————————————————————————————————————————————————————</w:t>
      </w:r>
    </w:p>
    <w:p>
      <w:pPr>
        <w:spacing w:before="160" w:after="40" w:line="240" w:lineRule="auto"/>
      </w:pPr>
      <w:r>
        <w:rPr>
          <w:b/>
        </w:rPr>
        <w:t xml:space="preserve">[55] </w:t>
      </w:r>
      <w:hyperlink r:id="rId657">
        <w:r>
          <w:rPr>
            <w:color w:val="1155CC"/>
            <w:u w:val="single"/>
          </w:rPr>
          <w:t>苝双酰亚胺超分子聚集体中介电调节的电荷和激子动力学</w:t>
        </w:r>
      </w:hyperlink>
    </w:p>
    <w:p>
      <w:pPr>
        <w:spacing w:before="0" w:after="80"/>
      </w:pPr>
      <w:r>
        <w:rPr>
          <w:i/>
          <w:sz w:val="20"/>
        </w:rPr>
        <w:t>EN: Dielectric-tuned charge and exciton dynamics in perylene bisimide supramolecular aggregates</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优化超分子结构中的电荷分离和传输对于推进人工光合作用和有机光电子学至关重要。然而，由于这些系统固有的复杂性，从结构重组中解开介电环境的影响仍然是一个挑战。在这里，我们报告了结构坚固的苝双酰亚胺 H 聚集体中介电调节的电荷和激子动力学，无论溶剂极性如何，该聚集体都保持其堆积几何形状。通过进行溶剂极性相关的瞬态吸收实验，我们观察到介电介质决定的电荷动力学的基本机械交叉：在非极性环境中，反应动力学由量子隧道通过高频振动模式（半经典体系）驱动，而在极性环境中，它们由集体溶剂波动（经典体系）控制。此外，依赖泵注量的测量表明，类准分子 S1 激子的电荷分离与激子-激子湮灭竞争，导致溶剂极性依赖的扩散长度，而生成的电荷载流子表现出非扩散行为。这些发现为区分振动辅助或溶剂控制的电子转移提供了一个分析框架，为有机半导体分子组装体中设计有效的电荷和激子传输提供了路线图。</w:t>
      </w:r>
    </w:p>
    <w:p>
      <w:pPr>
        <w:spacing w:before="0" w:after="200" w:lineRule="auto" w:line="276"/>
      </w:pPr>
      <w:r>
        <w:rPr>
          <w:b/>
        </w:rPr>
        <w:t xml:space="preserve">Abstract (EN): </w:t>
      </w:r>
      <w:r>
        <w:t>Optimizing charge separation and transport in supramolecular architectures is critical for advancing artificial photosynthesis and organic optoelectronics. However, disentangling the effects of the dielectric environment from structural reorganization remains a challenge due to the intrinsic complexity of these systems. Here, we report the dielectric-tuned charge and exciton dynamics in a structurally robust perylene bisimide H-aggregate that maintains its packing geometry regardless of solvent polarity. By performing solvent-polarity-dependent transient absorption experiments, we observe a fundamental mechanistic crossover of charge dynamics dictated by the dielectric medium: in nonpolar environments, reaction kinetics are driven by quantum tunneling via high-frequency vibrational modes (semiclassical regime), whereas in polar environments, they are gated by collective solvent fluctuations (classical regime). Furthermore, pump-fluence-dependent measurements show that charge separation from excimer-like S1 excitons competes with exciton-exciton annihilation, leading to solvent-polarity-dependent diffusion lengths, whereas the generated charge carriers display non-diffusive behavior. These findings provide an analytical framework for distinguishing between vibrationally-assisted or solvent-controlled electron transfer, offering a roadmap for engineering efficient charge and exciton transport in organic semiconducting molecular assemblies.</w:t>
      </w:r>
    </w:p>
    <w:p>
      <w:pPr>
        <w:spacing w:before="120" w:after="120"/>
      </w:pPr>
      <w:r>
        <w:rPr>
          <w:sz w:val="18"/>
        </w:rPr>
        <w:t>——————————————————————————————————————————————————————————————————————</w:t>
      </w:r>
    </w:p>
    <w:p>
      <w:pPr>
        <w:spacing w:before="160" w:after="40" w:line="240" w:lineRule="auto"/>
      </w:pPr>
      <w:r>
        <w:rPr>
          <w:b/>
        </w:rPr>
        <w:t xml:space="preserve">[56] </w:t>
      </w:r>
      <w:hyperlink r:id="rId658">
        <w:r>
          <w:rPr>
            <w:color w:val="1155CC"/>
            <w:u w:val="single"/>
          </w:rPr>
          <w:t>活性墨水的空间图案，用于不受束缚的软驱动中的可编程气体发生曲线</w:t>
        </w:r>
      </w:hyperlink>
    </w:p>
    <w:p>
      <w:pPr>
        <w:spacing w:before="0" w:after="80"/>
      </w:pPr>
      <w:r>
        <w:rPr>
          <w:i/>
          <w:sz w:val="20"/>
        </w:rPr>
        <w:t>EN: Spatial Patterning of Reactive Inks for Programmable Gas-Generation Profiles in Untethered Soft Actuation</w:t>
      </w:r>
    </w:p>
    <w:p>
      <w:pPr>
        <w:spacing w:before="0" w:after="120"/>
      </w:pPr>
      <w:r>
        <w:rPr>
          <w:b/>
        </w:rPr>
        <w:t xml:space="preserve">Source: </w:t>
      </w:r>
      <w:r>
        <w:t>ACS Applied Materials &amp; Interfaces: Latest Articles (ACS Publications)</w:t>
      </w:r>
      <w:r>
        <w:t xml:space="preserve">    </w:t>
      </w:r>
      <w:r>
        <w:rPr>
          <w:b/>
        </w:rPr>
        <w:t xml:space="preserve">Pub date: </w:t>
      </w:r>
      <w:r>
        <w:t>2026-07-17 00:00:00+00:00</w:t>
      </w:r>
      <w:r>
        <w:t xml:space="preserve">    </w:t>
      </w:r>
      <w:r>
        <w:rPr>
          <w:b/>
        </w:rPr>
        <w:t xml:space="preserve">DOI: </w:t>
      </w:r>
      <w:hyperlink r:id="rId659">
        <w:r>
          <w:rPr>
            <w:color w:val="1155CC"/>
            <w:u w:val="single"/>
          </w:rPr>
          <w:t>10.1021/acsami.6c07865</w:t>
        </w:r>
      </w:hyperlink>
    </w:p>
    <w:p>
      <w:pPr>
        <w:spacing w:before="0" w:after="120"/>
      </w:pPr>
      <w:r>
        <w:rPr>
          <w:b/>
        </w:rPr>
        <w:t xml:space="preserve">Notes: </w:t>
      </w:r>
      <w:r>
        <w:t>abstract_source=pubmed</w:t>
      </w:r>
    </w:p>
    <w:p>
      <w:pPr>
        <w:spacing w:before="0" w:after="80" w:lineRule="auto" w:line="276"/>
      </w:pPr>
      <w:r>
        <w:rPr>
          <w:b/>
        </w:rPr>
        <w:t xml:space="preserve">摘要（ZH）: </w:t>
      </w:r>
      <w:r>
        <w:t>基于化学反应的驱动为不受束缚的软机器人技术提供了一条引人注目的途径，因为它可以直接将存储的化学能转化为顺应结构内的压力和机械功。然而，其实际用途不仅取决于控制产生的气体总量，还取决于控制气体逸出的开始、速率和持续时间。在这里，我们介绍气体发生驱动系统（GAS）打印，这是一种开放式架构策略，通过活性墨水的空间图案对气体发生动力学进行编码。使用直接墨水书写，我们将高固体含量的粘弹性柠檬酸和碳酸氢钠墨水打印到纤维素纸基材上，形成空间分离的反应域，这些反应域在激活之前保持稳定。在水触发激活后，印刷结构控制反应物如何相互作用，从而允许通过几何设计对气体产生行为进行编程。通过调整墨水间间隙、界面排列和折叠配置，我们控制气体产生的开始、速率和总体轮廓，从而控制气体产生的转化为机械输出。我们通过计时器控制的浮力、持续表面推进和基于折纸的三维变形验证了这一设计原理，表明可以从常见的印刷化学结构中衍生出多种不受束缚的运动。这些结果使 GAS 打印成为一种低成本、基于纸张的平台，用于在不受束缚的软机器人系统中对气体驱动驱动进行编程。</w:t>
      </w:r>
    </w:p>
    <w:p>
      <w:pPr>
        <w:spacing w:before="0" w:after="200" w:lineRule="auto" w:line="276"/>
      </w:pPr>
      <w:r>
        <w:rPr>
          <w:b/>
        </w:rPr>
        <w:t xml:space="preserve">Abstract (EN): </w:t>
      </w:r>
      <w:r>
        <w:t>Chemical reaction-based actuation offers a compelling route to untethered soft robotics because it can directly convert stored chemical energy into pressure and mechanical work within compliant structures. Its practical utility, however, depends on controlling not only the total amount of gas generated but also the onset, rate, and duration of gas evolution. Here, we introduce Gas-generating Actuation System (GAS) printing, an open-architecture strategy that encodes gas-generation kinetics through the spatial patterning of reactive inks. Using direct ink writing, we print high-solid-loading viscoelastic citric acid and sodium bicarbonate inks onto cellulose paper substrates, creating spatially separated reactive domains that remain stable prior to activation. Upon water-triggered activation, the printed architecture governs how the reactants interact, allowing gas-generation behavior to be programmed through geometric design. By tuning the inter-ink gap, interfacial arrangement, and folded configuration, we control the onset, rate, and overall profile of gas generation and thereby its translation into mechanical output. We validate this design principle through timer-controlled buoyancy, sustained surface propulsion, and origami-based three-dimensional deformation, showing that diverse untethered motions can be derived from a common printed chemical architecture. These results establish GAS printing as a low-cost, paper-based platform for programming gas-driven actuation in untethered soft robotic systems.</w:t>
      </w:r>
    </w:p>
    <w:p>
      <w:pPr>
        <w:spacing w:before="120" w:after="120"/>
      </w:pPr>
      <w:r>
        <w:rPr>
          <w:sz w:val="18"/>
        </w:rPr>
        <w:t>——————————————————————————————————————————————————————————————————————</w:t>
      </w:r>
    </w:p>
    <w:p>
      <w:pPr>
        <w:spacing w:before="160" w:after="40" w:line="240" w:lineRule="auto"/>
      </w:pPr>
      <w:r>
        <w:rPr>
          <w:b/>
        </w:rPr>
        <w:t xml:space="preserve">[57] </w:t>
      </w:r>
      <w:hyperlink r:id="rId660">
        <w:r>
          <w:rPr>
            <w:color w:val="1155CC"/>
            <w:u w:val="single"/>
          </w:rPr>
          <w:t>亚砜催化烷醇 C(sp3)-O 键活化的重铸 Mitsunobu 反应</w:t>
        </w:r>
      </w:hyperlink>
    </w:p>
    <w:p>
      <w:pPr>
        <w:spacing w:before="0" w:after="80"/>
      </w:pPr>
      <w:r>
        <w:rPr>
          <w:i/>
          <w:sz w:val="20"/>
        </w:rPr>
        <w:t>EN: Reforging Mitsunobu reaction via sulfoxides-catalyzed C(sp3)-O bond activation of alkanols</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烷醇的立体定向转化在合成化学和药物发现中发挥着关键作用。在这些重大进展中，Mitsunobu 反应长期以来一直作为 C(sp3)-O 键激活以实现烷醇转化的强大平台而脱颖而出。由于磷化学固有的环境缺陷，迫切需要一种替代元素。在此，我们开发了精心设计的亚砜催化剂，用于具有广泛底物范围的替代催化 Mitsunobu 型反应，产生 H2O 作为唯一副产物。动力学研究、机理研究和密度泛函理论 (DFT) 计算提供了全面的机理见解并揭示了关键的结构-反应性关系。该方法为Mitsunobu型反应建立了可持续且原子经济的途径，并扩展了硫催化的概念范围。</w:t>
      </w:r>
    </w:p>
    <w:p>
      <w:pPr>
        <w:spacing w:before="0" w:after="200" w:lineRule="auto" w:line="276"/>
      </w:pPr>
      <w:r>
        <w:rPr>
          <w:b/>
        </w:rPr>
        <w:t xml:space="preserve">Abstract (EN): </w:t>
      </w:r>
      <w:r>
        <w:t>The stereospecific conversion of alkanols plays a pivotal role in synthetic chemistry and drug discovery. Among the substantial advances, the Mitsunobu reaction has long stood out as a powerful platform for C(sp3)-O bond activation to achieve the transformation of alkanols. Due to the inherent environmental drawbacks of phosphorus chemistry, an alternative element is pressingly demanded. Herein, we develop well-designed sulfoxide catalysts for an alternative catalytic Mitsunobu-type reaction with broad substrate scope, generating H2O as the sole by-product. Kinetic studies, mechanistic investigations, and density functional theory (DFT) calculations provide comprehensive mechanistic insights and uncover key structure-reactivity relationships. This approach establishes a sustainable and atom-economical pathway for the Mitsunobu-type reaction, and expands the conceptual scope of sulfur catalysis.</w:t>
      </w:r>
    </w:p>
    <w:p>
      <w:pPr>
        <w:spacing w:before="120" w:after="120"/>
      </w:pPr>
      <w:r>
        <w:rPr>
          <w:sz w:val="18"/>
        </w:rPr>
        <w:t>——————————————————————————————————————————————————————————————————————</w:t>
      </w:r>
    </w:p>
    <w:p>
      <w:pPr>
        <w:spacing w:before="160" w:after="40" w:line="240" w:lineRule="auto"/>
      </w:pPr>
      <w:r>
        <w:rPr>
          <w:b/>
        </w:rPr>
        <w:t xml:space="preserve">[58] </w:t>
      </w:r>
      <w:hyperlink r:id="rId661">
        <w:r>
          <w:rPr>
            <w:color w:val="1155CC"/>
            <w:u w:val="single"/>
          </w:rPr>
          <w:t>结合水作为仿生抗冲聚合物的动态交联剂</w:t>
        </w:r>
      </w:hyperlink>
    </w:p>
    <w:p>
      <w:pPr>
        <w:spacing w:before="0" w:after="80"/>
      </w:pPr>
      <w:r>
        <w:rPr>
          <w:i/>
          <w:sz w:val="20"/>
        </w:rPr>
        <w:t>EN: Bound water as a kinetic crosslinker for bio-inspired impact-stiffening polymers</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开发广泛适用于化学系统的高性能抗冲击硬化聚合物仍然是一个关键挑战，因为现有设计依赖于精心设计的分子图案。受水在生物抗冲击性中的作用的启发，我们引入了一种可推广的仿生范式。我们通过在结构上限制富含质子的聚合物支架内的结合水网络，将水（通常被认为是一种性能限制性增塑剂）转化为活性、速率敏感的交联剂。对它们的解离动力学进行编程，可以通过动力学冻结在冲击下实现急剧、可逆的软质到刚性的转变。这种设计在基于聚硫辛酸的系统中得到了证明，同时实现了出色的能量耗散、自修复和强附着力。至关重要的是，它绕过了专门图案的从头合成，并且适用于不同的聚合物主链，将可编程水动力学建立为自适应聚合物材料的通用原理。</w:t>
      </w:r>
    </w:p>
    <w:p>
      <w:pPr>
        <w:spacing w:before="0" w:after="200" w:lineRule="auto" w:line="276"/>
      </w:pPr>
      <w:r>
        <w:rPr>
          <w:b/>
        </w:rPr>
        <w:t xml:space="preserve">Abstract (EN): </w:t>
      </w:r>
      <w:r>
        <w:t>Developing high-performance impact-stiffening polymers that are broadly applicable across chemical systems remains a key challenge, as existing designs rely on meticulously engineered molecular motifs. Inspired by water’s role in biological impact resistance, we introduce a generalizable biomimetic paradigm. We transform water—commonly considered a property-limiting plasticizer—into an active, rate-sensitive cross-linker by structurally confining bound-water networks within proton-rich polymer scaffolds. Programming their dissociation kinetics enables a sharp, reversible soft-to-rigid transition under impact via kinetic freezing. This design, demonstrated in a poly(thioctic acid)-based system, concurrently achieves outstanding energy dissipation, self-healing, and strong adhesion. Crucially, it bypasses de novo synthesis of specialized motifs and is applicable across diverse polymer backbones, establishing programmable water dynamics as a versatile principle for adaptive polymeric materials.</w:t>
      </w:r>
    </w:p>
    <w:p>
      <w:pPr>
        <w:spacing w:before="120" w:after="120"/>
      </w:pPr>
      <w:r>
        <w:rPr>
          <w:sz w:val="18"/>
        </w:rPr>
        <w:t>——————————————————————————————————————————————————————————————————————</w:t>
      </w:r>
    </w:p>
    <w:p>
      <w:pPr>
        <w:spacing w:before="160" w:after="40" w:line="240" w:lineRule="auto"/>
      </w:pPr>
      <w:r>
        <w:rPr>
          <w:b/>
        </w:rPr>
        <w:t xml:space="preserve">[59] </w:t>
      </w:r>
      <w:hyperlink r:id="rId662">
        <w:r>
          <w:rPr>
            <w:color w:val="1155CC"/>
            <w:u w:val="single"/>
          </w:rPr>
          <w:t>通过尖端增强光致发光可视化构建的循环分子结构中的激子态</w:t>
        </w:r>
      </w:hyperlink>
    </w:p>
    <w:p>
      <w:pPr>
        <w:spacing w:before="0" w:after="80"/>
      </w:pPr>
      <w:r>
        <w:rPr>
          <w:i/>
          <w:sz w:val="20"/>
        </w:rPr>
        <w:t>EN: Visualizing excitonic states in constructed cyclic molecular architectures by tip-enhanced photoluminescence</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自然光合作用激发了人工循环光捕获结构的设计，但由于衍射极限和偶极子选择规则，探测其激子行为（特别是光学暗态）对于远场光学仍然具有挑战性。在这里，将扫描隧道显微镜操作与尖端增强光致发光相结合，我们以亚纳米分辨率可视化构建的环状锌酞菁结构中的离散激子态。通过控制分子间距离，我们绘制了弱、中、强耦合状态下的激子演化图。我们发现了由分子的正交简并偶极子引起的过渡偶极子旋转现象，这有利于相干分子间耦合。此外，通过比较空心和实心结构，我们证明分子结构决定了最低激子态的性质：空心环具有光学暗的最低激子态，而实心结构则具有明亮的结构，这凸显了空心循环结构在抑制辐射损失方面可能具有的结构物理优势。这些发现为设计具有高能量传输效率的有机结构提供了指导。</w:t>
      </w:r>
    </w:p>
    <w:p>
      <w:pPr>
        <w:spacing w:before="0" w:after="200" w:lineRule="auto" w:line="276"/>
      </w:pPr>
      <w:r>
        <w:rPr>
          <w:b/>
        </w:rPr>
        <w:t xml:space="preserve">Abstract (EN): </w:t>
      </w:r>
      <w:r>
        <w:t>Natural photosynthesis inspires the design of artificial cyclic light-harvesting architectures, yet probing their excitonic behaviors—particularly optically dark states—remains challenging for far-field optics due to diffraction limits and dipole selection rules. Here, combining scanning tunneling microscope manipulation with tip-enhanced photoluminescence, we visualize discrete excitonic states in constructed cyclic zinc-phthalocyanine architectures with sub-nanometer resolution. By controlling intermolecular distances, we map excitonic evolution across weak, intermediate, and strong coupling regimes. We uncover a transition dipole rotation phenomenon arising from the molecules’ orthogonal, degenerate dipoles, which facilitates coherent intermolecular coupling. Furthermore, by comparing hollow and solid architectures, we demonstrate that the molecular architectures determine the nature of the lowest-lying excitonic state: a hollow ring possesses an optically dark lowest-lying state, whereas a solid architecture features a bright one, highlighting a possible structural physical advantage of hollow cyclic architectures for suppressing radiative losses. These findings provide guidelines for designing organic architectures with high energy transfer efficiencies.</w:t>
      </w:r>
    </w:p>
    <w:p>
      <w:pPr>
        <w:spacing w:before="120" w:after="120"/>
      </w:pPr>
      <w:r>
        <w:rPr>
          <w:sz w:val="18"/>
        </w:rPr>
        <w:t>——————————————————————————————————————————————————————————————————————</w:t>
      </w:r>
    </w:p>
    <w:p>
      <w:pPr>
        <w:spacing w:before="160" w:after="40" w:line="240" w:lineRule="auto"/>
      </w:pPr>
      <w:r>
        <w:rPr>
          <w:b/>
        </w:rPr>
        <w:t xml:space="preserve">[60] </w:t>
      </w:r>
      <w:hyperlink r:id="rId663">
        <w:r>
          <w:rPr>
            <w:color w:val="1155CC"/>
            <w:u w:val="single"/>
          </w:rPr>
          <w:t>具有降低互连损耗的高性能多结钙钛矿 LED</w:t>
        </w:r>
      </w:hyperlink>
    </w:p>
    <w:p>
      <w:pPr>
        <w:spacing w:before="0" w:after="80"/>
      </w:pPr>
      <w:r>
        <w:rPr>
          <w:i/>
          <w:sz w:val="20"/>
        </w:rPr>
        <w:t>EN: High-performance multijunction perovskite LEDs with reduced interconnection loss</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串联发光二极管 (LED) 在效率、亮度和较低的电流密度方面具有优势，可实现目标亮度，但它们在溶液处理的钙钛矿 LED 中的实施受到互连策略的限制，互连策略会带来高电压损失和较差的鲁棒性。在这里，我们展示了一种分层结构互连层（ICL），它将近简并电荷产生结与晶体非晶氧化物复合材料集成在一起，从而实现低势垒传输和耐溶剂堆叠，并减少损耗。利用该 ICL，我们实现了双结钙钛矿 LED，其中两个子单元串联高效工作，实现了 42.6% 的峰值外量子效率 (EQE)、690 W sr−1 m−2 的最大辐射亮度和低驱动电压。 ICL 与多个钙钛矿发射极兼容，并支持可扩展的多结集成，产生具有亚带隙开启电压和超过 60% 的高 EQE 的多结器件。我们的研究结果为串联堆叠钙钛矿发射器建立了低损耗互连策略，为高亮度和多波长钙钛矿光源提供了一条实用途径。</w:t>
      </w:r>
    </w:p>
    <w:p>
      <w:pPr>
        <w:spacing w:before="0" w:after="200" w:lineRule="auto" w:line="276"/>
      </w:pPr>
      <w:r>
        <w:rPr>
          <w:b/>
        </w:rPr>
        <w:t xml:space="preserve">Abstract (EN): </w:t>
      </w:r>
      <w:r>
        <w:t>Tandem light-emitting diodes (LEDs) offer advantages in efficiency, brightness and lower the current density for a target brightness, but their implementation in solution-processed perovskite LEDs is limited by interconnection strategies that introduce high voltage penalties and poor robustness. Here we demonstrate a hierarchically structured interconnection layer (ICL) integrating a near-degenerate charge-generation junction with a crystalline-amorphous oxide composite, enabling low-barrier transport and solvent-tolerant stacking with reduced loss. Using this ICL, we realize double-junction perovskite LEDs in which two subunits operate efficiently in series, achieving a peak external quantum efficiency (EQE) of 42.6%, a maximum radiance of 690 W sr−1 m−2, and low driving voltage. The ICL is compatible with multiple perovskite emitters and supports scalable multijunction integration, yielding multijunction devices with sub-bandgap turn-on voltages and high EQEs exceeding 60%. Our results establish a low-loss interconnection strategy for series-stacked perovskite emitters, providing a practical route toward high-brightness and multi-wavelength perovskite light sources.</w:t>
      </w:r>
    </w:p>
    <w:p>
      <w:pPr>
        <w:spacing w:before="120" w:after="120"/>
      </w:pPr>
      <w:r>
        <w:rPr>
          <w:sz w:val="18"/>
        </w:rPr>
        <w:t>——————————————————————————————————————————————————————————————————————</w:t>
      </w:r>
    </w:p>
    <w:p>
      <w:pPr>
        <w:spacing w:before="160" w:after="40" w:line="240" w:lineRule="auto"/>
      </w:pPr>
      <w:r>
        <w:rPr>
          <w:b/>
        </w:rPr>
        <w:t xml:space="preserve">[61] </w:t>
      </w:r>
      <w:hyperlink r:id="rId664">
        <w:r>
          <w:rPr>
            <w:color w:val="1155CC"/>
            <w:u w:val="single"/>
          </w:rPr>
          <w:t>反应路径生成的流程匹配</w:t>
        </w:r>
      </w:hyperlink>
    </w:p>
    <w:p>
      <w:pPr>
        <w:spacing w:before="0" w:after="80"/>
      </w:pPr>
      <w:r>
        <w:rPr>
          <w:i/>
          <w:sz w:val="20"/>
        </w:rPr>
        <w:t>EN: Flow matching for reaction pathway generation</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阐明反应机制需要有效生成过渡态 (TS) 和产物。与传统的基于字符串的方法相比，现有的扩散和基于序列的模型加速了该过程的部分过程，但通常仍然需要手动枚举 TS 或产品，并且随机扩散动力学可能效率低下且难以控制。我们引入了 MolGEN，一种条件流匹配框架，它使用确定性最优传输将高斯先验映射到化学分布。对于 TS 生成，MolGEN 改进了扩散模型的 TS 几何形状和势垒高度预测，同时实现亚秒级采样。对于反应产物的生成，它在保持质量和电子平衡的同时实现了具有竞争力的 top-k 精度。 MolGEN 使用相同的 TS 和产品采样主干，实现了反应网络的无模板生成探索，无需先前方法所需的重复量子化学搜索。对于 γ-酮氢过氧化物分解网络，它比基于字符串的方法仅使用 12 次量子化学评估（而不是 1156 次）产生更有效的 TS，并确定了较低势垒的途径。</w:t>
      </w:r>
    </w:p>
    <w:p>
      <w:pPr>
        <w:spacing w:before="0" w:after="200" w:lineRule="auto" w:line="276"/>
      </w:pPr>
      <w:r>
        <w:rPr>
          <w:b/>
        </w:rPr>
        <w:t xml:space="preserve">Abstract (EN): </w:t>
      </w:r>
      <w:r>
        <w:t>Elucidating reaction mechanisms requires efficient generation of transition states (TSs) and products. Existing diffusion and sequence-based models accelerate parts of this process over traditional string-based methods, but typically still require manual enumeration of either TSs or products, and stochastic diffusion dynamics can be inefficient and hard to control. We introduce MolGEN, a conditional flow-matching framework that uses deterministic optimal transport to map Gaussian priors to chemical distributions. For TS generation, MolGEN improves TS geometry and barrier-height prediction over diffusion models while enabling sub-second sampling. For reaction product generation, it achieves competitive top-k accuracy while preserving mass and electron balance. Using the same backbone for TS and product sampling, MolGEN enables template-free generative exploration of reaction networks without the repeated quantum-chemistry searches required by prior methods. For the γ-ketohydroperoxide decomposition network, it produces more valid TSs than string-based methods using only 12 quantum-chemistry evaluations instead of 1156, and identifies a lower-barrier pathway.</w:t>
      </w:r>
    </w:p>
    <w:p>
      <w:pPr>
        <w:spacing w:before="120" w:after="120"/>
      </w:pPr>
      <w:r>
        <w:rPr>
          <w:sz w:val="18"/>
        </w:rPr>
        <w:t>——————————————————————————————————————————————————————————————————————</w:t>
      </w:r>
    </w:p>
    <w:p>
      <w:pPr>
        <w:spacing w:before="160" w:after="40" w:line="240" w:lineRule="auto"/>
      </w:pPr>
      <w:r>
        <w:rPr>
          <w:b/>
        </w:rPr>
        <w:t xml:space="preserve">[62] </w:t>
      </w:r>
      <w:hyperlink r:id="rId665">
        <w:r>
          <w:rPr>
            <w:color w:val="1155CC"/>
            <w:u w:val="single"/>
          </w:rPr>
          <w:t>由动态可调超高 Q 硅膜超表面实现的中红外光调制器</w:t>
        </w:r>
      </w:hyperlink>
    </w:p>
    <w:p>
      <w:pPr>
        <w:spacing w:before="0" w:after="80"/>
      </w:pPr>
      <w:r>
        <w:rPr>
          <w:i/>
          <w:sz w:val="20"/>
        </w:rPr>
        <w:t>EN: Mid-IR light modulators enabled by dynamically tunable ultra-high-Q silicon membrane metasurfaces</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超表面能够对自由空间光进行亚波长控制，适用于传感、非线性光学和量子光子学等应用。然而，它们的实际部署受到两个关键限制的阻碍：低 Q 值谐振和弱振幅对比度之间的权衡，以及它们的主要静态性质仅允许无源功能。这些挑战在中红外 (mid-IR) 领域尤其严重，低损耗材料的稀缺限制了性能和可扩展性。在这里，我们展示了主动可调的单晶硅膜超表面，结合了高 Q 共振、强振幅对比度和晶圆级可制造性。我们的平台在中红外范围内实现了高达 3000 的创纪录高测量 Q 因子，并支持两种动态调制方案：通过焦耳加热进行电热调谐，在 CMOS 兼容电压下具有 &gt;50% 的调制深度，速度高达 14.5 kHz，以及通过硅中的载波生成进行超快全光调制，具有纳秒响应时间和估计的 sub-GHz 速率。这些结果将硅膜超表面确立为主动中红外光子学的可扩展平台。</w:t>
      </w:r>
    </w:p>
    <w:p>
      <w:pPr>
        <w:spacing w:before="0" w:after="200" w:lineRule="auto" w:line="276"/>
      </w:pPr>
      <w:r>
        <w:rPr>
          <w:b/>
        </w:rPr>
        <w:t xml:space="preserve">Abstract (EN): </w:t>
      </w:r>
      <w:r>
        <w:t>Metasurfaces enable subwavelength control of free-space light for applications in sensing, nonlinear optics, and quantum photonics. However, their practical deployment is hindered by two key limitations: a tradeoff between low-Q resonances and weak amplitude contrast, and their predominantly static nature allowing only passive functionalities. These challenges are particularly severe in the mid-infrared (mid-IR), where the scarcity of low-loss materials constrains performance and scalability. Here, we demonstrate actively tunable single-crystalline silicon membrane metasurfaces combining high-Q resonances, strong amplitude contrast, and wafer-scale manufacturability. Our platform achieves record-high measured Q-factors up to 3000 in the mid-IR and supports two dynamic modulation schemes: electro-thermal tuning via Joule heating with &gt;50% modulation depth at CMOS-compatible voltages and speeds up to 14.5 kHz, and ultrafast all-optical modulation via carrier generation in silicon with nanosecond response times and estimated sub-GHz rates. These results establish silicon membrane metasurfaces as a scalable platform for active mid-IR photonics.</w:t>
      </w:r>
    </w:p>
    <w:p>
      <w:pPr>
        <w:spacing w:before="120" w:after="120"/>
      </w:pPr>
      <w:r>
        <w:rPr>
          <w:sz w:val="18"/>
        </w:rPr>
        <w:t>——————————————————————————————————————————————————————————————————————</w:t>
      </w:r>
    </w:p>
    <w:p>
      <w:pPr>
        <w:spacing w:before="160" w:after="40" w:line="240" w:lineRule="auto"/>
      </w:pPr>
      <w:r>
        <w:rPr>
          <w:b/>
        </w:rPr>
        <w:t xml:space="preserve">[63] </w:t>
      </w:r>
      <w:hyperlink r:id="rId666">
        <w:r>
          <w:rPr>
            <w:color w:val="1155CC"/>
            <w:u w:val="single"/>
          </w:rPr>
          <w:t>使用软机器人套装增强老年人从坐到站的转换和行走效率</w:t>
        </w:r>
      </w:hyperlink>
    </w:p>
    <w:p>
      <w:pPr>
        <w:spacing w:before="0" w:after="80"/>
      </w:pPr>
      <w:r>
        <w:rPr>
          <w:i/>
          <w:sz w:val="20"/>
        </w:rPr>
        <w:t>EN: Enhancing sit-to-stand transitions and walking efficiency in older adults with a soft robotic suit</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与年龄相关的肌肉力量和神经肌肉控制能力下降，使得从坐到站的转换和行走逐渐变得更加困难，从而损害了活动能力和独立性。尽管可穿戴辅助技术已被提出来缓解这些挑战，但很少有技术在促进保持一定程度独立活动能力的老年人从坐到站运动方面表现出明显的好处。在这里，我们推出一款柔软的臀部外装套装，旨在帮助坐站转换和步行活动。在一项涉及 10 名老年人的可行性研究中，与无辅助条件下相比，外骨骼套装将 1 分钟从坐到站的重复次数平均增加了 1.8 次，并将步行的代谢成本降低了 13.6%。这些改进是在保持自然运动学、下肢稳定性和保持强烈的代理感的同时实现的。我们的研究结果表明，软质外装可以增强老年人的坐立和行走能力，同时保持生物力学自然性和用户自主性，突显了它们在实用的家庭集成移动辅助方面的潜力。</w:t>
      </w:r>
    </w:p>
    <w:p>
      <w:pPr>
        <w:spacing w:before="0" w:after="200" w:lineRule="auto" w:line="276"/>
      </w:pPr>
      <w:r>
        <w:rPr>
          <w:b/>
        </w:rPr>
        <w:t xml:space="preserve">Abstract (EN): </w:t>
      </w:r>
      <w:r>
        <w:t>Age-related declines in muscle strength and neuromuscular control make sit-to-stand transitions and walking progressively more difficult, compromising mobility and independence. Although wearable assistive technologies have been proposed to alleviate these challenges, few have demonstrated clear benefits in facilitating sit-to-stand movements for older adults who retain a degree of independent mobility. Here, we introduce a soft hip exosuit designed to assist both sit-to-stand transitions and walking activities. In a feasibility study involving ten older adults, the exosuit increased 1-minute sit-to-stand repetitions by an average of 1.8 and reduced the metabolic cost of walking by 13.6% compared with the unassisted condition. These improvements were achieved while preserving natural kinematics, lower-limb stability, and maintaining a strong sense of agency. Our findings demonstrate that soft exosuits can enhance sit-to-stand and walking performance in older adults while preserving biomechanical naturalness and user autonomy, highlighting their potential for practical home-integrated mobility assistance.</w:t>
      </w:r>
    </w:p>
    <w:p>
      <w:pPr>
        <w:spacing w:before="120" w:after="120"/>
      </w:pPr>
      <w:r>
        <w:rPr>
          <w:sz w:val="18"/>
        </w:rPr>
        <w:t>——————————————————————————————————————————————————————————————————————</w:t>
      </w:r>
    </w:p>
    <w:p>
      <w:pPr>
        <w:spacing w:before="160" w:after="40" w:line="240" w:lineRule="auto"/>
      </w:pPr>
      <w:r>
        <w:rPr>
          <w:b/>
        </w:rPr>
        <w:t xml:space="preserve">[64] </w:t>
      </w:r>
      <w:hyperlink r:id="rId667">
        <w:r>
          <w:rPr>
            <w:color w:val="1155CC"/>
            <w:u w:val="single"/>
          </w:rPr>
          <w:t>多孔费米袋铜酸盐中高温超导性与反铁磁有序性的共存</w:t>
        </w:r>
      </w:hyperlink>
    </w:p>
    <w:p>
      <w:pPr>
        <w:spacing w:before="0" w:after="80"/>
      </w:pPr>
      <w:r>
        <w:rPr>
          <w:i/>
          <w:sz w:val="20"/>
        </w:rPr>
        <w:t>EN: Coexistence of high temperature superconductivity and antiferromagnetic order in a cuprate with multiple hole Fermi pockets</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铜酸盐的高温超导性和反铁磁有序之间的复杂关系以及电子配对的基本起源仍然是悬而未决的问题。通过利用基于高分辨率激光的空间分辨角分辨光电子能谱，我们研究了七层 Bi2Sr2Ca6Cu7O18+δ (Bi2267) 并识别了由多个孔费米口袋组成的铜酸盐系统。观察到的费米口袋表现出明显的动量、温度和费米表面相关的能隙。至关重要的是，临界温度 (Tc) 约为 75 K 的高温超导性出现在具有多个费米口袋且存在强反铁磁序和相关性的系统中。特别是，在轻掺杂 CuO2 平面 (p ~ 0.05) 中，沿着费米口袋观察到大量电子配对，其能隙高达 ~ 42 meV。这些发现挑战了对节点和反节点电子态在驱动高温超导中的作用的传统理解。他们表明，超导性和反铁磁性可以在具有多个费米口袋的铜酸盐中共存，为铜酸盐超导体中的配对机制提供了进一步的见解。</w:t>
      </w:r>
    </w:p>
    <w:p>
      <w:pPr>
        <w:spacing w:before="0" w:after="200" w:lineRule="auto" w:line="276"/>
      </w:pPr>
      <w:r>
        <w:rPr>
          <w:b/>
        </w:rPr>
        <w:t xml:space="preserve">Abstract (EN): </w:t>
      </w:r>
      <w:r>
        <w:t>The intricate relationship between high temperature superconductivity and antiferromagnetic order in cuprates, and the fundamental origin of electron pairing remain open questions. By utilizing high-resolution laser-based spatially-resolved angle-resolved photoemission spectroscopy, we investigate the seven-layer Bi2Sr2Ca6Cu7O18+δ (Bi2267) and identify a cuprate system that consists of multiple hole Fermi pockets. The observed Fermi pockets exhibit pronounced momentum-, temperature- and Fermi surface-dependent energy gaps. Crucially, high temperature superconductivity with a critical temperature (Tc) of ~ 75 K emerges in a system with multiple Fermi pockets and the presence of strong antiferromagnetic order and correlations. In particular, substantial electron pairing is observed along the Fermi pocket with an energy gap up to ~ 42 meV in lightly-doped CuO2 planes (p ~ 0.05). These findings challenge the conventional understanding of the roles of the nodal and antinodal electronic states in driving high temperature superconductivity. They show that superconductivity and antiferromagnetism can coexist in a cuprate with multiple Fermi pockets, offering further insights into the pairing mechanism in cuprate superconductors.</w:t>
      </w:r>
    </w:p>
    <w:p>
      <w:pPr>
        <w:spacing w:before="120" w:after="120"/>
      </w:pPr>
      <w:r>
        <w:rPr>
          <w:sz w:val="18"/>
        </w:rPr>
        <w:t>——————————————————————————————————————————————————————————————————————</w:t>
      </w:r>
    </w:p>
    <w:p>
      <w:pPr>
        <w:spacing w:before="160" w:after="40" w:line="240" w:lineRule="auto"/>
      </w:pPr>
      <w:r>
        <w:rPr>
          <w:b/>
        </w:rPr>
        <w:t xml:space="preserve">[65] </w:t>
      </w:r>
      <w:hyperlink r:id="rId668">
        <w:r>
          <w:rPr>
            <w:color w:val="1155CC"/>
            <w:u w:val="single"/>
          </w:rPr>
          <w:t>通过结构性因果模型理解欧洲能源危机</w:t>
        </w:r>
      </w:hyperlink>
    </w:p>
    <w:p>
      <w:pPr>
        <w:spacing w:before="0" w:after="80"/>
      </w:pPr>
      <w:r>
        <w:rPr>
          <w:i/>
          <w:sz w:val="20"/>
        </w:rPr>
        <w:t>EN: Understanding the European energy crisis through structural causal models</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在俄罗斯入侵乌克兰的背景下，欧洲天然气供应中断，能源价格飙升。法国的电价在欧洲国家中经历了最大的相对涨幅，尽管与邻国相比，天然气在电力结构中所占的比例很小。在本文中，我们论证了因果统计方法的重要性，并提出因果图来调查法国和西班牙电力市场，并查明电价和净出口的关键影响因素。我们证明因果方法可以解决简单相关性研究的矛盾结果，并能够对间接因果效应和假设情景进行定量分析。我们引入了线性结构因果模型以及与 Shapley Flow 值相结合的非线性基于树的机器学习。这些模型阐明了能源危机期间天然气价格与核电站无法使用之间的相互作用，因为核电站的高度无法使用使法国依赖进口。</w:t>
      </w:r>
    </w:p>
    <w:p>
      <w:pPr>
        <w:spacing w:before="0" w:after="200" w:lineRule="auto" w:line="276"/>
      </w:pPr>
      <w:r>
        <w:rPr>
          <w:b/>
        </w:rPr>
        <w:t xml:space="preserve">Abstract (EN): </w:t>
      </w:r>
      <w:r>
        <w:t>Natural gas supplies in Europe were disrupted and energy prices soared in the context of Russia’s invasion of Ukraine. Electricity prices in France experienced the largest relative increase among European countries, even though the share of natural gas in the electricity mix is small compared to its neighbours. In this article, we demonstrate the importance of causal statistical methods and propose causal graphs to investigate the French and Spanish electricity markets and pinpoint key influencing factors on electricity prices and net exports. We demonstrate that a causal approach resolves paradoxical results of simple correlation studies and enables a quantitative analysis of indirect causal effects and what-if scenarios. We introduce a linear structural causal model as well as non-linear tree-based machine learning combined with Shapley Flow values. The models elucidate the interplay of gas prices and the unavailability of nuclear power plants during the energy crisis as the high unavailability made France dependent on imports.</w:t>
      </w:r>
    </w:p>
    <w:p>
      <w:pPr>
        <w:spacing w:before="120" w:after="120"/>
      </w:pPr>
      <w:r>
        <w:rPr>
          <w:sz w:val="18"/>
        </w:rPr>
        <w:t>——————————————————————————————————————————————————————————————————————</w:t>
      </w:r>
    </w:p>
    <w:p>
      <w:pPr>
        <w:spacing w:before="160" w:after="40" w:line="240" w:lineRule="auto"/>
      </w:pPr>
      <w:r>
        <w:rPr>
          <w:b/>
        </w:rPr>
        <w:t xml:space="preserve">[66] </w:t>
      </w:r>
      <w:hyperlink r:id="rId669">
        <w:r>
          <w:rPr>
            <w:color w:val="1155CC"/>
            <w:u w:val="single"/>
          </w:rPr>
          <w:t>通过耳内音频传感测量心搏量</w:t>
        </w:r>
      </w:hyperlink>
    </w:p>
    <w:p>
      <w:pPr>
        <w:spacing w:before="0" w:after="80"/>
      </w:pPr>
      <w:r>
        <w:rPr>
          <w:i/>
          <w:sz w:val="20"/>
        </w:rPr>
        <w:t>EN: Measuring cardiac stroke volume through in-ear audio sensing</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每搏输出量，即收缩期间左心室射出的血液量，是心血管健康的关键指标。目前，每搏输出量是在临床上使用专用设备测量的。虽然存在用于测量每搏输出量的专用可穿戴设备，但没有任何解决方案完全依赖于商用设备。我们提出了一种深度学习系统，用于根据耳塞的耳内音频估计每搏输出量。我们结合生成式自监督/迁移学习（一种基于变压器的自动编码器）来预测未见过的受试者的平均每搏输出量。根据 23 名健康参与者的数据，我们将我们的估计与经过临床验证的设备估计进行比较。我们的平均绝对误差为 5.24 ml，平均预测每搏输出量与平均真实每搏输出量之间的皮尔逊相关性为 r=0.94，一致性限度内的百分比误差为 11.05%（在每搏输出量测量设备的临床范围内）。这些发现为临床外纵向、可扩展且负担得起的心血管测量打开了大门。</w:t>
      </w:r>
    </w:p>
    <w:p>
      <w:pPr>
        <w:spacing w:before="0" w:after="200" w:lineRule="auto" w:line="276"/>
      </w:pPr>
      <w:r>
        <w:rPr>
          <w:b/>
        </w:rPr>
        <w:t xml:space="preserve">Abstract (EN): </w:t>
      </w:r>
      <w:r>
        <w:t>Stroke volume, the volume of blood ejected by the left ventricle during a contraction, is a key metric of cardiovascular health. Currently, stroke volume is measured in clinic with specialised equipment. While purpose-made wearables exist to measure stroke volume, no solution relies solely on commodity devices. We present a deep learning system for stroke volume estimation from in-ear audio of earbuds. We combine generative self-supervised/transfer learning, a transformer-based autoencoder, to predict average stroke volume in unseen subjects. With data from 23 healthy participants, we compare our estimations to clinically validated device estimations. We achieve a mean absolute error of 5.24 ml, a Pearson correlation of r=0.94 between average predicted stroke volume and average true stroke volume, and a Percentage Error in the limits of agreement of 11.05% (within clinical range for stroke volume measurement devices). These findings open the doors to longitudinal, scalable and affordable cardiovascular measurement out of clinic.</w:t>
      </w:r>
    </w:p>
    <w:p>
      <w:pPr>
        <w:spacing w:before="120" w:after="120"/>
      </w:pPr>
      <w:r>
        <w:rPr>
          <w:sz w:val="18"/>
        </w:rPr>
        <w:t>——————————————————————————————————————————————————————————————————————</w:t>
      </w:r>
    </w:p>
    <w:p>
      <w:pPr>
        <w:spacing w:before="160" w:after="40" w:line="240" w:lineRule="auto"/>
      </w:pPr>
      <w:r>
        <w:rPr>
          <w:b/>
        </w:rPr>
        <w:t xml:space="preserve">[67] </w:t>
      </w:r>
      <w:hyperlink r:id="rId670">
        <w:r>
          <w:rPr>
            <w:color w:val="1155CC"/>
            <w:u w:val="single"/>
          </w:rPr>
          <w:t>用于设计微米级纵横交错 DNA 巨型结构的计算框架</w:t>
        </w:r>
      </w:hyperlink>
    </w:p>
    <w:p>
      <w:pPr>
        <w:spacing w:before="0" w:after="80"/>
      </w:pPr>
      <w:r>
        <w:rPr>
          <w:i/>
          <w:sz w:val="20"/>
        </w:rPr>
        <w:t>EN: A computational framework for designing micron-scale crisscross DNA megastructures</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十字交叉聚合能够将数百个独特的 DNA 折纸“板条”组装成具有纳米级精度的微米级结构。为了设计这些巨型结构，必须将固定库中的数千个手柄序列分配给各个板条，以编码所需的结合架构。这种复杂性带来了两个主要挑战：必须选择手柄以最大限度地减少与所需组装竞争的寄生相互作用，并且制造数百个独特的板条会造成巨大的后勤负担。在这里，我们开发了一个统一的框架，使纵横交错的巨型结构的设计和制造标准化。我们使用进化算法来优化手柄分配并最大限度地减少板条之间的寄生结合。与扩展的句柄库一起，该算法能够组装大型多层巨型结构，否则这些巨型结构的产量可以忽略不计。我们将此框架发布为#-CAD，这是一个开源图形应用程序，它集成了这些算法，简化了实验室工作流程，并使十字形 DNA 折纸更广泛地可用。</w:t>
      </w:r>
    </w:p>
    <w:p>
      <w:pPr>
        <w:spacing w:before="0" w:after="200" w:lineRule="auto" w:line="276"/>
      </w:pPr>
      <w:r>
        <w:rPr>
          <w:b/>
        </w:rPr>
        <w:t xml:space="preserve">Abstract (EN): </w:t>
      </w:r>
      <w:r>
        <w:t>Crisscross polymerization enables the assembly of hundreds of unique DNA origami ‘slats’ into micron-sized structures with nanoscale precision. To design these megastructures, thousands of handle sequences from a fixed library must be assigned to individual slats to encode the desired binding architecture. This complexity presents two major challenges: handles must be selected to minimize parasitic interactions that compete with desired assembly, and the fabrication of hundreds of unique slats creates a substantial logistical burden. Here, we develop a unified framework that standardizes the design and fabrication of crisscross megastructures. We use an evolutionary algorithm to optimize handle assignment and minimize parasitic binding between slats. Together with an expanded handle library, the algorithm enables the assembly of large, multi-layered megastructures that otherwise would be produced at negligible yields. We have released this framework as #-CAD, an open-source graphical application that integrates these algorithms, streamlines laboratory workflows, and makes crisscross DNA origami more broadly accessible.</w:t>
      </w:r>
    </w:p>
    <w:p>
      <w:pPr>
        <w:spacing w:before="120" w:after="120"/>
      </w:pPr>
      <w:r>
        <w:rPr>
          <w:sz w:val="18"/>
        </w:rPr>
        <w:t>——————————————————————————————————————————————————————————————————————</w:t>
      </w:r>
    </w:p>
    <w:p>
      <w:pPr>
        <w:spacing w:before="160" w:after="40" w:line="240" w:lineRule="auto"/>
      </w:pPr>
      <w:r>
        <w:rPr>
          <w:b/>
        </w:rPr>
        <w:t xml:space="preserve">[68] </w:t>
      </w:r>
      <w:hyperlink r:id="rId671">
        <w:r>
          <w:rPr>
            <w:color w:val="1155CC"/>
            <w:u w:val="single"/>
          </w:rPr>
          <w:t>揭示冰上湖泊响应水文脉冲和异常气候信号的日常动态</w:t>
        </w:r>
      </w:hyperlink>
    </w:p>
    <w:p>
      <w:pPr>
        <w:spacing w:before="0" w:after="80"/>
      </w:pPr>
      <w:r>
        <w:rPr>
          <w:i/>
          <w:sz w:val="20"/>
        </w:rPr>
        <w:t>EN: Unraveling daily dynamics of supraglacial lakes in response to hydrological pulses and anomalous climate signals</w:t>
      </w:r>
    </w:p>
    <w:p>
      <w:pPr>
        <w:spacing w:before="0" w:after="120"/>
      </w:pPr>
      <w:r>
        <w:rPr>
          <w:b/>
        </w:rPr>
        <w:t xml:space="preserve">Source: </w:t>
      </w:r>
      <w:r>
        <w:t>Earth and environmental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亚洲高山碎屑覆盖的冰川质量损失推动了小型冰上湖泊（SGL）的扩张，并改变了包括冰川湖溃决洪水在内的危险过程的发生模式。在这里，我们分析了喜马拉雅东部萨加玛塔地区小型SGL（&gt; 0.045×104 m2）的表面积变化，将数据与2016年至2024年的日分辨率进行了整合。结果显示SGL以平均5.90 ± 1.49×104 m2·yr⁻1的速度扩展。从2022年10月开始，研究区水体出现异常扩张，湖泊总面积在此期间达到最大值，比第二次高峰期（2020年）增加了67.35%。 SGL 的季节性波动与全球气温的短期变化同步。到本世纪中叶，西格里在亚洲高山地区的扩张预计将继续。鉴于其对气候变化的快速反应，小型SGL可以支持水文脉冲和极端气候事件预警框架的开发。</w:t>
      </w:r>
    </w:p>
    <w:p>
      <w:pPr>
        <w:spacing w:before="0" w:after="200" w:lineRule="auto" w:line="276"/>
      </w:pPr>
      <w:r>
        <w:rPr>
          <w:b/>
        </w:rPr>
        <w:t xml:space="preserve">Abstract (EN): </w:t>
      </w:r>
      <w:r>
        <w:t>Mass loss from debris-covered glaciers in High Mountain Asia drives the expansion of small supraglacial lakes (SGLs) and changes the occurrence patterns of hazardous processes including glacial lake outburst floods. Here, we analyse surface area changes of small SGLs ( &gt; 0.045×104 m2) in the Sagarmatha region, Eastern Himalaya, integrating data with daily resolution from 2016 to 2024. The results show SGLs expanded at a mean rate of 5.90 ± 1.49×104 m2·yr⁻¹. Starting from October 2022, SGLs in the study area have exhibited anomalous expansion, with the total lake area reached its maximum during this period, 67.35% higher than during the second peak (2020). The seasonal fluctuations of SGLs are synchronous with short-term variations in global temperature. By mid-century, SGL expansion in High Mountain Asia is expected to continue. Given their rapid response to climate change, small SGLs could support the development of early-warning frameworks for hydrological pulses and extreme climate events.</w:t>
      </w:r>
    </w:p>
    <w:p>
      <w:pPr>
        <w:spacing w:before="120" w:after="120"/>
      </w:pPr>
      <w:r>
        <w:rPr>
          <w:sz w:val="18"/>
        </w:rPr>
        <w:t>——————————————————————————————————————————————————————————————————————</w:t>
      </w:r>
    </w:p>
    <w:p>
      <w:pPr>
        <w:spacing w:before="160" w:after="40" w:line="240" w:lineRule="auto"/>
      </w:pPr>
      <w:r>
        <w:rPr>
          <w:b/>
        </w:rPr>
        <w:t xml:space="preserve">[69] </w:t>
      </w:r>
      <w:hyperlink r:id="rId672">
        <w:r>
          <w:rPr>
            <w:color w:val="1155CC"/>
            <w:u w:val="single"/>
          </w:rPr>
          <w:t>由薄膜钽酸锂实现的超快无复位集成偏振跟踪</w:t>
        </w:r>
      </w:hyperlink>
    </w:p>
    <w:p>
      <w:pPr>
        <w:spacing w:before="0" w:after="80"/>
      </w:pPr>
      <w:r>
        <w:rPr>
          <w:i/>
          <w:sz w:val="20"/>
        </w:rPr>
        <w:t>EN: Ultrafast reset-free integrated polarization tracking enabled by thin-film lithium tantalate</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人工智能计算的快速增长需要高带宽和节能的数据中心互连。尽管自零差相干 (SHC) 传输降低了数字信号处理的复杂性，但其实际部署受到超快偏振状态 (SOP) 波动的限制，这种波动会破坏相干接收的稳定性。在这里，我们展示了一种基于薄膜钽酸锂的超快自适应偏振控制器（APC），通过光子芯片、有限边界梯度下降（FBGD）算法和低延迟实时控制系统的协同设计实现。 FBGD 算法将有限相边界直接纳入控制策略，从而实现无重置连续 SOP 跟踪。所实施的 APC 通过独立偏振跟踪测量和双偏振 16-QAM SHC 400-Gbps 传输系统进行了验证。在连续极化扰动下可保持稳定的无复位操作，最高可达 1 Mrad·s⁻1。这些结果为集成偏振控制建立了以前无法实现的操作机制，并为相干光互连和其他偏振敏感光子系统中的超快和无复位偏振控制提供了实用途径。</w:t>
      </w:r>
    </w:p>
    <w:p>
      <w:pPr>
        <w:spacing w:before="0" w:after="200" w:lineRule="auto" w:line="276"/>
      </w:pPr>
      <w:r>
        <w:rPr>
          <w:b/>
        </w:rPr>
        <w:t xml:space="preserve">Abstract (EN): </w:t>
      </w:r>
      <w:r>
        <w:t>The rapid growth of artificial-intelligence computing demands high-bandwidth and energy-efficient data-center interconnects. Although self-homodyne coherent (SHC) transmission reduces digital signal-processing complexity, its practical deployment is limited by ultrafast state-of-polarization (SOP) fluctuations that destabilize coherent reception. Here we show an ultrafast adaptive polarization controller (APC) based on thin-film lithium tantalate, enabled by the co-design of a photonic chip, a finite-boundary gradient-descent (FBGD) algorithm, and a low-latency real-time control system. The FBGD algorithm incorporates the finite phase boundary directly into the control strategy, enabling reset-free continuous SOP tracking. The implemented APC is validated through both standalone polarization-tracking measurements and a dual-polarization 16-QAM SHC 400-Gbps transmission system. Stable reset-free operation under continuous polarization disturbances is maintained up to 1 Mrad·s⁻¹. These results establish a previously inaccessible operating regime for integrated polarization control and provide a practical route toward ultrafast and reset-free polarization control in coherent optical interconnects and other polarization-sensitive photonic systems.</w:t>
      </w:r>
    </w:p>
    <w:p>
      <w:pPr>
        <w:spacing w:before="120" w:after="120"/>
      </w:pPr>
      <w:r>
        <w:rPr>
          <w:sz w:val="18"/>
        </w:rPr>
        <w:t>——————————————————————————————————————————————————————————————————————</w:t>
      </w:r>
    </w:p>
    <w:p>
      <w:pPr>
        <w:spacing w:before="160" w:after="40" w:line="240" w:lineRule="auto"/>
      </w:pPr>
      <w:r>
        <w:rPr>
          <w:b/>
        </w:rPr>
        <w:t xml:space="preserve">[70] </w:t>
      </w:r>
      <w:hyperlink r:id="rId673">
        <w:r>
          <w:rPr>
            <w:color w:val="1155CC"/>
            <w:u w:val="single"/>
          </w:rPr>
          <w:t>ZnF-UBP 结构域通过缓解泛素产物抑制来调节去泛素酶活性</w:t>
        </w:r>
      </w:hyperlink>
    </w:p>
    <w:p>
      <w:pPr>
        <w:spacing w:before="0" w:after="80"/>
      </w:pPr>
      <w:r>
        <w:rPr>
          <w:i/>
          <w:sz w:val="20"/>
        </w:rPr>
        <w:t>EN: ZnF-UBP domains regulate deubiquitinase activity by relieving ubiquitin product inhibition</w:t>
      </w:r>
    </w:p>
    <w:p>
      <w:pPr>
        <w:spacing w:before="0" w:after="120"/>
      </w:pPr>
      <w:r>
        <w:rPr>
          <w:b/>
        </w:rPr>
        <w:t xml:space="preserve">Source: </w:t>
      </w:r>
      <w:r>
        <w:t>Biological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大多数泛素特异性蛋白酶 (USP) 去泛素酶 (DUB) 将非选择性催化结构域与一个或多个“外切”结构域结合起来，这些结构域有助于底物特异性和定位，但通常表征较差。锌指 UBP (ZnF-UBP) 结构域存在于 12 个 USP DUB 中，但其功能尚不清楚。我们在这里全面分析了人类 ZnF-UBP 结构域，并揭示了 14 个中的 8 个通过未连接的 Ub C 端 GlyGly 基序结合泛素 (Ub)。我们重点关注 USP16，一种具有 Ub 和 Ub 样修饰剂活性的核小体 DUB，并表明其 ZnF-UBP 结构域可以结合底物，但也是酶动力学的重要贡献者。裂解后 Ub 从催化结构域缓慢释放会导致产物抑制，顺式中可通过 ZnF-UBP 介导的产物释放来克服这种抑制。有趣的是，提供反式高亲和力产物捕获 ZnF-UBP 结构域可激活 USP16 和其他 USP 酶。我们的数据显示了产物抑制作为 DUB 调节机制的重要性，并举例说明了外切结构域在调节底物结合之外的 DUB 功能中未被充分认识的作用。</w:t>
      </w:r>
    </w:p>
    <w:p>
      <w:pPr>
        <w:spacing w:before="0" w:after="200" w:lineRule="auto" w:line="276"/>
      </w:pPr>
      <w:r>
        <w:rPr>
          <w:b/>
        </w:rPr>
        <w:t xml:space="preserve">Abstract (EN): </w:t>
      </w:r>
      <w:r>
        <w:t>Most ubiquitin specific protease (USP) deubiquitinases (DUBs) combine non-selective catalytic domains with one or multiple ‘exo’-domains that contribute substrate specificity and localisation, but are generally poorly characterised. Zinc-Finger UBP (ZnF-UBP) domains exist in 12 USP DUBs, yet their function is unclear. We here comprehensively analyse human ZnF-UBP domains, and reveal that 8 of 14 bind ubiquitin (Ub) via an unattached Ub C-terminal GlyGly motif. We focus on USP16, a nucleosome DUB with activity for Ub and Ub-like modifiers, and show that its ZnF-UBP domain can bind substrates, but is also a crucial contributor to enzyme kinetics. Slow Ub release from the catalytic domain after cleavage causes product inhibition, which is overcome in cis by ZnF-UBP-mediated product release. Interestingly, supplying a high affinity product-capturing ZnF-UBP domain in trans, activates USP16 and other USP enzymes. Our data shows the importance of product inhibition as a regulatory mechanism in DUBs, and exemplifies the unappreciated role of exo-domains in regulating DUB function beyond substrate binding.</w:t>
      </w:r>
    </w:p>
    <w:p>
      <w:pPr>
        <w:spacing w:before="120" w:after="120"/>
      </w:pPr>
      <w:r>
        <w:rPr>
          <w:sz w:val="18"/>
        </w:rPr>
        <w:t>——————————————————————————————————————————————————————————————————————</w:t>
      </w:r>
    </w:p>
    <w:p>
      <w:pPr>
        <w:spacing w:before="160" w:after="40" w:line="240" w:lineRule="auto"/>
      </w:pPr>
      <w:r>
        <w:rPr>
          <w:b/>
        </w:rPr>
        <w:t xml:space="preserve">[71] </w:t>
      </w:r>
      <w:hyperlink r:id="rId674">
        <w:r>
          <w:rPr>
            <w:color w:val="1155CC"/>
            <w:u w:val="single"/>
          </w:rPr>
          <w:t>里德伯原子链中的准孤子</w:t>
        </w:r>
      </w:hyperlink>
    </w:p>
    <w:p>
      <w:pPr>
        <w:spacing w:before="0" w:after="80"/>
      </w:pPr>
      <w:r>
        <w:rPr>
          <w:i/>
          <w:sz w:val="20"/>
        </w:rPr>
        <w:t>EN: Quasi-solitons in Rydberg atom chains</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孤子（传播时不扩散的局域波包）在理解非线性系统的传输和特性方面发挥着核心作用。然而，在量子多体系统中，这种强大的激发通常会被热化破坏。在这里，我们从理论上证明了在强最近邻里德伯封锁状态下里德伯原子链高能态中孤子激发的存在。这些局域波包在与量子多体疤痕相关的一类特殊的恢复初始态上定向传播，并且能够携带能量。这些状态具有较长的相干时间，构成了非遍历量子动力学的一种形式，并且可以在里德堡原子模拟器上有效地实现。在这项工作中，除了对孤子的现象学描述之外，我们还确定了它们在经典非线性动力系统中的对应物，证明了它们在量子信息传输中的潜在用途，并推测了它们与里德堡原子阵列数值研究中报告的异常能量传输的相关性。</w:t>
      </w:r>
    </w:p>
    <w:p>
      <w:pPr>
        <w:spacing w:before="0" w:after="200" w:lineRule="auto" w:line="276"/>
      </w:pPr>
      <w:r>
        <w:rPr>
          <w:b/>
        </w:rPr>
        <w:t xml:space="preserve">Abstract (EN): </w:t>
      </w:r>
      <w:r>
        <w:t>Solitons—localized wave packets that travel without spreading—play a central role in understanding transport and properties of nonlinear systems. In quantum many-body systems, however, such robust excitations are typically destroyed by thermalization. Here, we theoretically demonstrate the existence of solitonic excitations in high-energy states of Rydberg atom chains in the regime of strong nearest-neighbor Rydberg blockade. These localized wave packets propagate directionally atop a special class of reviving initial states related to quantum many-body scars and are capable of carrying energy. Exhibiting long coherence times, these states constitute a form of non-ergodic quantum dynamics and can be efficiently implemented on Rydberg atom simulators. In this work, in addition to a phenomenological description of solitons, we identify their counterpart in a classical nonlinear dynamical system, demonstrate their potential use in quantum information transfer, and conjecture their relevance for anomalous energy transport reported in numerical studies of Rydberg atom arrays.</w:t>
      </w:r>
    </w:p>
    <w:p>
      <w:pPr>
        <w:spacing w:before="120" w:after="120"/>
      </w:pPr>
      <w:r>
        <w:rPr>
          <w:sz w:val="18"/>
        </w:rPr>
        <w:t>——————————————————————————————————————————————————————————————————————</w:t>
      </w:r>
    </w:p>
    <w:p>
      <w:pPr>
        <w:spacing w:before="160" w:after="40" w:line="240" w:lineRule="auto"/>
      </w:pPr>
      <w:r>
        <w:rPr>
          <w:b/>
        </w:rPr>
        <w:t xml:space="preserve">[72] </w:t>
      </w:r>
      <w:hyperlink r:id="rId675">
        <w:r>
          <w:rPr>
            <w:color w:val="1155CC"/>
            <w:u w:val="single"/>
          </w:rPr>
          <w:t>kagome 金属 CsCr3Sb5 中的电荷自旋二分法</w:t>
        </w:r>
      </w:hyperlink>
    </w:p>
    <w:p>
      <w:pPr>
        <w:spacing w:before="0" w:after="80"/>
      </w:pPr>
      <w:r>
        <w:rPr>
          <w:i/>
          <w:sz w:val="20"/>
        </w:rPr>
        <w:t>EN: Charge-spin dichotomy in the kagome metal CsCr3Sb5</w:t>
      </w:r>
    </w:p>
    <w:p>
      <w:pPr>
        <w:spacing w:before="0" w:after="120"/>
      </w:pPr>
      <w:r>
        <w:rPr>
          <w:b/>
        </w:rPr>
        <w:t xml:space="preserve">Source: </w:t>
      </w:r>
      <w:r>
        <w:t>Physical sciences : Nature Communications subject feeds</w:t>
      </w:r>
      <w:r>
        <w:t xml:space="preserve">    </w:t>
      </w:r>
      <w:r>
        <w:rPr>
          <w:b/>
        </w:rPr>
        <w:t xml:space="preserve">Pub date: </w:t>
      </w:r>
      <w:r>
        <w:t>2026-07-17 00:00:00+00:00</w:t>
      </w:r>
    </w:p>
    <w:p>
      <w:pPr>
        <w:spacing w:before="0" w:after="120"/>
      </w:pPr>
      <w:r>
        <w:rPr>
          <w:b/>
        </w:rPr>
        <w:t xml:space="preserve">Notes: </w:t>
      </w:r>
      <w:r>
        <w:t>abstract_source=nature_html</w:t>
      </w:r>
    </w:p>
    <w:p>
      <w:pPr>
        <w:spacing w:before="0" w:after="80" w:lineRule="auto" w:line="276"/>
      </w:pPr>
      <w:r>
        <w:rPr>
          <w:b/>
        </w:rPr>
        <w:t xml:space="preserve">摘要（ZH）: </w:t>
      </w:r>
      <w:r>
        <w:t>Kagome 金属具有多种相关的电子态，但它们相互交织的秩序的性质仍然是一个悬而未决的问题。最近发现的 Cr 基 kagome 化合物 CsCr3Sb5 与其 V 基类似物 CsV3Sb5 不同，表现出更强的相关性和磁性基态。虽然 CsV3Sb5 中已报道了多个对称性破缺，但在 CsCr3Sb5 中，在环境压力下仅在 T* ≈ 55 K 处发现了单个跃迁，其起源尚未解决。在这里，我们通过弹性电阻率测量发现了高于 T* 的额外相变。在 T ≈ 64 K 附近，确定了旋转对称性破缺而没有发散向列磁化率，这最一致地解释为电荷密度波序的出现。基于激光的光电子显微镜进一步揭示了与低于 T* 的自旋密度波级相关的三域结构。这些发现表明 CsCr3Sb5 中存在明显的电荷和自旋顺序转变，为了解该系统中相互交织的顺序和压力诱导的超导性提供了重要的见解。</w:t>
      </w:r>
    </w:p>
    <w:p>
      <w:pPr>
        <w:spacing w:before="0" w:after="200" w:lineRule="auto" w:line="276"/>
      </w:pPr>
      <w:r>
        <w:rPr>
          <w:b/>
        </w:rPr>
        <w:t xml:space="preserve">Abstract (EN): </w:t>
      </w:r>
      <w:r>
        <w:t>Kagome metals host a variety of correlated electronic states, yet the nature of their intertwined orders remains an open question. The recently discovered Cr-based kagome compound CsCr3Sb5 differs from its V-based analogue CsV3Sb5 by exhibiting stronger correlations and a magnetic ground state. While multiple broken symmetries have been reported in CsV3Sb5, only a single transition at T* ≈ 55 K has been identified at ambient pressure in CsCr3Sb5, with its origin unresolved. Here we uncover an additional phase transition above T* through elastoresistivity measurements. Rotational symmetry breaking without divergent nematic susceptibility is identified around T ≈ 64 K, which is most consistently explained as the emergence of charge-density-wave order. Laser-based photoemission-electron microscopy further reveals three-domain structures associated with spin-density-wave order below T*. These findings indicate distinct charge and spin order transitions in CsCr3Sb5, offering crucial insight into the intertwined orders and pressure-induced superconductivity in this system.</w:t>
      </w:r>
    </w:p>
    <w:p>
      <w:pPr>
        <w:spacing w:before="120" w:after="120"/>
      </w:pPr>
      <w:r>
        <w:rPr>
          <w:sz w:val="18"/>
        </w:rPr>
        <w:t>——————————————————————————————————————————————————————————————————————</w:t>
      </w:r>
    </w:p>
    <w:p>
      <w:pPr>
        <w:spacing w:before="160" w:after="40" w:line="240" w:lineRule="auto"/>
      </w:pPr>
      <w:r>
        <w:rPr>
          <w:b/>
        </w:rPr>
        <w:t xml:space="preserve">[73] </w:t>
      </w:r>
      <w:hyperlink r:id="rId676">
        <w:r>
          <w:rPr>
            <w:color w:val="1155CC"/>
            <w:u w:val="single"/>
          </w:rPr>
          <w:t>通过 Pt(II)-Salen 希夫碱配合物中伴随分子内三重态-三重态能量转移的偏振转移来探测原本无法观察到的 3MLCT 三重态的电子自旋极化</w:t>
        </w:r>
      </w:hyperlink>
    </w:p>
    <w:p>
      <w:pPr>
        <w:spacing w:before="0" w:after="80"/>
      </w:pPr>
      <w:r>
        <w:rPr>
          <w:i/>
          <w:sz w:val="20"/>
        </w:rPr>
        <w:t>EN: Probe the Electron Spin Polarization of the Otherwise Unobservable 3MLCT Triplet State Through Polarization Transfer Accompanying the Intramolecular Triplet–Triplet Energy Transfer in Pt(II)‐Salen Schiff Base Complexes</w:t>
      </w:r>
    </w:p>
    <w:p>
      <w:pPr>
        <w:spacing w:before="0" w:after="120"/>
      </w:pPr>
      <w:r>
        <w:rPr>
          <w:b/>
        </w:rPr>
        <w:t xml:space="preserve">Source: </w:t>
      </w:r>
      <w:r>
        <w:t>Wiley: Angewandte Chemie International Edition: Table of Contents</w:t>
      </w:r>
      <w:r>
        <w:t xml:space="preserve">    </w:t>
      </w:r>
      <w:r>
        <w:rPr>
          <w:b/>
        </w:rPr>
        <w:t xml:space="preserve">Pub date: </w:t>
      </w:r>
      <w:r>
        <w:t>2026-07-17 05:17:54+00:00</w:t>
      </w:r>
      <w:r>
        <w:t xml:space="preserve">    </w:t>
      </w:r>
      <w:r>
        <w:rPr>
          <w:b/>
        </w:rPr>
        <w:t xml:space="preserve">DOI: </w:t>
      </w:r>
      <w:hyperlink r:id="rId677">
        <w:r>
          <w:rPr>
            <w:color w:val="1155CC"/>
            <w:u w:val="single"/>
          </w:rPr>
          <w:t>10.1002/anie.5596109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Pt(II)-希夫碱配合物和其他磷光过渡金属配合物中三重态亚能级的非玻尔兹曼群体表现出大的零场分裂（ZFS，∼25 cm）</w:t>
      </w:r>
      <w:r>
        <w:t xml:space="preserve"> </w:t>
      </w:r>
      <w:r>
        <w:t>−1</w:t>
      </w:r>
      <w:r>
        <w:t xml:space="preserve"> </w:t>
      </w:r>
      <w:r>
        <w:t>），阻碍了时间分辨电子顺磁共振（TREPR）研究。为了研究 Pt(II) 配合物的系间窜越 (ISC) 电子自旋选择性，我们附加了苝单元作为三线态能量受体。我们的方法依赖于金属到配体电荷转移的超快分子内三重态-三重态能量转移（TTET）过程中自旋角动量的守恒（</w:t>
      </w:r>
      <w:r>
        <w:rPr>
          <w:vertAlign w:val="subscript"/>
        </w:rPr>
        <w:t>3</w:t>
      </w:r>
      <w:r>
        <w:t>MLCT）国家</w:t>
      </w:r>
      <w:r>
        <w:rPr>
          <w:vertAlign w:val="subscript"/>
        </w:rPr>
        <w:t>3</w:t>
      </w:r>
      <w:r>
        <w:t>附加苝单元的近态，其 ZFS 小（0.05 cm</w:t>
      </w:r>
      <w:r>
        <w:t xml:space="preserve"> </w:t>
      </w:r>
      <w:r>
        <w:t>−1</w:t>
      </w:r>
      <w:r>
        <w:t xml:space="preserve"> </w:t>
      </w:r>
      <w:r>
        <w:t>）并且可以使用 X 波段 TREPR 光谱仪进行研究。 TTET 在 ∼1 ps 内发生。 TREPR 光谱未检测到来自天然复合物的信号，而修饰后的复合物则显示出</w:t>
      </w:r>
      <w:r>
        <w:rPr>
          <w:vertAlign w:val="subscript"/>
        </w:rPr>
        <w:t>3</w:t>
      </w:r>
      <w:r>
        <w:t>具有电子自旋极化 (ESP) 模式的近态谱 (</w:t>
      </w:r>
      <w:r>
        <w:t xml:space="preserve"> </w:t>
      </w:r>
      <w:r>
        <w:t>e</w:t>
      </w:r>
      <w:r>
        <w:t xml:space="preserve"> </w:t>
      </w:r>
      <w:r>
        <w:t>,</w:t>
      </w:r>
      <w:r>
        <w:t xml:space="preserve"> </w:t>
      </w:r>
      <w:r>
        <w:t>一个</w:t>
      </w:r>
      <w:r>
        <w:t xml:space="preserve"> </w:t>
      </w:r>
      <w:r>
        <w:t>,</w:t>
      </w:r>
      <w:r>
        <w:t xml:space="preserve"> </w:t>
      </w:r>
      <w:r>
        <w:t>e</w:t>
      </w:r>
      <w:r>
        <w:t xml:space="preserve"> </w:t>
      </w:r>
      <w:r>
        <w:t>,</w:t>
      </w:r>
      <w:r>
        <w:t xml:space="preserve"> </w:t>
      </w:r>
      <w:r>
        <w:t>一个</w:t>
      </w:r>
      <w:r>
        <w:t xml:space="preserve"> </w:t>
      </w:r>
      <w:r>
        <w:t>,</w:t>
      </w:r>
      <w:r>
        <w:t xml:space="preserve"> </w:t>
      </w:r>
      <w:r>
        <w:t>e</w:t>
      </w:r>
      <w:r>
        <w:t xml:space="preserve"> </w:t>
      </w:r>
      <w:r>
        <w:t>,</w:t>
      </w:r>
      <w:r>
        <w:t xml:space="preserve"> </w:t>
      </w:r>
      <w:r>
        <w:t>一个</w:t>
      </w:r>
      <w:r>
        <w:t xml:space="preserve"> </w:t>
      </w:r>
      <w:r>
        <w:t>），与自旋轨道耦合（SOC）生成的不同</w:t>
      </w:r>
      <w:r>
        <w:rPr>
          <w:vertAlign w:val="subscript"/>
        </w:rPr>
        <w:t>3</w:t>
      </w:r>
      <w:r>
        <w:t>佩里州（</w:t>
      </w:r>
      <w:r>
        <w:t xml:space="preserve"> </w:t>
      </w:r>
      <w:r>
        <w:t>e</w:t>
      </w:r>
    </w:p>
    <w:p>
      <w:pPr>
        <w:spacing w:before="0" w:after="200" w:lineRule="auto" w:line="276"/>
      </w:pPr>
      <w:r>
        <w:rPr>
          <w:b/>
        </w:rPr>
        <w:t xml:space="preserve">Abstract (EN): </w:t>
      </w:r>
      <w:r>
        <w:t>The non‐Boltzmann population of the triplet sublevels in Pt(II)‐Schiff base complexes, and other phosphorescent transition metal complexes, exhibits large zero‐field splitting (ZFS, ∼25 cm</w:t>
      </w:r>
      <w:r>
        <w:t xml:space="preserve"> </w:t>
      </w:r>
      <w:r>
        <w:t>−1</w:t>
      </w:r>
      <w:r>
        <w:t xml:space="preserve"> </w:t>
      </w:r>
      <w:r>
        <w:t>), preventing a time‐resolved electron paramagnetic resonance (TREPR) study. To investigate the intersystem crossing (ISC) electron spin selectivity of the Pt(II) complexes, we attached a perylene unit as a triplet energy acceptor. Our method relies on the conservation of spin angular momentum during the ultrafast intramolecular triplet–triplet energy transfer (TTET) from the metal‐to‐ligand charge transfer (</w:t>
      </w:r>
      <w:r>
        <w:rPr>
          <w:vertAlign w:val="subscript"/>
        </w:rPr>
        <w:t>3</w:t>
      </w:r>
      <w:r>
        <w:t>MLCT) state to the</w:t>
      </w:r>
      <w:r>
        <w:rPr>
          <w:vertAlign w:val="subscript"/>
        </w:rPr>
        <w:t>3</w:t>
      </w:r>
      <w:r>
        <w:t>Pery state of the appended perylene unit, which has a small ZFS (0.05 cm</w:t>
      </w:r>
      <w:r>
        <w:t xml:space="preserve"> </w:t>
      </w:r>
      <w:r>
        <w:t>−1</w:t>
      </w:r>
      <w:r>
        <w:t xml:space="preserve"> </w:t>
      </w:r>
      <w:r>
        <w:t>) and can be studied with an X‐band TREPR spectrometer. TTET occurs within ∼1 ps. TREPR spectra detected no signal from the native complex, while the modified complex showed the</w:t>
      </w:r>
      <w:r>
        <w:rPr>
          <w:vertAlign w:val="subscript"/>
        </w:rPr>
        <w:t>3</w:t>
      </w:r>
      <w:r>
        <w:t>Pery state spectrum with an electron spin polarization (ESP) pattern (</w:t>
      </w:r>
      <w:r>
        <w:t xml:space="preserve"> </w:t>
      </w:r>
      <w:r>
        <w:t>e</w:t>
      </w:r>
      <w:r>
        <w:t xml:space="preserve"> </w:t>
      </w:r>
      <w:r>
        <w:t>,</w:t>
      </w:r>
      <w:r>
        <w:t xml:space="preserve"> </w:t>
      </w:r>
      <w:r>
        <w:t>a</w:t>
      </w:r>
      <w:r>
        <w:t xml:space="preserve"> </w:t>
      </w:r>
      <w:r>
        <w:t>,</w:t>
      </w:r>
      <w:r>
        <w:t xml:space="preserve"> </w:t>
      </w:r>
      <w:r>
        <w:t>e</w:t>
      </w:r>
      <w:r>
        <w:t xml:space="preserve"> </w:t>
      </w:r>
      <w:r>
        <w:t>,</w:t>
      </w:r>
      <w:r>
        <w:t xml:space="preserve"> </w:t>
      </w:r>
      <w:r>
        <w:t>a</w:t>
      </w:r>
      <w:r>
        <w:t xml:space="preserve"> </w:t>
      </w:r>
      <w:r>
        <w:t>,</w:t>
      </w:r>
      <w:r>
        <w:t xml:space="preserve"> </w:t>
      </w:r>
      <w:r>
        <w:t>e</w:t>
      </w:r>
      <w:r>
        <w:t xml:space="preserve"> </w:t>
      </w:r>
      <w:r>
        <w:t>,</w:t>
      </w:r>
      <w:r>
        <w:t xml:space="preserve"> </w:t>
      </w:r>
      <w:r>
        <w:t>a</w:t>
      </w:r>
      <w:r>
        <w:t xml:space="preserve"> </w:t>
      </w:r>
      <w:r>
        <w:t>), distinct from the spin‐orbit coupling (SOC)‐generated</w:t>
      </w:r>
      <w:r>
        <w:rPr>
          <w:vertAlign w:val="subscript"/>
        </w:rPr>
        <w:t>3</w:t>
      </w:r>
      <w:r>
        <w:t>Pery state (</w:t>
      </w:r>
      <w:r>
        <w:t xml:space="preserve"> </w:t>
      </w:r>
      <w:r>
        <w:t>e</w:t>
      </w:r>
      <w:r>
        <w:t xml:space="preserve"> </w:t>
      </w:r>
      <w:r>
        <w:t>,</w:t>
      </w:r>
      <w:r>
        <w:t xml:space="preserve"> </w:t>
      </w:r>
      <w:r>
        <w:t>e</w:t>
      </w:r>
      <w:r>
        <w:t xml:space="preserve"> </w:t>
      </w:r>
      <w:r>
        <w:t>,</w:t>
      </w:r>
      <w:r>
        <w:t xml:space="preserve"> </w:t>
      </w:r>
      <w:r>
        <w:t>e</w:t>
      </w:r>
      <w:r>
        <w:t xml:space="preserve"> </w:t>
      </w:r>
      <w:r>
        <w:t>,</w:t>
      </w:r>
      <w:r>
        <w:t xml:space="preserve"> </w:t>
      </w:r>
      <w:r>
        <w:t>a</w:t>
      </w:r>
      <w:r>
        <w:t xml:space="preserve"> </w:t>
      </w:r>
      <w:r>
        <w:t>,</w:t>
      </w:r>
      <w:r>
        <w:t xml:space="preserve"> </w:t>
      </w:r>
      <w:r>
        <w:t>a</w:t>
      </w:r>
      <w:r>
        <w:t xml:space="preserve"> </w:t>
      </w:r>
      <w:r>
        <w:t>,</w:t>
      </w:r>
      <w:r>
        <w:t xml:space="preserve"> </w:t>
      </w:r>
      <w:r>
        <w:t>a</w:t>
      </w:r>
      <w:r>
        <w:t xml:space="preserve"> </w:t>
      </w:r>
      <w:r>
        <w:t>). Based on the orientation of the two units, the population ratios of the</w:t>
      </w:r>
      <w:r>
        <w:rPr>
          <w:vertAlign w:val="subscript"/>
        </w:rPr>
        <w:t>3</w:t>
      </w:r>
      <w:r>
        <w:t>MLCT sublevels were deduced as</w:t>
      </w:r>
      <w:r>
        <w:t xml:space="preserve"> </w:t>
      </w:r>
      <w:r>
        <w:t>P</w:t>
      </w:r>
      <w:r>
        <w:t xml:space="preserve"> </w:t>
      </w:r>
      <w:r>
        <w:t>x</w:t>
      </w:r>
      <w:r>
        <w:t xml:space="preserve"> </w:t>
      </w:r>
      <w:r>
        <w:t>:</w:t>
      </w:r>
      <w:r>
        <w:t xml:space="preserve"> </w:t>
      </w:r>
      <w:r>
        <w:t>P</w:t>
      </w:r>
      <w:r>
        <w:t xml:space="preserve"> </w:t>
      </w:r>
      <w:r>
        <w:t>y</w:t>
      </w:r>
      <w:r>
        <w:t xml:space="preserve"> </w:t>
      </w:r>
      <w:r>
        <w:t>:</w:t>
      </w:r>
      <w:r>
        <w:t xml:space="preserve"> </w:t>
      </w:r>
      <w:r>
        <w:t>P</w:t>
      </w:r>
      <w:r>
        <w:t xml:space="preserve"> </w:t>
      </w:r>
      <w:r>
        <w:t>z</w:t>
      </w:r>
      <w:r>
        <w:t xml:space="preserve"> </w:t>
      </w:r>
      <w:r>
        <w:t>= 0.58:0.22:0.20 (in acceptor's coordinates). Our approach offers a novel way to deduce the ISC spin selectivity in phosphorescent transition metal complexes.</w:t>
      </w:r>
    </w:p>
    <w:p>
      <w:pPr>
        <w:spacing w:before="120" w:after="120"/>
      </w:pPr>
      <w:r>
        <w:rPr>
          <w:sz w:val="18"/>
        </w:rPr>
        <w:t>——————————————————————————————————————————————————————————————————————</w:t>
      </w:r>
    </w:p>
    <w:p>
      <w:pPr>
        <w:spacing w:before="160" w:after="40" w:line="240" w:lineRule="auto"/>
      </w:pPr>
      <w:r>
        <w:rPr>
          <w:b/>
        </w:rPr>
        <w:t xml:space="preserve">[74] </w:t>
      </w:r>
      <w:hyperlink r:id="rId678">
        <w:r>
          <w:rPr>
            <w:color w:val="1155CC"/>
            <w:u w:val="single"/>
          </w:rPr>
          <w:t>亚环甘菊环</w:t>
        </w:r>
      </w:hyperlink>
    </w:p>
    <w:p>
      <w:pPr>
        <w:spacing w:before="0" w:after="80"/>
      </w:pPr>
      <w:r>
        <w:rPr>
          <w:i/>
          <w:sz w:val="20"/>
        </w:rPr>
        <w:t>EN: Cycloazulenylene</w:t>
      </w:r>
    </w:p>
    <w:p>
      <w:pPr>
        <w:spacing w:before="0" w:after="120"/>
      </w:pPr>
      <w:r>
        <w:rPr>
          <w:b/>
        </w:rPr>
        <w:t xml:space="preserve">Source: </w:t>
      </w:r>
      <w:r>
        <w:t>Wiley: Angewandte Chemie International Edition: Table of Contents</w:t>
      </w:r>
      <w:r>
        <w:t xml:space="preserve">    </w:t>
      </w:r>
      <w:r>
        <w:rPr>
          <w:b/>
        </w:rPr>
        <w:t xml:space="preserve">Pub date: </w:t>
      </w:r>
      <w:r>
        <w:t>2026-07-17 05:20:41+00:00</w:t>
      </w:r>
      <w:r>
        <w:t xml:space="preserve">    </w:t>
      </w:r>
      <w:r>
        <w:rPr>
          <w:b/>
        </w:rPr>
        <w:t xml:space="preserve">DOI: </w:t>
      </w:r>
      <w:hyperlink r:id="rId679">
        <w:r>
          <w:rPr>
            <w:color w:val="1155CC"/>
            <w:u w:val="single"/>
          </w:rPr>
          <w:t>10.1002/anie.2204400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交替碳氢化合物由于其非对称电子结构而与其交替类似物显着不同，这表现在不同的（反）芳香性、光学行为和氧化还原性质。将此类系统置于应变和大环共轭作用下，会进一步改变这些特性，从而产生具有全新特性的材料。甘菊环是一种非交替碳氢化合物，以其抗 Kasha 荧光和强烈的蓝色着色而闻名，在本文中沿其 2,6 位形成大环。亚基交替的 2,2' 和 6,6' 连接形成 [6] 环对亚苯的对称全甘菊环类似物，称为 [6] 环对亚甘菊基 ([6]CPA)。通过单晶 X 射线衍射阐明了其结构，揭示了相邻甘菊亚基之间明显的二面角扭转和不寻常的管状堆积图案。大环表现出沿大环周长的电子离域、非常窄的HOMO-LUMO能隙以及可见光范围内的强烈吸收。芳香度的计算分析表明，尽管 60</w:t>
      </w:r>
      <w:r>
        <w:t xml:space="preserve"> </w:t>
      </w:r>
      <w:r>
        <w:t>π</w:t>
      </w:r>
      <w:r>
        <w:t xml:space="preserve"> </w:t>
      </w:r>
      <w:r>
        <w:t>‐电子（4</w:t>
      </w:r>
      <w:r>
        <w:t xml:space="preserve"> </w:t>
      </w:r>
      <w:r>
        <w:t>n</w:t>
      </w:r>
      <w:r>
        <w:t xml:space="preserve"> </w:t>
      </w:r>
      <w:r>
        <w:t>）大环周长，整体电子结构由10的局部芳香性主导</w:t>
      </w:r>
      <w:r>
        <w:t xml:space="preserve"> </w:t>
      </w:r>
      <w:r>
        <w:t>π</w:t>
      </w:r>
      <w:r>
        <w:t xml:space="preserve"> </w:t>
      </w:r>
      <w:r>
        <w:t>‐电子（4</w:t>
      </w:r>
      <w:r>
        <w:t xml:space="preserve"> </w:t>
      </w:r>
      <w:r>
        <w:t>n</w:t>
      </w:r>
      <w:r>
        <w:t xml:space="preserve"> </w:t>
      </w:r>
      <w:r>
        <w:t>+2）甘菊亚基，而在施加外部磁场时会感应出弱的顺向环电流。</w:t>
      </w:r>
    </w:p>
    <w:p>
      <w:pPr>
        <w:spacing w:before="0" w:after="200" w:lineRule="auto" w:line="276"/>
      </w:pPr>
      <w:r>
        <w:rPr>
          <w:b/>
        </w:rPr>
        <w:t xml:space="preserve">Abstract (EN): </w:t>
      </w:r>
      <w:r>
        <w:t>Nonalternant hydrocarbons differ significantly from their alternant analogs due to their nonsymmetric electronic structure, which manifests in distinct (anti)aromaticity, optical behavior, and redox properties. Subjecting such systems to strain and macrocyclic conjugation further changes these characteristics, leading to materials with fundamentally new properties. Azulene, a nonalternant hydrocarbon known for its anti‐Kasha fluorescence and intense blue coloration, is herein strained into a macrocycle along its 2,6‐positions. Alternating 2,2′ and 6,6′ linkages of the subunits form the symmetric all‐azulene analogue of [6]cycloparaphenylene, termed [6]cycloparaazulenylene ([6]CPA). Its structure was elucidated via single‐crystal X‐ray diffraction, revealing pronounced dihedral torsion between adjacent azulene subunits and an unusual tubular packing motif. The macrocycle exhibits electronic delocalization along the macrocyclic perimeter, a remarkably narrow HOMO–LUMO gap, and intense absorption in the visible range. Computational analyses of aromaticity show that, despite the 60</w:t>
      </w:r>
      <w:r>
        <w:t xml:space="preserve"> </w:t>
      </w:r>
      <w:r>
        <w:t>π</w:t>
      </w:r>
      <w:r>
        <w:t xml:space="preserve"> </w:t>
      </w:r>
      <w:r>
        <w:t>‐electron (4</w:t>
      </w:r>
      <w:r>
        <w:t xml:space="preserve"> </w:t>
      </w:r>
      <w:r>
        <w:t>n</w:t>
      </w:r>
      <w:r>
        <w:t xml:space="preserve"> </w:t>
      </w:r>
      <w:r>
        <w:t>) macrocyclic perimeter, the overall electronic structure is dominated by the local aromaticity of the 10</w:t>
      </w:r>
      <w:r>
        <w:t xml:space="preserve"> </w:t>
      </w:r>
      <w:r>
        <w:t>π</w:t>
      </w:r>
      <w:r>
        <w:t xml:space="preserve"> </w:t>
      </w:r>
      <w:r>
        <w:t>‐electron (4</w:t>
      </w:r>
      <w:r>
        <w:t xml:space="preserve"> </w:t>
      </w:r>
      <w:r>
        <w:t>n</w:t>
      </w:r>
      <w:r>
        <w:t xml:space="preserve"> </w:t>
      </w:r>
      <w:r>
        <w:t>+2) azulene subunits, while a weak paratropic ring current is induced upon application of an external magnetic field.</w:t>
      </w:r>
    </w:p>
    <w:p>
      <w:pPr>
        <w:spacing w:before="120" w:after="120"/>
      </w:pPr>
      <w:r>
        <w:rPr>
          <w:sz w:val="18"/>
        </w:rPr>
        <w:t>——————————————————————————————————————————————————————————————————————</w:t>
      </w:r>
    </w:p>
    <w:p>
      <w:pPr>
        <w:spacing w:before="160" w:after="40" w:line="240" w:lineRule="auto"/>
      </w:pPr>
      <w:r>
        <w:rPr>
          <w:b/>
        </w:rPr>
        <w:t xml:space="preserve">[75] </w:t>
      </w:r>
      <w:hyperlink r:id="rId680">
        <w:r>
          <w:rPr>
            <w:color w:val="1155CC"/>
            <w:u w:val="single"/>
          </w:rPr>
          <w:t>操作费托催化剂上的碳诱导表面重建</w:t>
        </w:r>
      </w:hyperlink>
    </w:p>
    <w:p>
      <w:pPr>
        <w:spacing w:before="0" w:after="80"/>
      </w:pPr>
      <w:r>
        <w:rPr>
          <w:i/>
          <w:sz w:val="20"/>
        </w:rPr>
        <w:t>EN: A Carbon‐Induced Surface Reconstruction on an Operating Fischer–Tropsch Catalyst</w:t>
      </w:r>
    </w:p>
    <w:p>
      <w:pPr>
        <w:spacing w:before="0" w:after="120"/>
      </w:pPr>
      <w:r>
        <w:rPr>
          <w:b/>
        </w:rPr>
        <w:t xml:space="preserve">Source: </w:t>
      </w:r>
      <w:r>
        <w:t>Wiley: Angewandte Chemie International Edition: Table of Contents</w:t>
      </w:r>
      <w:r>
        <w:t xml:space="preserve">    </w:t>
      </w:r>
      <w:r>
        <w:rPr>
          <w:b/>
        </w:rPr>
        <w:t xml:space="preserve">Pub date: </w:t>
      </w:r>
      <w:r>
        <w:t>2026-07-17 05:23:46+00:00</w:t>
      </w:r>
      <w:r>
        <w:t xml:space="preserve">    </w:t>
      </w:r>
      <w:r>
        <w:rPr>
          <w:b/>
        </w:rPr>
        <w:t xml:space="preserve">DOI: </w:t>
      </w:r>
      <w:hyperlink r:id="rId681">
        <w:r>
          <w:rPr>
            <w:color w:val="1155CC"/>
            <w:u w:val="single"/>
          </w:rPr>
          <w:t>10.1002/anie.5104870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常认为多相催化剂在反应条件下会发生显着的化学和形态变化。然而，在通常施加的高压下获得催化剂表面状态的信息是困难的。对于工业费托合成中使用的钴催化剂，人们普遍认为表面会经历碳诱导的粗糙化，这对其活性至关重要。我们通过在具有牺牲碳化物层的 Co(0001) 表面上进行反应来测试这个想法。在 ∼1 bar 合成气和 473 K 条件下进行的原位扫描隧道显微镜实验表明，在 C 覆盖率增加的情况下，表面不会发生预期的粗糙化。相反，形成了一种独特的碳诱导重建，由三角形部分堆垛层错组成，其中碳原子占据断层线。密度泛函理论计算表明重建比粗糙状态更稳定。对于C的检测范围</w:t>
      </w:r>
      <w:r>
        <w:rPr>
          <w:vertAlign w:val="subscript"/>
        </w:rPr>
        <w:t>1</w:t>
      </w:r>
      <w:r>
        <w:t>至 C</w:t>
      </w:r>
      <w:r>
        <w:rPr>
          <w:vertAlign w:val="subscript"/>
        </w:rPr>
        <w:t>4</w:t>
      </w:r>
      <w:r>
        <w:t>反应产物的气相色谱显示没有重构的影响，这与活性主要由原子台阶的密度决定的观点一致，原子台阶的密度保持不变。这些发现可以作为描述工业催化剂Co颗粒的新基础。</w:t>
      </w:r>
    </w:p>
    <w:p>
      <w:pPr>
        <w:spacing w:before="0" w:after="200" w:lineRule="auto" w:line="276"/>
      </w:pPr>
      <w:r>
        <w:rPr>
          <w:b/>
        </w:rPr>
        <w:t xml:space="preserve">Abstract (EN): </w:t>
      </w:r>
      <w:r>
        <w:t>Heterogeneous catalysts are often assumed to undergo substantial chemical and morphological changes under reaction conditions. However, obtaining information on the state of a catalyst surface at the usually applied high pressures is difficult. For the Co catalyst used in the industrial Fischer–Tropsch synthesis, a widely held view is that the surface experiences a carbon‐induced roughening that is essential for its activity. We have tested this idea by performing the reaction on a Co(0001) surface with a sacrificial carbide layer. In situ scanning tunneling microscopy experiments at ∼1 bar synthesis gas and 473 K show that, at the increased C coverage, the surface does not undergo the predicted roughening. Instead, a unique carbon‐induced reconstruction forms, consisting of triangular partial stacking faults in which C atoms occupy the fault lines. Density functional theory calculations reveal that the reconstruction is more stable than the roughened state. For the detectable range of C</w:t>
      </w:r>
      <w:r>
        <w:rPr>
          <w:vertAlign w:val="subscript"/>
        </w:rPr>
        <w:t>1</w:t>
      </w:r>
      <w:r>
        <w:t>to C</w:t>
      </w:r>
      <w:r>
        <w:rPr>
          <w:vertAlign w:val="subscript"/>
        </w:rPr>
        <w:t>4</w:t>
      </w:r>
      <w:r>
        <w:t>reaction products, gas chromatography shows no effect of the reconstruction, consistent with the view that the activity is primarily determined by the density of atomic steps, which remains unchanged. These findings can serve as a new basis for describing the Co particles of the industrial catalyst.</w:t>
      </w:r>
    </w:p>
    <w:p>
      <w:pPr>
        <w:spacing w:before="120" w:after="120"/>
      </w:pPr>
      <w:r>
        <w:rPr>
          <w:sz w:val="18"/>
        </w:rPr>
        <w:t>——————————————————————————————————————————————————————————————————————</w:t>
      </w:r>
    </w:p>
    <w:p>
      <w:pPr>
        <w:spacing w:before="160" w:after="40" w:line="240" w:lineRule="auto"/>
      </w:pPr>
      <w:r>
        <w:rPr>
          <w:b/>
        </w:rPr>
        <w:t xml:space="preserve">[76] </w:t>
      </w:r>
      <w:hyperlink r:id="rId682">
        <w:r>
          <w:rPr>
            <w:color w:val="1155CC"/>
            <w:u w:val="single"/>
          </w:rPr>
          <w:t>通过杂环取代进行唑 γ-肽螺旋转换</w:t>
        </w:r>
      </w:hyperlink>
    </w:p>
    <w:p>
      <w:pPr>
        <w:spacing w:before="0" w:after="80"/>
      </w:pPr>
      <w:r>
        <w:rPr>
          <w:i/>
          <w:sz w:val="20"/>
        </w:rPr>
        <w:t>EN: Azole γ‐Peptides Helix Switching via Heterocycle Substitutions</w:t>
      </w:r>
    </w:p>
    <w:p>
      <w:pPr>
        <w:spacing w:before="0" w:after="120"/>
      </w:pPr>
      <w:r>
        <w:rPr>
          <w:b/>
        </w:rPr>
        <w:t xml:space="preserve">Source: </w:t>
      </w:r>
      <w:r>
        <w:t>Wiley: Angewandte Chemie International Edition: Table of Contents</w:t>
      </w:r>
      <w:r>
        <w:t xml:space="preserve">    </w:t>
      </w:r>
      <w:r>
        <w:rPr>
          <w:b/>
        </w:rPr>
        <w:t xml:space="preserve">Pub date: </w:t>
      </w:r>
      <w:r>
        <w:t>2026-07-17 05:23:49+00:00</w:t>
      </w:r>
      <w:r>
        <w:t xml:space="preserve">    </w:t>
      </w:r>
      <w:r>
        <w:rPr>
          <w:b/>
        </w:rPr>
        <w:t xml:space="preserve">DOI: </w:t>
      </w:r>
      <w:hyperlink r:id="rId683">
        <w:r>
          <w:rPr>
            <w:color w:val="1155CC"/>
            <w:u w:val="single"/>
          </w:rPr>
          <w:t>10.1002/anie.9299244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通过非共价相互作用精确控制肽骨架折叠仍然是折叠体设计中的主要挑战。在这项工作中，我们证明杂原子取代通过调节杂环γ-氨基酸内的内在立体电子效应来编程唑类γ-肽的构象转换。构象受限的噻唑和恶唑基 γ-氨基酸被设计为采用由以下任一驱动的构象：</w:t>
      </w:r>
      <w:r>
        <w:t xml:space="preserve"> </w:t>
      </w:r>
      <w:r>
        <w:t>C</w:t>
      </w:r>
      <w:r>
        <w:rPr>
          <w:vertAlign w:val="subscript"/>
        </w:rPr>
        <w:t>9</w:t>
      </w:r>
      <w:r>
        <w:t>或一个</w:t>
      </w:r>
      <w:r>
        <w:t xml:space="preserve"> </w:t>
      </w:r>
      <w:r>
        <w:t>C</w:t>
      </w:r>
      <w:r>
        <w:rPr>
          <w:vertAlign w:val="subscript"/>
        </w:rPr>
        <w:t>7</w:t>
      </w:r>
      <w:r>
        <w:t>分子内氢键取决于关键的 1,4-X…O 相互作用（X = S 或 N）。我们之前证明基于噻唑的低聚物形成了特征良好的典型 9 螺旋。在这里，杂环内硫和氮原子的排列引起了交替的拉伸螺旋结构</w:t>
      </w:r>
      <w:r>
        <w:t xml:space="preserve"> </w:t>
      </w:r>
      <w:r>
        <w:t>C</w:t>
      </w:r>
      <w:r>
        <w:rPr>
          <w:vertAlign w:val="subscript"/>
        </w:rPr>
        <w:t>7</w:t>
      </w:r>
      <w:r>
        <w:t>‐扩展构象中的转角和残基。这种不寻常的拓扑结构是由七元残基内氢键和有吸引力的S·N静电硫族相互作用之间的竞争产生的。通过 S→O 取代逆转这种效应，得到恶唑衍生的低聚物，该低聚物采用稳定的 7 螺旋，通过溶液中的连续七元氢键网络进行稳定。这些发现表明，简单的杂原子排列或取代可以控制杂环γ-肽折叠，从而扩大分子识别、催化和生物医学应用中折叠体设计的机会</w:t>
      </w:r>
    </w:p>
    <w:p>
      <w:pPr>
        <w:spacing w:before="0" w:after="200" w:lineRule="auto" w:line="276"/>
      </w:pPr>
      <w:r>
        <w:rPr>
          <w:b/>
        </w:rPr>
        <w:t xml:space="preserve">Abstract (EN): </w:t>
      </w:r>
      <w:r>
        <w:t>Precise control of peptide backbone folding through non‐covalent interactions remains a major challenge in foldamer design. In this work, we demonstrate that heteroatom substitutions program conformational switching in azole γ‐peptides by tuning intrinsic stereoelectronic effects within heterocyclic γ‐amino acids. Conformationally constrained thiazole‐ and oxazole‐based γ‐amino acids were designed to adopt conformations driven by either a</w:t>
      </w:r>
      <w:r>
        <w:t xml:space="preserve"> </w:t>
      </w:r>
      <w:r>
        <w:t>C</w:t>
      </w:r>
      <w:r>
        <w:rPr>
          <w:vertAlign w:val="subscript"/>
        </w:rPr>
        <w:t>9</w:t>
      </w:r>
      <w:r>
        <w:t>or a</w:t>
      </w:r>
      <w:r>
        <w:t xml:space="preserve"> </w:t>
      </w:r>
      <w:r>
        <w:t>C</w:t>
      </w:r>
      <w:r>
        <w:rPr>
          <w:vertAlign w:val="subscript"/>
        </w:rPr>
        <w:t>7</w:t>
      </w:r>
      <w:r>
        <w:t>intramolecular H‐bond depending on key 1,4‐X···O interactions (X = S or N). We previously showed that thiazole‐based oligomers form a well‐characterized canonical 9‐Helix. Here, permutation of the sulfur and nitrogen atoms within the heterocycle induces a stretched helical structure with alternating</w:t>
      </w:r>
      <w:r>
        <w:t xml:space="preserve"> </w:t>
      </w:r>
      <w:r>
        <w:t>C</w:t>
      </w:r>
      <w:r>
        <w:rPr>
          <w:vertAlign w:val="subscript"/>
        </w:rPr>
        <w:t>7</w:t>
      </w:r>
      <w:r>
        <w:t>‐turns and residues in extended conformations. This unusual topology arises from competition between seven‐membered intra‐residue H‐bonds and attractive S···N electrostatic‐chalcogen interactions. Reversing this effect through an S→O substitution affords oxazole‐derived oligomers that adopt a stable 7‐Helix stabilized by a continuous seven‐membered H‐bond network in solution. These findings show that simple heteroatom permutation or substitution allows control over heterocyclic γ‐peptide folding, thereby expanding opportunities for foldamer design in molecular recognition, catalysis, and biomedical applications.</w:t>
      </w:r>
    </w:p>
    <w:p>
      <w:pPr>
        <w:spacing w:before="120" w:after="120"/>
      </w:pPr>
      <w:r>
        <w:rPr>
          <w:sz w:val="18"/>
        </w:rPr>
        <w:t>——————————————————————————————————————————————————————————————————————</w:t>
      </w:r>
    </w:p>
    <w:p>
      <w:pPr>
        <w:spacing w:before="160" w:after="40" w:line="240" w:lineRule="auto"/>
      </w:pPr>
      <w:r>
        <w:rPr>
          <w:b/>
        </w:rPr>
        <w:t xml:space="preserve">[77] </w:t>
      </w:r>
      <w:hyperlink r:id="rId684">
        <w:r>
          <w:rPr>
            <w:color w:val="1155CC"/>
            <w:u w:val="single"/>
          </w:rPr>
          <w:t>水衍生的自由基物质引发微滴中环酮的六电子氧化</w:t>
        </w:r>
      </w:hyperlink>
    </w:p>
    <w:p>
      <w:pPr>
        <w:spacing w:before="0" w:after="80"/>
      </w:pPr>
      <w:r>
        <w:rPr>
          <w:i/>
          <w:sz w:val="20"/>
        </w:rPr>
        <w:t>EN: Water‐Derived Radical Species Initiate Six‐Electron Oxidation of Cyclic Ketones in Microdroplets</w:t>
      </w:r>
    </w:p>
    <w:p>
      <w:pPr>
        <w:spacing w:before="0" w:after="120"/>
      </w:pPr>
      <w:r>
        <w:rPr>
          <w:b/>
        </w:rPr>
        <w:t xml:space="preserve">Source: </w:t>
      </w:r>
      <w:r>
        <w:t>Wiley: Angewandte Chemie International Edition: Table of Contents</w:t>
      </w:r>
      <w:r>
        <w:t xml:space="preserve">    </w:t>
      </w:r>
      <w:r>
        <w:rPr>
          <w:b/>
        </w:rPr>
        <w:t xml:space="preserve">Pub date: </w:t>
      </w:r>
      <w:r>
        <w:t>2026-07-17 05:25:18+00:00</w:t>
      </w:r>
      <w:r>
        <w:t xml:space="preserve">    </w:t>
      </w:r>
      <w:r>
        <w:rPr>
          <w:b/>
        </w:rPr>
        <w:t xml:space="preserve">DOI: </w:t>
      </w:r>
      <w:hyperlink r:id="rId685">
        <w:r>
          <w:rPr>
            <w:color w:val="1155CC"/>
            <w:u w:val="single"/>
          </w:rPr>
          <w:t>10.1002/anie.1888676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环己酮和其他环酮的直接六电子氧化以及相关的 C-C 键断裂可以在微滴中实现，无需外部氧化剂、金属催化剂或热活化。机理研究表明，痕量水的存在通过产生活性自由基物质引发氧化转化。使用 D 的同位素标记实验</w:t>
      </w:r>
      <w:r>
        <w:rPr>
          <w:vertAlign w:val="subscript"/>
        </w:rPr>
        <w:t>2</w:t>
      </w:r>
      <w:r>
        <w:t>氧和氢</w:t>
      </w:r>
      <w:r>
        <w:rPr>
          <w:vertAlign w:val="subscript"/>
        </w:rPr>
        <w:t>2</w:t>
      </w:r>
      <w:r>
        <w:rPr>
          <w:vertAlign w:val="subscript"/>
        </w:rPr>
        <w:t>18</w:t>
      </w:r>
      <w:r>
        <w:t>O 提供了水自由基阳离子 (H</w:t>
      </w:r>
      <w:r>
        <w:rPr>
          <w:vertAlign w:val="subscript"/>
        </w:rPr>
        <w:t>2</w:t>
      </w:r>
      <w:r>
        <w:t>氧</w:t>
      </w:r>
      <w:r>
        <w:t xml:space="preserve"> </w:t>
      </w:r>
      <w:r>
        <w:t>•+</w:t>
      </w:r>
      <w:r>
        <w:t xml:space="preserve"> </w:t>
      </w:r>
      <w:r>
        <w:t>）作为活性氧化剂。使用不同雾化气体的实验表明，氧化需要水自由基阳离子和分子氧。此外，自由基捕获剂 2,2,6,6-四甲基哌啶酮 (TEMPO) 抑制产物形成，与自由基介导的机制一致。使用产生二羧酸/酮酸的不同环酮验证了该反应的底物范围。与质谱结果一致，使用单个喷雾器放大使用环己酮的反应（3 小时内收集到 12 毫克产物），用于表征</w:t>
      </w:r>
      <w:r>
        <w:rPr>
          <w:vertAlign w:val="subscript"/>
        </w:rPr>
        <w:t>1</w:t>
      </w:r>
      <w:r>
        <w:t>H NMR 光谱，验证了微滴中己二酸的形成。总的来说，这项研究（i）证明了微滴反应过程中需要微量的水，（ii）展示了特殊的牛</w:t>
      </w:r>
    </w:p>
    <w:p>
      <w:pPr>
        <w:spacing w:before="0" w:after="200" w:lineRule="auto" w:line="276"/>
      </w:pPr>
      <w:r>
        <w:rPr>
          <w:b/>
        </w:rPr>
        <w:t xml:space="preserve">Abstract (EN): </w:t>
      </w:r>
      <w:r>
        <w:t>Direct six‐electron oxidation of cyclohexanone and other cyclic ketones and associated C‐C bond cleavage can be achieved in microdroplets without the need for external oxidants, metal catalysts, or thermal activation. Mechanistic studies indicate that presence of trace amounts of water initiate the oxidative transformation by generating reactive radical species. Isotopic labeling experiments employing D</w:t>
      </w:r>
      <w:r>
        <w:rPr>
          <w:vertAlign w:val="subscript"/>
        </w:rPr>
        <w:t>2</w:t>
      </w:r>
      <w:r>
        <w:t>O and H</w:t>
      </w:r>
      <w:r>
        <w:rPr>
          <w:vertAlign w:val="subscript"/>
        </w:rPr>
        <w:t>2</w:t>
      </w:r>
      <w:r>
        <w:rPr>
          <w:vertAlign w:val="subscript"/>
        </w:rPr>
        <w:t>18</w:t>
      </w:r>
      <w:r>
        <w:t>O provide evidence for involvement of water radical cation (H</w:t>
      </w:r>
      <w:r>
        <w:rPr>
          <w:vertAlign w:val="subscript"/>
        </w:rPr>
        <w:t>2</w:t>
      </w:r>
      <w:r>
        <w:t>O</w:t>
      </w:r>
      <w:r>
        <w:t xml:space="preserve"> </w:t>
      </w:r>
      <w:r>
        <w:t>•+</w:t>
      </w:r>
      <w:r>
        <w:t xml:space="preserve"> </w:t>
      </w:r>
      <w:r>
        <w:t>) as the active oxidant. Experiments using different nebulizing gases suggest that both water radical cation and molecular oxygen are required for the oxidation. Furthermore, the radical trapping agent 2,2,6,6‐tetramethylpiperidone (TEMPO) suppresses product formation, consistent with a radical‐mediated mechanism. The substrate scope of this reaction was verified using different cyclic ketones which yielded dicarboxylic acids/keto acids. In line with the mass spectrometric results, the reaction using cyclohexanone was scaled up using a single sprayer (∼ 12 mg product was collected in 3 h) for characterization by</w:t>
      </w:r>
      <w:r>
        <w:rPr>
          <w:vertAlign w:val="subscript"/>
        </w:rPr>
        <w:t>1</w:t>
      </w:r>
      <w:r>
        <w:t>H NMR spectroscopy, which verified the formation of adipic acid in microdroplets. Overall, this study (i) demonstrates the need for trace amounts of water during microdroplet reactions, (ii) showcases the exceptional oxidizing power of water microdroplets, and (iii) introduces a green, energy‐efficient pathway for dicarboxylic acid/keto acid synthesis.</w:t>
      </w:r>
    </w:p>
    <w:p>
      <w:pPr>
        <w:spacing w:before="120" w:after="120"/>
      </w:pPr>
      <w:r>
        <w:rPr>
          <w:sz w:val="18"/>
        </w:rPr>
        <w:t>——————————————————————————————————————————————————————————————————————</w:t>
      </w:r>
    </w:p>
    <w:p>
      <w:pPr>
        <w:spacing w:before="160" w:after="40" w:line="240" w:lineRule="auto"/>
      </w:pPr>
      <w:r>
        <w:rPr>
          <w:b/>
        </w:rPr>
        <w:t xml:space="preserve">[78] </w:t>
      </w:r>
      <w:hyperlink r:id="rId686">
        <w:r>
          <w:rPr>
            <w:color w:val="1155CC"/>
            <w:u w:val="single"/>
          </w:rPr>
          <w:t>通过环丙烷化去质子化完全饱和的 C16 高倍半萜烯笛卡烷的生物合成</w:t>
        </w:r>
      </w:hyperlink>
    </w:p>
    <w:p>
      <w:pPr>
        <w:spacing w:before="0" w:after="80"/>
      </w:pPr>
      <w:r>
        <w:rPr>
          <w:i/>
          <w:sz w:val="20"/>
        </w:rPr>
        <w:t>EN: Biosynthesis of the Fully Saturated C16 Homosesquiterpene Descartane Through Deprotonation With Cyclopropanation</w:t>
      </w:r>
    </w:p>
    <w:p>
      <w:pPr>
        <w:spacing w:before="0" w:after="120"/>
      </w:pPr>
      <w:r>
        <w:rPr>
          <w:b/>
        </w:rPr>
        <w:t xml:space="preserve">Source: </w:t>
      </w:r>
      <w:r>
        <w:t>Wiley: Angewandte Chemie International Edition: Table of Contents</w:t>
      </w:r>
      <w:r>
        <w:t xml:space="preserve">    </w:t>
      </w:r>
      <w:r>
        <w:rPr>
          <w:b/>
        </w:rPr>
        <w:t xml:space="preserve">Pub date: </w:t>
      </w:r>
      <w:r>
        <w:t>2026-07-17 05:29:00+00:00</w:t>
      </w:r>
      <w:r>
        <w:t xml:space="preserve">    </w:t>
      </w:r>
      <w:r>
        <w:rPr>
          <w:b/>
        </w:rPr>
        <w:t xml:space="preserve">DOI: </w:t>
      </w:r>
      <w:hyperlink r:id="rId687">
        <w:r>
          <w:rPr>
            <w:color w:val="1155CC"/>
            <w:u w:val="single"/>
          </w:rPr>
          <w:t>10.1002/anie.1585472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非经典萜烯生物合成扩展了经典 C 之外的结构多样性</w:t>
      </w:r>
      <w:r>
        <w:t xml:space="preserve"> </w:t>
      </w:r>
      <w:r>
        <w:t>5n</w:t>
      </w:r>
      <w:r>
        <w:t xml:space="preserve"> </w:t>
      </w:r>
      <w:r>
        <w:t>逻辑。在这里，我们报告了笛卡尔烷的发现，一种 C</w:t>
      </w:r>
      <w:r>
        <w:rPr>
          <w:vertAlign w:val="subscript"/>
        </w:rPr>
        <w:t>16</w:t>
      </w:r>
      <w:r>
        <w:t>高倍半萜烯具有前所未有的支架，由细菌 I 型萜烯环化酶产生</w:t>
      </w:r>
      <w:r>
        <w:t xml:space="preserve"> </w:t>
      </w:r>
      <w:r>
        <w:t>摩根氏菌</w:t>
      </w:r>
      <w:r>
        <w:t xml:space="preserve"> </w:t>
      </w:r>
      <w:r>
        <w:t>（MMTC）。与大多数萜烯环化酶产品不同，笛卡尔烷是完全饱和的，缺乏烯烃和醇官能团，同时含有在不寻常的终止步骤中形成的环丙烷环。功能表征表明，MmTC 将 α-presodorifen 焦磷酸盐 (α-PSPP) 转化为笛卡尔烷。通过广泛的同位素标记实验和密度泛函理论（DFT）计算对环化级联进行了研究，揭示了涉及碎片重组、多次氢化物位移和环丙烷形成的复杂途径。定点诱变确定了控制产物形成并将级联重定向至相关萜烯的活性位点残基，包括伏泰烯、马来布兰烯、德波瓦罗和毕达哥烯。这些发现确立了笛卡尔烷的生物合成起源，并表明活性位点的微妙变化如何重新编程复杂的萜烯环化级联。</w:t>
      </w:r>
    </w:p>
    <w:p>
      <w:pPr>
        <w:spacing w:before="0" w:after="200" w:lineRule="auto" w:line="276"/>
      </w:pPr>
      <w:r>
        <w:rPr>
          <w:b/>
        </w:rPr>
        <w:t xml:space="preserve">Abstract (EN): </w:t>
      </w:r>
      <w:r>
        <w:t>Non‐canonical terpene biosynthesis expands structural diversity beyond the classical C</w:t>
      </w:r>
      <w:r>
        <w:t xml:space="preserve"> </w:t>
      </w:r>
      <w:r>
        <w:t>5n</w:t>
      </w:r>
      <w:r>
        <w:t xml:space="preserve"> </w:t>
      </w:r>
      <w:r>
        <w:t>logic. Here we report the discovery of descartane, a C</w:t>
      </w:r>
      <w:r>
        <w:rPr>
          <w:vertAlign w:val="subscript"/>
        </w:rPr>
        <w:t>16</w:t>
      </w:r>
      <w:r>
        <w:t>homosesquiterpene with an unprecedented scaffold produced by a bacterial type I terpene cyclase from</w:t>
      </w:r>
      <w:r>
        <w:t xml:space="preserve"> </w:t>
      </w:r>
      <w:r>
        <w:t>Morganella morganii</w:t>
      </w:r>
      <w:r>
        <w:t xml:space="preserve"> </w:t>
      </w:r>
      <w:r>
        <w:t>(MmTC). Unlike most terpene cyclase products, descartane is fully saturated and lacks both alkene and alcohol functions, while containing a cyclopropane ring formed in an unusual termination step. Functional characterisation demonstrated that MmTC converts α‐presodorifen pyrophosphate (α‐PSPP) into descartane. The cyclisation cascade was investigated by extensive isotopic labelling experiments and density functional theory (DFT) calculations, revealing a complex pathway involving fragmentation‐recombination, multiple hydride shifts, and cyclopropane formation. Site‐directed mutagenesis identified active site residues that control product formation and redirect the cascade towards related terpenes, including voltairene, malebranchene, de‐beauvoirol, and pythagorene. These findings establish the biosynthetic origin of descartane and show how subtle changes in the active site can reprogram complex terpene cyclisation cascades.</w:t>
      </w:r>
    </w:p>
    <w:p>
      <w:pPr>
        <w:spacing w:before="120" w:after="120"/>
      </w:pPr>
      <w:r>
        <w:rPr>
          <w:sz w:val="18"/>
        </w:rPr>
        <w:t>——————————————————————————————————————————————————————————————————————</w:t>
      </w:r>
    </w:p>
    <w:p>
      <w:pPr>
        <w:spacing w:before="160" w:after="40" w:line="240" w:lineRule="auto"/>
      </w:pPr>
      <w:r>
        <w:rPr>
          <w:b/>
        </w:rPr>
        <w:t xml:space="preserve">[79] </w:t>
      </w:r>
      <w:hyperlink r:id="rId688">
        <w:r>
          <w:rPr>
            <w:color w:val="1155CC"/>
            <w:u w:val="single"/>
          </w:rPr>
          <w:t>苯氧基自由基介导的低聚和芳环开环过程协同接力处理有机废水</w:t>
        </w:r>
      </w:hyperlink>
    </w:p>
    <w:p>
      <w:pPr>
        <w:spacing w:before="0" w:after="80"/>
      </w:pPr>
      <w:r>
        <w:rPr>
          <w:i/>
          <w:sz w:val="20"/>
        </w:rPr>
        <w:t>EN: Synergetic Relay of Phenoxyl‐Radical‐Mediated Oligomerization and Aromatic‐Ring‐Opening Processes for Organic Wastewater Treatment</w:t>
      </w:r>
    </w:p>
    <w:p>
      <w:pPr>
        <w:spacing w:before="0" w:after="120"/>
      </w:pPr>
      <w:r>
        <w:rPr>
          <w:b/>
        </w:rPr>
        <w:t xml:space="preserve">Source: </w:t>
      </w:r>
      <w:r>
        <w:t>Wiley: Angewandte Chemie International Edition: Table of Contents</w:t>
      </w:r>
      <w:r>
        <w:t xml:space="preserve">    </w:t>
      </w:r>
      <w:r>
        <w:rPr>
          <w:b/>
        </w:rPr>
        <w:t xml:space="preserve">Pub date: </w:t>
      </w:r>
      <w:r>
        <w:t>2026-07-17 05:30:44+00:00</w:t>
      </w:r>
      <w:r>
        <w:t xml:space="preserve">    </w:t>
      </w:r>
      <w:r>
        <w:rPr>
          <w:b/>
        </w:rPr>
        <w:t xml:space="preserve">DOI: </w:t>
      </w:r>
      <w:hyperlink r:id="rId689">
        <w:r>
          <w:rPr>
            <w:color w:val="1155CC"/>
            <w:u w:val="single"/>
          </w:rPr>
          <w:t>10.1002/anie.2359022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传统单过程聚合或开环矿化中不明确的反应途径阻碍了有机废水中顽固芳香族化合物的有效去除。在此，我们报告了一种协同中继策略，该策略集成了苯氧基自由基介导的低聚和芳环开环途径，用于高效处理有机废水。这种方法通过在一个位点的正式氢原子转移与随后的单线态氧耦合初始高价铁氧物种（HVIO）驱动的低聚（</w:t>
      </w:r>
      <w:r>
        <w:rPr>
          <w:vertAlign w:val="subscript"/>
        </w:rPr>
        <w:t>1</w:t>
      </w:r>
      <w:r>
        <w:t>氧</w:t>
      </w:r>
      <w:r>
        <w:rPr>
          <w:vertAlign w:val="subscript"/>
        </w:rPr>
        <w:t>2</w:t>
      </w:r>
      <w:r>
        <w:t>）介导的相邻位点的开环反应，由双单原子 Fe 实现</w:t>
      </w:r>
      <w:r>
        <w:rPr>
          <w:vertAlign w:val="subscript"/>
        </w:rPr>
        <w:t>1</w:t>
      </w:r>
      <w:r>
        <w:t>铜</w:t>
      </w:r>
      <w:r>
        <w:rPr>
          <w:vertAlign w:val="subscript"/>
        </w:rPr>
        <w:t>1</w:t>
      </w:r>
      <w:r>
        <w:t>/二氧化钛</w:t>
      </w:r>
      <w:r>
        <w:rPr>
          <w:vertAlign w:val="subscript"/>
        </w:rPr>
        <w:t>2</w:t>
      </w:r>
      <w:r>
        <w:t>光催化剂。在太阳光照射下，光生电子在 Fe 处转移至过一硫酸盐 (PMS)</w:t>
      </w:r>
      <w:r>
        <w:rPr>
          <w:vertAlign w:val="subscript"/>
        </w:rPr>
        <w:t>1</w:t>
      </w:r>
      <w:r>
        <w:t>位点，它充当生成 HVIO 的关键激活剂，用于基于寡聚化的去除。同时，空穴氧化 Cu 处的 PMS</w:t>
      </w:r>
      <w:r>
        <w:rPr>
          <w:vertAlign w:val="subscript"/>
        </w:rPr>
        <w:t>1</w:t>
      </w:r>
      <w:r>
        <w:t>现场生产</w:t>
      </w:r>
      <w:r>
        <w:rPr>
          <w:vertAlign w:val="subscript"/>
        </w:rPr>
        <w:t>1</w:t>
      </w:r>
      <w:r>
        <w:t>氧</w:t>
      </w:r>
      <w:r>
        <w:rPr>
          <w:vertAlign w:val="subscript"/>
        </w:rPr>
        <w:t>2</w:t>
      </w:r>
      <w:r>
        <w:t>，导致有效的芳环开环。这种连续策略在 10 分钟内实现了近 72% 的化学需氧量去除，并将 23% 的碳回收到可分离的聚合物产品中，最终达到了 c</w:t>
      </w:r>
    </w:p>
    <w:p>
      <w:pPr>
        <w:spacing w:before="0" w:after="200" w:lineRule="auto" w:line="276"/>
      </w:pPr>
      <w:r>
        <w:rPr>
          <w:b/>
        </w:rPr>
        <w:t xml:space="preserve">Abstract (EN): </w:t>
      </w:r>
      <w:r>
        <w:t>Efficient removal of recalcitrant aromatic compounds in organic wastewater is hindered by ambiguous reaction pathways in conventional single‐process polymerization or ring‐opening mineralization. Herein, we report a synergistic relay strategy that integrates phenoxyl‐radical‐mediated oligomerization and aromatic‐ring‐opening pathways for the highly efficient treatment of organic wastewater. This approach couples an initial high‐valence iron‐oxo species (HVIO)‐driven oligomerization via formal hydrogen atom transfer at one site with a subsequent singlet oxygen (</w:t>
      </w:r>
      <w:r>
        <w:rPr>
          <w:vertAlign w:val="subscript"/>
        </w:rPr>
        <w:t>1</w:t>
      </w:r>
      <w:r>
        <w:t>O</w:t>
      </w:r>
      <w:r>
        <w:rPr>
          <w:vertAlign w:val="subscript"/>
        </w:rPr>
        <w:t>2</w:t>
      </w:r>
      <w:r>
        <w:t>)‐mediated ring‐opening reaction at an adjacent site, enabled by a dual‐single‐atom Fe</w:t>
      </w:r>
      <w:r>
        <w:rPr>
          <w:vertAlign w:val="subscript"/>
        </w:rPr>
        <w:t>1</w:t>
      </w:r>
      <w:r>
        <w:t>Cu</w:t>
      </w:r>
      <w:r>
        <w:rPr>
          <w:vertAlign w:val="subscript"/>
        </w:rPr>
        <w:t>1</w:t>
      </w:r>
      <w:r>
        <w:t>/TiO</w:t>
      </w:r>
      <w:r>
        <w:rPr>
          <w:vertAlign w:val="subscript"/>
        </w:rPr>
        <w:t>2</w:t>
      </w:r>
      <w:r>
        <w:t>photocatalyst. Under solar‐light irradiation, photoinduced electrons are transferred to peroxymonosulfate (PMS) at the Fe</w:t>
      </w:r>
      <w:r>
        <w:rPr>
          <w:vertAlign w:val="subscript"/>
        </w:rPr>
        <w:t>1</w:t>
      </w:r>
      <w:r>
        <w:t>site, which acts as a critical activator to generate HVIO for oligomerization‐based removal. Simultaneously, holes oxidize PMS at the Cu</w:t>
      </w:r>
      <w:r>
        <w:rPr>
          <w:vertAlign w:val="subscript"/>
        </w:rPr>
        <w:t>1</w:t>
      </w:r>
      <w:r>
        <w:t>site to produce</w:t>
      </w:r>
      <w:r>
        <w:rPr>
          <w:vertAlign w:val="subscript"/>
        </w:rPr>
        <w:t>1</w:t>
      </w:r>
      <w:r>
        <w:t>O</w:t>
      </w:r>
      <w:r>
        <w:rPr>
          <w:vertAlign w:val="subscript"/>
        </w:rPr>
        <w:t>2</w:t>
      </w:r>
      <w:r>
        <w:t>, leading to efficient aromatic‐ring‐opening. This sequential strategy achieved nearly 72% chemical oxygen demand removal with 23% carbon recovery into separable polymer products within 10 min for the phenol and ultimately reached complete removal with a rate constant of 1.21 min</w:t>
      </w:r>
      <w:r>
        <w:t xml:space="preserve"> </w:t>
      </w:r>
      <w:r>
        <w:t>−1</w:t>
      </w:r>
      <w:r>
        <w:t xml:space="preserve"> </w:t>
      </w:r>
      <w:r>
        <w:t>, significantly surpassing most reported values. Moreover, the system exhibited excellent stability and long‐term activity in a custom‐designed photo‐filter reactor, highlighting its practical potential. By coupling oligomerization and mineralization, this work provides a groundbreaking and versatile platform for treating complex organic wastewater.</w:t>
      </w:r>
    </w:p>
    <w:p>
      <w:pPr>
        <w:spacing w:before="120" w:after="120"/>
      </w:pPr>
      <w:r>
        <w:rPr>
          <w:sz w:val="18"/>
        </w:rPr>
        <w:t>——————————————————————————————————————————————————————————————————————</w:t>
      </w:r>
    </w:p>
    <w:p>
      <w:pPr>
        <w:spacing w:before="160" w:after="40" w:line="240" w:lineRule="auto"/>
      </w:pPr>
      <w:r>
        <w:rPr>
          <w:b/>
        </w:rPr>
        <w:t xml:space="preserve">[80] </w:t>
      </w:r>
      <w:hyperlink r:id="rId690">
        <w:r>
          <w:rPr>
            <w:color w:val="1155CC"/>
            <w:u w:val="single"/>
          </w:rPr>
          <w:t>驯服蓝色气体——六氟硫代丙酮的结构和化学</w:t>
        </w:r>
      </w:hyperlink>
    </w:p>
    <w:p>
      <w:pPr>
        <w:spacing w:before="0" w:after="80"/>
      </w:pPr>
      <w:r>
        <w:rPr>
          <w:i/>
          <w:sz w:val="20"/>
        </w:rPr>
        <w:t>EN: Taming a Blue Gas—Structure and Chemistry of Hexafluorothioacetone</w:t>
      </w:r>
    </w:p>
    <w:p>
      <w:pPr>
        <w:spacing w:before="0" w:after="120"/>
      </w:pPr>
      <w:r>
        <w:rPr>
          <w:b/>
        </w:rPr>
        <w:t xml:space="preserve">Source: </w:t>
      </w:r>
      <w:r>
        <w:t>Wiley: Angewandte Chemie International Edition: Table of Contents</w:t>
      </w:r>
      <w:r>
        <w:t xml:space="preserve">    </w:t>
      </w:r>
      <w:r>
        <w:rPr>
          <w:b/>
        </w:rPr>
        <w:t xml:space="preserve">Pub date: </w:t>
      </w:r>
      <w:r>
        <w:t>2026-07-17 05:42:52+00:00</w:t>
      </w:r>
      <w:r>
        <w:t xml:space="preserve">    </w:t>
      </w:r>
      <w:r>
        <w:rPr>
          <w:b/>
        </w:rPr>
        <w:t xml:space="preserve">DOI: </w:t>
      </w:r>
      <w:hyperlink r:id="rId691">
        <w:r>
          <w:rPr>
            <w:color w:val="1155CC"/>
            <w:u w:val="single"/>
          </w:rPr>
          <w:t>10.1002/anie.1044664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六氟硫代丙酮（</w:t>
      </w:r>
      <w:r>
        <w:rPr>
          <w:vertAlign w:val="subscript"/>
        </w:rPr>
        <w:t>1</w:t>
      </w:r>
      <w:r>
        <w:t>），室温下为蓝色气体并且异常容易发生二聚化，通过单晶 X 射线衍射、核磁共振波谱和密度泛函理论 (DFT) 计算进行了合成和表征。 C=S 键长</w:t>
      </w:r>
      <w:r>
        <w:rPr>
          <w:vertAlign w:val="subscript"/>
        </w:rPr>
        <w:t>1</w:t>
      </w:r>
      <w:r>
        <w:t>确定为 1.583–1.595 Å，代表非累积烯系统报道的最短 C=S 键长。 DFT 计算表明仅有弱极性共价 C=S 键。此外，由于CF具有强吸电子性</w:t>
      </w:r>
      <w:r>
        <w:rPr>
          <w:vertAlign w:val="subscript"/>
        </w:rPr>
        <w:t>3</w:t>
      </w:r>
      <w:r>
        <w:t>基团中，C=S 键的极性与 C 相反</w:t>
      </w:r>
      <w:r>
        <w:t xml:space="preserve"> </w:t>
      </w:r>
      <w:r>
        <w:t>δ–</w:t>
      </w:r>
      <w:r>
        <w:t xml:space="preserve"> </w:t>
      </w:r>
      <w:r>
        <w:t>═S</w:t>
      </w:r>
      <w:r>
        <w:t xml:space="preserve"> </w:t>
      </w:r>
      <w:r>
        <w:t>δ+</w:t>
      </w:r>
      <w:r>
        <w:t xml:space="preserve"> </w:t>
      </w:r>
      <w:r>
        <w:t>，与它们的电负性相反。的</w:t>
      </w:r>
      <w:r>
        <w:rPr>
          <w:vertAlign w:val="subscript"/>
        </w:rPr>
        <w:t>13</w:t>
      </w:r>
      <w:r>
        <w:t>纯的 13C NMR 谱</w:t>
      </w:r>
      <w:r>
        <w:rPr>
          <w:vertAlign w:val="subscript"/>
        </w:rPr>
        <w:t>1</w:t>
      </w:r>
      <w:r>
        <w:t>在 193 K 处收集的数据显示 205.4 ppm 处的共振（</w:t>
      </w:r>
      <w:r>
        <w:rPr>
          <w:vertAlign w:val="subscript"/>
        </w:rPr>
        <w:t>2</w:t>
      </w:r>
      <w:r>
        <w:t>J</w:t>
      </w:r>
      <w:r>
        <w:t xml:space="preserve"> </w:t>
      </w:r>
      <w:r>
        <w:t>CF</w:t>
      </w:r>
      <w:r>
        <w:t xml:space="preserve"> </w:t>
      </w:r>
      <w:r>
        <w:t>= 37.7 Hz）和 116.7 ppm（</w:t>
      </w:r>
      <w:r>
        <w:rPr>
          <w:vertAlign w:val="subscript"/>
        </w:rPr>
        <w:t>1</w:t>
      </w:r>
      <w:r>
        <w:t>J</w:t>
      </w:r>
      <w:r>
        <w:t xml:space="preserve"> </w:t>
      </w:r>
      <w:r>
        <w:t>CF</w:t>
      </w:r>
      <w:r>
        <w:t xml:space="preserve"> </w:t>
      </w:r>
      <w:r>
        <w:t>= 278.7 Hz），硫代羰基共振异常地向高场移动，进一步强调了 C=S 键的反转极性。镍配合物</w:t>
      </w:r>
      <w:r>
        <w:rPr>
          <w:vertAlign w:val="subscript"/>
        </w:rPr>
        <w:t>1</w:t>
      </w:r>
      <w:r>
        <w:t>作为侧配体（η</w:t>
      </w:r>
      <w:r>
        <w:rPr>
          <w:vertAlign w:val="subscript"/>
        </w:rPr>
        <w:t>2</w:t>
      </w:r>
      <w:r>
        <w:t>）和辅助配体（COD、吡啶、TMEDA）得到，其中镍原子采用伪正方形平面结构</w:t>
      </w:r>
    </w:p>
    <w:p>
      <w:pPr>
        <w:spacing w:before="0" w:after="200" w:lineRule="auto" w:line="276"/>
      </w:pPr>
      <w:r>
        <w:rPr>
          <w:b/>
        </w:rPr>
        <w:t xml:space="preserve">Abstract (EN): </w:t>
      </w:r>
      <w:r>
        <w:t>Hexafluorothioacetone (</w:t>
      </w:r>
      <w:r>
        <w:rPr>
          <w:vertAlign w:val="subscript"/>
        </w:rPr>
        <w:t>1</w:t>
      </w:r>
      <w:r>
        <w:t>), a blue gas at r.t. and unusually prone to dimerization, was synthesized and characterized by single‑crystal x‑ray diffraction, NMR spectroscopy, and density functional theory (DFT) calculations. The C═S bond lengths in</w:t>
      </w:r>
      <w:r>
        <w:rPr>
          <w:vertAlign w:val="subscript"/>
        </w:rPr>
        <w:t>1</w:t>
      </w:r>
      <w:r>
        <w:t>were determined to be 1.583–1.595 Å, representing the shortest C═S bond lengths reported for a non‐cumulene system. DFT calculations indicate an only mildly polar covalent C═S bond. Furthermore, due to the strongly electron withdrawing CF</w:t>
      </w:r>
      <w:r>
        <w:rPr>
          <w:vertAlign w:val="subscript"/>
        </w:rPr>
        <w:t>3</w:t>
      </w:r>
      <w:r>
        <w:t>groups, the polarity of the C═S bond is reversed to C</w:t>
      </w:r>
      <w:r>
        <w:t xml:space="preserve"> </w:t>
      </w:r>
      <w:r>
        <w:t>δ–</w:t>
      </w:r>
      <w:r>
        <w:t xml:space="preserve"> </w:t>
      </w:r>
      <w:r>
        <w:t>═S</w:t>
      </w:r>
      <w:r>
        <w:t xml:space="preserve"> </w:t>
      </w:r>
      <w:r>
        <w:t>δ+</w:t>
      </w:r>
      <w:r>
        <w:t xml:space="preserve"> </w:t>
      </w:r>
      <w:r>
        <w:t>, running contrary to their electronegativities. The</w:t>
      </w:r>
      <w:r>
        <w:rPr>
          <w:vertAlign w:val="subscript"/>
        </w:rPr>
        <w:t>13</w:t>
      </w:r>
      <w:r>
        <w:t>C NMR spectrum of neat</w:t>
      </w:r>
      <w:r>
        <w:rPr>
          <w:vertAlign w:val="subscript"/>
        </w:rPr>
        <w:t>1</w:t>
      </w:r>
      <w:r>
        <w:t>collected at 193 K shows resonances at 205.4 ppm (</w:t>
      </w:r>
      <w:r>
        <w:rPr>
          <w:vertAlign w:val="subscript"/>
        </w:rPr>
        <w:t>2</w:t>
      </w:r>
      <w:r>
        <w:t>J</w:t>
      </w:r>
      <w:r>
        <w:t xml:space="preserve"> </w:t>
      </w:r>
      <w:r>
        <w:t>CF</w:t>
      </w:r>
      <w:r>
        <w:t xml:space="preserve"> </w:t>
      </w:r>
      <w:r>
        <w:t>= 37.7 Hz) and 116.7 ppm (</w:t>
      </w:r>
      <w:r>
        <w:rPr>
          <w:vertAlign w:val="subscript"/>
        </w:rPr>
        <w:t>1</w:t>
      </w:r>
      <w:r>
        <w:t>J</w:t>
      </w:r>
      <w:r>
        <w:t xml:space="preserve"> </w:t>
      </w:r>
      <w:r>
        <w:t>CF</w:t>
      </w:r>
      <w:r>
        <w:t xml:space="preserve"> </w:t>
      </w:r>
      <w:r>
        <w:t>= 278.7 Hz), with the thiocarbonyl resonance shifted unusually far up‐field, further underscoring the inverted polarity of the C═S bond. Nickel complexes with</w:t>
      </w:r>
      <w:r>
        <w:rPr>
          <w:vertAlign w:val="subscript"/>
        </w:rPr>
        <w:t>1</w:t>
      </w:r>
      <w:r>
        <w:t>as side‐on ligand (η</w:t>
      </w:r>
      <w:r>
        <w:rPr>
          <w:vertAlign w:val="subscript"/>
        </w:rPr>
        <w:t>2</w:t>
      </w:r>
      <w:r>
        <w:t>) and ancillary ligands (COD, pyridine, TMEDA) were obtained, in which the nickel atom adopts a pseudo square‑planar geometry. The C–S bond lengths in these complexes (1.735–1.762 Å) lie between typical single (1.78 Å) and double (1.61 Å) bonds.</w:t>
      </w:r>
    </w:p>
    <w:p>
      <w:pPr>
        <w:spacing w:before="120" w:after="120"/>
      </w:pPr>
      <w:r>
        <w:rPr>
          <w:sz w:val="18"/>
        </w:rPr>
        <w:t>——————————————————————————————————————————————————————————————————————</w:t>
      </w:r>
    </w:p>
    <w:p>
      <w:pPr>
        <w:spacing w:before="160" w:after="40" w:line="240" w:lineRule="auto"/>
      </w:pPr>
      <w:r>
        <w:rPr>
          <w:b/>
        </w:rPr>
        <w:t xml:space="preserve">[81] </w:t>
      </w:r>
      <w:hyperlink r:id="rId692">
        <w:r>
          <w:rPr>
            <w:color w:val="1155CC"/>
            <w:u w:val="single"/>
          </w:rPr>
          <w:t>惯性手性活性气体的活性热力学：状态方程和边缘电流</w:t>
        </w:r>
      </w:hyperlink>
    </w:p>
    <w:p>
      <w:pPr>
        <w:spacing w:before="0" w:after="80"/>
      </w:pPr>
      <w:r>
        <w:rPr>
          <w:i/>
          <w:sz w:val="20"/>
        </w:rPr>
        <w:t>EN: Active thermodynamics of inertial chiral active gases: Equation of state and edge currents</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693">
        <w:r>
          <w:rPr>
            <w:color w:val="1155CC"/>
            <w:u w:val="single"/>
          </w:rPr>
          <w:t>10.1073/pnas.2532158123</w:t>
        </w:r>
      </w:hyperlink>
    </w:p>
    <w:p>
      <w:pPr>
        <w:spacing w:before="0" w:after="120"/>
      </w:pPr>
      <w:r>
        <w:rPr>
          <w:b/>
        </w:rPr>
        <w:t xml:space="preserve">Notes: </w:t>
      </w:r>
      <w:r>
        <w:t>abstract_source=crossref</w:t>
      </w:r>
    </w:p>
    <w:p>
      <w:pPr>
        <w:spacing w:before="0" w:after="80" w:lineRule="auto" w:line="276"/>
      </w:pPr>
      <w:r>
        <w:rPr>
          <w:b/>
        </w:rPr>
        <w:t xml:space="preserve">摘要（ZH）: </w:t>
      </w:r>
      <w:r>
        <w:t>活性物质物理学最基本的探索之一涉及其宏观性质的综合理论的存在，即“活性热力学”。最近，尽管这一领域的发展取得了进展，但关键问题，例如手性对活性物质热力学的影响，仍然悬而未决——即使在最简单、最通用的理想活性气体情况下也是如此。在这里，我们推导并通过实验验证了理想手性活性气体的活性热力学的关键要素，揭示了边缘电流和奇数扩散率作为其独特特征。我们的主要结果是通过手性相关的有效温度推导了与密度和压力相关的状态方程，菲克定律的推导，包括预测奇扩散的完整扩散矩阵，以及非单调依赖于手性的容器壁边缘电流的精确预测。我们的结果是全面理解手性如何影响并允许我们控制活性物质的宏观特性的关键一步。</w:t>
      </w:r>
    </w:p>
    <w:p>
      <w:pPr>
        <w:spacing w:before="0" w:after="200" w:lineRule="auto" w:line="276"/>
      </w:pPr>
      <w:r>
        <w:rPr>
          <w:b/>
        </w:rPr>
        <w:t xml:space="preserve">Abstract (EN): </w:t>
      </w:r>
      <w:r>
        <w:t>One of the most fundamental quests in the physics of active matter concerns the existence of a comprehensive theory for its macroscopic properties, i.e. an “active thermodynamics.” Recently, despite progress in developing this field, crucial questions, such as the influence of chirality on the thermodynamics of active matter, remain open—even in the simplest and most generic case of the ideal active gas. Here, we derive and experimentally verify key elements of the active thermodynamics of ideal chiral active gases, unveiling edge currents and odd diffusivity as their peculiar features. Our main results are the derivation of an equation of state relating density and pressure via a chirality-dependent effective temperature, the derivation of Fick’s law, including the full diffusion matrix predicting odd diffusion, and the exact prediction of edge currents at container walls that nonmonotonically depend on chirality. Our results serve as a crucial step toward a comprehensive understanding of how chirality influences and allows us to control the macroscopic properties of active matter.</w:t>
      </w:r>
    </w:p>
    <w:p>
      <w:pPr>
        <w:spacing w:before="120" w:after="120"/>
      </w:pPr>
      <w:r>
        <w:rPr>
          <w:sz w:val="18"/>
        </w:rPr>
        <w:t>——————————————————————————————————————————————————————————————————————</w:t>
      </w:r>
    </w:p>
    <w:p>
      <w:pPr>
        <w:spacing w:before="160" w:after="40" w:line="240" w:lineRule="auto"/>
      </w:pPr>
      <w:r>
        <w:rPr>
          <w:b/>
        </w:rPr>
        <w:t xml:space="preserve">[82] </w:t>
      </w:r>
      <w:hyperlink r:id="rId694">
        <w:r>
          <w:rPr>
            <w:color w:val="1155CC"/>
            <w:u w:val="single"/>
          </w:rPr>
          <w:t>通过自旋轨道扭矩实现磁隧道结的皮秒切换</w:t>
        </w:r>
      </w:hyperlink>
    </w:p>
    <w:p>
      <w:pPr>
        <w:spacing w:before="0" w:after="80"/>
      </w:pPr>
      <w:r>
        <w:rPr>
          <w:i/>
          <w:sz w:val="20"/>
        </w:rPr>
        <w:t>EN: Picosecond switching of magnetic tunnel junctions by spin-orbit torque</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695">
        <w:r>
          <w:rPr>
            <w:color w:val="1155CC"/>
            <w:u w:val="single"/>
          </w:rPr>
          <w:t>10.1126/sciadv.aed0607</w:t>
        </w:r>
      </w:hyperlink>
    </w:p>
    <w:p>
      <w:pPr>
        <w:spacing w:before="0" w:after="120"/>
      </w:pPr>
      <w:r>
        <w:rPr>
          <w:b/>
        </w:rPr>
        <w:t xml:space="preserve">Notes: </w:t>
      </w:r>
      <w:r>
        <w:t>abstract_source=crossref</w:t>
      </w:r>
    </w:p>
    <w:p>
      <w:pPr>
        <w:spacing w:before="0" w:after="80" w:lineRule="auto" w:line="276"/>
      </w:pPr>
      <w:r>
        <w:rPr>
          <w:b/>
        </w:rPr>
        <w:t xml:space="preserve">摘要（ZH）: </w:t>
      </w:r>
      <w:r>
        <w:t>磁隧道结 (MTJ) 的超快切换对于未来的高带宽存储器和内存计算至关重要。然而，最先进的 MTJ 电气开关仍然限于数百皮秒，在内存和处理器之间留下了巨大的差距。在这里，我们通过实验演示了使用自旋轨道扭矩 (SOT) 驱动的皮秒电脉冲进行三端 MTJ 的无场开关，超出了速度限制一个数量级。我们进一步使用电压门控 (VG) 效应来探测宽脉冲宽度范围内的 SOT 开关机制，并确定非单调 VG-SOT 效率。虽然效率在长脉冲激励下很明显，但在亚纳秒范围内会降低，但当脉冲宽度缩小到 13.2 ps 时又会重新出现，产生每比特约 30 fJ 的能耗。微磁分析表明，从直流到皮秒时间尺度，主要的磁化强度转换动力学从热激活反转演变为不相干进动再到相干进动。这些结果确立了皮秒 VG-SOT 作为实现超快、节能存储器和逻辑的途径。</w:t>
      </w:r>
    </w:p>
    <w:p>
      <w:pPr>
        <w:spacing w:before="0" w:after="200" w:lineRule="auto" w:line="276"/>
      </w:pPr>
      <w:r>
        <w:rPr>
          <w:b/>
        </w:rPr>
        <w:t xml:space="preserve">Abstract (EN): </w:t>
      </w:r>
      <w:r>
        <w:t>Ultrafast switching of magnetic tunnel junctions (MTJs) is essential for future high-bandwidth memory and in-memory computing. However, state-of-the-art electrical switching of MTJs remains constrained to hundreds of picoseconds, leaving a substantial gap between memory and processors. Here, we experimentally demonstrate field-free switching of three-terminal MTJs using picosecond electrical pulses driven by spin-orbit torque (SOT), surpassing the speed limit by an order of magnitude. We further use voltage-gated (VG) effect to probe SOT switching mechanisms over wide pulse-width ranges and identify a nonmonotonic VG-SOT efficiency. While the efficiency is pronounced under long-pulse excitation, it diminishes in the subnanosecond regime but reemerges as the pulse width scales down to 13.2 ps, yielding an energy consumption about 30 fJ per bit. Micromagnetic analysis reveals that, from dc to picosecond timescale, the dominant magnetization switching dynamics evolve from thermally activated reversal to incoherent precession to coherent precession. These results establish picosecond VG-SOT as a pathway toward ultrafast and energy-efficient memory and logic.</w:t>
      </w:r>
    </w:p>
    <w:p>
      <w:pPr>
        <w:spacing w:before="120" w:after="120"/>
      </w:pPr>
      <w:r>
        <w:rPr>
          <w:sz w:val="18"/>
        </w:rPr>
        <w:t>——————————————————————————————————————————————————————————————————————</w:t>
      </w:r>
    </w:p>
    <w:p>
      <w:pPr>
        <w:spacing w:before="160" w:after="40" w:line="240" w:lineRule="auto"/>
      </w:pPr>
      <w:r>
        <w:rPr>
          <w:b/>
        </w:rPr>
        <w:t xml:space="preserve">[83] </w:t>
      </w:r>
      <w:hyperlink r:id="rId696">
        <w:r>
          <w:rPr>
            <w:color w:val="1155CC"/>
            <w:u w:val="single"/>
          </w:rPr>
          <w:t>镍同位素揭示白垩纪-古近纪撞击器的起源</w:t>
        </w:r>
      </w:hyperlink>
    </w:p>
    <w:p>
      <w:pPr>
        <w:spacing w:before="0" w:after="80"/>
      </w:pPr>
      <w:r>
        <w:rPr>
          <w:i/>
          <w:sz w:val="20"/>
        </w:rPr>
        <w:t>EN: The origin of Cretaceous-Palaeogene impactor revealed by nickel isotopes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697">
        <w:r>
          <w:rPr>
            <w:color w:val="1155CC"/>
            <w:u w:val="single"/>
          </w:rPr>
          <w:t>10.1126/sciadv.aef4858</w:t>
        </w:r>
      </w:hyperlink>
    </w:p>
    <w:p>
      <w:pPr>
        <w:spacing w:before="0" w:after="120"/>
      </w:pPr>
      <w:r>
        <w:rPr>
          <w:b/>
        </w:rPr>
        <w:t xml:space="preserve">Notes: </w:t>
      </w:r>
      <w:r>
        <w:t>abstract_source=crossref</w:t>
      </w:r>
    </w:p>
    <w:p>
      <w:pPr>
        <w:spacing w:before="0" w:after="80" w:lineRule="auto" w:line="276"/>
      </w:pPr>
      <w:r>
        <w:rPr>
          <w:b/>
        </w:rPr>
        <w:t xml:space="preserve">摘要（ZH）: </w:t>
      </w:r>
      <w:r>
        <w:t>六千六百万年前，非鸟类恐龙和其他类群在地球生命史上最大规模的灭绝之一中灭绝。这次灭绝很可能是由一颗来源不明的小行星造成的，它是希克苏鲁伯撞击结构的原因。现有证据表明撞击者是一颗小行星，类似于碳质球粒陨石。然而，碳质球粒陨石是一种不同类型的陨石，因此撞击物的确切性质尚不清楚。通过测量含有撞击喷射物的海洋粘土中的镍同位素，我们将撞击器限制在一组碳质球粒陨石（CO 球粒陨石）和一些未分组的球粒陨石上。这项研究强调了镍同位素在地球上外星物质指纹识别中的应用。鉴于与其他碳质球粒陨石相比，CO 球粒陨石是“干燥”的，并且释放的挥发物要少得多，而挥发物被认为是导致灭绝所必需的，因此这项工作可以进一步研究灭绝背后的机制。</w:t>
      </w:r>
    </w:p>
    <w:p>
      <w:pPr>
        <w:spacing w:before="0" w:after="200" w:lineRule="auto" w:line="276"/>
      </w:pPr>
      <w:r>
        <w:rPr>
          <w:b/>
        </w:rPr>
        <w:t xml:space="preserve">Abstract (EN): </w:t>
      </w:r>
      <w:r>
        <w:t>Sixty-six million years ago, non-avian dinosaurs and other taxa went extinct during one of the largest mass extinctions in the history of life on Earth. The extinction was likely caused by an asteroid of unknown origin, responsible for the Chicxulub impact structure. Existing evidence identifies the impactor as an asteroid, similar to carbonaceous chondrites. However, carbonaceous chondrites are a diverse class of meteorites, leaving the exact nature of the impactor unclear. By measuring Ni isotopes in marine clays containing the impact ejecta, we constrain the impactor to one group of carbonaceous chondrites—CO chondrites—and some ungrouped chondrites. This study highlights the use of Ni isotopes in fingerprinting extraterrestrial materials on Earth. Given that CO chondrites are “dry” compared to the other carbonaceous chondrites and would have delivered much less volatiles, which are thought to be essential in causing the extinction, this work allows further studies of the mechanism behind the extinction.</w:t>
      </w:r>
    </w:p>
    <w:p>
      <w:pPr>
        <w:spacing w:before="120" w:after="120"/>
      </w:pPr>
      <w:r>
        <w:rPr>
          <w:sz w:val="18"/>
        </w:rPr>
        <w:t>——————————————————————————————————————————————————————————————————————</w:t>
      </w:r>
    </w:p>
    <w:p>
      <w:pPr>
        <w:spacing w:before="160" w:after="40" w:line="240" w:lineRule="auto"/>
      </w:pPr>
      <w:r>
        <w:rPr>
          <w:b/>
        </w:rPr>
        <w:t xml:space="preserve">[84] </w:t>
      </w:r>
      <w:hyperlink r:id="rId698">
        <w:r>
          <w:rPr>
            <w:color w:val="1155CC"/>
            <w:u w:val="single"/>
          </w:rPr>
          <w:t>iPLA2β：一种新型钙池操纵的钙进入调节剂，导致去神经期间肌肉功能障碍</w:t>
        </w:r>
      </w:hyperlink>
    </w:p>
    <w:p>
      <w:pPr>
        <w:spacing w:before="0" w:after="80"/>
      </w:pPr>
      <w:r>
        <w:rPr>
          <w:i/>
          <w:sz w:val="20"/>
        </w:rPr>
        <w:t>EN: iPLA2β: A novel store-operated calcium entry modulator contributing to muscle dysfunction during denervation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699">
        <w:r>
          <w:rPr>
            <w:color w:val="1155CC"/>
            <w:u w:val="single"/>
          </w:rPr>
          <w:t>10.1126/sciadv.aed1646</w:t>
        </w:r>
      </w:hyperlink>
    </w:p>
    <w:p>
      <w:pPr>
        <w:spacing w:before="0" w:after="120"/>
      </w:pPr>
      <w:r>
        <w:rPr>
          <w:b/>
        </w:rPr>
        <w:t xml:space="preserve">Notes: </w:t>
      </w:r>
      <w:r>
        <w:t>abstract_source=crossref</w:t>
      </w:r>
    </w:p>
    <w:p>
      <w:pPr>
        <w:spacing w:before="0" w:after="80" w:lineRule="auto" w:line="276"/>
      </w:pPr>
      <w:r>
        <w:rPr>
          <w:b/>
        </w:rPr>
        <w:t xml:space="preserve">摘要（ZH）: </w:t>
      </w:r>
      <w:r>
        <w:t>肌肉减少症是一种与年龄相关的骨骼肌质量和力量损失，是导致虚弱和残疾的主要原因，其中神经肌肉去神经支配是一个关键因素。生物活性脂质介质，包括脂质氢过氧化物和氧脂素，有助于去神经支配引起的肌肉萎缩和功能障碍。在这里，我们鉴定了钙非依赖性磷脂酶 A</w:t>
      </w:r>
      <w:r>
        <w:rPr>
          <w:vertAlign w:val="subscript"/>
        </w:rPr>
        <w:t>2</w:t>
      </w:r>
      <w:r>
        <w:t>β（iPLA</w:t>
      </w:r>
      <w:r>
        <w:rPr>
          <w:vertAlign w:val="subscript"/>
        </w:rPr>
        <w:t>2</w:t>
      </w:r>
      <w:r>
        <w:t>β）作为钙离子库操作的新型调节剂（Ca</w:t>
      </w:r>
      <w:r>
        <w:t xml:space="preserve"> </w:t>
      </w:r>
      <w:r>
        <w:t>2+</w:t>
      </w:r>
      <w:r>
        <w:t xml:space="preserve"> </w:t>
      </w:r>
      <w:r>
        <w:t>）进入（SOCE），维持Ca的关键过程</w:t>
      </w:r>
      <w:r>
        <w:t xml:space="preserve"> </w:t>
      </w:r>
      <w:r>
        <w:t>2+</w:t>
      </w:r>
      <w:r>
        <w:t xml:space="preserve"> </w:t>
      </w:r>
      <w:r>
        <w:t>通过骨骼肌中基质相互作用分子 1 (STIM1) 和 Orai1 偶联实现稳态。使用肌肉特异性 iPLA</w:t>
      </w:r>
      <w:r>
        <w:rPr>
          <w:vertAlign w:val="subscript"/>
        </w:rPr>
        <w:t>2</w:t>
      </w:r>
      <w:r>
        <w:t>β 基因敲除（miPLA</w:t>
      </w:r>
      <w:r>
        <w:rPr>
          <w:vertAlign w:val="subscript"/>
        </w:rPr>
        <w:t>2</w:t>
      </w:r>
      <w:r>
        <w:t>βKO) 小鼠，我们表明 iPLA</w:t>
      </w:r>
      <w:r>
        <w:rPr>
          <w:vertAlign w:val="subscript"/>
        </w:rPr>
        <w:t>2</w:t>
      </w:r>
      <w:r>
        <w:t>β 与 STIM1-Orai1 耦合相互作用来调节 SOCE。去神经术可提高 iPLA</w:t>
      </w:r>
      <w:r>
        <w:rPr>
          <w:vertAlign w:val="subscript"/>
        </w:rPr>
        <w:t>2</w:t>
      </w:r>
      <w:r>
        <w:t>β，过度激活 SOCE 并导致 Ca</w:t>
      </w:r>
      <w:r>
        <w:t xml:space="preserve"> </w:t>
      </w:r>
      <w:r>
        <w:t>2+</w:t>
      </w:r>
      <w:r>
        <w:t xml:space="preserve"> </w:t>
      </w:r>
      <w:r>
        <w:t>通过 SERCA 等调节器的氧化损伤而导致过载。聚乳酸</w:t>
      </w:r>
      <w:r>
        <w:rPr>
          <w:vertAlign w:val="subscript"/>
        </w:rPr>
        <w:t>2</w:t>
      </w:r>
      <w:r>
        <w:t>β缺失使 SOCE 正常化，保留 Ca</w:t>
      </w:r>
      <w:r>
        <w:t xml:space="preserve"> </w:t>
      </w:r>
      <w:r>
        <w:t>2+</w:t>
      </w:r>
      <w:r>
        <w:t xml:space="preserve"> </w:t>
      </w:r>
      <w:r>
        <w:t>体内平衡，并防止去神经引起的肌肉质量（5%）和力量损失（50%）。这些发现表明 iPLA</w:t>
      </w:r>
      <w:r>
        <w:rPr>
          <w:vertAlign w:val="subscript"/>
        </w:rPr>
        <w:t>2</w:t>
      </w:r>
      <w:r>
        <w:t>β可能是氧化应激和Ca之间的关键联系</w:t>
      </w:r>
      <w:r>
        <w:t xml:space="preserve"> </w:t>
      </w:r>
      <w:r>
        <w:t>2+</w:t>
      </w:r>
    </w:p>
    <w:p>
      <w:pPr>
        <w:spacing w:before="0" w:after="200" w:lineRule="auto" w:line="276"/>
      </w:pPr>
      <w:r>
        <w:rPr>
          <w:b/>
        </w:rPr>
        <w:t xml:space="preserve">Abstract (EN): </w:t>
      </w:r>
      <w:r>
        <w:t>Sarcopenia, the age-related loss of skeletal muscle mass and strength, is a major cause of frailty and disability, with neuromuscular denervation as a key contributor. Bioactive lipid mediators, including lipid hydroperoxides and oxylipins, contribute to denervation-induced muscle atrophy and dysfunction. Here, we identify calcium-independent phospholipase A</w:t>
      </w:r>
      <w:r>
        <w:rPr>
          <w:vertAlign w:val="subscript"/>
        </w:rPr>
        <w:t>2</w:t>
      </w:r>
      <w:r>
        <w:t>β (iPLA</w:t>
      </w:r>
      <w:r>
        <w:rPr>
          <w:vertAlign w:val="subscript"/>
        </w:rPr>
        <w:t>2</w:t>
      </w:r>
      <w:r>
        <w:t>β) as a novel regulator of store-operated calcium ion (Ca</w:t>
      </w:r>
      <w:r>
        <w:t xml:space="preserve"> </w:t>
      </w:r>
      <w:r>
        <w:t>2+</w:t>
      </w:r>
      <w:r>
        <w:t xml:space="preserve"> </w:t>
      </w:r>
      <w:r>
        <w:t>) entry (SOCE), a critical process for maintaining Ca</w:t>
      </w:r>
      <w:r>
        <w:t xml:space="preserve"> </w:t>
      </w:r>
      <w:r>
        <w:t>2+</w:t>
      </w:r>
      <w:r>
        <w:t xml:space="preserve"> </w:t>
      </w:r>
      <w:r>
        <w:t>homeostasis via stromal interaction molecule 1 (STIM1) and Orai1 coupling in skeletal muscle. Using muscle-specific iPLA</w:t>
      </w:r>
      <w:r>
        <w:rPr>
          <w:vertAlign w:val="subscript"/>
        </w:rPr>
        <w:t>2</w:t>
      </w:r>
      <w:r>
        <w:t>β knockout (miPLA</w:t>
      </w:r>
      <w:r>
        <w:rPr>
          <w:vertAlign w:val="subscript"/>
        </w:rPr>
        <w:t>2</w:t>
      </w:r>
      <w:r>
        <w:t>βKO) mice, we show that iPLA</w:t>
      </w:r>
      <w:r>
        <w:rPr>
          <w:vertAlign w:val="subscript"/>
        </w:rPr>
        <w:t>2</w:t>
      </w:r>
      <w:r>
        <w:t>β interacts with STIM1-Orai1 coupling to modulate SOCE. Denervation elevates iPLA</w:t>
      </w:r>
      <w:r>
        <w:rPr>
          <w:vertAlign w:val="subscript"/>
        </w:rPr>
        <w:t>2</w:t>
      </w:r>
      <w:r>
        <w:t>β, hyperactivating SOCE and causing Ca</w:t>
      </w:r>
      <w:r>
        <w:t xml:space="preserve"> </w:t>
      </w:r>
      <w:r>
        <w:t>2+</w:t>
      </w:r>
      <w:r>
        <w:t xml:space="preserve"> </w:t>
      </w:r>
      <w:r>
        <w:t>overload through oxidative impairment of regulators such as SERCA. iPLA</w:t>
      </w:r>
      <w:r>
        <w:rPr>
          <w:vertAlign w:val="subscript"/>
        </w:rPr>
        <w:t>2</w:t>
      </w:r>
      <w:r>
        <w:t>β deletion normalizes SOCE, preserves Ca</w:t>
      </w:r>
      <w:r>
        <w:t xml:space="preserve"> </w:t>
      </w:r>
      <w:r>
        <w:t>2+</w:t>
      </w:r>
      <w:r>
        <w:t xml:space="preserve"> </w:t>
      </w:r>
      <w:r>
        <w:t>homeostasis, and protects against denervation-induced muscle mass (5%) and strength loss (50%). These findings reveal that iPLA</w:t>
      </w:r>
      <w:r>
        <w:rPr>
          <w:vertAlign w:val="subscript"/>
        </w:rPr>
        <w:t>2</w:t>
      </w:r>
      <w:r>
        <w:t>β may be a critical link between oxidative stress and Ca</w:t>
      </w:r>
      <w:r>
        <w:t xml:space="preserve"> </w:t>
      </w:r>
      <w:r>
        <w:t>2+</w:t>
      </w:r>
      <w:r>
        <w:t xml:space="preserve"> </w:t>
      </w:r>
      <w:r>
        <w:t>dysregulation and a promising target for mitigating muscle dysfunction during denervation.</w:t>
      </w:r>
    </w:p>
    <w:p>
      <w:pPr>
        <w:spacing w:before="120" w:after="120"/>
      </w:pPr>
      <w:r>
        <w:rPr>
          <w:sz w:val="18"/>
        </w:rPr>
        <w:t>——————————————————————————————————————————————————————————————————————</w:t>
      </w:r>
    </w:p>
    <w:p>
      <w:pPr>
        <w:spacing w:before="160" w:after="40" w:line="240" w:lineRule="auto"/>
      </w:pPr>
      <w:r>
        <w:rPr>
          <w:b/>
        </w:rPr>
        <w:t xml:space="preserve">[85] </w:t>
      </w:r>
      <w:hyperlink r:id="rId700">
        <w:r>
          <w:rPr>
            <w:color w:val="1155CC"/>
            <w:u w:val="single"/>
          </w:rPr>
          <w:t>ALR 将 IMS 氧化还原和血红素生物合成耦合到二硫键中继之外</w:t>
        </w:r>
      </w:hyperlink>
    </w:p>
    <w:p>
      <w:pPr>
        <w:spacing w:before="0" w:after="80"/>
      </w:pPr>
      <w:r>
        <w:rPr>
          <w:i/>
          <w:sz w:val="20"/>
        </w:rPr>
        <w:t>EN: ALR couples IMS redox and heme biosynthesis beyond the disulfide relay</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01">
        <w:r>
          <w:rPr>
            <w:color w:val="1155CC"/>
            <w:u w:val="single"/>
          </w:rPr>
          <w:t>10.1126/sciadv.aed2430</w:t>
        </w:r>
      </w:hyperlink>
    </w:p>
    <w:p>
      <w:pPr>
        <w:spacing w:before="0" w:after="120"/>
      </w:pPr>
      <w:r>
        <w:rPr>
          <w:b/>
        </w:rPr>
        <w:t xml:space="preserve">Notes: </w:t>
      </w:r>
      <w:r>
        <w:t>abstract_source=crossref</w:t>
      </w:r>
    </w:p>
    <w:p>
      <w:pPr>
        <w:spacing w:before="0" w:after="80" w:lineRule="auto" w:line="276"/>
      </w:pPr>
      <w:r>
        <w:rPr>
          <w:b/>
        </w:rPr>
        <w:t xml:space="preserve">摘要（ZH）: </w:t>
      </w:r>
      <w:r>
        <w:t>线粒体膜间隙 (IMS) 中的蛋白质在呼吸链组装、代谢、信号传导和细胞器动力学中发挥着重要作用。它们的稳定性和功能性通常取决于由 MIA40 和 ALR 介导的线粒体二硫键中继引入的结构二硫键。在该系统中，巯基氧化酶 ALR 重新氧化 MIA40，MIA40 又氧化传入的底物蛋白。尽管有证据表明 ALR 也可以独立于 MIA40 发挥作用，但其内源性底物仍然未知。在这项研究中，我们捕获了 ALR 直接氧化的蛋白质。其中，我们发现了粪卟啉原 III 氧化酶（CPOX），它是血红素生物合成的关键酶。我们表明，ALR 介导的二硫键形成对于维持 IMS 中 CPOX 的稳定性至关重要，从而确保有效的血红素生物合成和线粒体功能。值得注意的是，虽然二硫键缺陷的 CPOX 在定位到 IMS 时未能挽救 CPOX 的损失，但在重定向到细胞质时它保留了功能。然而，这种旁路损害了途径效率，导致原卟啉原 IX 的积累，原卟啉原 IX 是一种高度疏水性和氧化还原活性的中间体，使细胞对细胞死亡敏感。总之，我们的研究结果表明，ALR 具有 MIA 途径之外的功能，并强调 IMS 中的氧化蛋白折叠不仅依赖于中继机制，还依赖于更广泛的二硫键引入酶网络。</w:t>
      </w:r>
    </w:p>
    <w:p>
      <w:pPr>
        <w:spacing w:before="0" w:after="200" w:lineRule="auto" w:line="276"/>
      </w:pPr>
      <w:r>
        <w:rPr>
          <w:b/>
        </w:rPr>
        <w:t xml:space="preserve">Abstract (EN): </w:t>
      </w:r>
      <w:r>
        <w:t>Proteins in the mitochondrial intermembrane space (IMS) play essential roles in respiratory chain assembly, metabolism, signaling, and organelle dynamics. Their stability and functionality often depend on structural disulfide bonds introduced by the mitochondrial disulfide relay, mediated by MIA40 and ALR. In this system, the sulfhydryl oxidase ALR reoxidizes MIA40, which in turn oxidizes incoming substrate proteins. Although evidence has suggested that ALR can also act independently of MIA40, its endogenous substrates have remained unknown. In this study, we captured proteins directly oxidized by ALR. Among these, we found coproporphyrinogen III oxidase (CPOX), a key enzyme in heme biosynthesis. We show that ALR-mediated disulfide bond formation is crucial for maintaining CPOX stability in the IMS, thereby ensuring effective heme biosynthesis and mitochondrial functionality. Notably, while disulfide-deficient CPOX failed to rescue CPOX loss when localized to the IMS, it retained functionality when redirected to the cytosol. However, this bypass compromised pathway efficiency, leading to the accumulation of protoporphyrinogen IX, a highly hydrophobic and redox-active intermediate that sensitized cells to cell death. Together, our findings reveal that ALR has functions beyond the MIA pathway and highlight that oxidative protein folding in the IMS relies not only on a relay mechanism but also on a broader disulfide-introducing network of enzymes.</w:t>
      </w:r>
    </w:p>
    <w:p>
      <w:pPr>
        <w:spacing w:before="120" w:after="120"/>
      </w:pPr>
      <w:r>
        <w:rPr>
          <w:sz w:val="18"/>
        </w:rPr>
        <w:t>——————————————————————————————————————————————————————————————————————</w:t>
      </w:r>
    </w:p>
    <w:p>
      <w:pPr>
        <w:spacing w:before="160" w:after="40" w:line="240" w:lineRule="auto"/>
      </w:pPr>
      <w:r>
        <w:rPr>
          <w:b/>
        </w:rPr>
        <w:t xml:space="preserve">[86] </w:t>
      </w:r>
      <w:hyperlink r:id="rId702">
        <w:r>
          <w:rPr>
            <w:color w:val="1155CC"/>
            <w:u w:val="single"/>
          </w:rPr>
          <w:t>广泛的寄生虫传播和与地方性曼氏血吸虫耐药性相关的功能受体的变异</w:t>
        </w:r>
      </w:hyperlink>
    </w:p>
    <w:p>
      <w:pPr>
        <w:spacing w:before="0" w:after="80"/>
      </w:pPr>
      <w:r>
        <w:rPr>
          <w:i/>
          <w:sz w:val="20"/>
        </w:rPr>
        <w:t>EN: Extensive parasite transmission and variation in a functional receptor associated with drug resistance in endemic Schistosoma mansoni</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03">
        <w:r>
          <w:rPr>
            <w:color w:val="1155CC"/>
            <w:u w:val="single"/>
          </w:rPr>
          <w:t>10.1126/sciadv.adt3721</w:t>
        </w:r>
      </w:hyperlink>
    </w:p>
    <w:p>
      <w:pPr>
        <w:spacing w:before="0" w:after="120"/>
      </w:pPr>
      <w:r>
        <w:rPr>
          <w:b/>
        </w:rPr>
        <w:t xml:space="preserve">Notes: </w:t>
      </w:r>
      <w:r>
        <w:t>abstract_source=crossref</w:t>
      </w:r>
    </w:p>
    <w:p>
      <w:pPr>
        <w:spacing w:before="0" w:after="80" w:lineRule="auto" w:line="276"/>
      </w:pPr>
      <w:r>
        <w:rPr>
          <w:b/>
        </w:rPr>
        <w:t xml:space="preserve">摘要（ZH）: </w:t>
      </w:r>
      <w:r>
        <w:t>使用吡喹酮进行大规模药物管理 (MDA) 是控制和消除血吸虫病工作的基石。为了评估长期 MDA 对寄生虫种群的影响，我们分析了来自 570 个样本的全基因组序列数据。</w:t>
      </w:r>
      <w:r>
        <w:t xml:space="preserve"> </w:t>
      </w:r>
      <w:r>
        <w:t>曼氏血吸虫</w:t>
      </w:r>
      <w:r>
        <w:t xml:space="preserve"> </w:t>
      </w:r>
      <w:r>
        <w:t>样本和密切相关的</w:t>
      </w:r>
      <w:r>
        <w:t xml:space="preserve"> </w:t>
      </w:r>
      <w:r>
        <w:t>罗海血吸虫</w:t>
      </w:r>
      <w:r>
        <w:t xml:space="preserve"> </w:t>
      </w:r>
      <w:r>
        <w:t>跨越八个国家，将新的寄生虫材料与公开的序列数据相结合。我们观察到国家之间存在广泛的遗传结构以及广泛的远距离传播的证据。最近确定的瞬时受体电位褪黑素离子通道的功能分析，</w:t>
      </w:r>
      <w:r>
        <w:t xml:space="preserve"> </w:t>
      </w:r>
      <w:r>
        <w:t>SM。</w:t>
      </w:r>
      <w:r>
        <w:t xml:space="preserve"> </w:t>
      </w:r>
      <w:r>
        <w:t>TRPM</w:t>
      </w:r>
      <w:r>
        <w:t xml:space="preserve"> </w:t>
      </w:r>
      <w:r>
        <w:t>普ZQ</w:t>
      </w:r>
      <w:r>
        <w:t xml:space="preserve"> </w:t>
      </w:r>
      <w:r>
        <w:t>，揭示了四种与吡喹酮敏感性降低相关的自然发生的变异，表明耐药性的长期变异。对吡喹酮治疗前和治疗后的人群中收集的寄生虫亚群进行分析，进一步确定了治疗失败的情况，支持了吡喹酮耐药性的可能性。由于血吸虫病作为一个公共卫生问题的目标是消除，并在 2030 年之前阻断某些地区的传播，因此我们的研究为流行人群提供了全面的基因组框架，强调了检测潜在耐药性的方法，并支持制定精准监测和适应性治疗策略。</w:t>
      </w:r>
    </w:p>
    <w:p>
      <w:pPr>
        <w:spacing w:before="0" w:after="200" w:lineRule="auto" w:line="276"/>
      </w:pPr>
      <w:r>
        <w:rPr>
          <w:b/>
        </w:rPr>
        <w:t xml:space="preserve">Abstract (EN): </w:t>
      </w:r>
      <w:r>
        <w:t>Mass drug administration (MDA) with praziquantel is the cornerstone of schistosomiasis control and elimination efforts. To assess how long-term MDA affects parasite populations, we analyzed whole-genome sequence data from 570</w:t>
      </w:r>
      <w:r>
        <w:t xml:space="preserve"> </w:t>
      </w:r>
      <w:r>
        <w:t>Schistosoma mansoni</w:t>
      </w:r>
      <w:r>
        <w:t xml:space="preserve"> </w:t>
      </w:r>
      <w:r>
        <w:t>samples and the closely related</w:t>
      </w:r>
      <w:r>
        <w:t xml:space="preserve"> </w:t>
      </w:r>
      <w:r>
        <w:t>Schistosoma rodhaini</w:t>
      </w:r>
      <w:r>
        <w:t xml:space="preserve"> </w:t>
      </w:r>
      <w:r>
        <w:t>across eight countries, combining new parasite material with publicly available sequence data. We observed a broad-scale genetic structure between countries alongside evidence of extensive long-distance transmission. Functional profiling of the recently identified transient receptor potential melastatin ion channel,</w:t>
      </w:r>
      <w:r>
        <w:t xml:space="preserve"> </w:t>
      </w:r>
      <w:r>
        <w:t>Sm.</w:t>
      </w:r>
      <w:r>
        <w:t xml:space="preserve"> </w:t>
      </w:r>
      <w:r>
        <w:t>TRPM</w:t>
      </w:r>
      <w:r>
        <w:t xml:space="preserve"> </w:t>
      </w:r>
      <w:r>
        <w:t>PZQ</w:t>
      </w:r>
      <w:r>
        <w:t xml:space="preserve"> </w:t>
      </w:r>
      <w:r>
        <w:t>, revealed four naturally occurring variants associated with reduced praziquantel sensitivity, indicating standing variation for resistance. Analyses of parasite infrapopulations collected from people pre– and post–praziquantel treatment further identified instances of treatment failure, supporting the potential for praziquantel resistance. As schistosomiasis is targeted for elimination as a public health problem, with interruption of transmission in selected regions by 2030, our study provides a comprehensive genomic framework for endemic populations, highlights an approach to detect potential resistance, and endorses the development of precision surveillance and adaptive treatment strategies.</w:t>
      </w:r>
    </w:p>
    <w:p>
      <w:pPr>
        <w:spacing w:before="120" w:after="120"/>
      </w:pPr>
      <w:r>
        <w:rPr>
          <w:sz w:val="18"/>
        </w:rPr>
        <w:t>——————————————————————————————————————————————————————————————————————</w:t>
      </w:r>
    </w:p>
    <w:p>
      <w:pPr>
        <w:spacing w:before="160" w:after="40" w:line="240" w:lineRule="auto"/>
      </w:pPr>
      <w:r>
        <w:rPr>
          <w:b/>
        </w:rPr>
        <w:t xml:space="preserve">[87] </w:t>
      </w:r>
      <w:hyperlink r:id="rId704">
        <w:r>
          <w:rPr>
            <w:color w:val="1155CC"/>
            <w:u w:val="single"/>
          </w:rPr>
          <w:t>白蛋白结合可改善 177Lu 标记的 HER2 Fab 放射性结合物的药代动力学和治疗效果</w:t>
        </w:r>
      </w:hyperlink>
    </w:p>
    <w:p>
      <w:pPr>
        <w:spacing w:before="0" w:after="80"/>
      </w:pPr>
      <w:r>
        <w:rPr>
          <w:i/>
          <w:sz w:val="20"/>
        </w:rPr>
        <w:t>EN: Albumin binding improves the pharmacokinetics and therapeutic efficacy of a 177Lu-labeled HER2 Fab radioconjugate</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05">
        <w:r>
          <w:rPr>
            <w:color w:val="1155CC"/>
            <w:u w:val="single"/>
          </w:rPr>
          <w:t>10.1126/sciadv.aee4052</w:t>
        </w:r>
      </w:hyperlink>
    </w:p>
    <w:p>
      <w:pPr>
        <w:spacing w:before="0" w:after="120"/>
      </w:pPr>
      <w:r>
        <w:rPr>
          <w:b/>
        </w:rPr>
        <w:t xml:space="preserve">Notes: </w:t>
      </w:r>
      <w:r>
        <w:t>abstract_source=crossref</w:t>
      </w:r>
    </w:p>
    <w:p>
      <w:pPr>
        <w:spacing w:before="0" w:after="80" w:lineRule="auto" w:line="276"/>
      </w:pPr>
      <w:r>
        <w:rPr>
          <w:b/>
        </w:rPr>
        <w:t xml:space="preserve">摘要（ZH）: </w:t>
      </w:r>
      <w:r>
        <w:t>治疗性抗体和抗体-药物偶联物受到分子尺寸大、肿瘤渗透性差和信号适应性耐药性的限制。我们引入了一种放射治疗抗体片段的工程策略，其中白蛋白结合域（ABD）重新平衡分子大小和药代动力学。使用人表皮生长因子受体 2 (HER2) 作为概念证明，我们开发了</w:t>
      </w:r>
      <w:r>
        <w:rPr>
          <w:vertAlign w:val="subscript"/>
        </w:rPr>
        <w:t>177</w:t>
      </w:r>
      <w:r>
        <w:t>Lu-DOTA-Fab-ABD，将快速肿瘤渗透与白蛋白介导的扩展循环相结合，改善肿瘤剂量测定，同时减少脱靶辐射。在 HER2 肿瘤模型中，</w:t>
      </w:r>
      <w:r>
        <w:rPr>
          <w:vertAlign w:val="subscript"/>
        </w:rPr>
        <w:t>177</w:t>
      </w:r>
      <w:r>
        <w:t>Lu-DOTA-Fab-ABD 显示出强的 HER2 和白蛋白结合力，减少脱靶保留，并且比全长显着降低血液学毒性</w:t>
      </w:r>
      <w:r>
        <w:rPr>
          <w:vertAlign w:val="subscript"/>
        </w:rPr>
        <w:t>177</w:t>
      </w:r>
      <w:r>
        <w:t>Lu-DOTA-帕妥珠单抗，同时保持有效的 β 粒子肿瘤控制。它还通过绕过受体阻断和诱导 DNA 双链断裂克服了曲妥珠单抗固有的耐药性，并显示出与曲妥珠单抗的机制互补性。总体而言，</w:t>
      </w:r>
      <w:r>
        <w:rPr>
          <w:vertAlign w:val="subscript"/>
        </w:rPr>
        <w:t>177</w:t>
      </w:r>
      <w:r>
        <w:t>Lu-DOTA-Fab-ABD 代表了基于片段的放射治疗工程的通用框架。</w:t>
      </w:r>
    </w:p>
    <w:p>
      <w:pPr>
        <w:spacing w:before="0" w:after="200" w:lineRule="auto" w:line="276"/>
      </w:pPr>
      <w:r>
        <w:rPr>
          <w:b/>
        </w:rPr>
        <w:t xml:space="preserve">Abstract (EN): </w:t>
      </w:r>
      <w:r>
        <w:t>Therapeutic antibodies and antibody-drug conjugates are limited by large molecular size, poor tumor penetration, and signaling-adaptive resistance. We introduce an engineering strategy for radiotherapeutic antibody fragments in which an albumin-binding domain (ABD) rebalances molecular size and pharmacokinetics. Using human epidermal growth factor receptor 2 (HER2) as a proof of concept, we developed</w:t>
      </w:r>
      <w:r>
        <w:rPr>
          <w:vertAlign w:val="subscript"/>
        </w:rPr>
        <w:t>177</w:t>
      </w:r>
      <w:r>
        <w:t>Lu-DOTA-Fab-ABD, which integrates rapid tumor penetration with albumin-mediated extended circulation, improving tumor dosimetry while reducing off-target radiation. In HER2 tumor models,</w:t>
      </w:r>
      <w:r>
        <w:rPr>
          <w:vertAlign w:val="subscript"/>
        </w:rPr>
        <w:t>177</w:t>
      </w:r>
      <w:r>
        <w:t>Lu-DOTA-Fab-ABD showed strong HER2 and albumin binding, reduced off-target retention, and substantially lower hematologic toxicity than full-length</w:t>
      </w:r>
      <w:r>
        <w:rPr>
          <w:vertAlign w:val="subscript"/>
        </w:rPr>
        <w:t>177</w:t>
      </w:r>
      <w:r>
        <w:t>Lu-DOTA-pertuzumab while maintaining potent β-particle tumor control. It also overcame intrinsic trastuzumab resistance by bypassing receptor blockade and inducing DNA double-strand breaks and displayed mechanistic complementarity with trastuzumab. Overall,</w:t>
      </w:r>
      <w:r>
        <w:rPr>
          <w:vertAlign w:val="subscript"/>
        </w:rPr>
        <w:t>177</w:t>
      </w:r>
      <w:r>
        <w:t>Lu-DOTA-Fab-ABD represents a generalizable framework for engineering fragment–based radiotherapeutics.</w:t>
      </w:r>
    </w:p>
    <w:p>
      <w:pPr>
        <w:spacing w:before="120" w:after="120"/>
      </w:pPr>
      <w:r>
        <w:rPr>
          <w:sz w:val="18"/>
        </w:rPr>
        <w:t>——————————————————————————————————————————————————————————————————————</w:t>
      </w:r>
    </w:p>
    <w:p>
      <w:pPr>
        <w:spacing w:before="160" w:after="40" w:line="240" w:lineRule="auto"/>
      </w:pPr>
      <w:r>
        <w:rPr>
          <w:b/>
        </w:rPr>
        <w:t xml:space="preserve">[88] </w:t>
      </w:r>
      <w:hyperlink r:id="rId706">
        <w:r>
          <w:rPr>
            <w:color w:val="1155CC"/>
            <w:u w:val="single"/>
          </w:rPr>
          <w:t>中枢神经系统 B 细胞多组学揭示了长期治疗的 HIV 感染中免疫失调的遗留问题</w:t>
        </w:r>
      </w:hyperlink>
    </w:p>
    <w:p>
      <w:pPr>
        <w:spacing w:before="0" w:after="80"/>
      </w:pPr>
      <w:r>
        <w:rPr>
          <w:i/>
          <w:sz w:val="20"/>
        </w:rPr>
        <w:t>EN: Central nervous system B cell multiomics reveals a legacy of immune dysregulation in long-term treated HIV infection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07">
        <w:r>
          <w:rPr>
            <w:color w:val="1155CC"/>
            <w:u w:val="single"/>
          </w:rPr>
          <w:t>10.1126/sciadv.aee1278</w:t>
        </w:r>
      </w:hyperlink>
    </w:p>
    <w:p>
      <w:pPr>
        <w:spacing w:before="0" w:after="120"/>
      </w:pPr>
      <w:r>
        <w:rPr>
          <w:b/>
        </w:rPr>
        <w:t xml:space="preserve">Notes: </w:t>
      </w:r>
      <w:r>
        <w:t>abstract_source=crossref</w:t>
      </w:r>
    </w:p>
    <w:p>
      <w:pPr>
        <w:spacing w:before="0" w:after="80" w:lineRule="auto" w:line="276"/>
      </w:pPr>
      <w:r>
        <w:rPr>
          <w:b/>
        </w:rPr>
        <w:t xml:space="preserve">摘要（ZH）: </w:t>
      </w:r>
      <w:r>
        <w:t>尽管抗逆转录病毒治疗 (ART) 有效，但艾滋病毒感染者 (PWH) 仍面临中枢神经系统 (CNS) 异常的风险，包括认知障碍。 B 细胞和抗体是神经炎症性疾病中适应性免疫的关键介质，对于病毒控制至关重要，但它们在 HIV 相关中枢神经系统病理学中的作用尚不清楚。在这里，我们对接受 ART 治疗的 PWH 和未感染 HIV 的人的脑脊液 (CSF)、脉络丛和血液中的 B 细胞进行多模式转录组学、表观遗传学和 B 细胞受体分析，同时进行神经认知评估。在 ART 抑制的 PWH 中，脑脊液静息记忆 B 细胞表现出病原体反应性受损和高抗体基因突变，表明中枢神经系统限制了抗原适应。尽管病毒受到抑制，脉络丛 B 细胞仍表现出类似的转录组免疫扰动。值得注意的是，中枢神经系统特异性 B 细胞分子改变与较差的神经认知表现相关。这些发现表明，尽管长期 ART 抑制，CNS 记忆 B 细胞的抗病毒途径受到抑制，但抗原体验和运输增加，表明 CNS 免疫监视失调，并将它们定位为 HIV 相关神经免疫功能障碍的关键因素。</w:t>
      </w:r>
    </w:p>
    <w:p>
      <w:pPr>
        <w:spacing w:before="0" w:after="200" w:lineRule="auto" w:line="276"/>
      </w:pPr>
      <w:r>
        <w:rPr>
          <w:b/>
        </w:rPr>
        <w:t xml:space="preserve">Abstract (EN): </w:t>
      </w:r>
      <w:r>
        <w:t>Despite effective antiretroviral therapy (ART), people with HIV (PWH) are at risk for central nervous system (CNS) abnormalities, including cognitive impairment. B cells and antibodies are key mediators of adaptive immunity in neuroinflammatory disorders and crucial for viral control, but their role in HIV-associated CNS pathology is unknown. Here, we apply multimodal transcriptomic, epigenetic, and B cell receptor profiling of B cells across cerebrospinal fluid (CSF), choroid plexus, and blood from ART-treated PWH and people without HIV, alongside neurocognitive assessments. In ART-suppressed PWH, CSF resting memory B cells exhibit impaired pathogen responsiveness and high antibody gene mutations, suggesting CNS-restricted antigenic adaptation. Choroid plexus B cells exhibit similar transcriptomic immune perturbations despite viral suppression. Notably, CNS-specific B cell molecular alterations are associated with poorer neurocognitive performance. These findings suggest that, despite long-term ART suppression, CNS memory B cells show suppressed antiviral pathways but increased antigen experience and trafficking, indicating dysregulated CNS immune surveillance and positioning them as key contributors to HIV-associated neuroimmune dysfunction.</w:t>
      </w:r>
    </w:p>
    <w:p>
      <w:pPr>
        <w:spacing w:before="120" w:after="120"/>
      </w:pPr>
      <w:r>
        <w:rPr>
          <w:sz w:val="18"/>
        </w:rPr>
        <w:t>——————————————————————————————————————————————————————————————————————</w:t>
      </w:r>
    </w:p>
    <w:p>
      <w:pPr>
        <w:spacing w:before="160" w:after="40" w:line="240" w:lineRule="auto"/>
      </w:pPr>
      <w:r>
        <w:rPr>
          <w:b/>
        </w:rPr>
        <w:t xml:space="preserve">[89] </w:t>
      </w:r>
      <w:hyperlink r:id="rId708">
        <w:r>
          <w:rPr>
            <w:color w:val="1155CC"/>
            <w:u w:val="single"/>
          </w:rPr>
          <w:t>整合素 αIIbβ3 与致病母体 HPA-1a 抗体结合的高分辨率冷冻电镜结构，可阻断整合素激活</w:t>
        </w:r>
      </w:hyperlink>
    </w:p>
    <w:p>
      <w:pPr>
        <w:spacing w:before="0" w:after="80"/>
      </w:pPr>
      <w:r>
        <w:rPr>
          <w:i/>
          <w:sz w:val="20"/>
        </w:rPr>
        <w:t>EN: High-resolution cryo-EM structure of integrin αIIbβ3 bound to disease-causing maternal HPA-1a antibody that blocks integrin activation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09">
        <w:r>
          <w:rPr>
            <w:color w:val="1155CC"/>
            <w:u w:val="single"/>
          </w:rPr>
          <w:t>10.1126/sciadv.aed9833</w:t>
        </w:r>
      </w:hyperlink>
    </w:p>
    <w:p>
      <w:pPr>
        <w:spacing w:before="0" w:after="120"/>
      </w:pPr>
      <w:r>
        <w:rPr>
          <w:b/>
        </w:rPr>
        <w:t xml:space="preserve">Notes: </w:t>
      </w:r>
      <w:r>
        <w:t>abstract_source=crossref</w:t>
      </w:r>
    </w:p>
    <w:p>
      <w:pPr>
        <w:spacing w:before="0" w:after="80" w:lineRule="auto" w:line="276"/>
      </w:pPr>
      <w:r>
        <w:rPr>
          <w:b/>
        </w:rPr>
        <w:t xml:space="preserve">摘要（ZH）: </w:t>
      </w:r>
      <w:r>
        <w:t>整合素促进免疫、胚胎发育、伤口愈合和止血，并通过“弯曲/闭合”到“延伸/开放”的构象变化而被激活。整合素 αIIbβ3 对于血小板活化和聚集至关重要，是出血性疾病和血栓形成的治疗靶点。 β3 上的人血小板抗原 1a (HPA-1a) 可被妊娠相关母体同种抗体识别，可能导致胎儿/新生儿同种免疫性血小板减少症 (FNAIT)，甚至颅内出血或围产期死亡。我们通过冷冻电子显微镜以高分辨率报道了与整合素 αIIbβ3 复合的抗 HPA-1a 抗体片段 (Fab 26.4) 的结构。 Fab 26.4 结合将 αIIbβ3 锁定在无活性、弯曲/闭合构象，与整合素延伸不相容，并抑制 αIIbβ3 依赖性纤维蛋白原结合和血小板聚集。因此，抗 HPA-1a 抗体通过阻止所需的构象变化来直接损害整合素激活。这些见解将改善 FNAIT 诊断和治疗，并促进针对 β3 整合素的新型变构抑制剂的开发，以用于未来的治疗应用。</w:t>
      </w:r>
    </w:p>
    <w:p>
      <w:pPr>
        <w:spacing w:before="0" w:after="200" w:lineRule="auto" w:line="276"/>
      </w:pPr>
      <w:r>
        <w:rPr>
          <w:b/>
        </w:rPr>
        <w:t xml:space="preserve">Abstract (EN): </w:t>
      </w:r>
      <w:r>
        <w:t>Integrins promote immunity, embryonic development, wound healing, and hemostasis, and are activated by ‘bent/closed’ to ‘extended/open’ conformational changes. Integrin αIIbβ3, being crucial for platelet activation and aggregation, is a therapeutic target for bleeding disorders and thrombosis. Human Platelet Antigen-1a (HPA-1a) on β3 is recognized by pregnancy-associated maternal alloantibodies, potentially causing fetal/neonatal alloimmune thrombocytopenia (FNAIT) and even intracranial hemorrhage or perinatal death. We report the structure of an anti-HPA-1a antibody fragment (Fab 26.4) in complex with integrin αIIbβ3 at high resolution by cryo–electron microscopy. Fab 26.4 binding locks αIIbβ3 in the inactive, bent/closed conformation, is incompatible with integrin extension, and inhibits αIIbβ3-dependent fibrinogen binding and platelet aggregation. Thus, anti-HPA-1a antibodies directly impair integrin activation by preventing required conformational changes. These insights will improve FNAIT diagnostics and treatment, and spark the development of novel allosteric inhibitors against β3 integrins for future therapeutic applications.</w:t>
      </w:r>
    </w:p>
    <w:p>
      <w:pPr>
        <w:spacing w:before="120" w:after="120"/>
      </w:pPr>
      <w:r>
        <w:rPr>
          <w:sz w:val="18"/>
        </w:rPr>
        <w:t>——————————————————————————————————————————————————————————————————————</w:t>
      </w:r>
    </w:p>
    <w:p>
      <w:pPr>
        <w:spacing w:before="160" w:after="40" w:line="240" w:lineRule="auto"/>
      </w:pPr>
      <w:r>
        <w:rPr>
          <w:b/>
        </w:rPr>
        <w:t xml:space="preserve">[90] </w:t>
      </w:r>
      <w:hyperlink r:id="rId710">
        <w:r>
          <w:rPr>
            <w:color w:val="1155CC"/>
            <w:u w:val="single"/>
          </w:rPr>
          <w:t>SORLA 上调抑制老年 tau 蛋白病小鼠大脑的病理效应</w:t>
        </w:r>
      </w:hyperlink>
    </w:p>
    <w:p>
      <w:pPr>
        <w:spacing w:before="0" w:after="80"/>
      </w:pPr>
      <w:r>
        <w:rPr>
          <w:i/>
          <w:sz w:val="20"/>
        </w:rPr>
        <w:t>EN: SORLA up-regulation suppresses pathological effects in aged tauopathy mouse brain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11">
        <w:r>
          <w:rPr>
            <w:color w:val="1155CC"/>
            <w:u w:val="single"/>
          </w:rPr>
          <w:t>10.1126/sciadv.aed6825</w:t>
        </w:r>
      </w:hyperlink>
    </w:p>
    <w:p>
      <w:pPr>
        <w:spacing w:before="0" w:after="120"/>
      </w:pPr>
      <w:r>
        <w:rPr>
          <w:b/>
        </w:rPr>
        <w:t xml:space="preserve">Notes: </w:t>
      </w:r>
      <w:r>
        <w:t>abstract_source=crossref</w:t>
      </w:r>
    </w:p>
    <w:p>
      <w:pPr>
        <w:spacing w:before="0" w:after="80" w:lineRule="auto" w:line="276"/>
      </w:pPr>
      <w:r>
        <w:rPr>
          <w:b/>
        </w:rPr>
        <w:t xml:space="preserve">摘要（ZH）: </w:t>
      </w:r>
      <w:r>
        <w:t>运输受体 SORLA（含有 LDLR A 类重复序列的分拣蛋白相关受体）在降低 Aβ 水平方面的作用已得到充分证实；然而，关于 SORLA 是否以及如何潜在地影响体内 tau 病理学，人们知之甚少。在这里，我们发现转基因 SORLA 上调 (SORLA TG) 可以减轻老年 PS19 (P301S tau) 小鼠大脑的病理效应，包括 tau 磷酸化和播种、心室扩张、突触损失、长时程增强 (LTP) 损伤和神经胶质过度激活。蛋白质组学分析表明 PS19/SORLA TG 海马中 PS19 谱的减弱，包括突触相关蛋白的病理变化以及 ApoE 和 C1q 等突触功能障碍的关键驱动因素。单核 RNA 测序分析揭示了 SORLA 上调对 PS19 特征的抑制，并确定了以前未被认识到的 Sema4D-PlexinB1/B2 信号转导在神经胶质病理学中的参与。相反，SORLA 缺失会加剧 PS19 海马中 tau 蛋白的播种和聚集、神经胶质细胞过度激活以及 PlxnB1/B2 诱导。这些结果表明，SORLA 赋予 PS19 小鼠大脑针对 tau 毒性的神经保护作用。</w:t>
      </w:r>
    </w:p>
    <w:p>
      <w:pPr>
        <w:spacing w:before="0" w:after="200" w:lineRule="auto" w:line="276"/>
      </w:pPr>
      <w:r>
        <w:rPr>
          <w:b/>
        </w:rPr>
        <w:t xml:space="preserve">Abstract (EN): </w:t>
      </w:r>
      <w:r>
        <w:t>A role for the trafficking receptor SORLA (Sortilin-related receptor containing LDLR class A repeats) in reducing Aβ levels has been well established; however, relatively little is known with respect to whether and how SORLA can potentially affect tau pathology in vivo. Here, we show that transgenic SORLA up-regulation (SORLA TG) can attenuate pathological effects in aged PS19 (P301S tau) mouse brain, including tau phosphorylation and seeding, ventricle dilation, synapse loss, long-term potentiation (LTP) impairment, and glial hyperactivation. Proteomic analysis indicates attenuation of PS19 profiles in PS19/SORLA TG hippocampus, including pathological changes in synapse-related proteins and key drivers of synaptic dysfunction such as ApoE and C1q. Single-nucleus RNA sequencing analysis reveals suppression of PS19 signatures with SORLA up-regulation and identifies a previously unrecognized involvement of Sema4D-PlexinB1/B2 signaling in glial pathology. In contrast, SORLA deletion exacerbates tau seeding and aggregation, glial hyperactivation, and PlxnB1/B2 induction in PS19 hippocampus. These results indicate that SORLA confers neuroprotection against tau toxicity in the PS19 mouse brain.</w:t>
      </w:r>
    </w:p>
    <w:p>
      <w:pPr>
        <w:spacing w:before="120" w:after="120"/>
      </w:pPr>
      <w:r>
        <w:rPr>
          <w:sz w:val="18"/>
        </w:rPr>
        <w:t>——————————————————————————————————————————————————————————————————————</w:t>
      </w:r>
    </w:p>
    <w:p>
      <w:pPr>
        <w:spacing w:before="160" w:after="40" w:line="240" w:lineRule="auto"/>
      </w:pPr>
      <w:r>
        <w:rPr>
          <w:b/>
        </w:rPr>
        <w:t xml:space="preserve">[91] </w:t>
      </w:r>
      <w:hyperlink r:id="rId712">
        <w:r>
          <w:rPr>
            <w:color w:val="1155CC"/>
            <w:u w:val="single"/>
          </w:rPr>
          <w:t>神经皮肤 NaV1.8 通道病是原发性特发性多汗症遗传亚型的基础</w:t>
        </w:r>
      </w:hyperlink>
    </w:p>
    <w:p>
      <w:pPr>
        <w:spacing w:before="0" w:after="80"/>
      </w:pPr>
      <w:r>
        <w:rPr>
          <w:i/>
          <w:sz w:val="20"/>
        </w:rPr>
        <w:t>EN: A neurocutaneous NaV1.8 channelopathy underlies a genetic subtype of primary idiopathic hyperhidrosis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13">
        <w:r>
          <w:rPr>
            <w:color w:val="1155CC"/>
            <w:u w:val="single"/>
          </w:rPr>
          <w:t>10.1126/sciadv.aed3221</w:t>
        </w:r>
      </w:hyperlink>
    </w:p>
    <w:p>
      <w:pPr>
        <w:spacing w:before="0" w:after="120"/>
      </w:pPr>
      <w:r>
        <w:rPr>
          <w:b/>
        </w:rPr>
        <w:t xml:space="preserve">Notes: </w:t>
      </w:r>
      <w:r>
        <w:t>abstract_source=crossref</w:t>
      </w:r>
    </w:p>
    <w:p>
      <w:pPr>
        <w:spacing w:before="0" w:after="80" w:lineRule="auto" w:line="276"/>
      </w:pPr>
      <w:r>
        <w:rPr>
          <w:b/>
        </w:rPr>
        <w:t xml:space="preserve">摘要（ZH）: </w:t>
      </w:r>
      <w:r>
        <w:t>原发性特发性多汗症（PIH）是一种人们知之甚少的疾病，其特征是出汗过多。我们确定了一个基因定义的 PIH 子集，与电压门控 Na 的罕见编码变化相关</w:t>
      </w:r>
      <w:r>
        <w:t xml:space="preserve"> </w:t>
      </w:r>
      <w:r>
        <w:t>+</w:t>
      </w:r>
      <w:r>
        <w:t xml:space="preserve"> </w:t>
      </w:r>
      <w:r>
        <w:t>(钠</w:t>
      </w:r>
      <w:r>
        <w:t xml:space="preserve"> </w:t>
      </w:r>
      <w:r>
        <w:t>V</w:t>
      </w:r>
      <w:r>
        <w:t xml:space="preserve"> </w:t>
      </w:r>
      <w:r>
        <w:t>）渠道。遗传性 PIH 家族的全外显子组测序揭示了 Na 内的基因水平富集</w:t>
      </w:r>
      <w:r>
        <w:t xml:space="preserve"> </w:t>
      </w:r>
      <w:r>
        <w:t>V</w:t>
      </w:r>
      <w:r>
        <w:t xml:space="preserve"> </w:t>
      </w:r>
      <w:r>
        <w:t>通道系列，与</w:t>
      </w:r>
      <w:r>
        <w:t xml:space="preserve"> </w:t>
      </w:r>
      <w:r>
        <w:t>SCN10A</w:t>
      </w:r>
      <w:r>
        <w:t xml:space="preserve"> </w:t>
      </w:r>
      <w:r>
        <w:t>(钠</w:t>
      </w:r>
      <w:r>
        <w:t xml:space="preserve"> </w:t>
      </w:r>
      <w:r>
        <w:t>V</w:t>
      </w:r>
      <w:r>
        <w:t xml:space="preserve"> </w:t>
      </w:r>
      <w:r>
        <w:t>1.8）最强烈的牵连。携带临床观察到的Na的敲入小鼠</w:t>
      </w:r>
      <w:r>
        <w:t xml:space="preserve"> </w:t>
      </w:r>
      <w:r>
        <w:t>V</w:t>
      </w:r>
      <w:r>
        <w:t xml:space="preserve"> </w:t>
      </w:r>
      <w:r>
        <w:t>1.8</w:t>
      </w:r>
      <w:r>
        <w:t xml:space="preserve"> </w:t>
      </w:r>
      <w:r>
        <w:t>p.R14L</w:t>
      </w:r>
      <w:r>
        <w:t xml:space="preserve"> </w:t>
      </w:r>
      <w:r>
        <w:t>替代概括了过度出汗。钠</w:t>
      </w:r>
      <w:r>
        <w:t xml:space="preserve"> </w:t>
      </w:r>
      <w:r>
        <w:t>V</w:t>
      </w:r>
      <w:r>
        <w:t xml:space="preserve"> </w:t>
      </w:r>
      <w:r>
        <w:t>在人类和小鼠胸交感神经节的节后神经元子集中检测到 p.R14L 1.8，其中 p.R14L 产生增强胆碱能反应性的功能获得谱。 Na 可以逆转突变小鼠的过度出汗现象</w:t>
      </w:r>
      <w:r>
        <w:t xml:space="preserve"> </w:t>
      </w:r>
      <w:r>
        <w:t>V</w:t>
      </w:r>
      <w:r>
        <w:t xml:space="preserve"> </w:t>
      </w:r>
      <w:r>
        <w:t>通道抑制，包括临床使用的药物和Na</w:t>
      </w:r>
      <w:r>
        <w:t xml:space="preserve"> </w:t>
      </w:r>
      <w:r>
        <w:t>V</w:t>
      </w:r>
      <w:r>
        <w:t xml:space="preserve"> </w:t>
      </w:r>
      <w:r>
        <w:t>1.8-优先化合物。总之，这些发现定义了 PIH 的一个子集的可靶向神经皮肤通道病变，并支持一种模型，其中过度出汗是由腺体固有功能障碍或交感神经驱动改变引起的，从而激发了分层治疗方法。</w:t>
      </w:r>
    </w:p>
    <w:p>
      <w:pPr>
        <w:spacing w:before="0" w:after="200" w:lineRule="auto" w:line="276"/>
      </w:pPr>
      <w:r>
        <w:rPr>
          <w:b/>
        </w:rPr>
        <w:t xml:space="preserve">Abstract (EN): </w:t>
      </w:r>
      <w:r>
        <w:t>Primary idiopathic hyperhidrosis (PIH) is a poorly understood disorder characterized by excessive sweating. We identify a genetically defined subset of PIH associated with rare coding changes in voltage-gated Na</w:t>
      </w:r>
      <w:r>
        <w:t xml:space="preserve"> </w:t>
      </w:r>
      <w:r>
        <w:t>+</w:t>
      </w:r>
      <w:r>
        <w:t xml:space="preserve"> </w:t>
      </w:r>
      <w:r>
        <w:t>(Na</w:t>
      </w:r>
      <w:r>
        <w:t xml:space="preserve"> </w:t>
      </w:r>
      <w:r>
        <w:t>V</w:t>
      </w:r>
      <w:r>
        <w:t xml:space="preserve"> </w:t>
      </w:r>
      <w:r>
        <w:t>) channels. Whole-exome sequencing of hereditary PIH families revealed gene-level enrichment within the Na</w:t>
      </w:r>
      <w:r>
        <w:t xml:space="preserve"> </w:t>
      </w:r>
      <w:r>
        <w:t>V</w:t>
      </w:r>
      <w:r>
        <w:t xml:space="preserve"> </w:t>
      </w:r>
      <w:r>
        <w:t>channel family, with</w:t>
      </w:r>
      <w:r>
        <w:t xml:space="preserve"> </w:t>
      </w:r>
      <w:r>
        <w:t>SCN10A</w:t>
      </w:r>
      <w:r>
        <w:t xml:space="preserve"> </w:t>
      </w:r>
      <w:r>
        <w:t>(Na</w:t>
      </w:r>
      <w:r>
        <w:t xml:space="preserve"> </w:t>
      </w:r>
      <w:r>
        <w:t>V</w:t>
      </w:r>
      <w:r>
        <w:t xml:space="preserve"> </w:t>
      </w:r>
      <w:r>
        <w:t>1.8) most strongly implicated. A knock-in mouse carrying the clinically observed Na</w:t>
      </w:r>
      <w:r>
        <w:t xml:space="preserve"> </w:t>
      </w:r>
      <w:r>
        <w:t>V</w:t>
      </w:r>
      <w:r>
        <w:t xml:space="preserve"> </w:t>
      </w:r>
      <w:r>
        <w:t>1.8</w:t>
      </w:r>
      <w:r>
        <w:t xml:space="preserve"> </w:t>
      </w:r>
      <w:r>
        <w:t>p.R14L</w:t>
      </w:r>
      <w:r>
        <w:t xml:space="preserve"> </w:t>
      </w:r>
      <w:r>
        <w:t>substitution recapitulated excessive sweating. Na</w:t>
      </w:r>
      <w:r>
        <w:t xml:space="preserve"> </w:t>
      </w:r>
      <w:r>
        <w:t>V</w:t>
      </w:r>
      <w:r>
        <w:t xml:space="preserve"> </w:t>
      </w:r>
      <w:r>
        <w:t>1.8 was detected in a subset of postganglionic neurons in thoracic sympathetic ganglia in humans and mice, where p.R14L produced a gain-of-function profile that enhanced cholinergic responsiveness. Excessive sweating in mutant mice was reversible with Na</w:t>
      </w:r>
      <w:r>
        <w:t xml:space="preserve"> </w:t>
      </w:r>
      <w:r>
        <w:t>V</w:t>
      </w:r>
      <w:r>
        <w:t xml:space="preserve"> </w:t>
      </w:r>
      <w:r>
        <w:t>channel inhibition, including clinically used agents and a Na</w:t>
      </w:r>
      <w:r>
        <w:t xml:space="preserve"> </w:t>
      </w:r>
      <w:r>
        <w:t>V</w:t>
      </w:r>
      <w:r>
        <w:t xml:space="preserve"> </w:t>
      </w:r>
      <w:r>
        <w:t>1.8-preferential compound. Together, these findings define a targetable neurocutaneous channelopathy underlying a subset of PIH and support a model in which excessive sweating arises from either gland-intrinsic dysfunction or altered sympathetic drive, motivating stratified therapeutic approaches.</w:t>
      </w:r>
    </w:p>
    <w:p>
      <w:pPr>
        <w:spacing w:before="120" w:after="120"/>
      </w:pPr>
      <w:r>
        <w:rPr>
          <w:sz w:val="18"/>
        </w:rPr>
        <w:t>——————————————————————————————————————————————————————————————————————</w:t>
      </w:r>
    </w:p>
    <w:p>
      <w:pPr>
        <w:spacing w:before="160" w:after="40" w:line="240" w:lineRule="auto"/>
      </w:pPr>
      <w:r>
        <w:rPr>
          <w:b/>
        </w:rPr>
        <w:t xml:space="preserve">[92] </w:t>
      </w:r>
      <w:hyperlink r:id="rId714">
        <w:r>
          <w:rPr>
            <w:color w:val="1155CC"/>
            <w:u w:val="single"/>
          </w:rPr>
          <w:t>通道中细胞的脊辅助微定位</w:t>
        </w:r>
      </w:hyperlink>
    </w:p>
    <w:p>
      <w:pPr>
        <w:spacing w:before="0" w:after="80"/>
      </w:pPr>
      <w:r>
        <w:rPr>
          <w:i/>
          <w:sz w:val="20"/>
        </w:rPr>
        <w:t>EN: Ridge-assisted micro positioning of cells in a channel</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15">
        <w:r>
          <w:rPr>
            <w:color w:val="1155CC"/>
            <w:u w:val="single"/>
          </w:rPr>
          <w:t>10.1126/sciadv.aec9227</w:t>
        </w:r>
      </w:hyperlink>
    </w:p>
    <w:p>
      <w:pPr>
        <w:spacing w:before="0" w:after="120"/>
      </w:pPr>
      <w:r>
        <w:rPr>
          <w:b/>
        </w:rPr>
        <w:t xml:space="preserve">Notes: </w:t>
      </w:r>
      <w:r>
        <w:t>abstract_source=crossref</w:t>
      </w:r>
    </w:p>
    <w:p>
      <w:pPr>
        <w:spacing w:before="0" w:after="80" w:lineRule="auto" w:line="276"/>
      </w:pPr>
      <w:r>
        <w:rPr>
          <w:b/>
        </w:rPr>
        <w:t xml:space="preserve">摘要（ZH）: </w:t>
      </w:r>
      <w:r>
        <w:t>确定性且精确地控制微通道内聚焦细胞流的横向位置的能力可实现广泛的生物医学应用，包括细胞浓缩、分选和传感。通过利用通道脊和流体升力产生的工程微涡流，我们提出了一种微流体方法，用于将聚焦细胞流确定性地定位到所需的流线。与惯性聚焦不同，脊辅助微定位 (RAMP) 与颗粒尺寸和流速无关，使多分散颗粒能够在较宽的流速范围内聚焦到同一流线。可以通过改变脊的位置和几何形状来精确调整聚焦位置，从而以受控的方式实现微米级的横向移动。应用 RAMP 概念，我们展示了无堵塞的微流体细胞浓缩器，它可以将单个细胞和细胞团富集到所需的浓缩因子，并显示出在未稀释的全血中聚焦颗粒的能力。总之，这些结果使 RAMP 成为在复杂生物液体中精确细胞定位的多功能平台。</w:t>
      </w:r>
    </w:p>
    <w:p>
      <w:pPr>
        <w:spacing w:before="0" w:after="200" w:lineRule="auto" w:line="276"/>
      </w:pPr>
      <w:r>
        <w:rPr>
          <w:b/>
        </w:rPr>
        <w:t xml:space="preserve">Abstract (EN): </w:t>
      </w:r>
      <w:r>
        <w:t>The ability to deterministically and precisely control the lateral position of focused cell streams within a microchannel enables a wide range of biomedical applications, including cell concentration, sorting, and sensing. By leveraging engineered microvortices generated by channel ridges and fluidic lift forces, we present a microfluidic method for deterministically positioning focused cell streams to desired streamlines. Unlike inertial focusing, ridge-assisted micro positioning (RAMP) is independent of particle size and flow rate, enabling polydisperse particles to be focused to the same streamline across a broad range of flow rates. The focusing position can be precisely adjusted by altering the ridge placement and geometry, allowing for micron-level lateral shifts in a controlled manner. Applying the RAMP concept, we demonstrate clog-free microfluidic cell concentrators that can enrich single cells and clusters to desired concentration factors and show the ability to focus particles in undiluted whole blood. Together, these results establish RAMP as a versatile platform for precise cell positioning in complex biological fluids.</w:t>
      </w:r>
    </w:p>
    <w:p>
      <w:pPr>
        <w:spacing w:before="120" w:after="120"/>
      </w:pPr>
      <w:r>
        <w:rPr>
          <w:sz w:val="18"/>
        </w:rPr>
        <w:t>——————————————————————————————————————————————————————————————————————</w:t>
      </w:r>
    </w:p>
    <w:p>
      <w:pPr>
        <w:spacing w:before="160" w:after="40" w:line="240" w:lineRule="auto"/>
      </w:pPr>
      <w:r>
        <w:rPr>
          <w:b/>
        </w:rPr>
        <w:t xml:space="preserve">[93] </w:t>
      </w:r>
      <w:hyperlink r:id="rId716">
        <w:r>
          <w:rPr>
            <w:color w:val="1155CC"/>
            <w:u w:val="single"/>
          </w:rPr>
          <w:t>Sudhakar 等人的修正，人肿瘤抑素和人内皮抑素表现出由 αvβ3 和 α5β1 整合素介导的不同的抗血管生成活性</w:t>
        </w:r>
      </w:hyperlink>
    </w:p>
    <w:p>
      <w:pPr>
        <w:spacing w:before="0" w:after="80"/>
      </w:pPr>
      <w:r>
        <w:rPr>
          <w:i/>
          <w:sz w:val="20"/>
        </w:rPr>
        <w:t>EN: Correction for Sudhakar et al., Human tumstatin and human endostatin exhibit distinct antiangiogenic activities mediated by αvβ3 and α5β1 integrins</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717">
        <w:r>
          <w:rPr>
            <w:color w:val="1155CC"/>
            <w:u w:val="single"/>
          </w:rPr>
          <w:t>10.1073/pnas.2622617123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[94] </w:t>
      </w:r>
      <w:hyperlink r:id="rId718">
        <w:r>
          <w:rPr>
            <w:color w:val="1155CC"/>
            <w:u w:val="single"/>
          </w:rPr>
          <w:t>对 Stöhr 等人的修正，独特的合成 Aβ 朊病毒菌株在双基因小鼠中产生不同的淀粉样蛋白沉积物</w:t>
        </w:r>
      </w:hyperlink>
    </w:p>
    <w:p>
      <w:pPr>
        <w:spacing w:before="0" w:after="80"/>
      </w:pPr>
      <w:r>
        <w:rPr>
          <w:i/>
          <w:sz w:val="20"/>
        </w:rPr>
        <w:t>EN: Correction for Stöhr et al., Distinct synthetic Aβ prion strains producing different amyloid deposits in bigenic mice</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719">
        <w:r>
          <w:rPr>
            <w:color w:val="1155CC"/>
            <w:u w:val="single"/>
          </w:rPr>
          <w:t>10.1073/pnas.2622455123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[95] </w:t>
      </w:r>
      <w:hyperlink r:id="rId720">
        <w:r>
          <w:rPr>
            <w:color w:val="1155CC"/>
            <w:u w:val="single"/>
          </w:rPr>
          <w:t>回复科斯格罗夫：扩张蛋白样蛋白的催化活性不能解释壁蠕变，但提出了一个标志</w:t>
        </w:r>
      </w:hyperlink>
    </w:p>
    <w:p>
      <w:pPr>
        <w:spacing w:before="0" w:after="80"/>
      </w:pPr>
      <w:r>
        <w:rPr>
          <w:i/>
          <w:sz w:val="20"/>
        </w:rPr>
        <w:t>EN: Reply to Cosgrove: Catalytic activity in expansin-like proteins does not explain wall creep but raises a flag</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721">
        <w:r>
          <w:rPr>
            <w:color w:val="1155CC"/>
            <w:u w:val="single"/>
          </w:rPr>
          <w:t>10.1073/pnas.2617956123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 </w:t>
      </w:r>
      <w:hyperlink r:id="rId722">
        <w:r>
          <w:rPr>
            <w:color w:val="1155CC"/>
            <w:u w:val="single"/>
          </w:rPr>
          <w:t>回复 Zhou 等人：4T1 乳腺癌进展中的运动、热量限制和免疫治疗反应</w:t>
        </w:r>
      </w:hyperlink>
    </w:p>
    <w:p>
      <w:pPr>
        <w:spacing w:before="0" w:after="80"/>
      </w:pPr>
      <w:r>
        <w:rPr>
          <w:i/>
          <w:sz w:val="20"/>
        </w:rPr>
        <w:t>EN: Reply to Zhou et al.: Exercise, caloric restriction, and immunotherapy responsiveness in 4T1 breast cancer progression</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723">
        <w:r>
          <w:rPr>
            <w:color w:val="1155CC"/>
            <w:u w:val="single"/>
          </w:rPr>
          <w:t>10.1073/pnas.2617811123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[97] </w:t>
      </w:r>
      <w:hyperlink r:id="rId724">
        <w:r>
          <w:rPr>
            <w:color w:val="1155CC"/>
            <w:u w:val="single"/>
          </w:rPr>
          <w:t>运动何时会阻碍而不是阻止肿瘤进展？免疫治疗反应的决定性作用</w:t>
        </w:r>
      </w:hyperlink>
    </w:p>
    <w:p>
      <w:pPr>
        <w:spacing w:before="0" w:after="80"/>
      </w:pPr>
      <w:r>
        <w:rPr>
          <w:i/>
          <w:sz w:val="20"/>
        </w:rPr>
        <w:t>EN: When does exercise hinder rather than halt tumor progression? The decisive role of immunotherapy responsiveness</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725">
        <w:r>
          <w:rPr>
            <w:color w:val="1155CC"/>
            <w:u w:val="single"/>
          </w:rPr>
          <w:t>10.1073/pnas.2616250123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[98] </w:t>
      </w:r>
      <w:hyperlink r:id="rId726">
        <w:r>
          <w:rPr>
            <w:color w:val="1155CC"/>
            <w:u w:val="single"/>
          </w:rPr>
          <w:t>催化不能解释扩张蛋白介导的壁蠕变：区分催化 ERP 和蠕变活性扩张蛋白</w:t>
        </w:r>
      </w:hyperlink>
    </w:p>
    <w:p>
      <w:pPr>
        <w:spacing w:before="0" w:after="80"/>
      </w:pPr>
      <w:r>
        <w:rPr>
          <w:i/>
          <w:sz w:val="20"/>
        </w:rPr>
        <w:t>EN: Catalysis does not explain expansin-mediated wall creep: Distinguishing catalytic ERPs from creep-active expansins</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727">
        <w:r>
          <w:rPr>
            <w:color w:val="1155CC"/>
            <w:u w:val="single"/>
          </w:rPr>
          <w:t>10.1073/pnas.2615892123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[99] </w:t>
      </w:r>
      <w:hyperlink r:id="rId728">
        <w:r>
          <w:rPr>
            <w:color w:val="1155CC"/>
            <w:u w:val="single"/>
          </w:rPr>
          <w:t>响应持续时间跟踪置信度</w:t>
        </w:r>
      </w:hyperlink>
    </w:p>
    <w:p>
      <w:pPr>
        <w:spacing w:before="0" w:after="80"/>
      </w:pPr>
      <w:r>
        <w:rPr>
          <w:i/>
          <w:sz w:val="20"/>
        </w:rPr>
        <w:t>EN: Response duration tracks confidence</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729">
        <w:r>
          <w:rPr>
            <w:color w:val="1155CC"/>
            <w:u w:val="single"/>
          </w:rPr>
          <w:t>10.1073/pnas.2612367123</w:t>
        </w:r>
      </w:hyperlink>
    </w:p>
    <w:p>
      <w:pPr>
        <w:spacing w:before="0" w:after="120"/>
      </w:pPr>
      <w:r>
        <w:rPr>
          <w:b/>
        </w:rPr>
        <w:t xml:space="preserve">Notes: </w:t>
      </w:r>
      <w:r>
        <w:t>abstract_source=crossref</w:t>
      </w:r>
    </w:p>
    <w:p>
      <w:pPr>
        <w:spacing w:before="0" w:after="80" w:lineRule="auto" w:line="276"/>
      </w:pPr>
      <w:r>
        <w:rPr>
          <w:b/>
        </w:rPr>
        <w:t xml:space="preserve">摘要（ZH）: </w:t>
      </w:r>
      <w:r>
        <w:t>行为反应的时机是认知处理最有力的特征之一——通常可以更快地做出更容易、更准确、更自信的判断。但是响应时间的哪些方面携带了这些信号呢？而所花费的时间</w:t>
      </w:r>
      <w:r>
        <w:t xml:space="preserve"> </w:t>
      </w:r>
      <w:r>
        <w:t>发起</w:t>
      </w:r>
      <w:r>
        <w:t xml:space="preserve"> </w:t>
      </w:r>
      <w:r>
        <w:t>响应（例如，刺激开始和按键之间的间隔）是实验心理学中最流行且信息丰富的测量方法之一，响应时间的另一个方面是其</w:t>
      </w:r>
      <w:r>
        <w:t xml:space="preserve"> </w:t>
      </w:r>
      <w:r>
        <w:t>持续时间</w:t>
      </w:r>
      <w:r>
        <w:t xml:space="preserve"> </w:t>
      </w:r>
      <w:r>
        <w:t>（例如，松开按键之前按住按键多长时间）。在这里，通过涵盖感知和更高认知任务的三个预先注册的实验，我们证明响应持续时间可以可靠地预测主观信心，超过响应启动时间。当检测人脸（实验 1）、判断动作连贯性（实验 2）和回答琐事问题（实验 3）时，受试者在试验期间按住响应键的时间更长，随后他们报告对自己的判断信心较低，就好像以试探性的方式做出这些判断一样。在所有情况下，响应持续时间都解释了响应启动时间未预测的置信度差异。我们的结果表明，反应持续时间本身携带了有关认知处理的独立信息，从而提出了一种有用且普遍可用的工具来补充认知研究中的传统反应时间测量。</w:t>
      </w:r>
    </w:p>
    <w:p>
      <w:pPr>
        <w:spacing w:before="0" w:after="200" w:lineRule="auto" w:line="276"/>
      </w:pPr>
      <w:r>
        <w:rPr>
          <w:b/>
        </w:rPr>
        <w:t xml:space="preserve">Abstract (EN): </w:t>
      </w:r>
      <w:r>
        <w:t>The timing of behavioral responses is among the most robust signatures of cognitive processing—with easier, more accurate, and more confident judgments typically made more quickly. But which aspects of response timing carry these signals? Whereas the time taken to</w:t>
      </w:r>
      <w:r>
        <w:t xml:space="preserve"> </w:t>
      </w:r>
      <w:r>
        <w:t>initiate</w:t>
      </w:r>
      <w:r>
        <w:t xml:space="preserve"> </w:t>
      </w:r>
      <w:r>
        <w:t>a response (e.g., the interval between stimulus onset and keypress) is one of the most popular and informative measures in experimental psychology, another aspect of response timing is its</w:t>
      </w:r>
      <w:r>
        <w:t xml:space="preserve"> </w:t>
      </w:r>
      <w:r>
        <w:t>duration</w:t>
      </w:r>
      <w:r>
        <w:t xml:space="preserve"> </w:t>
      </w:r>
      <w:r>
        <w:t>(e.g., how long the key is held down before being released). Here, across three preregistered experiments spanning perceptual and higher-cognitive tasks, we demonstrate that response duration reliably predicts subjective confidence, over and above response initiation time. When detecting faces (Experiment 1), judging motion coherence (Experiment 2), and answering trivia questions (Experiment 3), subjects held down a response key longer during trials in which they subsequently reported lower confidence in their judgments, as if making these judgments in a tentative fashion. In all cases, response duration accounted for variance in confidence that was not predicted by response initiation time. Our results suggest that response duration itself carries independent information about cognitive processing, advancing a useful and ubiquitously available tool to complement traditional response time measures in the study of cognition.</w:t>
      </w:r>
    </w:p>
    <w:p>
      <w:pPr>
        <w:spacing w:before="120" w:after="120"/>
      </w:pPr>
      <w:r>
        <w:rPr>
          <w:sz w:val="18"/>
        </w:rPr>
        <w:t>——————————————————————————————————————————————————————————————————————</w:t>
      </w:r>
    </w:p>
    <w:p>
      <w:pPr>
        <w:spacing w:before="160" w:after="40" w:line="240" w:lineRule="auto"/>
      </w:pPr>
      <w:r>
        <w:rPr>
          <w:b/>
        </w:rPr>
        <w:t xml:space="preserve">[100] </w:t>
      </w:r>
      <w:hyperlink r:id="rId730">
        <w:r>
          <w:rPr>
            <w:color w:val="1155CC"/>
            <w:u w:val="single"/>
          </w:rPr>
          <w:t>AI 蛋白质结构预测模型捕获的静电相互作用的准确性</w:t>
        </w:r>
      </w:hyperlink>
    </w:p>
    <w:p>
      <w:pPr>
        <w:spacing w:before="0" w:after="80"/>
      </w:pPr>
      <w:r>
        <w:rPr>
          <w:i/>
          <w:sz w:val="20"/>
        </w:rPr>
        <w:t>EN: The accuracy of electrostatic interactions captured by AI protein structure prediction models</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731">
        <w:r>
          <w:rPr>
            <w:color w:val="1155CC"/>
            <w:u w:val="single"/>
          </w:rPr>
          <w:t>10.1073/pnas.2609610123</w:t>
        </w:r>
      </w:hyperlink>
    </w:p>
    <w:p>
      <w:pPr>
        <w:spacing w:before="0" w:after="120"/>
      </w:pPr>
      <w:r>
        <w:rPr>
          <w:b/>
        </w:rPr>
        <w:t xml:space="preserve">Notes: </w:t>
      </w:r>
      <w:r>
        <w:t>abstract_source=crossref</w:t>
      </w:r>
    </w:p>
    <w:p>
      <w:pPr>
        <w:spacing w:before="0" w:after="80" w:lineRule="auto" w:line="276"/>
      </w:pPr>
      <w:r>
        <w:rPr>
          <w:b/>
        </w:rPr>
        <w:t xml:space="preserve">摘要（ZH）: </w:t>
      </w:r>
      <w:r>
        <w:t>由于沟通不畅，意外产生了含有四个可电离残基取代的 U1A 蛋白变体。生物物理测量表明，与单体野生型不同，该变体的螺旋结构是野生型 U1A 的两倍，并且是三聚体。与此形成鲜明对比的是，通过深度学习（AlphaFold2、RoseTTAFold2）和基于 Transformer 的工具（OmegaFold、ESMFold）预测的结构几乎与野生型相同（主干 RMSD &lt; 1 Å）。令人惊讶的是，这些模型预测埋藏在非极性核心内的可电离残留物，与既定的物理化学原理相矛盾。为了进一步探索这种效应，我们生成了包含构成 U1A 非极性核心的多达 12 个残基的序列。在数千个序列中，根据所使用的人工智能模型，大多数预测结构包含完全埋藏的可电离残基，同时仍保持整体 U1A 折叠。然后，我们检查了另外两种大小相当的蛋白质，即酰基磷酸酶和从头设计的 TOP7 折叠，并观察到相同的现象：AI 模型经常预测具有埋藏的可电离残基的结构，但仍保留母体折叠。然而，基于物理的力场 (CHARMM/AMBER) 的短时间 (50 ns) 分子动力学模拟迅速松弛了这些结构，暴露了可电离的残留物。我们的结论是，虽然基于人工智能的工具在自然序列上表现出色，但它们并不能可靠地编码控制可电离残基位置的物理化学原理。我们建议包括简短的分子动力学</w:t>
      </w:r>
    </w:p>
    <w:p>
      <w:pPr>
        <w:spacing w:before="0" w:after="200" w:lineRule="auto" w:line="276"/>
      </w:pPr>
      <w:r>
        <w:rPr>
          <w:b/>
        </w:rPr>
        <w:t xml:space="preserve">Abstract (EN): </w:t>
      </w:r>
      <w:r>
        <w:t>A variant of the U1A protein containing four substitutions to ionizable residues was generated serendipitously due to a miscommunication. Biophysical measurements reveal this variant has twice the helical structure of wild-type U1A and is trimeric, unlike the monomeric wild type. In sharp contrast, structures predicted by deep-learning (AlphaFold2, RoseTTAFold2) and transformer-based tools (OmegaFold, ESMFold) are nearly identical to the wild-type (backbone RMSD &amp;lt; 1 Å). Surprisingly, these models predict ionizable residues buried within the nonpolar core, contradicting established physico-chemical principles. To explore this effect further, we generated sequences containing up to all twelve residues that make up the nonpolar core of U1A. Across thousands of sequences, and depending on the AI model used, the majority of predicted structures contained fully buried ionizable residues while still maintaining the overall U1A fold. We then examined two additional proteins of comparable size, acylphosphatase and the de novo designed TOP7 fold, and observed the same phenomenon: AI models frequently predicted structures with buried ionizable residues that nevertheless retained the parent fold. However, short (50 ns) molecular dynamics simulations with physics-based force fields (CHARMM/AMBER) rapidly relaxed these structures, exposing the ionizable residues. We conclude that while AI-based tools perform exceptionally on natural sequences, they do not reliably encode the physico-chemical principles governing ionizable residue placement. We propose including brief molecular dynamics simulations as a vital validation step for AI-generated structures.</w:t>
      </w:r>
    </w:p>
    <w:p>
      <w:pPr>
        <w:spacing w:before="120" w:after="120"/>
      </w:pPr>
      <w:r>
        <w:rPr>
          <w:sz w:val="18"/>
        </w:rPr>
        <w:t>——————————————————————————————————————————————————————————————————————</w:t>
      </w:r>
    </w:p>
    <w:p>
      <w:pPr>
        <w:spacing w:before="160" w:after="40" w:line="240" w:lineRule="auto"/>
      </w:pPr>
      <w:r>
        <w:rPr>
          <w:b/>
        </w:rPr>
        <w:t xml:space="preserve">[101] </w:t>
      </w:r>
      <w:hyperlink r:id="rId732">
        <w:r>
          <w:rPr>
            <w:color w:val="1155CC"/>
            <w:u w:val="single"/>
          </w:rPr>
          <w:t>相对汤姆猜想，辛及超越</w:t>
        </w:r>
      </w:hyperlink>
    </w:p>
    <w:p>
      <w:pPr>
        <w:spacing w:before="0" w:after="80"/>
      </w:pPr>
      <w:r>
        <w:rPr>
          <w:i/>
          <w:sz w:val="20"/>
        </w:rPr>
        <w:t>EN: Relative Thom conjectures, symplectic and beyond</w:t>
      </w:r>
    </w:p>
    <w:p>
      <w:pPr>
        <w:spacing w:before="0" w:after="120"/>
      </w:pPr>
      <w:r>
        <w:rPr>
          <w:b/>
        </w:rPr>
        <w:t xml:space="preserve">Source: </w:t>
      </w:r>
      <w:r>
        <w:t>Proceedings of the National Academy of Sciences: Keyword search for query</w:t>
      </w:r>
      <w:r>
        <w:t xml:space="preserve">    </w:t>
      </w:r>
      <w:r>
        <w:rPr>
          <w:b/>
        </w:rPr>
        <w:t xml:space="preserve">Pub date: </w:t>
      </w:r>
      <w:r>
        <w:t>2026-07-17 07:00:00+00:00</w:t>
      </w:r>
      <w:r>
        <w:t xml:space="preserve">    </w:t>
      </w:r>
      <w:r>
        <w:rPr>
          <w:b/>
        </w:rPr>
        <w:t xml:space="preserve">DOI: </w:t>
      </w:r>
      <w:hyperlink r:id="rId733">
        <w:r>
          <w:rPr>
            <w:color w:val="1155CC"/>
            <w:u w:val="single"/>
          </w:rPr>
          <w:t>10.1073/pnas.2536898123</w:t>
        </w:r>
      </w:hyperlink>
    </w:p>
    <w:p>
      <w:pPr>
        <w:spacing w:before="0" w:after="120"/>
      </w:pPr>
      <w:r>
        <w:rPr>
          <w:b/>
        </w:rPr>
        <w:t xml:space="preserve">Notes: </w:t>
      </w:r>
      <w:r>
        <w:t>abstract_source=crossref</w:t>
      </w:r>
    </w:p>
    <w:p>
      <w:pPr>
        <w:spacing w:before="0" w:after="80" w:lineRule="auto" w:line="276"/>
      </w:pPr>
      <w:r>
        <w:rPr>
          <w:b/>
        </w:rPr>
        <w:t xml:space="preserve">摘要（ZH）: </w:t>
      </w:r>
      <w:r>
        <w:t>我们建立了一个标准，确保有界几乎复杂的 4 流形中的有界几乎复杂的曲线最小化共享其同源类和其边界上的横向链接的所有光滑表面之间的亏格。一个直接的推论肯定了相对辛托姆猜想，此外，还产生了来自结弗洛尔同调性的障碍，以限制辛填充中辛表面的链接。我们的结果适用于配备不允许辛填充的平面场的流形中的结；例如，我们证明了具有非零 Ozsváth-Szabó 不变量的任何接触 3-流形增厚中的辛曲面可最小化其边界的切片亏格。我们推测，这种现象恰好发生在接触结构紧密时，这意味着紧密度可以被视为辛几何概念。</w:t>
      </w:r>
    </w:p>
    <w:p>
      <w:pPr>
        <w:spacing w:before="0" w:after="200" w:lineRule="auto" w:line="276"/>
      </w:pPr>
      <w:r>
        <w:rPr>
          <w:b/>
        </w:rPr>
        <w:t xml:space="preserve">Abstract (EN): </w:t>
      </w:r>
      <w:r>
        <w:t>We establish a criterion that ensures a bounded almost complex curve in a bounded almost complex 4-manifold minimizes genus among all smooth surfaces that share its homology class and the transverse link on its boundary. An immediate corollary affirms the relative symplectic Thom conjecture and, moreover, yields obstructions coming from knot Floer homology to a link bounding a symplectic surface in a symplectic filling. Our results are applicable to knots in manifolds equipped with plane fields that admit no symplectic fillings; for instance, we show that symplectic surfaces in a thickening of any contact 3-manifold with nonzero Ozsváth-Szabó invariant minimize slice genus for their boundary. We conjecture that this phenomenon occurs precisely when the contact structure is tight, which would imply that tightness can be viewed as a symplecto-geometric notion.</w:t>
      </w:r>
    </w:p>
    <w:p>
      <w:pPr>
        <w:spacing w:before="120" w:after="120"/>
      </w:pPr>
      <w:r>
        <w:rPr>
          <w:sz w:val="18"/>
        </w:rPr>
        <w:t>——————————————————————————————————————————————————————————————————————</w:t>
      </w:r>
    </w:p>
    <w:p>
      <w:pPr>
        <w:spacing w:before="160" w:after="40" w:line="240" w:lineRule="auto"/>
      </w:pPr>
      <w:r>
        <w:rPr>
          <w:b/>
        </w:rPr>
        <w:t xml:space="preserve">[102] </w:t>
      </w:r>
      <w:hyperlink r:id="rId734">
        <w:r>
          <w:rPr>
            <w:color w:val="1155CC"/>
            <w:u w:val="single"/>
          </w:rPr>
          <w:t>用于轻质隔音的混合淀粉样氮化硼气凝胶</w:t>
        </w:r>
      </w:hyperlink>
    </w:p>
    <w:p>
      <w:pPr>
        <w:spacing w:before="0" w:after="80"/>
      </w:pPr>
      <w:r>
        <w:rPr>
          <w:i/>
          <w:sz w:val="20"/>
        </w:rPr>
        <w:t>EN: Hybrid Amyloid–Boron Nitride Aerogels for Lightweight Sound Insulation</w:t>
      </w:r>
    </w:p>
    <w:p>
      <w:pPr>
        <w:spacing w:before="0" w:after="120"/>
      </w:pPr>
      <w:r>
        <w:rPr>
          <w:b/>
        </w:rPr>
        <w:t xml:space="preserve">Source: </w:t>
      </w:r>
      <w:r>
        <w:t>Wiley: Advanced Materials: Table of Contents</w:t>
      </w:r>
      <w:r>
        <w:t xml:space="preserve">    </w:t>
      </w:r>
      <w:r>
        <w:rPr>
          <w:b/>
        </w:rPr>
        <w:t xml:space="preserve">Pub date: </w:t>
      </w:r>
      <w:r>
        <w:t>2026-07-17 07:00:00+00:00</w:t>
      </w:r>
      <w:r>
        <w:t xml:space="preserve">    </w:t>
      </w:r>
      <w:r>
        <w:rPr>
          <w:b/>
        </w:rPr>
        <w:t xml:space="preserve">DOI: </w:t>
      </w:r>
      <w:hyperlink r:id="rId735">
        <w:r>
          <w:rPr>
            <w:color w:val="1155CC"/>
            <w:u w:val="single"/>
          </w:rPr>
          <w:t>10.1002/adma.74088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氮化硼 (BN) 是一种轻质、热稳定且化学惰性的材料，广泛用于电子和绝缘材料，但其合成通常依赖于能源密集型高温路线。在这里，我们引入了一种可持续的、自下而上的策略来制造混合氮化硼-淀粉样原纤维（BNAF）气凝胶，其中乳清蛋白淀粉样原纤维作为可再生支架，帮助组织富含BN的结构域。温和的超声冷冻干燥过程产生具有分层孔隙率的超轻气凝胶，相对于无蛋白质对照增加了类似 BN 的有序性，并且具有原纤维诱导的增强作用。混合气凝胶结合了机械增强、适度使用条件下的热稳定性和强大的声学性能，吸声系数达到0.8以上，降噪系数高达0.63，声音传输损失为25-30 dB。这种低密度和强隔音效果的组合与常见的轻质声学材料（如玻璃纤维）相比具有优势，使淀粉样蛋白辅助的氮化硼-蛋白质混合气凝胶成为中温、重量敏感的降噪应用的有希望的候选材料。</w:t>
      </w:r>
    </w:p>
    <w:p>
      <w:pPr>
        <w:spacing w:before="0" w:after="200" w:lineRule="auto" w:line="276"/>
      </w:pPr>
      <w:r>
        <w:rPr>
          <w:b/>
        </w:rPr>
        <w:t xml:space="preserve">Abstract (EN): </w:t>
      </w:r>
      <w:r>
        <w:t>Boron nitride (BN) is a lightweight, thermally stable, and chemically inert material widely used in electronics and insulation, yet its synthesis typically relies on energy‐intensive, high‐temperature routes. Here, we introduce a sustainable, bottom‐up strategy to fabricate hybrid boron nitride–amyloid fibril (BNAF) aerogels, in which whey protein amyloid fibrils serve as renewable scaffolds that assist the organization of BN‐rich domains. A mild ultrasonication–freeze‐drying process yields ultralight aerogels with hierarchical porosity, increased BN‐like ordering relative to the protein‐free control, and fibril‐induced reinforcement. The hybrid aerogels combine mechanical reinforcement, thermal stability under moderate‐use conditions, and strong acoustic performance, achieving sound absorption coefficients above 0.8, noise reduction coefficients up to 0.63, and sound transmission losses of 25–30 dB. This combination of low density and strong sound shielding compares favorably with common lightweight acoustic materials such as fiberglass, establishing amyloid‐assisted BN–protein hybrid aerogels as promising candidates for moderate‐temperature, weight‐sensitive noise‐reduction applications.</w:t>
      </w:r>
    </w:p>
    <w:p>
      <w:pPr>
        <w:spacing w:before="120" w:after="120"/>
      </w:pPr>
      <w:r>
        <w:rPr>
          <w:sz w:val="18"/>
        </w:rPr>
        <w:t>——————————————————————————————————————————————————————————————————————</w:t>
      </w:r>
    </w:p>
    <w:p>
      <w:pPr>
        <w:spacing w:before="160" w:after="40" w:line="240" w:lineRule="auto"/>
      </w:pPr>
      <w:r>
        <w:rPr>
          <w:b/>
        </w:rPr>
        <w:t xml:space="preserve">[103] </w:t>
      </w:r>
      <w:hyperlink r:id="rId736">
        <w:r>
          <w:rPr>
            <w:color w:val="1155CC"/>
            <w:u w:val="single"/>
          </w:rPr>
          <w:t>通过 IGF2 轴对 MHC-I 抗原呈递进行成纤维细胞特异性消融会削弱肺癌中 CD8+ T 细胞的监测</w:t>
        </w:r>
      </w:hyperlink>
    </w:p>
    <w:p>
      <w:pPr>
        <w:spacing w:before="0" w:after="80"/>
      </w:pPr>
      <w:r>
        <w:rPr>
          <w:i/>
          <w:sz w:val="20"/>
        </w:rPr>
        <w:t>EN: Fibroblast-specific ablation of MHC-I antigen presentation via the IGF2 axis cripples CD8+ T cell surveillance in lung cancer</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37">
        <w:r>
          <w:rPr>
            <w:color w:val="1155CC"/>
            <w:u w:val="single"/>
          </w:rPr>
          <w:t>10.1126/sciadv.aee5738</w:t>
        </w:r>
      </w:hyperlink>
    </w:p>
    <w:p>
      <w:pPr>
        <w:spacing w:before="0" w:after="120"/>
      </w:pPr>
      <w:r>
        <w:rPr>
          <w:b/>
        </w:rPr>
        <w:t xml:space="preserve">Notes: </w:t>
      </w:r>
      <w:r>
        <w:t>abstract_source=crossref</w:t>
      </w:r>
    </w:p>
    <w:p>
      <w:pPr>
        <w:spacing w:before="0" w:after="80" w:lineRule="auto" w:line="276"/>
      </w:pPr>
      <w:r>
        <w:rPr>
          <w:b/>
        </w:rPr>
        <w:t xml:space="preserve">摘要（ZH）: </w:t>
      </w:r>
      <w:r>
        <w:t>癌症相关成纤维细胞 (CAF) 如何控制 CD8</w:t>
      </w:r>
      <w:r>
        <w:t xml:space="preserve"> </w:t>
      </w:r>
      <w:r>
        <w:t>+</w:t>
      </w:r>
      <w:r>
        <w:t xml:space="preserve"> </w:t>
      </w:r>
      <w:r>
        <w:t>肺癌期间 T 细胞功能障碍仍不清楚。通过对 84 个人类 NSCLC 样本的单细胞分析，我们确定胰岛素样生长因子 2 (IGF2) 是特定 CAF 亚群中的关键免疫抑制因子。胰岛素样生长因子2</w:t>
      </w:r>
      <w:r>
        <w:t xml:space="preserve"> </w:t>
      </w:r>
      <w:r>
        <w:t>+</w:t>
      </w:r>
      <w:r>
        <w:t xml:space="preserve"> </w:t>
      </w:r>
      <w:r>
        <w:t>CAF 浸润与 CD8 相关</w:t>
      </w:r>
      <w:r>
        <w:t xml:space="preserve"> </w:t>
      </w:r>
      <w:r>
        <w:t>+</w:t>
      </w:r>
      <w:r>
        <w:t xml:space="preserve"> </w:t>
      </w:r>
      <w:r>
        <w:t>T细胞功能障碍。成纤维细胞特异性 IGF2 敲除通过主要组织相容性复合物 I 类 (MHC-I) 增强细胞自主抗原呈递，从而增强 CD8</w:t>
      </w:r>
      <w:r>
        <w:t xml:space="preserve"> </w:t>
      </w:r>
      <w:r>
        <w:t>+</w:t>
      </w:r>
      <w:r>
        <w:t xml:space="preserve"> </w:t>
      </w:r>
      <w:r>
        <w:t>T 细胞效应功能、肿瘤抑制、存活和 PD-1 阻断协同作用。从机制上讲，IGF2 维持 MYC 信号传导以上调 DNA 甲基转移酶 1 (DNMT1)，从而甲基化 STAT1 启动子，从而在表观遗传上沉默 STAT1。这损害了 MHC-I 表达和 CD8</w:t>
      </w:r>
      <w:r>
        <w:t xml:space="preserve"> </w:t>
      </w:r>
      <w:r>
        <w:t>+</w:t>
      </w:r>
      <w:r>
        <w:t xml:space="preserve"> </w:t>
      </w:r>
      <w:r>
        <w:t>T 细胞激活。临床上，高 IGF2 水平与 CD8 减少相关</w:t>
      </w:r>
      <w:r>
        <w:t xml:space="preserve"> </w:t>
      </w:r>
      <w:r>
        <w:t>+</w:t>
      </w:r>
      <w:r>
        <w:t xml:space="preserve"> </w:t>
      </w:r>
      <w:r>
        <w:t>T 细胞的细胞毒性和不良结果。 IGF2</w:t>
      </w:r>
      <w:r>
        <w:t xml:space="preserve"> </w:t>
      </w:r>
      <w:r>
        <w:t>+</w:t>
      </w:r>
      <w:r>
        <w:t xml:space="preserve"> </w:t>
      </w:r>
      <w:r>
        <w:t>成纤维细胞特征预测多个队列对免疫治疗的反应较差。我们的研究结果表明 IGF2 是 CAF 介导的免疫抑制的中心调节因子，也是增强肺癌免疫治疗的基质靶标。</w:t>
      </w:r>
    </w:p>
    <w:p>
      <w:pPr>
        <w:spacing w:before="0" w:after="200" w:lineRule="auto" w:line="276"/>
      </w:pPr>
      <w:r>
        <w:rPr>
          <w:b/>
        </w:rPr>
        <w:t xml:space="preserve">Abstract (EN): </w:t>
      </w:r>
      <w:r>
        <w:t>How cancer-associated fibroblasts (CAFs) dictate CD8</w:t>
      </w:r>
      <w:r>
        <w:t xml:space="preserve"> </w:t>
      </w:r>
      <w:r>
        <w:t>+</w:t>
      </w:r>
      <w:r>
        <w:t xml:space="preserve"> </w:t>
      </w:r>
      <w:r>
        <w:t>T cell dysfunction during lung cancer remains unclear. Through single-cell analysis of 84 human NSCLC samples, we identified insulin-like growth factor 2 (IGF2) as a key immunosuppressive factor in a specific CAF subset. IGF2</w:t>
      </w:r>
      <w:r>
        <w:t xml:space="preserve"> </w:t>
      </w:r>
      <w:r>
        <w:t>+</w:t>
      </w:r>
      <w:r>
        <w:t xml:space="preserve"> </w:t>
      </w:r>
      <w:r>
        <w:t>CAF infiltration correlated with CD8</w:t>
      </w:r>
      <w:r>
        <w:t xml:space="preserve"> </w:t>
      </w:r>
      <w:r>
        <w:t>+</w:t>
      </w:r>
      <w:r>
        <w:t xml:space="preserve"> </w:t>
      </w:r>
      <w:r>
        <w:t>T cell dysfunction. Fibroblast-specific IGF2 knockout enhanced antigen presentation cell-autonomously via major histocompatibility complex class I (MHC-I), boosting CD8</w:t>
      </w:r>
      <w:r>
        <w:t xml:space="preserve"> </w:t>
      </w:r>
      <w:r>
        <w:t>+</w:t>
      </w:r>
      <w:r>
        <w:t xml:space="preserve"> </w:t>
      </w:r>
      <w:r>
        <w:t>T cell effector function, tumor suppression, survival, and PD-1 blockade synergy. Mechanistically, IGF2 sustained MYC signaling to up-regulate DNA methyltransferase 1 (DNMT1), which methylated the STAT1 promoter, epigenetically silencing STAT1. This impaired MHC-I presentation and CD8</w:t>
      </w:r>
      <w:r>
        <w:t xml:space="preserve"> </w:t>
      </w:r>
      <w:r>
        <w:t>+</w:t>
      </w:r>
      <w:r>
        <w:t xml:space="preserve"> </w:t>
      </w:r>
      <w:r>
        <w:t>T cell activation. Clinically, high IGF2 levels associated with reduced CD8</w:t>
      </w:r>
      <w:r>
        <w:t xml:space="preserve"> </w:t>
      </w:r>
      <w:r>
        <w:t>+</w:t>
      </w:r>
      <w:r>
        <w:t xml:space="preserve"> </w:t>
      </w:r>
      <w:r>
        <w:t>T cell cytotoxicity and poor outcomes. An IGF2</w:t>
      </w:r>
      <w:r>
        <w:t xml:space="preserve"> </w:t>
      </w:r>
      <w:r>
        <w:t>+</w:t>
      </w:r>
      <w:r>
        <w:t xml:space="preserve"> </w:t>
      </w:r>
      <w:r>
        <w:t>fibroblast signature predicted worse response to immunotherapy in multiple cohorts. Our findings establish IGF2 as a central regulator of CAF-mediated immunosuppression and a stromal target for enhancing immunotherapy in lung cancer.</w:t>
      </w:r>
    </w:p>
    <w:p>
      <w:pPr>
        <w:spacing w:before="120" w:after="120"/>
      </w:pPr>
      <w:r>
        <w:rPr>
          <w:sz w:val="18"/>
        </w:rPr>
        <w:t>——————————————————————————————————————————————————————————————————————</w:t>
      </w:r>
    </w:p>
    <w:p>
      <w:pPr>
        <w:spacing w:before="160" w:after="40" w:line="240" w:lineRule="auto"/>
      </w:pPr>
      <w:r>
        <w:rPr>
          <w:b/>
        </w:rPr>
        <w:t xml:space="preserve">[104] </w:t>
      </w:r>
      <w:hyperlink r:id="rId738">
        <w:r>
          <w:rPr>
            <w:color w:val="1155CC"/>
            <w:u w:val="single"/>
          </w:rPr>
          <w:t>核层的过度褶皱与巨核癌细胞的机械敏感性减弱有关</w:t>
        </w:r>
      </w:hyperlink>
    </w:p>
    <w:p>
      <w:pPr>
        <w:spacing w:before="0" w:after="80"/>
      </w:pPr>
      <w:r>
        <w:rPr>
          <w:i/>
          <w:sz w:val="20"/>
        </w:rPr>
        <w:t>EN: Hyperwrinkling of the nuclear lamina is associated with attenuated mechanosensitivity in giant nucleated cancer cells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39">
        <w:r>
          <w:rPr>
            <w:color w:val="1155CC"/>
            <w:u w:val="single"/>
          </w:rPr>
          <w:t>10.1126/sciadv.aed1645</w:t>
        </w:r>
      </w:hyperlink>
    </w:p>
    <w:p>
      <w:pPr>
        <w:spacing w:before="0" w:after="120"/>
      </w:pPr>
      <w:r>
        <w:rPr>
          <w:b/>
        </w:rPr>
        <w:t xml:space="preserve">Notes: </w:t>
      </w:r>
      <w:r>
        <w:t>abstract_source=crossref</w:t>
      </w:r>
    </w:p>
    <w:p>
      <w:pPr>
        <w:spacing w:before="0" w:after="80" w:lineRule="auto" w:line="276"/>
      </w:pPr>
      <w:r>
        <w:rPr>
          <w:b/>
        </w:rPr>
        <w:t xml:space="preserve">摘要（ZH）: </w:t>
      </w:r>
      <w:r>
        <w:t>多倍体巨型癌细胞 (PGCC) 是与患者预后不良相关的化疗耐药肿瘤细胞。组织中的 PGCC 通过其极大的尺寸和大量或多个细胞核的存在来识别。尽管核畸形也是肿瘤细胞的一个常见特征，但人们对 PGCC 中细胞核的形状知之甚少。我们发现，巨核 PGCC 中的核纤层在不同癌症患者组织中高度褶皱。我们在体外研究了卵巢 PGCC 过度皱纹的原因。 PGCC 中的层状过度起皱与细胞形状或细胞骨架力无关。相反，测量结果与计算模型相结合表明，层流过度起皱是 PGCC 的固有特性，由不成比例的层流多余面积引起。与对照细胞相比，PGCC 还表现出细胞扩散和 YAP 核定位的机械敏感性减弱。因此，层状过度起皱可能会破坏 PGCC 机械生物学途径，减缓其增殖。</w:t>
      </w:r>
    </w:p>
    <w:p>
      <w:pPr>
        <w:spacing w:before="0" w:after="200" w:lineRule="auto" w:line="276"/>
      </w:pPr>
      <w:r>
        <w:rPr>
          <w:b/>
        </w:rPr>
        <w:t xml:space="preserve">Abstract (EN): </w:t>
      </w:r>
      <w:r>
        <w:t>Polyploid giant cancer cells (PGCCs) are chemoresistant tumor cells associated with poor patient outcomes. PGCCs in tissue are identified by their extremely large sizes and the presence of massive or several nuclei. Although nuclear dysmorphia is also a common characteristic of tumor cells, little is known about the shape of nuclei in PGCCs. We show that the nuclear lamina in giant nucleated PGCCs is highly wrinkled across diverse cancer patient tissues. We investigated the cause of this hyperwrinkling in ovarian PGCCs in vitro. Laminar hyperwrinkling in PGCCs was independent of cell shape or cytoskeletal forces. Instead, measurements combined with computational modeling show that laminar hyperwrinkling is an intrinsic property of PGCCs, arising from a disproportionate amount of laminar excess area. PGCCs also displayed attenuated mechanosensitivity of cell spreading and YAP nuclear localization compared with control cells. Thus, laminar hyperwrinkling may disrupt PGCC mechanobiological pathways, slowing their proliferation.</w:t>
      </w:r>
    </w:p>
    <w:p>
      <w:pPr>
        <w:spacing w:before="120" w:after="120"/>
      </w:pPr>
      <w:r>
        <w:rPr>
          <w:sz w:val="18"/>
        </w:rPr>
        <w:t>——————————————————————————————————————————————————————————————————————</w:t>
      </w:r>
    </w:p>
    <w:p>
      <w:pPr>
        <w:spacing w:before="160" w:after="40" w:line="240" w:lineRule="auto"/>
      </w:pPr>
      <w:r>
        <w:rPr>
          <w:b/>
        </w:rPr>
        <w:t xml:space="preserve">[105] </w:t>
      </w:r>
      <w:hyperlink r:id="rId740">
        <w:r>
          <w:rPr>
            <w:color w:val="1155CC"/>
            <w:u w:val="single"/>
          </w:rPr>
          <w:t>静脉曲张投射星形胶质细胞：脑病理学中保守的反应细胞</w:t>
        </w:r>
      </w:hyperlink>
    </w:p>
    <w:p>
      <w:pPr>
        <w:spacing w:before="0" w:after="80"/>
      </w:pPr>
      <w:r>
        <w:rPr>
          <w:i/>
          <w:sz w:val="20"/>
        </w:rPr>
        <w:t>EN: Varicose projection astrocytes: Conserved reactive cells in brain pathology</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41">
        <w:r>
          <w:rPr>
            <w:color w:val="1155CC"/>
            <w:u w:val="single"/>
          </w:rPr>
          <w:t>10.1126/sciadv.ady8204</w:t>
        </w:r>
      </w:hyperlink>
    </w:p>
    <w:p>
      <w:pPr>
        <w:spacing w:before="0" w:after="120"/>
      </w:pPr>
      <w:r>
        <w:rPr>
          <w:b/>
        </w:rPr>
        <w:t xml:space="preserve">Notes: </w:t>
      </w:r>
      <w:r>
        <w:t>abstract_source=crossref</w:t>
      </w:r>
    </w:p>
    <w:p>
      <w:pPr>
        <w:spacing w:before="0" w:after="80" w:lineRule="auto" w:line="276"/>
      </w:pPr>
      <w:r>
        <w:rPr>
          <w:b/>
        </w:rPr>
        <w:t xml:space="preserve">摘要（ZH）: </w:t>
      </w:r>
      <w:r>
        <w:t>星形胶质细胞在神经病理学中发挥重要作用。人类星形胶质细胞表现出独特的特性，凸显了研究人类模型中星形胶质细胞反应的重要性。曲张投射星形胶质细胞以前被认为是类人猿独有的，是一种生理类型的星形胶质细胞，被认为反映了病理负担，尽管缺乏将其与神经系统疾病联系起来的直接证据。在这里，我们证明静脉曲张投射星形胶质细胞也出现在其他哺乳动物中，并且从四种不同的人类疾病模型中表明，静脉曲张投射星形胶质细胞是由神经炎症诱导的，并具有独特的亚细胞特征，表明参与细胞应激反应，并且它们的密度在衰老和人类神经病理学中增加。我们的研究结果将曲张投射星形胶质细胞确定为与神经病理学相关的反应表型。</w:t>
      </w:r>
    </w:p>
    <w:p>
      <w:pPr>
        <w:spacing w:before="0" w:after="200" w:lineRule="auto" w:line="276"/>
      </w:pPr>
      <w:r>
        <w:rPr>
          <w:b/>
        </w:rPr>
        <w:t xml:space="preserve">Abstract (EN): </w:t>
      </w:r>
      <w:r>
        <w:t>Astrocytes play essential roles in neuropathology. Human astrocytes exhibit unique properties, highlighting the importance of studying astrocytic responses in human models. Varicose projection astrocytes, previously considered exclusive to hominoids and a physiological type of astrocytes, were suggested to reflect pathological burden, albeit direct evidence linking them to neurological diseases has been lacking. Here, we demonstrate that varicose projection astrocytes also appear in other mammals and show, from four distinct human-based disease models, that varicose projection astrocytes are induced by neuroinflammation and characterized by distinctive subcellular features, indicating involvement in cellular stress responses, and their density is increased in aging and human neuropathology. Our findings establish varicose projection astrocytes as a reactive phenotype associated with neuropathology.</w:t>
      </w:r>
    </w:p>
    <w:p>
      <w:pPr>
        <w:spacing w:before="120" w:after="120"/>
      </w:pPr>
      <w:r>
        <w:rPr>
          <w:sz w:val="18"/>
        </w:rPr>
        <w:t>——————————————————————————————————————————————————————————————————————</w:t>
      </w:r>
    </w:p>
    <w:p>
      <w:pPr>
        <w:spacing w:before="160" w:after="40" w:line="240" w:lineRule="auto"/>
      </w:pPr>
      <w:r>
        <w:rPr>
          <w:b/>
        </w:rPr>
        <w:t xml:space="preserve">[106] </w:t>
      </w:r>
      <w:hyperlink r:id="rId742">
        <w:r>
          <w:rPr>
            <w:color w:val="1155CC"/>
            <w:u w:val="single"/>
          </w:rPr>
          <w:t>独特的抗原呈递途径在基于脂质纳米颗粒的 mRNA 疫苗中驱动有效的 T 细胞免疫</w:t>
        </w:r>
      </w:hyperlink>
    </w:p>
    <w:p>
      <w:pPr>
        <w:spacing w:before="0" w:after="80"/>
      </w:pPr>
      <w:r>
        <w:rPr>
          <w:i/>
          <w:sz w:val="20"/>
        </w:rPr>
        <w:t>EN: A distinct antigen presentation pathway drives potent T cell immunity in lipid nanoparticle–based mRNA vaccines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43">
        <w:r>
          <w:rPr>
            <w:color w:val="1155CC"/>
            <w:u w:val="single"/>
          </w:rPr>
          <w:t>10.1126/sciadv.aec7827</w:t>
        </w:r>
      </w:hyperlink>
    </w:p>
    <w:p>
      <w:pPr>
        <w:spacing w:before="0" w:after="120"/>
      </w:pPr>
      <w:r>
        <w:rPr>
          <w:b/>
        </w:rPr>
        <w:t xml:space="preserve">Notes: </w:t>
      </w:r>
      <w:r>
        <w:t>abstract_source=crossref</w:t>
      </w:r>
    </w:p>
    <w:p>
      <w:pPr>
        <w:spacing w:before="0" w:after="80" w:lineRule="auto" w:line="276"/>
      </w:pPr>
      <w:r>
        <w:rPr>
          <w:b/>
        </w:rPr>
        <w:t xml:space="preserve">摘要（ZH）: </w:t>
      </w:r>
      <w:r>
        <w:t>脂质纳米颗粒封装的 mRNA (mRNA-LNP) 疫苗除了产生抗体外，还可触发抗原特异性细胞毒性 CD8 T 细胞的有效分化。尽管其免疫原性很高，但 mRNA-LNP 诱导这种不寻常的免疫反应的细胞机制仍不清楚。在这里，我们证明 mRNA-LNP 通过不同于传统佐剂的抗原呈递机制诱导有效且持久的 CD8 T 细胞扩增。在用mRNA-LNP免疫的小鼠中，抗原特异性CD8 T细胞的数量比抗原蛋白与脂多糖或聚肌苷：聚胞苷酸等免疫刺激剂联合诱导的数量高一个数量级。肌内注射的 mRNA-LNP 主要被引流淋巴结中迁移的 2 型常规树突状细胞摄取，从而通过主要组织相容性复合物 I 类产生显着强而持久的抗原呈递。此外，mRNA-LNP 诱导 CD8 T 细胞需要迁移树突状细胞，而不是抗病毒和抗肿瘤免疫所必需的传统交叉呈递途径。因此，mRNA-LNP 制剂通过与常规成分疫苗不同的抗原呈递途径发挥非常规免疫反应。</w:t>
      </w:r>
    </w:p>
    <w:p>
      <w:pPr>
        <w:spacing w:before="0" w:after="200" w:lineRule="auto" w:line="276"/>
      </w:pPr>
      <w:r>
        <w:rPr>
          <w:b/>
        </w:rPr>
        <w:t xml:space="preserve">Abstract (EN): </w:t>
      </w:r>
      <w:r>
        <w:t>Lipid nanoparticle–encapsulated mRNA (mRNA-LNP) vaccines trigger the potent differentiation of antigen-specific cytotoxic CD8 T cells in addition to antibody production. Despite its high immunogenicity, the cellular mechanisms by which mRNA-LNP induces such unusual immune responses remain largely unclear. Here, we show that mRNA-LNP induces potent and long-lasting CD8 T cell expansion through an antigen presentation mechanism that differs from that of conventional adjuvants. In mice immunized with mRNA-LNP, the number of antigen-specific CD8 T cells was one order of magnitude higher than that induced by combining antigen proteins with immunostimulants such as lipopolysaccharide or polyinosinic:polycytidinic acid. Intramuscularly administered mRNA-LNPs were mainly taken up by migratory type 2 conventional dendritic cells in draining lymph nodes, resulting in notably strong and persistent antigen presentation through major histocompatibility complex class I. Furthermore, CD8 T cell induction by mRNA-LNP required migratory dendritic cells but not the traditional cross-presentation pathway that is otherwise essential for antiviral and antitumor immunity. Thus, the mRNA-LNP formulation exerts unconventional immune responses through a different antigen-presentation pathway from conventional component vaccines.</w:t>
      </w:r>
    </w:p>
    <w:p>
      <w:pPr>
        <w:spacing w:before="120" w:after="120"/>
      </w:pPr>
      <w:r>
        <w:rPr>
          <w:sz w:val="18"/>
        </w:rPr>
        <w:t>——————————————————————————————————————————————————————————————————————</w:t>
      </w:r>
    </w:p>
    <w:p>
      <w:pPr>
        <w:spacing w:before="160" w:after="40" w:line="240" w:lineRule="auto"/>
      </w:pPr>
      <w:r>
        <w:rPr>
          <w:b/>
        </w:rPr>
        <w:t xml:space="preserve">[107] </w:t>
      </w:r>
      <w:hyperlink r:id="rId744">
        <w:r>
          <w:rPr>
            <w:color w:val="1155CC"/>
            <w:u w:val="single"/>
          </w:rPr>
          <w:t>减轻高性能近红外量子点发光二极管的表面结构紊乱</w:t>
        </w:r>
      </w:hyperlink>
    </w:p>
    <w:p>
      <w:pPr>
        <w:spacing w:before="0" w:after="80"/>
      </w:pPr>
      <w:r>
        <w:rPr>
          <w:i/>
          <w:sz w:val="20"/>
        </w:rPr>
        <w:t>EN: Mitigating surface structural disorder for high-performance near-infrared quantum dot light-emitting diodes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45">
        <w:r>
          <w:rPr>
            <w:color w:val="1155CC"/>
            <w:u w:val="single"/>
          </w:rPr>
          <w:t>10.1126/sciadv.aeg2635</w:t>
        </w:r>
      </w:hyperlink>
    </w:p>
    <w:p>
      <w:pPr>
        <w:spacing w:before="0" w:after="120"/>
      </w:pPr>
      <w:r>
        <w:rPr>
          <w:b/>
        </w:rPr>
        <w:t xml:space="preserve">Notes: </w:t>
      </w:r>
      <w:r>
        <w:t>abstract_source=crossref</w:t>
      </w:r>
    </w:p>
    <w:p>
      <w:pPr>
        <w:spacing w:before="0" w:after="80" w:lineRule="auto" w:line="276"/>
      </w:pPr>
      <w:r>
        <w:rPr>
          <w:b/>
        </w:rPr>
        <w:t xml:space="preserve">摘要（ZH）: </w:t>
      </w:r>
      <w:r>
        <w:t>钙钛矿量子点在近红外发光二极管方面很有前景，但由于复杂且无序的表面原子态，它们在有限的工作器件寿命方面面临着严峻的挑战。在这里，我们设计并使用多功能4-氨基苯磺酸锌(II)来减轻量子点的表面结构无序，从而实现高性能近红外发光二极管。这样的添加剂，具有四个官能团和离子（-NH</w:t>
      </w:r>
      <w:r>
        <w:rPr>
          <w:vertAlign w:val="subscript"/>
        </w:rPr>
        <w:t>2</w:t>
      </w:r>
      <w:r>
        <w:t>、-S–O、-S=O 和 Zn</w:t>
      </w:r>
      <w:r>
        <w:t xml:space="preserve"> </w:t>
      </w:r>
      <w:r>
        <w:t>2+</w:t>
      </w:r>
      <w:r>
        <w:t xml:space="preserve"> </w:t>
      </w:r>
      <w:r>
        <w:t>），并且显示出双氢键效应，可以增强表面原子终止并减轻表面无序，从而使光致发光量子产率提高到90％以上。所制造的发光二极管表现出窄电致发光光谱，在 789 纳米处半峰全宽为 42 纳米，最大外部量子效率为 23.11%，效率滚降可忽略不计（在 100 毫安每平方厘米时小至 3%），辐射率为每球面度每平方米 155,851 毫瓦，工作时初始辐射度为每平方米每球面度 1,000 毫瓦时，使用寿命为 2298 分钟（每平方米每球面度 190 毫瓦时，使用寿命为 39,000 分钟）。与之前报道的最好的近红外钙钛矿量子点发光二极管相比，这项工作代表了辐射率、效率滚降和工作稳定性的显着改善。</w:t>
      </w:r>
    </w:p>
    <w:p>
      <w:pPr>
        <w:spacing w:before="0" w:after="200" w:lineRule="auto" w:line="276"/>
      </w:pPr>
      <w:r>
        <w:rPr>
          <w:b/>
        </w:rPr>
        <w:t xml:space="preserve">Abstract (EN): </w:t>
      </w:r>
      <w:r>
        <w:t>Perovskite quantum dots are promising for near-infrared light-emitting diodes, although they face serious challenges in limited operating device lifetime originating from the complex and disordered surface atomic states. Here, we design and use multifunctional zinc(II) 4-aminobenzenesulfonate to mitigate surface structural disorder in quantum dots, thereby achieving high-performance near-infrared light-emitting diodes. Such an additive, with four functional groups and ions (-NH</w:t>
      </w:r>
      <w:r>
        <w:rPr>
          <w:vertAlign w:val="subscript"/>
        </w:rPr>
        <w:t>2</w:t>
      </w:r>
      <w:r>
        <w:t>, -S–O, -S=O, and Zn</w:t>
      </w:r>
      <w:r>
        <w:t xml:space="preserve"> </w:t>
      </w:r>
      <w:r>
        <w:t>2+</w:t>
      </w:r>
      <w:r>
        <w:t xml:space="preserve"> </w:t>
      </w:r>
      <w:r>
        <w:t>), and that shows double hydrogen–bonding effects, can strengthen surface atom termination and mitigate surface disorder, enabling an improved photoluminescence quantum yield of more than 90%. The as-fabricated light-emitting diodes demonstrated narrow electroluminescence spectra with a full width at half maximum of 42 nanometers at 789 nanometers, a maximum external quantum efficiency of 23.11% with negligible efficiency roll-off (as small as 3% at 100 milliamperes per square centimeter), a radiance of 155,851 milliwatts per steradian per square meter, and an operating lifetime of 2298 minutes at an initial radiance of 1,000 milliwatts per steradian per square meter (39,000 minutes for 190 milliwatts per steradian per square meter). This work represents a substantial improvement in radiance, efficiency roll-off, and operating stability compared with the best previously reported near-infrared perovskite quantum dot light-emitting diodes.</w:t>
      </w:r>
    </w:p>
    <w:p>
      <w:pPr>
        <w:spacing w:before="120" w:after="120"/>
      </w:pPr>
      <w:r>
        <w:rPr>
          <w:sz w:val="18"/>
        </w:rPr>
        <w:t>——————————————————————————————————————————————————————————————————————</w:t>
      </w:r>
    </w:p>
    <w:p>
      <w:pPr>
        <w:spacing w:before="160" w:after="40" w:line="240" w:lineRule="auto"/>
      </w:pPr>
      <w:r>
        <w:rPr>
          <w:b/>
        </w:rPr>
        <w:t xml:space="preserve">[108] </w:t>
      </w:r>
      <w:hyperlink r:id="rId746">
        <w:r>
          <w:rPr>
            <w:color w:val="1155CC"/>
            <w:u w:val="single"/>
          </w:rPr>
          <w:t>不对称自由基NHC有机催化——惰性C(sp2)─C(sp3)键的高度对映选择性酰化</w:t>
        </w:r>
      </w:hyperlink>
    </w:p>
    <w:p>
      <w:pPr>
        <w:spacing w:before="0" w:after="80"/>
      </w:pPr>
      <w:r>
        <w:rPr>
          <w:i/>
          <w:sz w:val="20"/>
        </w:rPr>
        <w:t>EN: Asymmetric radical NHC organocatalysis–enabled highly enantioselective acylation of inert C(sp2)─C(sp3) bonds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47">
        <w:r>
          <w:rPr>
            <w:color w:val="1155CC"/>
            <w:u w:val="single"/>
          </w:rPr>
          <w:t>10.1126/sciadv.aeg0999</w:t>
        </w:r>
      </w:hyperlink>
    </w:p>
    <w:p>
      <w:pPr>
        <w:spacing w:before="0" w:after="120"/>
      </w:pPr>
      <w:r>
        <w:rPr>
          <w:b/>
        </w:rPr>
        <w:t xml:space="preserve">Notes: </w:t>
      </w:r>
      <w:r>
        <w:t>abstract_source=crossref</w:t>
      </w:r>
    </w:p>
    <w:p>
      <w:pPr>
        <w:spacing w:before="0" w:after="80" w:lineRule="auto" w:line="276"/>
      </w:pPr>
      <w:r>
        <w:rPr>
          <w:b/>
        </w:rPr>
        <w:t xml:space="preserve">摘要（ZH）: </w:t>
      </w:r>
      <w:r>
        <w:t>追求高对映选择性仍然是激进分子新兴领域的核心挑战</w:t>
      </w:r>
      <w:r>
        <w:t xml:space="preserve"> </w:t>
      </w:r>
      <w:r>
        <w:t>氮</w:t>
      </w:r>
      <w:r>
        <w:t xml:space="preserve"> </w:t>
      </w:r>
      <w:r>
        <w:t>-杂环卡宾（NHC）催化。此外，无应变和非极化的 C─C 键的直接官能化仍然在有机催化中构成巨大的障碍。在此，我们公开了一种不对称 NHC 有机催化平台，可实现惰性 C(sp</w:t>
      </w:r>
      <w:r>
        <w:rPr>
          <w:vertAlign w:val="subscript"/>
        </w:rPr>
        <w:t>2</w:t>
      </w:r>
      <w:r>
        <w:t>)─C(sp</w:t>
      </w:r>
      <w:r>
        <w:rPr>
          <w:vertAlign w:val="subscript"/>
        </w:rPr>
        <w:t>3</w:t>
      </w:r>
      <w:r>
        <w:t>）债券。这一进展的核心是开发了一系列以前未知的手性噻唑鎓催化剂，将中环主链与</w:t>
      </w:r>
      <w:r>
        <w:t xml:space="preserve"> </w:t>
      </w:r>
      <w:r>
        <w:t>C</w:t>
      </w:r>
      <w:r>
        <w:rPr>
          <w:vertAlign w:val="subscript"/>
        </w:rPr>
        <w:t>2</w:t>
      </w:r>
      <w:r>
        <w:t>-对称手性单元，通过 Smiles 型重排促进 C─C 键的立体选择性酰化。该有机催化方案提供了 70 多个实例，在无过渡金属和无光条件下具有出色的产率（高达 99%）、优异的区域选择性（高达 99:1 rr）和对映选择性（高达 99.5:0.5 er）。复杂生物活性分子的立体控制后期功能化进一步强调了该策略的实用性。结合实验和计算研究的机理见解支持自由基介导的催化循环并阐明对映选择性的起源。</w:t>
      </w:r>
    </w:p>
    <w:p>
      <w:pPr>
        <w:spacing w:before="0" w:after="200" w:lineRule="auto" w:line="276"/>
      </w:pPr>
      <w:r>
        <w:rPr>
          <w:b/>
        </w:rPr>
        <w:t xml:space="preserve">Abstract (EN): </w:t>
      </w:r>
      <w:r>
        <w:t>The pursuit of high enantioselectivity remains a central challenge in the burgeoning area of radical</w:t>
      </w:r>
      <w:r>
        <w:t xml:space="preserve"> </w:t>
      </w:r>
      <w:r>
        <w:t>N</w:t>
      </w:r>
      <w:r>
        <w:t xml:space="preserve"> </w:t>
      </w:r>
      <w:r>
        <w:t>-heterocyclic carbene (NHC) catalysis. Moreover, direct functionalizations of unstrained and unpolarized C─C bonds continue to pose a formidable obstacle in organocatalysis. Herein, we disclose an asymmetric NHC organocatalytic platform that achieves highly enantioselective radical acylation of inert C(sp</w:t>
      </w:r>
      <w:r>
        <w:rPr>
          <w:vertAlign w:val="subscript"/>
        </w:rPr>
        <w:t>2</w:t>
      </w:r>
      <w:r>
        <w:t>)─C(sp</w:t>
      </w:r>
      <w:r>
        <w:rPr>
          <w:vertAlign w:val="subscript"/>
        </w:rPr>
        <w:t>3</w:t>
      </w:r>
      <w:r>
        <w:t>) bonds. Central to this advance is the development of a previously unknown collection of chiral thiazolium catalysts integrating medium-ring backbones with</w:t>
      </w:r>
      <w:r>
        <w:t xml:space="preserve"> </w:t>
      </w:r>
      <w:r>
        <w:t>C</w:t>
      </w:r>
      <w:r>
        <w:rPr>
          <w:vertAlign w:val="subscript"/>
        </w:rPr>
        <w:t>2</w:t>
      </w:r>
      <w:r>
        <w:t>-symmetric chiral units, which facilitate the stereoselective acylation of C─C bonds through a Smiles-type rearrangement. This organocatalytic protocol affords more than 70 examples with outstanding yields (up to 99%) and excellent regioselectivity (up to 99:1 rr) and enantioselectivity (up to 99.5:0.5 er) under transition metal–free and light-free conditions. The practicality of this strategy is further underscored by stereo-controlled late-stage functionalization of complex bioactive molecules. Mechanistic insights from combined experimental and computational studies support a radical-mediated catalytic cycle and elucidate the origin of enantioselectivity.</w:t>
      </w:r>
    </w:p>
    <w:p>
      <w:pPr>
        <w:spacing w:before="120" w:after="120"/>
      </w:pPr>
      <w:r>
        <w:rPr>
          <w:sz w:val="18"/>
        </w:rPr>
        <w:t>——————————————————————————————————————————————————————————————————————</w:t>
      </w:r>
    </w:p>
    <w:p>
      <w:pPr>
        <w:spacing w:before="160" w:after="40" w:line="240" w:lineRule="auto"/>
      </w:pPr>
      <w:r>
        <w:rPr>
          <w:b/>
        </w:rPr>
        <w:t xml:space="preserve">[109] </w:t>
      </w:r>
      <w:hyperlink r:id="rId748">
        <w:r>
          <w:rPr>
            <w:color w:val="1155CC"/>
            <w:u w:val="single"/>
          </w:rPr>
          <w:t>单细胞和空间组学揭示了转移性高危神经母细胞瘤的区域特异性可塑性和治疗脆弱性</w:t>
        </w:r>
      </w:hyperlink>
    </w:p>
    <w:p>
      <w:pPr>
        <w:spacing w:before="0" w:after="80"/>
      </w:pPr>
      <w:r>
        <w:rPr>
          <w:i/>
          <w:sz w:val="20"/>
        </w:rPr>
        <w:t>EN: Single-cell and spatial omics reveals region-specific plasticity and therapeutic vulnerabilities in metastatic high-risk neuroblastoma</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49">
        <w:r>
          <w:rPr>
            <w:color w:val="1155CC"/>
            <w:u w:val="single"/>
          </w:rPr>
          <w:t>10.1126/sciadv.aec6749</w:t>
        </w:r>
      </w:hyperlink>
    </w:p>
    <w:p>
      <w:pPr>
        <w:spacing w:before="0" w:after="120"/>
      </w:pPr>
      <w:r>
        <w:rPr>
          <w:b/>
        </w:rPr>
        <w:t xml:space="preserve">Notes: </w:t>
      </w:r>
      <w:r>
        <w:t>abstract_source=crossref</w:t>
      </w:r>
    </w:p>
    <w:p>
      <w:pPr>
        <w:spacing w:before="0" w:after="80" w:lineRule="auto" w:line="276"/>
      </w:pPr>
      <w:r>
        <w:rPr>
          <w:b/>
        </w:rPr>
        <w:t xml:space="preserve">摘要（ZH）: </w:t>
      </w:r>
      <w:r>
        <w:t>神经母细胞瘤是一种源自周围神经系统交感神经节的儿科癌症，经常发生转移，导致预后不良。原发性神经母细胞瘤的特征已十分明确，但其转移机制仍知之甚少。在这里，通过使用单细胞和空间多组学，我们发现高危神经母细胞瘤中的淋巴结转移表现出独特的细胞异质性和可塑性，其特征是与原发性肾上腺肿瘤相比，间质样和干样状态以及上皮间质转化活性增强。此外，与原发性肾上腺肿块相比，转移性微环境显示免疫抑制性骨髓程序增加、免疫检查点信号增强和淋巴细胞耗竭，这些都表明免疫逃避和功能障碍。值得注意的是，转移性神经母细胞瘤表现出 eIF4F 翻译机制和 XPO1 水平升高。 eIF4A 和 XPO1 的双重抑制可协同抑制异种移植模型中的肿瘤生长并延长生存期。总之，我们的多组学研究揭示了导致治疗抵抗的分子和细胞可塑性，并强调了高风险转移性神经母细胞瘤中可利用的治疗漏洞。</w:t>
      </w:r>
    </w:p>
    <w:p>
      <w:pPr>
        <w:spacing w:before="0" w:after="200" w:lineRule="auto" w:line="276"/>
      </w:pPr>
      <w:r>
        <w:rPr>
          <w:b/>
        </w:rPr>
        <w:t xml:space="preserve">Abstract (EN): </w:t>
      </w:r>
      <w:r>
        <w:t>Neuroblastoma, a pediatric cancer derived from sympathetic ganglia of the peripheral nervous system, frequently metastasizes, driving poor outcomes. Primary neuroblastomas are well-characterized, but the mechanisms underlying metastasis remain poorly understood. Here, by using single-cell and spatial multiomics, we identified that lymph node metastases in high-risk neuroblastomas display distinctive cellular heterogeneity and plasticity, marked by mesenchymal-like and stem-like states and heightened epithelial-to-mesenchymal transition activity compared to primary adrenal tumors. In addition, compared to primary adrenal masses, the metastatic niche display increased immunosuppressive myeloid programs, heightened immune checkpoint signaling, and lymphocyte exhaustion, which are indicative of immune evasion and dysfunction. Notably, metastatic neuroblastomas show elevated eIF4F translation machinery and XPO1 levels. Dual inhibition of eIF4A and XPO1 synergistically halted tumor growth and prolonged survival in xenograft models. Together, our multiomics studies reveal the molecular and cellular plasticity that contributes to therapy resistance and highlight exploitable therapeutic vulnerabilities in high-risk metastatic neuroblastomas.</w:t>
      </w:r>
    </w:p>
    <w:p>
      <w:pPr>
        <w:spacing w:before="120" w:after="120"/>
      </w:pPr>
      <w:r>
        <w:rPr>
          <w:sz w:val="18"/>
        </w:rPr>
        <w:t>——————————————————————————————————————————————————————————————————————</w:t>
      </w:r>
    </w:p>
    <w:p>
      <w:pPr>
        <w:spacing w:before="160" w:after="40" w:line="240" w:lineRule="auto"/>
      </w:pPr>
      <w:r>
        <w:rPr>
          <w:b/>
        </w:rPr>
        <w:t xml:space="preserve">[110] </w:t>
      </w:r>
      <w:hyperlink r:id="rId750">
        <w:r>
          <w:rPr>
            <w:color w:val="1155CC"/>
            <w:u w:val="single"/>
          </w:rPr>
          <w:t>铁过载抑制 PDAC 转移中的 LKB1 并诱导 IL36G 抗肿瘤免疫</w:t>
        </w:r>
      </w:hyperlink>
    </w:p>
    <w:p>
      <w:pPr>
        <w:spacing w:before="0" w:after="80"/>
      </w:pPr>
      <w:r>
        <w:rPr>
          <w:i/>
          <w:sz w:val="20"/>
        </w:rPr>
        <w:t>EN: Iron overload suppresses LKB1 and induces IL36G anti-tumor immunity in PDAC metastasis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51">
        <w:r>
          <w:rPr>
            <w:color w:val="1155CC"/>
            <w:u w:val="single"/>
          </w:rPr>
          <w:t>10.1126/sciadv.adz8681</w:t>
        </w:r>
      </w:hyperlink>
    </w:p>
    <w:p>
      <w:pPr>
        <w:spacing w:before="0" w:after="120"/>
      </w:pPr>
      <w:r>
        <w:rPr>
          <w:b/>
        </w:rPr>
        <w:t xml:space="preserve">Notes: </w:t>
      </w:r>
      <w:r>
        <w:t>abstract_source=crossref</w:t>
      </w:r>
    </w:p>
    <w:p>
      <w:pPr>
        <w:spacing w:before="0" w:after="80" w:lineRule="auto" w:line="276"/>
      </w:pPr>
      <w:r>
        <w:rPr>
          <w:b/>
        </w:rPr>
        <w:t xml:space="preserve">摘要（ZH）: </w:t>
      </w:r>
      <w:r>
        <w:t>胰腺导管腺癌（PDA）是一种侵袭性癌症，经常表现为播散性疾病。 PDA 转移微环境施加了独特的代谢应激源，可能产生依赖于环境的脆弱性。因此，我们在 PDA 肝转移模型中采用基于 CRISPR 的遗传筛查，以识别新的且可能可靶向的缺陷。值得注意的是，铁蛋白重链 (FTH1) 成为最突出的肝脏特异性依赖性——FTH1 的缺失特别抑制了肝脏微环境中的肿瘤生长。 FTH1 缺失和随后的铁处理中断会引发线粒体功能障碍和离子失衡，包括细胞质钙超载。这些扰动导致转录程序被激活，从而触发由免疫刺激细胞因子 IL36G 介导的抗肿瘤免疫。从机制上讲，FTH1 缺失和随后的离子失衡导致肿瘤抑制因子的蛋白质水平降低</w:t>
      </w:r>
      <w:r>
        <w:t xml:space="preserve"> </w:t>
      </w:r>
      <w:r>
        <w:t>Stk11</w:t>
      </w:r>
      <w:r>
        <w:t xml:space="preserve"> </w:t>
      </w:r>
      <w:r>
        <w:t>(LKB1)，我们认为它是由位于 LKB1 5'-UTR 的 RNA G 四联体介导的。 LKB1 蛋白水平的丧失会改变信号级联，导致 SIK 信号传导减少并抑制无义介导的衰变，最终导致</w:t>
      </w:r>
      <w:r>
        <w:t xml:space="preserve"> </w:t>
      </w:r>
      <w:r>
        <w:t>伊尔36g</w:t>
      </w:r>
      <w:r>
        <w:t xml:space="preserve"> </w:t>
      </w:r>
      <w:r>
        <w:t>mRNA 稳定。总而言之，这项工作阐明了新的离子破坏，这些破坏通过 5'UTR 中先前未描述的四联体调节 LKB1 的翻译，从而改变可靶向产生抗肿瘤免疫反应的信号轴</w:t>
      </w:r>
    </w:p>
    <w:p>
      <w:pPr>
        <w:spacing w:before="0" w:after="200" w:lineRule="auto" w:line="276"/>
      </w:pPr>
      <w:r>
        <w:rPr>
          <w:b/>
        </w:rPr>
        <w:t xml:space="preserve">Abstract (EN): </w:t>
      </w:r>
      <w:r>
        <w:t>Pancreatic ductal adenocarcinoma (PDA) is an aggressive cancer that frequently presents with disseminated disease. The PDA metastatic microenvironment imposes distinct metabolic stressors, potentially generating context-dependent vulnerabilities. Therefore, we employed CRISPR-based genetic screening in a model of PDA liver metastasis to identify novel and possibly targetable liabilities. Remarkably, ferritin heavy chain (FTH1) emerged as the most prominent liver-specific dependency – loss of FTH1 suppressed tumor growth specifically in the liver microenvironment. FTH1 deletion and subsequent disruption of iron handling triggers mitochondrial dysfunction and ionic imbalance, including cytosolic calcium overload. These perturbations result in the activation of a transcriptional program that triggers anti-tumor immunity mediated by immunostimulatory cytokine IL36G. Mechanistically, FTH1 deletion and subsequent ionic imbalance causes decreased protein levels of the tumor suppressor</w:t>
      </w:r>
      <w:r>
        <w:t xml:space="preserve"> </w:t>
      </w:r>
      <w:r>
        <w:t>Stk11</w:t>
      </w:r>
      <w:r>
        <w:t xml:space="preserve"> </w:t>
      </w:r>
      <w:r>
        <w:t>(LKB1) which we propose to be mediated by an RNA G-quadruplex located in the 5′-UTR of LKB1. The loss of LKB1 protein levels alters signaling cascades resulting in reduced SIK signaling and inhibition of nonsense mediated decay, ultimately leading to</w:t>
      </w:r>
      <w:r>
        <w:t xml:space="preserve"> </w:t>
      </w:r>
      <w:r>
        <w:t>Il36g</w:t>
      </w:r>
      <w:r>
        <w:t xml:space="preserve"> </w:t>
      </w:r>
      <w:r>
        <w:t>mRNA stabilization. Taken together, this work elucidates novel ionic disruptions that regulate the translation of LKB1 through a previously undescribed quadruplex in the 5′UTR, altering signaling axes that can be targeted to generate an anti-tumor immune response in PDA.</w:t>
      </w:r>
    </w:p>
    <w:p>
      <w:pPr>
        <w:spacing w:before="120" w:after="120"/>
      </w:pPr>
      <w:r>
        <w:rPr>
          <w:sz w:val="18"/>
        </w:rPr>
        <w:t>——————————————————————————————————————————————————————————————————————</w:t>
      </w:r>
    </w:p>
    <w:p>
      <w:pPr>
        <w:spacing w:before="160" w:after="40" w:line="240" w:lineRule="auto"/>
      </w:pPr>
      <w:r>
        <w:rPr>
          <w:b/>
        </w:rPr>
        <w:t xml:space="preserve">[111] </w:t>
      </w:r>
      <w:hyperlink r:id="rId752">
        <w:r>
          <w:rPr>
            <w:color w:val="1155CC"/>
            <w:u w:val="single"/>
          </w:rPr>
          <w:t>间充质干细胞接收含有适应性胰岛衍生的 miR-151 的 sEV，以促进肥胖症中的 β 细胞补偿</w:t>
        </w:r>
      </w:hyperlink>
    </w:p>
    <w:p>
      <w:pPr>
        <w:spacing w:before="0" w:after="80"/>
      </w:pPr>
      <w:r>
        <w:rPr>
          <w:i/>
          <w:sz w:val="20"/>
        </w:rPr>
        <w:t>EN: Mesenchymal stem cells receive adaptive islet–derived miR-151–containing sEVs to promote β cell compensation in obesity</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53">
        <w:r>
          <w:rPr>
            <w:color w:val="1155CC"/>
            <w:u w:val="single"/>
          </w:rPr>
          <w:t>10.1126/sciadv.adu4196</w:t>
        </w:r>
      </w:hyperlink>
    </w:p>
    <w:p>
      <w:pPr>
        <w:spacing w:before="0" w:after="120"/>
      </w:pPr>
      <w:r>
        <w:rPr>
          <w:b/>
        </w:rPr>
        <w:t xml:space="preserve">Notes: </w:t>
      </w:r>
      <w:r>
        <w:t>abstract_source=crossref</w:t>
      </w:r>
    </w:p>
    <w:p>
      <w:pPr>
        <w:spacing w:before="0" w:after="80" w:lineRule="auto" w:line="276"/>
      </w:pPr>
      <w:r>
        <w:rPr>
          <w:b/>
        </w:rPr>
        <w:t xml:space="preserve">摘要（ZH）: </w:t>
      </w:r>
      <w:r>
        <w:t>胰岛通过增加 β 细胞质量和胰岛素分泌来应对肥胖相关的胰岛素抵抗。然而，这种重要补偿背后的分子机制尚未完全了解。这项研究表明，适应性胰岛衍生的小细胞外囊泡 (aid-sEV) 在肥胖的 β 细胞适应中发挥着关键作用。 Aid-sEV 的产生在高脂血症条件下增加，并且通过 F11R 介导的识别被邻近细胞摄取。间充质干细胞 (MSC) 在内化辅助 sEV 后充当下游效应器，促进 β 细胞适应性反应。这些囊泡提供</w:t>
      </w:r>
      <w:r>
        <w:t xml:space="preserve"> </w:t>
      </w:r>
      <w:r>
        <w:t>miR-151</w:t>
      </w:r>
      <w:r>
        <w:t xml:space="preserve"> </w:t>
      </w:r>
      <w:r>
        <w:t>至 MSC，触发</w:t>
      </w:r>
      <w:r>
        <w:t xml:space="preserve"> </w:t>
      </w:r>
      <w:r>
        <w:t>miR-151–</w:t>
      </w:r>
      <w:r>
        <w:t xml:space="preserve"> </w:t>
      </w:r>
      <w:r>
        <w:t>依赖于Wnt分泌表型的细胞重编程。恢复</w:t>
      </w:r>
      <w:r>
        <w:t xml:space="preserve"> </w:t>
      </w:r>
      <w:r>
        <w:t>miR-151</w:t>
      </w:r>
      <w:r>
        <w:t xml:space="preserve"> </w:t>
      </w:r>
      <w:r>
        <w:t>在 microRNA 缺陷的辅助 sEV 中，恢复其对 β 细胞的促适应作用。</w:t>
      </w:r>
      <w:r>
        <w:t xml:space="preserve"> </w:t>
      </w:r>
      <w:r>
        <w:t>Klf9</w:t>
      </w:r>
      <w:r>
        <w:t xml:space="preserve"> </w:t>
      </w:r>
      <w:r>
        <w:t>，直接目标</w:t>
      </w:r>
      <w:r>
        <w:t xml:space="preserve"> </w:t>
      </w:r>
      <w:r>
        <w:t>miR-151</w:t>
      </w:r>
      <w:r>
        <w:t xml:space="preserve"> </w:t>
      </w:r>
      <w:r>
        <w:t>，通过控制参与调节 MSC 增殖和 WNT 分泌</w:t>
      </w:r>
      <w:r>
        <w:t xml:space="preserve"> </w:t>
      </w:r>
      <w:r>
        <w:t>Wnt3a</w:t>
      </w:r>
      <w:r>
        <w:t xml:space="preserve"> </w:t>
      </w:r>
      <w:r>
        <w:t>和</w:t>
      </w:r>
      <w:r>
        <w:t xml:space="preserve"> </w:t>
      </w:r>
      <w:r>
        <w:t>指令1</w:t>
      </w:r>
      <w:r>
        <w:t xml:space="preserve"> </w:t>
      </w:r>
      <w:r>
        <w:t>转录。这些发现揭示了控制饮食引起的肥胖中β细胞补偿的关键途径，并表明有针对性地增强aid-sEV分泌可能是对抗糖尿病患者β细胞功能障碍的治疗策略。</w:t>
      </w:r>
    </w:p>
    <w:p>
      <w:pPr>
        <w:spacing w:before="0" w:after="200" w:lineRule="auto" w:line="276"/>
      </w:pPr>
      <w:r>
        <w:rPr>
          <w:b/>
        </w:rPr>
        <w:t xml:space="preserve">Abstract (EN): </w:t>
      </w:r>
      <w:r>
        <w:t>Pancreatic islets respond to obesity-related insulin resistance by increasing β cell mass and insulin secretion. However, the molecular mechanisms behind this vital compensation are not fully understood. This study shows that adaptive islet–derived small extracellular vesicles (aid-sEVs) play a key role in β cell adaptation in obesity. Aid-sEV production rises under hyperlipidemic conditions, and uptake by adjacent cells occurs via F11R-mediated recognition. Mesenchymal stem cells (MSCs) act as downstream effectors after they internalize aid-sEVs, promoting β cell–adaptive responses. These vesicles deliver</w:t>
      </w:r>
      <w:r>
        <w:t xml:space="preserve"> </w:t>
      </w:r>
      <w:r>
        <w:t>miR-151</w:t>
      </w:r>
      <w:r>
        <w:t xml:space="preserve"> </w:t>
      </w:r>
      <w:r>
        <w:t>to MSCs, triggering</w:t>
      </w:r>
      <w:r>
        <w:t xml:space="preserve"> </w:t>
      </w:r>
      <w:r>
        <w:t>miR-151–</w:t>
      </w:r>
      <w:r>
        <w:t xml:space="preserve"> </w:t>
      </w:r>
      <w:r>
        <w:t>dependent cellular reprogramming toward a Wnt-secreting phenotype. Restoration of</w:t>
      </w:r>
      <w:r>
        <w:t xml:space="preserve"> </w:t>
      </w:r>
      <w:r>
        <w:t>miR-151</w:t>
      </w:r>
      <w:r>
        <w:t xml:space="preserve"> </w:t>
      </w:r>
      <w:r>
        <w:t>in microRNA-deficient aid-sEVs restores their proadaptive effects on β cells.</w:t>
      </w:r>
      <w:r>
        <w:t xml:space="preserve"> </w:t>
      </w:r>
      <w:r>
        <w:t>Klf9</w:t>
      </w:r>
      <w:r>
        <w:t xml:space="preserve"> </w:t>
      </w:r>
      <w:r>
        <w:t>, a direct target of</w:t>
      </w:r>
      <w:r>
        <w:t xml:space="preserve"> </w:t>
      </w:r>
      <w:r>
        <w:t>miR-151</w:t>
      </w:r>
      <w:r>
        <w:t xml:space="preserve"> </w:t>
      </w:r>
      <w:r>
        <w:t>, is involved in regulating MSC proliferation and WNT secretion by controlling</w:t>
      </w:r>
      <w:r>
        <w:t xml:space="preserve"> </w:t>
      </w:r>
      <w:r>
        <w:t>Wnt3a</w:t>
      </w:r>
      <w:r>
        <w:t xml:space="preserve"> </w:t>
      </w:r>
      <w:r>
        <w:t>and</w:t>
      </w:r>
      <w:r>
        <w:t xml:space="preserve"> </w:t>
      </w:r>
      <w:r>
        <w:t>Ccnd1</w:t>
      </w:r>
      <w:r>
        <w:t xml:space="preserve"> </w:t>
      </w:r>
      <w:r>
        <w:t>transcription. These findings reveal a critical pathway controlling β cell compensation in diet-induced obesity and indicate that targeted enhancement of aid-sEV secretion could be a therapeutic strategy to counteract β cell dysfunction in diabetic patients.</w:t>
      </w:r>
    </w:p>
    <w:p>
      <w:pPr>
        <w:spacing w:before="120" w:after="120"/>
      </w:pPr>
      <w:r>
        <w:rPr>
          <w:sz w:val="18"/>
        </w:rPr>
        <w:t>——————————————————————————————————————————————————————————————————————</w:t>
      </w:r>
    </w:p>
    <w:p>
      <w:pPr>
        <w:spacing w:before="160" w:after="40" w:line="240" w:lineRule="auto"/>
      </w:pPr>
      <w:r>
        <w:rPr>
          <w:b/>
        </w:rPr>
        <w:t xml:space="preserve">[112] </w:t>
      </w:r>
      <w:hyperlink r:id="rId754">
        <w:r>
          <w:rPr>
            <w:color w:val="1155CC"/>
            <w:u w:val="single"/>
          </w:rPr>
          <w:t>全球变暖使得氮氧化物减排成为缓解臭氧污染的关键</w:t>
        </w:r>
      </w:hyperlink>
    </w:p>
    <w:p>
      <w:pPr>
        <w:spacing w:before="0" w:after="80"/>
      </w:pPr>
      <w:r>
        <w:rPr>
          <w:i/>
          <w:sz w:val="20"/>
        </w:rPr>
        <w:t>EN: Global warming makes nitrogen oxide abatement key to ozone pollution mitigation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55">
        <w:r>
          <w:rPr>
            <w:color w:val="1155CC"/>
            <w:u w:val="single"/>
          </w:rPr>
          <w:t>10.1126/sciadv.aea4124</w:t>
        </w:r>
      </w:hyperlink>
    </w:p>
    <w:p>
      <w:pPr>
        <w:spacing w:before="0" w:after="120"/>
      </w:pPr>
      <w:r>
        <w:rPr>
          <w:b/>
        </w:rPr>
        <w:t xml:space="preserve">Notes: </w:t>
      </w:r>
      <w:r>
        <w:t>abstract_source=crossref</w:t>
      </w:r>
    </w:p>
    <w:p>
      <w:pPr>
        <w:spacing w:before="0" w:after="80" w:lineRule="auto" w:line="276"/>
      </w:pPr>
      <w:r>
        <w:rPr>
          <w:b/>
        </w:rPr>
        <w:t xml:space="preserve">摘要（ZH）: </w:t>
      </w:r>
      <w:r>
        <w:t>全球变暖已成为影响地表臭氧（O</w:t>
      </w:r>
      <w:r>
        <w:rPr>
          <w:vertAlign w:val="subscript"/>
        </w:rPr>
        <w:t>3</w:t>
      </w:r>
      <w:r>
        <w:t>）污染。 O 减排的有效性</w:t>
      </w:r>
      <w:r>
        <w:rPr>
          <w:vertAlign w:val="subscript"/>
        </w:rPr>
        <w:t>3</w:t>
      </w:r>
      <w:r>
        <w:t>污染缓解很大程度上依赖于 O 的敏感性</w:t>
      </w:r>
      <w:r>
        <w:rPr>
          <w:vertAlign w:val="subscript"/>
        </w:rPr>
        <w:t>3</w:t>
      </w:r>
      <w:r>
        <w:t>生产其前体。然而，全球变暖如何影响氧气</w:t>
      </w:r>
      <w:r>
        <w:rPr>
          <w:vertAlign w:val="subscript"/>
        </w:rPr>
        <w:t>3</w:t>
      </w:r>
      <w:r>
        <w:t>敏感性仍不清楚，这对制定有效的 O 策略构成了巨大挑战</w:t>
      </w:r>
      <w:r>
        <w:rPr>
          <w:vertAlign w:val="subscript"/>
        </w:rPr>
        <w:t>3</w:t>
      </w:r>
      <w:r>
        <w:t>减轻污染。在这里，通过使用全面的环境观测来约束模型模拟，我们展示了 O 的强烈温度依赖性</w:t>
      </w:r>
      <w:r>
        <w:rPr>
          <w:vertAlign w:val="subscript"/>
        </w:rPr>
        <w:t>3</w:t>
      </w:r>
      <w:r>
        <w:t>中国城市大温度范围（-5° 至 37°C）的灵敏度。氧</w:t>
      </w:r>
      <w:r>
        <w:rPr>
          <w:vertAlign w:val="subscript"/>
        </w:rPr>
        <w:t>3</w:t>
      </w:r>
      <w:r>
        <w:t>在较高温度下，敏感性转向氮氧化物限制区域。温度变化主要通过调节自由基终止的速率系数（而不是自由基循环的速率系数）以及通过改变生物挥发性有机化合物的排放来改变反应状态。总体而言，未来全球变暖将加速O2的转变</w:t>
      </w:r>
      <w:r>
        <w:rPr>
          <w:vertAlign w:val="subscript"/>
        </w:rPr>
        <w:t>3</w:t>
      </w:r>
      <w:r>
        <w:t>对氮氧化物限制制度的敏感性，放大了氮氧化物排放减排在减少 O2 方面的好处</w:t>
      </w:r>
      <w:r>
        <w:rPr>
          <w:vertAlign w:val="subscript"/>
        </w:rPr>
        <w:t>3</w:t>
      </w:r>
      <w:r>
        <w:t>全球城市地区的污染。</w:t>
      </w:r>
    </w:p>
    <w:p>
      <w:pPr>
        <w:spacing w:before="0" w:after="200" w:lineRule="auto" w:line="276"/>
      </w:pPr>
      <w:r>
        <w:rPr>
          <w:b/>
        </w:rPr>
        <w:t xml:space="preserve">Abstract (EN): </w:t>
      </w:r>
      <w:r>
        <w:t>Global warming has become a critical factor affecting surface ozone (O</w:t>
      </w:r>
      <w:r>
        <w:rPr>
          <w:vertAlign w:val="subscript"/>
        </w:rPr>
        <w:t>3</w:t>
      </w:r>
      <w:r>
        <w:t>) pollution. The effectiveness of emission reductions for O</w:t>
      </w:r>
      <w:r>
        <w:rPr>
          <w:vertAlign w:val="subscript"/>
        </w:rPr>
        <w:t>3</w:t>
      </w:r>
      <w:r>
        <w:t>pollution mitigation largely relies on the sensitivity of O</w:t>
      </w:r>
      <w:r>
        <w:rPr>
          <w:vertAlign w:val="subscript"/>
        </w:rPr>
        <w:t>3</w:t>
      </w:r>
      <w:r>
        <w:t>production to its precursors. However, how global warming affects the O</w:t>
      </w:r>
      <w:r>
        <w:rPr>
          <w:vertAlign w:val="subscript"/>
        </w:rPr>
        <w:t>3</w:t>
      </w:r>
      <w:r>
        <w:t>sensitivity remains unclear, posing a grand challenge in developing effective strategies for O</w:t>
      </w:r>
      <w:r>
        <w:rPr>
          <w:vertAlign w:val="subscript"/>
        </w:rPr>
        <w:t>3</w:t>
      </w:r>
      <w:r>
        <w:t>pollution mitigation. Here, by using comprehensive ambient observations to constrain model simulations, we show a strong temperature dependence of O</w:t>
      </w:r>
      <w:r>
        <w:rPr>
          <w:vertAlign w:val="subscript"/>
        </w:rPr>
        <w:t>3</w:t>
      </w:r>
      <w:r>
        <w:t>sensitivity over a large temperature range (−5° to 37°C) in Chinese cities. O</w:t>
      </w:r>
      <w:r>
        <w:rPr>
          <w:vertAlign w:val="subscript"/>
        </w:rPr>
        <w:t>3</w:t>
      </w:r>
      <w:r>
        <w:t>sensitivity shifts toward the nitrogen oxide–limited regime at higher temperatures. Temperature change alters the reaction regime by primarily modulating the rate coefficient of radical termination, rather than that of radical cycling, and by altering emissions of biogenic volatile organic compounds. Overall, future global warming will accelerate the transition of O</w:t>
      </w:r>
      <w:r>
        <w:rPr>
          <w:vertAlign w:val="subscript"/>
        </w:rPr>
        <w:t>3</w:t>
      </w:r>
      <w:r>
        <w:t>sensitivity toward the nitrogen oxide–limited regime, amplifying the benefits of nitrogen oxide emission abatement in mitigating O</w:t>
      </w:r>
      <w:r>
        <w:rPr>
          <w:vertAlign w:val="subscript"/>
        </w:rPr>
        <w:t>3</w:t>
      </w:r>
      <w:r>
        <w:t>pollution in urban areas worldwide.</w:t>
      </w:r>
    </w:p>
    <w:p>
      <w:pPr>
        <w:spacing w:before="120" w:after="120"/>
      </w:pPr>
      <w:r>
        <w:rPr>
          <w:sz w:val="18"/>
        </w:rPr>
        <w:t>——————————————————————————————————————————————————————————————————————</w:t>
      </w:r>
    </w:p>
    <w:p>
      <w:pPr>
        <w:spacing w:before="160" w:after="40" w:line="240" w:lineRule="auto"/>
      </w:pPr>
      <w:r>
        <w:rPr>
          <w:b/>
        </w:rPr>
        <w:t xml:space="preserve">[113] </w:t>
      </w:r>
      <w:hyperlink r:id="rId756">
        <w:r>
          <w:rPr>
            <w:color w:val="1155CC"/>
            <w:u w:val="single"/>
          </w:rPr>
          <w:t>灵长类前额皮质的反向功能梯度：后部优势和额极任务相关失活</w:t>
        </w:r>
      </w:hyperlink>
    </w:p>
    <w:p>
      <w:pPr>
        <w:spacing w:before="0" w:after="80"/>
      </w:pPr>
      <w:r>
        <w:rPr>
          <w:i/>
          <w:sz w:val="20"/>
        </w:rPr>
        <w:t>EN: Reversed functional gradient in primate prefrontal cortex: Posterior dominance and frontopolar task-related deactivation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57">
        <w:r>
          <w:rPr>
            <w:color w:val="1155CC"/>
            <w:u w:val="single"/>
          </w:rPr>
          <w:t>10.1126/sciadv.aea1094</w:t>
        </w:r>
      </w:hyperlink>
    </w:p>
    <w:p>
      <w:pPr>
        <w:spacing w:before="0" w:after="120"/>
      </w:pPr>
      <w:r>
        <w:rPr>
          <w:b/>
        </w:rPr>
        <w:t xml:space="preserve">Notes: </w:t>
      </w:r>
      <w:r>
        <w:t>abstract_source=crossref</w:t>
      </w:r>
    </w:p>
    <w:p>
      <w:pPr>
        <w:spacing w:before="0" w:after="80" w:lineRule="auto" w:line="276"/>
      </w:pPr>
      <w:r>
        <w:rPr>
          <w:b/>
        </w:rPr>
        <w:t xml:space="preserve">摘要（ZH）: </w:t>
      </w:r>
      <w:r>
        <w:t>额极皮层（FPC）被认为在复杂的非常规行为过程中通过管理多个目标、探索和自我决策等高级功能来协调更靠后的外侧前额叶皮层（LPFC）。然而，由于缺乏与其他前额叶区域的直接神经生理学比较，因此 FPC 的假定主导地位尚未得到检验。与这种观点相反，我们对猕猴整个前后 LPFC 的神经元活动进行了比较，在六个不同的任务中探索这些功能，揭示了后到中 LPFC 的主导地位，资源分配信号、新颖性和奖励相关的学习信号以及模态不变的决策监控信号都显示出共同的后偏。相比之下，无论任务需求如何，FPC 都表现出对刚刚执行的操作的不灵活编码以及与默认模式网络活动类似的一致的任务相关停用。我们在 LPFC 前三分之一和中三分之一之间的边界周围从任务阳性区域到任务阴性区域的分级后到前过渡中发现了一个转折点。这些发现挑战了普遍的观念，即 LPFC 在灵长类动物中处于前部主导地位，并为人类前额叶组织理论提供了进化限制。</w:t>
      </w:r>
    </w:p>
    <w:p>
      <w:pPr>
        <w:spacing w:before="0" w:after="200" w:lineRule="auto" w:line="276"/>
      </w:pPr>
      <w:r>
        <w:rPr>
          <w:b/>
        </w:rPr>
        <w:t xml:space="preserve">Abstract (EN): </w:t>
      </w:r>
      <w:r>
        <w:t>The frontopolar cortex (FPC) is thought to coordinate the more posterior lateral prefrontal cortex (LPFC) during complex, nonroutine behaviors through high-level functions such as management of multiple goals, exploration, and self-generated decision-making. However, direct neurophysiological comparisons with other prefrontal regions are lacking, leaving the FPC’s putative dominance untested. Contrary to this view, our comparison of neuronal activity across the full anteroposterior LPFC in macaques during six distinct tasks probing these functions revealed a posterior-to-mid LPFC dominance, with resource-allocation signals, novelty- and reward-related learning signals, and modality-invariant decision-monitoring signals all showing a common posterior bias. In contrast, regardless of the task demands, FPC exhibited inflexible encoding of just-executed actions and consistent task-related deactivation resembling default-mode network activity. We identified a turning point in this graded posterior-to-anterior transition from task-positive to task-negative regions around the border between the anterior and middle thirds of the LPFC. These findings challenge the prevailing notion that the LPFC is anterior dominant across primate species and provide evolutionary constraints on theories of human prefrontal organization.</w:t>
      </w:r>
    </w:p>
    <w:p>
      <w:pPr>
        <w:spacing w:before="120" w:after="120"/>
      </w:pPr>
      <w:r>
        <w:rPr>
          <w:sz w:val="18"/>
        </w:rPr>
        <w:t>——————————————————————————————————————————————————————————————————————</w:t>
      </w:r>
    </w:p>
    <w:p>
      <w:pPr>
        <w:spacing w:before="160" w:after="40" w:line="240" w:lineRule="auto"/>
      </w:pPr>
      <w:r>
        <w:rPr>
          <w:b/>
        </w:rPr>
        <w:t xml:space="preserve">[114] </w:t>
      </w:r>
      <w:hyperlink r:id="rId758">
        <w:r>
          <w:rPr>
            <w:color w:val="1155CC"/>
            <w:u w:val="single"/>
          </w:rPr>
          <w:t>在体内恐惧学习和消退过程中将功能和结构树突棘重塑联系起来</w:t>
        </w:r>
      </w:hyperlink>
    </w:p>
    <w:p>
      <w:pPr>
        <w:spacing w:before="0" w:after="80"/>
      </w:pPr>
      <w:r>
        <w:rPr>
          <w:i/>
          <w:sz w:val="20"/>
        </w:rPr>
        <w:t>EN: Linking functional and structural dendritic spine remodeling during fear learning and extinction in vivo</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59">
        <w:r>
          <w:rPr>
            <w:color w:val="1155CC"/>
            <w:u w:val="single"/>
          </w:rPr>
          <w:t>10.1126/sciadv.aec3961</w:t>
        </w:r>
      </w:hyperlink>
    </w:p>
    <w:p>
      <w:pPr>
        <w:spacing w:before="0" w:after="120"/>
      </w:pPr>
      <w:r>
        <w:rPr>
          <w:b/>
        </w:rPr>
        <w:t xml:space="preserve">Notes: </w:t>
      </w:r>
      <w:r>
        <w:t>abstract_source=crossref</w:t>
      </w:r>
    </w:p>
    <w:p>
      <w:pPr>
        <w:spacing w:before="0" w:after="80" w:lineRule="auto" w:line="276"/>
      </w:pPr>
      <w:r>
        <w:rPr>
          <w:b/>
        </w:rPr>
        <w:t xml:space="preserve">摘要（ZH）: </w:t>
      </w:r>
      <w:r>
        <w:t>在不同的学习范式中观察到树突棘的结构可塑性，但树突棘的功能动力学如何随着记忆处理而变化，以及这些模式与结构可塑性和树突整合的关系仍不清楚。在这里，我们对经过几天的恐惧调节和消退的小鼠额叶联合皮层进行纵向功能和结构体内成像。我们表明，恐惧学习诱发的反应性棘更有可能是同步和聚集的，这些棘在接下来的几天里得到巩固，但因灭绝而减弱。我们开发了一个因果推理模型，证明恐惧学习过程中活跃的棘钙信号可以防止棘被消除，同时在记忆巩固后促进邻近棘的消除。此外，树突响应信号揭示了一种依赖于学习的音调辨别模式，该模式与脊柱的结构重塑相关。我们的研究结果提供了与双向学习范式中树突棘的功能结构联系一致的体内证据。</w:t>
      </w:r>
    </w:p>
    <w:p>
      <w:pPr>
        <w:spacing w:before="0" w:after="200" w:lineRule="auto" w:line="276"/>
      </w:pPr>
      <w:r>
        <w:rPr>
          <w:b/>
        </w:rPr>
        <w:t xml:space="preserve">Abstract (EN): </w:t>
      </w:r>
      <w:r>
        <w:t>Structural plasticity of dendritic spines has been observed during different learning paradigms, but how the functional dynamics of dendritic spines changes with memory processing and how these patterns relate to structural plasticity and dendritic integration remain unclear. Here, we perform longitudinal functional and structural in vivo imaging of the frontal association cortex in mice subject to fear conditioning and extinction over several days. We show that fear learning induced responsive spines that are more likely to be synchronous and clustered, which are consolidated over the following days but attenuated by extinction. We develop a causal inference model demonstrating that the active spine calcium signals during fear learning prevent the spines from being eliminated while promoting the elimination of neighboring spines after memory consolidation. Furthermore, the dendritic responsive signal reveals a learning-dependent tone discrimination pattern that is correlated to spines’ structural remodeling. Our findings provide in vivo evidence consistent with functional-structural link of dendritic spines in a bidirectional learning paradigm.</w:t>
      </w:r>
    </w:p>
    <w:p>
      <w:pPr>
        <w:spacing w:before="120" w:after="120"/>
      </w:pPr>
      <w:r>
        <w:rPr>
          <w:sz w:val="18"/>
        </w:rPr>
        <w:t>——————————————————————————————————————————————————————————————————————</w:t>
      </w:r>
    </w:p>
    <w:p>
      <w:pPr>
        <w:spacing w:before="160" w:after="40" w:line="240" w:lineRule="auto"/>
      </w:pPr>
      <w:r>
        <w:rPr>
          <w:b/>
        </w:rPr>
        <w:t xml:space="preserve">[115] </w:t>
      </w:r>
      <w:hyperlink r:id="rId760">
        <w:r>
          <w:rPr>
            <w:color w:val="1155CC"/>
            <w:u w:val="single"/>
          </w:rPr>
          <w:t>非洲和欧洲河流的甲烷氧化取决于溪流大小和湿地连通性</w:t>
        </w:r>
      </w:hyperlink>
    </w:p>
    <w:p>
      <w:pPr>
        <w:spacing w:before="0" w:after="80"/>
      </w:pPr>
      <w:r>
        <w:rPr>
          <w:i/>
          <w:sz w:val="20"/>
        </w:rPr>
        <w:t>EN: Methane oxidation in African and European rivers depends on stream size and wetland connectivity</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61">
        <w:r>
          <w:rPr>
            <w:color w:val="1155CC"/>
            <w:u w:val="single"/>
          </w:rPr>
          <w:t>10.1126/sciadv.aeb8250</w:t>
        </w:r>
      </w:hyperlink>
    </w:p>
    <w:p>
      <w:pPr>
        <w:spacing w:before="0" w:after="120"/>
      </w:pPr>
      <w:r>
        <w:rPr>
          <w:b/>
        </w:rPr>
        <w:t xml:space="preserve">Notes: </w:t>
      </w:r>
      <w:r>
        <w:t>abstract_source=crossref</w:t>
      </w:r>
    </w:p>
    <w:p>
      <w:pPr>
        <w:spacing w:before="0" w:after="80" w:lineRule="auto" w:line="276"/>
      </w:pPr>
      <w:r>
        <w:rPr>
          <w:b/>
        </w:rPr>
        <w:t xml:space="preserve">摘要（ZH）: </w:t>
      </w:r>
      <w:r>
        <w:t>河流是甲烷（CH</w:t>
      </w:r>
      <w:r>
        <w:rPr>
          <w:vertAlign w:val="subscript"/>
        </w:rPr>
        <w:t>4</w:t>
      </w:r>
      <w:r>
        <w:t>）由产甲烷作用和甲烷氧化（MOX）去除输入的净平衡产生。在这里，我们使用从非洲和欧洲河流收集的广泛数据集来研究 MOX 变异的空间模式和原因。 MOX 率在非洲溪流中最高，该溪流排干被洪水淹没的森林，并且随着河流流域面积的扩大而增加。在大型河流中，MOX 代表了河道内溶解 CH 的更重要途径</w:t>
      </w:r>
      <w:r>
        <w:rPr>
          <w:vertAlign w:val="subscript"/>
        </w:rPr>
        <w:t>4</w:t>
      </w:r>
      <w:r>
        <w:t>与扩散到大气中的脱气相比的去除效果；但这一相对比例在小河流中很小，平均而言，非洲溪流 (37%) 高于欧洲溪流 (9%)。 MOX 速率与总悬浮物、pH 值或溶解养分浓度等潜在驱动因素之间的关系并不遵循文献中报告的对照实验预期的模式，而是反映了由溪流大小和湿地连通性驱动的所研究河流网络之间和内部的广泛空间模式。</w:t>
      </w:r>
    </w:p>
    <w:p>
      <w:pPr>
        <w:spacing w:before="0" w:after="200" w:lineRule="auto" w:line="276"/>
      </w:pPr>
      <w:r>
        <w:rPr>
          <w:b/>
        </w:rPr>
        <w:t xml:space="preserve">Abstract (EN): </w:t>
      </w:r>
      <w:r>
        <w:t>Rivers are large natural sources of methane (CH</w:t>
      </w:r>
      <w:r>
        <w:rPr>
          <w:vertAlign w:val="subscript"/>
        </w:rPr>
        <w:t>4</w:t>
      </w:r>
      <w:r>
        <w:t>) resulting from the net balance of inputs from methanogenesis and removal by methane oxidation (MOX). Here, we use an extensive dataset collected from African and European rivers to investigate spatial patterns and causes of variability of MOX. The MOX rates were highest in African streams draining flooded forests and increased with river catchment size. In large rivers, MOX represented the more important pathway of dissolved in-stream CH</w:t>
      </w:r>
      <w:r>
        <w:rPr>
          <w:vertAlign w:val="subscript"/>
        </w:rPr>
        <w:t>4</w:t>
      </w:r>
      <w:r>
        <w:t>removal compared to diffusive degassing to the atmosphere; but this relative share was minimal in small rivers and was, on average, higher in African streams (37%) than European streams (9%). The relationships between MOX rates and potential drivers such as total suspended matter, pH, or dissolved nutrient concentrations did not follow the patterns expected from controlled experiments reported in the literature and reflected the broad spatial patterns across and within the studied river networks driven by stream size and wetland connectivity.</w:t>
      </w:r>
    </w:p>
    <w:p>
      <w:pPr>
        <w:spacing w:before="120" w:after="120"/>
      </w:pPr>
      <w:r>
        <w:rPr>
          <w:sz w:val="18"/>
        </w:rPr>
        <w:t>——————————————————————————————————————————————————————————————————————</w:t>
      </w:r>
    </w:p>
    <w:p>
      <w:pPr>
        <w:spacing w:before="160" w:after="40" w:line="240" w:lineRule="auto"/>
      </w:pPr>
      <w:r>
        <w:rPr>
          <w:b/>
        </w:rPr>
        <w:t xml:space="preserve">[116] </w:t>
      </w:r>
      <w:hyperlink r:id="rId762">
        <w:r>
          <w:rPr>
            <w:color w:val="1155CC"/>
            <w:u w:val="single"/>
          </w:rPr>
          <w:t>当信任建设看起来像监视时：公众对芝加哥警务的两极分化</w:t>
        </w:r>
      </w:hyperlink>
    </w:p>
    <w:p>
      <w:pPr>
        <w:spacing w:before="0" w:after="80"/>
      </w:pPr>
      <w:r>
        <w:rPr>
          <w:i/>
          <w:sz w:val="20"/>
        </w:rPr>
        <w:t>EN: When trust building looks like surveillance: Public polarization toward Chicago policing</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63">
        <w:r>
          <w:rPr>
            <w:color w:val="1155CC"/>
            <w:u w:val="single"/>
          </w:rPr>
          <w:t>10.1126/sciadv.aeb7575</w:t>
        </w:r>
      </w:hyperlink>
    </w:p>
    <w:p>
      <w:pPr>
        <w:spacing w:before="0" w:after="120"/>
      </w:pPr>
      <w:r>
        <w:rPr>
          <w:b/>
        </w:rPr>
        <w:t xml:space="preserve">Notes: </w:t>
      </w:r>
      <w:r>
        <w:t>abstract_source=crossref</w:t>
      </w:r>
    </w:p>
    <w:p>
      <w:pPr>
        <w:spacing w:before="0" w:after="80" w:lineRule="auto" w:line="276"/>
      </w:pPr>
      <w:r>
        <w:rPr>
          <w:b/>
        </w:rPr>
        <w:t xml:space="preserve">摘要（ZH）: </w:t>
      </w:r>
      <w:r>
        <w:t>关于治安的公开辩论凸显了关于社区举措是建立信任还是加强监视的相互矛盾的观点。我们认为，看法取决于先前的国家取向，这可能会导致不同群体的意见两极分化。通过在芝加哥进行的一项预先注册的调查实验，我们检查了对警察局“情绪仪表板”的反应，该项目旨在通过收集社区反馈来增强合法性。结果显示，仪表板增加了非黑人受访者对警察的信任，但降低了黑人受访者的信任，特别是在被视为监控时。在非黑人受访者中，仪表板曝光还减少了对“黑人生命也是命”运动和与警务无关的种族平等政策（例如多样化招聘和气候正义）的支持。定性证据的机制测试表明，接受治疗的非黑人参与者更有可能将警察改革视为种族平等政策的替代品，从而无需采取进一步措施。这些发现揭示了国家合法性倡议如何可能反而扩大种族分歧并削弱结构改革联盟。</w:t>
      </w:r>
    </w:p>
    <w:p>
      <w:pPr>
        <w:spacing w:before="0" w:after="200" w:lineRule="auto" w:line="276"/>
      </w:pPr>
      <w:r>
        <w:rPr>
          <w:b/>
        </w:rPr>
        <w:t xml:space="preserve">Abstract (EN): </w:t>
      </w:r>
      <w:r>
        <w:t>Public debate about policing highlights competing views about whether community initiatives build trust or reinforce surveillance. We argue that perceptions depend on prior state orientations, which can polarize opinions across groups. Using a preregistered survey experiment in Chicago, we examined responses to the police department’s “Sentiment Dashboard,” a project designed to enhance legitimacy by collecting community feedback. Results show that the dashboard increased trust in police among non-Black respondents but reduced trust among Black respondents, especially when framed as monitoring. Among non-Black respondents, dashboard exposure also reduced support for the Black Lives Matter movement and racial equity policies unrelated to policing, such as diverse hiring and climate justice. Mechanism testing with qualitative evidence suggests that treated non-Black participants were more likely to regard police reforms as substitutes for racial equity policies, rendering further measures unnecessary. These findings reveal how state legitimacy initiatives may instead widen racial divides and weaken coalitions for structural reform.</w:t>
      </w:r>
    </w:p>
    <w:p>
      <w:pPr>
        <w:spacing w:before="120" w:after="120"/>
      </w:pPr>
      <w:r>
        <w:rPr>
          <w:sz w:val="18"/>
        </w:rPr>
        <w:t>——————————————————————————————————————————————————————————————————————</w:t>
      </w:r>
    </w:p>
    <w:p>
      <w:pPr>
        <w:spacing w:before="160" w:after="40" w:line="240" w:lineRule="auto"/>
      </w:pPr>
      <w:r>
        <w:rPr>
          <w:b/>
        </w:rPr>
        <w:t xml:space="preserve">[117] </w:t>
      </w:r>
      <w:hyperlink r:id="rId764">
        <w:r>
          <w:rPr>
            <w:color w:val="1155CC"/>
            <w:u w:val="single"/>
          </w:rPr>
          <w:t>疾病景观引导的中性粒细胞特异性报告基因设计，用于体内和尿液中早期、准确的肺炎检测</w:t>
        </w:r>
      </w:hyperlink>
    </w:p>
    <w:p>
      <w:pPr>
        <w:spacing w:before="0" w:after="80"/>
      </w:pPr>
      <w:r>
        <w:rPr>
          <w:i/>
          <w:sz w:val="20"/>
        </w:rPr>
        <w:t>EN: Disease landscape–guided design of neutrophil-specific reporters for early and accurate pneumonia detection in vivo and in urine</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65">
        <w:r>
          <w:rPr>
            <w:color w:val="1155CC"/>
            <w:u w:val="single"/>
          </w:rPr>
          <w:t>10.1126/sciadv.aeb4417</w:t>
        </w:r>
      </w:hyperlink>
    </w:p>
    <w:p>
      <w:pPr>
        <w:spacing w:before="0" w:after="120"/>
      </w:pPr>
      <w:r>
        <w:rPr>
          <w:b/>
        </w:rPr>
        <w:t xml:space="preserve">Notes: </w:t>
      </w:r>
      <w:r>
        <w:t>abstract_source=crossref</w:t>
      </w:r>
    </w:p>
    <w:p>
      <w:pPr>
        <w:spacing w:before="0" w:after="80" w:lineRule="auto" w:line="276"/>
      </w:pPr>
      <w:r>
        <w:rPr>
          <w:b/>
        </w:rPr>
        <w:t xml:space="preserve">摘要（ZH）: </w:t>
      </w:r>
      <w:r>
        <w:t>准确、早期发现肺炎对于有效治疗至关重要；然而，目前的诊断方法往往缺乏必要的特异性和敏感性。在此，我们从全面的生物信息学分析开始，将中性粒细胞弹性蛋白酶（NE）确定为与肺炎进展相关的关键生物标志物。随后，我们开发了一种 NE 响应探针 (NERP)，由与 NE 敏感肽连接的半花青荧光团组成，专门设计用于激活发炎组织。为了便于尿液分析，NERP被进一步细化为亲水性主动靶向响应探针（ATRP</w:t>
      </w:r>
      <w:r>
        <w:t xml:space="preserve"> </w:t>
      </w:r>
      <w:r>
        <w:t>H</w:t>
      </w:r>
      <w:r>
        <w:t xml:space="preserve"> </w:t>
      </w:r>
      <w:r>
        <w:t>）。 ATRP</w:t>
      </w:r>
      <w:r>
        <w:t xml:space="preserve"> </w:t>
      </w:r>
      <w:r>
        <w:t>H</w:t>
      </w:r>
      <w:r>
        <w:t xml:space="preserve"> </w:t>
      </w:r>
      <w:r>
        <w:t>在体内成像和尿液检测方面表现出卓越的灵敏度，尿液分析提供了一种无创的早期诊断选择，克服了组织穿透和低准确度的限制。此外，ATRP</w:t>
      </w:r>
      <w:r>
        <w:t xml:space="preserve"> </w:t>
      </w:r>
      <w:r>
        <w:t>H</w:t>
      </w:r>
      <w:r>
        <w:t xml:space="preserve"> </w:t>
      </w:r>
      <w:r>
        <w:t>在药物筛选、剂量优化和探索 NE 产生机制方面非常有效。这种生物标志物筛选和设计策略不仅通过不同的给药途径增强了肺炎的诊断和治疗，而且对于其他炎症性肺部疾病也具有更广泛的潜力。</w:t>
      </w:r>
    </w:p>
    <w:p>
      <w:pPr>
        <w:spacing w:before="0" w:after="200" w:lineRule="auto" w:line="276"/>
      </w:pPr>
      <w:r>
        <w:rPr>
          <w:b/>
        </w:rPr>
        <w:t xml:space="preserve">Abstract (EN): </w:t>
      </w:r>
      <w:r>
        <w:t>Accurate and early detection of pneumonia is crucial for effective treatment; however, current diagnostic methods often lack the necessary specificity and sensitivity. Herein, we begin with a comprehensive bioinformatics analysis, identifying neutrophil elastase (NE) as a critical biomarker associated with pneumonia progression. We subsequently develop an NE-responsive probe (NERP), composed of a hemicyanine fluorophore linked to an NE-sensitive peptide, specifically designed for activation in inflamed tissues. To facilitate urinalysis, NERP is further refined into a hydrophilic active targeting responsive probe (ATRP</w:t>
      </w:r>
      <w:r>
        <w:t xml:space="preserve"> </w:t>
      </w:r>
      <w:r>
        <w:t>H</w:t>
      </w:r>
      <w:r>
        <w:t xml:space="preserve"> </w:t>
      </w:r>
      <w:r>
        <w:t>). ATRP</w:t>
      </w:r>
      <w:r>
        <w:t xml:space="preserve"> </w:t>
      </w:r>
      <w:r>
        <w:t>H</w:t>
      </w:r>
      <w:r>
        <w:t xml:space="preserve"> </w:t>
      </w:r>
      <w:r>
        <w:t>demonstrates exceptional sensitivity in both in vivo imaging and urine-based detection, with urine analysis offering a noninvasive, early-stage diagnostic option that overcomes the limitations of tissue penetration and low accuracy. In addition, ATRP</w:t>
      </w:r>
      <w:r>
        <w:t xml:space="preserve"> </w:t>
      </w:r>
      <w:r>
        <w:t>H</w:t>
      </w:r>
      <w:r>
        <w:t xml:space="preserve"> </w:t>
      </w:r>
      <w:r>
        <w:t>is highly effective in drug screening, dosage optimization, and exploring mechanisms of NE production. This biomarker screening and design strategy not only enhances pneumonia diagnosis and treatment via different routes of administration but also has broader potential for other inflammatory lung diseases.</w:t>
      </w:r>
    </w:p>
    <w:p>
      <w:pPr>
        <w:spacing w:before="120" w:after="120"/>
      </w:pPr>
      <w:r>
        <w:rPr>
          <w:sz w:val="18"/>
        </w:rPr>
        <w:t>——————————————————————————————————————————————————————————————————————</w:t>
      </w:r>
    </w:p>
    <w:p>
      <w:pPr>
        <w:spacing w:before="160" w:after="40" w:line="240" w:lineRule="auto"/>
      </w:pPr>
      <w:r>
        <w:rPr>
          <w:b/>
        </w:rPr>
        <w:t xml:space="preserve">[118] </w:t>
      </w:r>
      <w:hyperlink r:id="rId766">
        <w:r>
          <w:rPr>
            <w:color w:val="1155CC"/>
            <w:u w:val="single"/>
          </w:rPr>
          <w:t>内质网应激诱导的FGF21维持胸腺髓质上皮细胞功能和中枢免疫耐受</w:t>
        </w:r>
      </w:hyperlink>
    </w:p>
    <w:p>
      <w:pPr>
        <w:spacing w:before="0" w:after="80"/>
      </w:pPr>
      <w:r>
        <w:rPr>
          <w:i/>
          <w:sz w:val="20"/>
        </w:rPr>
        <w:t>EN: FGF21 induced by endoplasmic reticulum stress maintains medullary thymic epithelial cell function and central immune tolerance</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67">
        <w:r>
          <w:rPr>
            <w:color w:val="1155CC"/>
            <w:u w:val="single"/>
          </w:rPr>
          <w:t>10.1126/sciadv.aee9999</w:t>
        </w:r>
      </w:hyperlink>
    </w:p>
    <w:p>
      <w:pPr>
        <w:spacing w:before="0" w:after="120"/>
      </w:pPr>
      <w:r>
        <w:rPr>
          <w:b/>
        </w:rPr>
        <w:t xml:space="preserve">Notes: </w:t>
      </w:r>
      <w:r>
        <w:t>abstract_source=crossref</w:t>
      </w:r>
    </w:p>
    <w:p>
      <w:pPr>
        <w:spacing w:before="0" w:after="80" w:lineRule="auto" w:line="276"/>
      </w:pPr>
      <w:r>
        <w:rPr>
          <w:b/>
        </w:rPr>
        <w:t xml:space="preserve">摘要（ZH）: </w:t>
      </w:r>
      <w:r>
        <w:t>髓质胸腺上皮细胞（mTEC）通过表达多种组织限制性抗原并消除自身反应性胸腺细胞来建立中枢免疫耐受。在这里，我们发现成纤维细胞生长因子 21 (FGF21) 虽然主要在肝脏中产生，但也由成熟的 mTEC 局部表达，并有助于中枢耐受。</w:t>
      </w:r>
      <w:r>
        <w:t xml:space="preserve"> </w:t>
      </w:r>
      <w:r>
        <w:t>FGF21</w:t>
      </w:r>
      <w:r>
        <w:t xml:space="preserve"> </w:t>
      </w:r>
      <w:r>
        <w:t>-缺陷小鼠表现出加剧的外周自身免疫反应。 FGF21 支持 mTEC 的数量和功能，并与胸腺树突状细胞合作促进克隆缺失。在成熟的 mTEC 中，内质网应激通过未折叠的蛋白反应途径诱导 FGF21 表达，其中 FGF21 优先在成熟的 mTEC 区室中发挥作用，作为综合应激反应下游的应激反应性代谢调节剂。通过限制持续应激和保持蛋白质稳态，FGF21 维持了 mTEC 的完整性和中枢耐受性。这些发现确定 FGF21 是胸腺免疫稳态的关键调节因子，也是自身免疫性疾病的潜在治疗靶点。</w:t>
      </w:r>
    </w:p>
    <w:p>
      <w:pPr>
        <w:spacing w:before="0" w:after="200" w:lineRule="auto" w:line="276"/>
      </w:pPr>
      <w:r>
        <w:rPr>
          <w:b/>
        </w:rPr>
        <w:t xml:space="preserve">Abstract (EN): </w:t>
      </w:r>
      <w:r>
        <w:t>Medullary thymic epithelial cells (mTECs) establish central immune tolerance by expressing diverse tissue-restricted antigens and eliminating self-reactive thymocytes. Here, we show that fibroblast growth factor 21 (FGF21), although predominantly produced in the liver, is also expressed locally by mature mTECs and contributes to central tolerance.</w:t>
      </w:r>
      <w:r>
        <w:t xml:space="preserve"> </w:t>
      </w:r>
      <w:r>
        <w:t>Fgf21</w:t>
      </w:r>
      <w:r>
        <w:t xml:space="preserve"> </w:t>
      </w:r>
      <w:r>
        <w:t>-deficient mice exhibited exacerbated peripheral autoimmune responses. FGF21 supported the number and function of mTECs and promoted clonal deletion in cooperation with thymic dendritic cells. In mature mTECs, endoplasmic reticulum stress induced FGF21 expression through unfolded protein response pathways, with FGF21 acting preferentially within the mature mTEC compartment as a stress-responsive metabolic regulator downstream of the integrated stress response. By limiting sustained stress and preserving protein homeostasis, FGF21 maintained mTEC integrity and central tolerance. These findings identify FGF21 as a key regulator of thymic immune homeostasis and as a potential therapeutic target for autoimmune disease.</w:t>
      </w:r>
    </w:p>
    <w:p>
      <w:pPr>
        <w:spacing w:before="120" w:after="120"/>
      </w:pPr>
      <w:r>
        <w:rPr>
          <w:sz w:val="18"/>
        </w:rPr>
        <w:t>——————————————————————————————————————————————————————————————————————</w:t>
      </w:r>
    </w:p>
    <w:p>
      <w:pPr>
        <w:spacing w:before="160" w:after="40" w:line="240" w:lineRule="auto"/>
      </w:pPr>
      <w:r>
        <w:rPr>
          <w:b/>
        </w:rPr>
        <w:t xml:space="preserve">[119] </w:t>
      </w:r>
      <w:hyperlink r:id="rId768">
        <w:r>
          <w:rPr>
            <w:color w:val="1155CC"/>
            <w:u w:val="single"/>
          </w:rPr>
          <w:t>可重构铁电晶体管阵列，用于具有硬件本机传感、计算和激活的具体神经形态视觉</w:t>
        </w:r>
      </w:hyperlink>
    </w:p>
    <w:p>
      <w:pPr>
        <w:spacing w:before="0" w:after="80"/>
      </w:pPr>
      <w:r>
        <w:rPr>
          <w:i/>
          <w:sz w:val="20"/>
        </w:rPr>
        <w:t>EN: Reconfigurable ferroelectric transistor array for embodied neuromorphic vision with hardware-native sensing, computing, and activation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69">
        <w:r>
          <w:rPr>
            <w:color w:val="1155CC"/>
            <w:u w:val="single"/>
          </w:rPr>
          <w:t>10.1126/sciadv.aed9436</w:t>
        </w:r>
      </w:hyperlink>
    </w:p>
    <w:p>
      <w:pPr>
        <w:spacing w:before="0" w:after="120"/>
      </w:pPr>
      <w:r>
        <w:rPr>
          <w:b/>
        </w:rPr>
        <w:t xml:space="preserve">Notes: </w:t>
      </w:r>
      <w:r>
        <w:t>abstract_source=crossref</w:t>
      </w:r>
    </w:p>
    <w:p>
      <w:pPr>
        <w:spacing w:before="0" w:after="80" w:lineRule="auto" w:line="276"/>
      </w:pPr>
      <w:r>
        <w:rPr>
          <w:b/>
        </w:rPr>
        <w:t xml:space="preserve">摘要（ZH）: </w:t>
      </w:r>
      <w:r>
        <w:t>边缘人工智能 (AI) 和嵌入式视觉需要紧凑、快速且节能的硬件，集成传感、线性模拟计算和非线性激活，同时随着工作负载的变化灵活地重新分配这些功能。然而，传感器内计算（ISC）和内存计算（IMC）平台仍然通过外部外围设备实现激活并使用固定的功能分区，这打破了模拟信号路径并限制了系统的可重构性。在这里，我们报告了一种可重构铁电晶体管（Fe-FET）阵列，其中极化编程局部场使得双极性二硒化钨（WSe）中的结势垒工程成为可能</w:t>
      </w:r>
      <w:r>
        <w:rPr>
          <w:vertAlign w:val="subscript"/>
        </w:rPr>
        <w:t>2</w:t>
      </w:r>
      <w:r>
        <w:t>) 频道。这种结势垒工程机制在同一器件内对光响应性、多级电导和可调谐非线性传输进行共同编程，从而允许每个 Fe-FET 单元在加权传感 (ISC)、线性累加 (IMC) 和硬件本机激活之间重新分配。因此，该阵列充当物理单元的统一池，其角色和空间分区可以动态分配以匹配任务需求，而无需更改硬件平台。使用这个角色可重构平台，我们实现了一个端到端模拟神经形态视觉系统，其中宽带传感、线性计算和非线性激活在同一 Fe-FET 平台上本地执行。这些结果为实现边缘智能的可扩展神经形态视觉硬件建立了一条任务自适应且节能的路线。</w:t>
      </w:r>
    </w:p>
    <w:p>
      <w:pPr>
        <w:spacing w:before="0" w:after="200" w:lineRule="auto" w:line="276"/>
      </w:pPr>
      <w:r>
        <w:rPr>
          <w:b/>
        </w:rPr>
        <w:t xml:space="preserve">Abstract (EN): </w:t>
      </w:r>
      <w:r>
        <w:t>Edge artificial intelligence (AI) and embodied vision call for compact, fast, and energy-efficient hardware that integrates sensing, linear analog computation, and nonlinear activation, while flexibly reallocating these functions as workloads change. However, in-sensor computing (ISC) and in-memory computing (IMC) platforms still implement activation with external peripherals and use fixed functional partitions, which break the analog signal path and restrict system reconfigurability. Here, we report a reconfigurable ferroelectric transistor (Fe-FET) array in which polarization-programmed local fields enable junction-barrier engineering in ambipolar tungsten diselenide (WSe</w:t>
      </w:r>
      <w:r>
        <w:rPr>
          <w:vertAlign w:val="subscript"/>
        </w:rPr>
        <w:t>2</w:t>
      </w:r>
      <w:r>
        <w:t>) channel. This junction-barrier engineering mechanism co-programs photoresponsivity, multilevel conductance, and tunable nonlinear transport within the same device, allowing each Fe-FET cell to be reassigned among weighted sensing (ISC), linear accumulation (IMC), and hardware-native activation. The array therefore functions as a uniform pool of physical units whose roles and spatial partitions can be dynamically allocated to match task demands without changing the hardware platform. Using this role-reconfigurable platform, we implement an end-to-end analog neuromorphic vision system in which broadband sensing, linear computation, and nonlinear activation are executed natively on the same Fe-FET platform. These results establish a task-adaptive and energy-efficient route toward scalable neuromorphic vision hardware for edge intelligence.</w:t>
      </w:r>
    </w:p>
    <w:p>
      <w:pPr>
        <w:spacing w:before="120" w:after="120"/>
      </w:pPr>
      <w:r>
        <w:rPr>
          <w:sz w:val="18"/>
        </w:rPr>
        <w:t>——————————————————————————————————————————————————————————————————————</w:t>
      </w:r>
    </w:p>
    <w:p>
      <w:pPr>
        <w:spacing w:before="160" w:after="40" w:line="240" w:lineRule="auto"/>
      </w:pPr>
      <w:r>
        <w:rPr>
          <w:b/>
        </w:rPr>
        <w:t xml:space="preserve">[120] </w:t>
      </w:r>
      <w:hyperlink r:id="rId770">
        <w:r>
          <w:rPr>
            <w:color w:val="1155CC"/>
            <w:u w:val="single"/>
          </w:rPr>
          <w:t>RhMPK3-RhLOB41-RhWRKY9 模块通过玫瑰中 ROS 稳态的双重控制来协调乙烯诱导的花瓣脱落</w:t>
        </w:r>
      </w:hyperlink>
    </w:p>
    <w:p>
      <w:pPr>
        <w:spacing w:before="0" w:after="80"/>
      </w:pPr>
      <w:r>
        <w:rPr>
          <w:i/>
          <w:sz w:val="20"/>
        </w:rPr>
        <w:t>EN: The RhMPK3-RhLOB41-RhWRKY9 module orchestrates ethylene-induced petal abscission via dual control of ROS homeostasis in rose</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71">
        <w:r>
          <w:rPr>
            <w:color w:val="1155CC"/>
            <w:u w:val="single"/>
          </w:rPr>
          <w:t>10.1126/sciadv.adu6821</w:t>
        </w:r>
      </w:hyperlink>
    </w:p>
    <w:p>
      <w:pPr>
        <w:spacing w:before="0" w:after="120"/>
      </w:pPr>
      <w:r>
        <w:rPr>
          <w:b/>
        </w:rPr>
        <w:t xml:space="preserve">Notes: </w:t>
      </w:r>
      <w:r>
        <w:t>abstract_source=crossref</w:t>
      </w:r>
    </w:p>
    <w:p>
      <w:pPr>
        <w:spacing w:before="0" w:after="80" w:lineRule="auto" w:line="276"/>
      </w:pPr>
      <w:r>
        <w:rPr>
          <w:b/>
        </w:rPr>
        <w:t xml:space="preserve">摘要（ZH）: </w:t>
      </w:r>
      <w:r>
        <w:t>器官脱落是植物生存的关键适应性策略，但确保其不可逆的翻译后机制仍知之甚少。在这里，我们推出了一个信号模块，丝裂原激活蛋白激酶 3 (RhMPK3)-侧向器官边界域 41 (RhLOB41)-WRKY DNA 结合蛋白 9 (RhWRKY9)，该模块可控制玫瑰中乙烯诱导的花瓣脱落（</w:t>
      </w:r>
      <w:r>
        <w:t xml:space="preserve"> </w:t>
      </w:r>
      <w:r>
        <w:t>蔷薇</w:t>
      </w:r>
      <w:r>
        <w:t xml:space="preserve"> </w:t>
      </w:r>
      <w:r>
        <w:t>）通过协调活性氧（ROS）稳态。我们证明转录因子 RhWRKY9 作为双重功能调节剂，同时通过激活</w:t>
      </w:r>
      <w:r>
        <w:t xml:space="preserve"> </w:t>
      </w:r>
      <w:r>
        <w:t>呼吸爆发氧化酶同源物 D</w:t>
      </w:r>
      <w:r>
        <w:t xml:space="preserve"> </w:t>
      </w:r>
      <w:r>
        <w:t>(</w:t>
      </w:r>
      <w:r>
        <w:t xml:space="preserve"> </w:t>
      </w:r>
      <w:r>
        <w:t>重组人RBOHD</w:t>
      </w:r>
      <w:r>
        <w:t xml:space="preserve"> </w:t>
      </w:r>
      <w:r>
        <w:t>）并通过抑制来抑制清除</w:t>
      </w:r>
      <w:r>
        <w:t xml:space="preserve"> </w:t>
      </w:r>
      <w:r>
        <w:t>过氧化氢酶2</w:t>
      </w:r>
      <w:r>
        <w:t xml:space="preserve"> </w:t>
      </w:r>
      <w:r>
        <w:t>(</w:t>
      </w:r>
      <w:r>
        <w:t xml:space="preserve"> </w:t>
      </w:r>
      <w:r>
        <w:t>RhCAT2</w:t>
      </w:r>
      <w:r>
        <w:t xml:space="preserve"> </w:t>
      </w:r>
      <w:r>
        <w:t>），从而产生 ROS 爆发，锁定脱落进程。乙烯通过破坏 RhLOB41（RhLOB41 的转录抑制因子）的稳定性来启动这一过程。</w:t>
      </w:r>
      <w:r>
        <w:t xml:space="preserve"> </w:t>
      </w:r>
      <w:r>
        <w:t>重组人WRKY9</w:t>
      </w:r>
      <w:r>
        <w:t xml:space="preserve"> </w:t>
      </w:r>
      <w:r>
        <w:t>，通过 RhMPK3 介导的 Ser30 磷酸化。磷酸化会产生一种磷酸化降解子，该磷酸化降解子以 RhLOB41 为目标，进行自噬依赖性降解。我们的研究结果将 ROS 重新定义为放弃的决定性执行者，并将双向 ROS 控制建立为不可逆发育转变的范例。</w:t>
      </w:r>
    </w:p>
    <w:p>
      <w:pPr>
        <w:spacing w:before="0" w:after="200" w:lineRule="auto" w:line="276"/>
      </w:pPr>
      <w:r>
        <w:rPr>
          <w:b/>
        </w:rPr>
        <w:t xml:space="preserve">Abstract (EN): </w:t>
      </w:r>
      <w:r>
        <w:t>Organ abscission represents a critical adaptive strategy for plant survival, yet the post-translational mechanisms ensuring its irreversible remain poorly understood. Here, we unveil a signaling module, MITOGEN-ACTIVATED PROTEIN KINASE 3 (RhMPK3)-LATERAL ORGAN BOUNDARIES DOMAIN 41 (RhLOB41)-WRKY DNA-BINDING PROTEIN 9 (RhWRKY9), that gates ethylene-induced petal abscission in rose (</w:t>
      </w:r>
      <w:r>
        <w:t xml:space="preserve"> </w:t>
      </w:r>
      <w:r>
        <w:t>Rosa hybrida</w:t>
      </w:r>
      <w:r>
        <w:t xml:space="preserve"> </w:t>
      </w:r>
      <w:r>
        <w:t>) by orchestrating reactive oxygen species (ROS) homeostasis. We demonstrate that the transcription factor RhWRKY9 acts as a dual-function regulator, concurrently activating ROS production via activation of</w:t>
      </w:r>
      <w:r>
        <w:t xml:space="preserve"> </w:t>
      </w:r>
      <w:r>
        <w:t>RESPIRATORY BURST OXIDASE HOMOLOGUE D</w:t>
      </w:r>
      <w:r>
        <w:t xml:space="preserve"> </w:t>
      </w:r>
      <w:r>
        <w:t>(</w:t>
      </w:r>
      <w:r>
        <w:t xml:space="preserve"> </w:t>
      </w:r>
      <w:r>
        <w:t>RhRBOHD</w:t>
      </w:r>
      <w:r>
        <w:t xml:space="preserve"> </w:t>
      </w:r>
      <w:r>
        <w:t>) and suppressing scavenging via repression of</w:t>
      </w:r>
      <w:r>
        <w:t xml:space="preserve"> </w:t>
      </w:r>
      <w:r>
        <w:t>CATALASE 2</w:t>
      </w:r>
      <w:r>
        <w:t xml:space="preserve"> </w:t>
      </w:r>
      <w:r>
        <w:t>(</w:t>
      </w:r>
      <w:r>
        <w:t xml:space="preserve"> </w:t>
      </w:r>
      <w:r>
        <w:t>RhCAT2</w:t>
      </w:r>
      <w:r>
        <w:t xml:space="preserve"> </w:t>
      </w:r>
      <w:r>
        <w:t>), thereby generating a ROS burst that locks abscission progression. Ethylene primes this process by destabilizing RhLOB41, a transcriptional repressor of</w:t>
      </w:r>
      <w:r>
        <w:t xml:space="preserve"> </w:t>
      </w:r>
      <w:r>
        <w:t>RhWRKY9</w:t>
      </w:r>
      <w:r>
        <w:t xml:space="preserve"> </w:t>
      </w:r>
      <w:r>
        <w:t>, through RhMPK3-mediated phosphorylation at Ser30. Phosphorylation creates a phosphodegron that targets RhLOB41 for autophagy-dependent degradation. Our findings redefine ROS as decisive executors of abscission and establish bidirectional ROS control as a paradigm for irreversible developmental transitions.</w:t>
      </w:r>
    </w:p>
    <w:p>
      <w:pPr>
        <w:spacing w:before="120" w:after="120"/>
      </w:pPr>
      <w:r>
        <w:rPr>
          <w:sz w:val="18"/>
        </w:rPr>
        <w:t>——————————————————————————————————————————————————————————————————————</w:t>
      </w:r>
    </w:p>
    <w:p>
      <w:pPr>
        <w:spacing w:before="160" w:after="40" w:line="240" w:lineRule="auto"/>
      </w:pPr>
      <w:r>
        <w:rPr>
          <w:b/>
        </w:rPr>
        <w:t xml:space="preserve">[121] </w:t>
      </w:r>
      <w:hyperlink r:id="rId772">
        <w:r>
          <w:rPr>
            <w:color w:val="1155CC"/>
            <w:u w:val="single"/>
          </w:rPr>
          <w:t>通过元学习对短时间序列进行定制预测</w:t>
        </w:r>
      </w:hyperlink>
    </w:p>
    <w:p>
      <w:pPr>
        <w:spacing w:before="0" w:after="80"/>
      </w:pPr>
      <w:r>
        <w:rPr>
          <w:i/>
          <w:sz w:val="20"/>
        </w:rPr>
        <w:t>EN: Tailored forecasting from short time series via meta-learning</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73">
        <w:r>
          <w:rPr>
            <w:color w:val="1155CC"/>
            <w:u w:val="single"/>
          </w:rPr>
          <w:t>10.1126/sciadv.ady7216</w:t>
        </w:r>
      </w:hyperlink>
    </w:p>
    <w:p>
      <w:pPr>
        <w:spacing w:before="0" w:after="120"/>
      </w:pPr>
      <w:r>
        <w:rPr>
          <w:b/>
        </w:rPr>
        <w:t xml:space="preserve">Notes: </w:t>
      </w:r>
      <w:r>
        <w:t>abstract_source=crossref</w:t>
      </w:r>
    </w:p>
    <w:p>
      <w:pPr>
        <w:spacing w:before="0" w:after="80" w:lineRule="auto" w:line="276"/>
      </w:pPr>
      <w:r>
        <w:rPr>
          <w:b/>
        </w:rPr>
        <w:t xml:space="preserve">摘要（ZH）: </w:t>
      </w:r>
      <w:r>
        <w:t>机器学习模型可以根据时间序列数据有效地预测动态系统，但它们通常需要大量过去的数据，这使得对于历史记录有限的系统进行预测尤其具有挑战性。为了克服这个问题，我们引入了使用相关时间序列进行定制预测的元学习（METAFORS），它概括了跨系统的知识，以便在数据有限的场景中进行预测。通过从潜在相关系统的较长时间序列训练的模型库中学习，METAFORS 构建并初始化一个针对感兴趣系统的短时间序列数据定制的模型。通过使用储层计算实现和对模拟混沌系统的测试，我们证明了 METAFORS 可以可靠地预测短期动态和长期统计数据，而无需上下文标签。即使测试和相关系统表现出截然不同的行为，我们也能看到这一点，这突显了 METAFORS 在数据有限场景中的优势。</w:t>
      </w:r>
    </w:p>
    <w:p>
      <w:pPr>
        <w:spacing w:before="0" w:after="200" w:lineRule="auto" w:line="276"/>
      </w:pPr>
      <w:r>
        <w:rPr>
          <w:b/>
        </w:rPr>
        <w:t xml:space="preserve">Abstract (EN): </w:t>
      </w:r>
      <w:r>
        <w:t>Machine learning models can effectively forecast dynamical systems from time-series data, but they typically require large amounts of past data, making forecasting particularly challenging for systems with limited history. To overcome this, we introduce meta-learning for tailored forecasting using related time series (METAFORS), which generalizes knowledge across systems to enable forecasting in data-limited scenarios. By learning from a library of models trained on longer time series from potentially related systems, METAFORS builds and initializes a model tailored to short time-series data from the system of interest. Using a reservoir computing implementation and testing on simulated chaotic systems, we demonstrate that METAFORS can reliably predict both short-term dynamics and long-term statistics without requiring contextual labels. We see this even when test and related systems exhibit substantially different behaviors, highlighting METAFORS’ strengths in data-limited scenarios.</w:t>
      </w:r>
    </w:p>
    <w:p>
      <w:pPr>
        <w:spacing w:before="120" w:after="120"/>
      </w:pPr>
      <w:r>
        <w:rPr>
          <w:sz w:val="18"/>
        </w:rPr>
        <w:t>——————————————————————————————————————————————————————————————————————</w:t>
      </w:r>
    </w:p>
    <w:p>
      <w:pPr>
        <w:spacing w:before="160" w:after="40" w:line="240" w:lineRule="auto"/>
      </w:pPr>
      <w:r>
        <w:rPr>
          <w:b/>
        </w:rPr>
        <w:t xml:space="preserve">[122] </w:t>
      </w:r>
      <w:hyperlink r:id="rId774">
        <w:r>
          <w:rPr>
            <w:color w:val="1155CC"/>
            <w:u w:val="single"/>
          </w:rPr>
          <w:t>空间图案钙钛矿 ASE 的光诱导阴离子交换：实现全彩像素化激光显示器</w:t>
        </w:r>
      </w:hyperlink>
    </w:p>
    <w:p>
      <w:pPr>
        <w:spacing w:before="0" w:after="80"/>
      </w:pPr>
      <w:r>
        <w:rPr>
          <w:i/>
          <w:sz w:val="20"/>
        </w:rPr>
        <w:t>EN: Photoinduced anion exchange for spatially patterned perovskite ASE: Enabling full-color pixelated lasing displays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75">
        <w:r>
          <w:rPr>
            <w:color w:val="1155CC"/>
            <w:u w:val="single"/>
          </w:rPr>
          <w:t>10.1126/sciadv.aef5186</w:t>
        </w:r>
      </w:hyperlink>
    </w:p>
    <w:p>
      <w:pPr>
        <w:spacing w:before="0" w:after="120"/>
      </w:pPr>
      <w:r>
        <w:rPr>
          <w:b/>
        </w:rPr>
        <w:t xml:space="preserve">Notes: </w:t>
      </w:r>
      <w:r>
        <w:t>abstract_source=crossref</w:t>
      </w:r>
    </w:p>
    <w:p>
      <w:pPr>
        <w:spacing w:before="0" w:after="80" w:lineRule="auto" w:line="276"/>
      </w:pPr>
      <w:r>
        <w:rPr>
          <w:b/>
        </w:rPr>
        <w:t xml:space="preserve">摘要（ZH）: </w:t>
      </w:r>
      <w:r>
        <w:t>激光显示器是增强/虚拟现实、可穿戴设备和光通信的关键下一代技术。为了实现全彩图案激光显示，我们提出了一种有效的光致气固阴离子交换（PVAE）策略，通过精确的时间调制实现前所未有的放大自发发射（ASE）控制。它调节 CsPbX 中的光开关阴离子交换</w:t>
      </w:r>
      <w:r>
        <w:rPr>
          <w:vertAlign w:val="subscript"/>
        </w:rPr>
        <w:t>3</w:t>
      </w:r>
      <w:r>
        <w:t>(X = Cl、Br、I) 钙钛矿，交换率通过照明波长和强度调节。在每平方厘米 1561.8 微瓦的优化紫外线激活下，PVAE 驱动完整的成分转变（CsPbIBr</w:t>
      </w:r>
      <w:r>
        <w:rPr>
          <w:vertAlign w:val="subscript"/>
        </w:rPr>
        <w:t>2</w:t>
      </w:r>
      <w:r>
        <w:t>→ CsPbBr</w:t>
      </w:r>
      <w:r>
        <w:rPr>
          <w:vertAlign w:val="subscript"/>
        </w:rPr>
        <w:t>3</w:t>
      </w:r>
      <w:r>
        <w:t>→ CsPbClBr</w:t>
      </w:r>
      <w:r>
        <w:rPr>
          <w:vertAlign w:val="subscript"/>
        </w:rPr>
        <w:t>2</w:t>
      </w:r>
      <w:r>
        <w:t>），在 470 至 710 纳米全色光谱范围内引起线性 ASE 峰位移。空间调制的多色ASE图案进一步验证了其适应性。我们实现了 CsPbX 的精确、宽幅微尺度发射波长调制</w:t>
      </w:r>
      <w:r>
        <w:rPr>
          <w:vertAlign w:val="subscript"/>
        </w:rPr>
        <w:t>3</w:t>
      </w:r>
      <w:r>
        <w:t>时间和空间领域的电影。这些优势使PVAE成为高精度像素化激光显示器的双模平台，为可编程高分辨率激光显示器和动态激光防伪标签等尖端光子应用提供实用的解决方案。</w:t>
      </w:r>
    </w:p>
    <w:p>
      <w:pPr>
        <w:spacing w:before="0" w:after="200" w:lineRule="auto" w:line="276"/>
      </w:pPr>
      <w:r>
        <w:rPr>
          <w:b/>
        </w:rPr>
        <w:t xml:space="preserve">Abstract (EN): </w:t>
      </w:r>
      <w:r>
        <w:t>Laser displays are pivotal next-generation technologies for augmented/virtual reality, wearables, and optical communications. To realize full-color patterned lasing displays, we propose an effective‌ photoinduced vapor-solid anion exchange (PVAE) strategy, enabling unprecedented amplified spontaneous emission (ASE) control via precise temporal modulation. It regulates photoswitchable anion exchange in CsPbX</w:t>
      </w:r>
      <w:r>
        <w:rPr>
          <w:vertAlign w:val="subscript"/>
        </w:rPr>
        <w:t>3</w:t>
      </w:r>
      <w:r>
        <w:t>(X = Cl, Br, I) perovskites, with exchange rates tuned by illumination wavelength and intensity. Under optimized 1561.8 microwatts per square centimeter ultraviolet activation, PVAE drives complete compositional transitions (CsPbIBr</w:t>
      </w:r>
      <w:r>
        <w:rPr>
          <w:vertAlign w:val="subscript"/>
        </w:rPr>
        <w:t>2</w:t>
      </w:r>
      <w:r>
        <w:t>→ CsPbBr</w:t>
      </w:r>
      <w:r>
        <w:rPr>
          <w:vertAlign w:val="subscript"/>
        </w:rPr>
        <w:t>3</w:t>
      </w:r>
      <w:r>
        <w:t>→ CsPbClBr</w:t>
      </w:r>
      <w:r>
        <w:rPr>
          <w:vertAlign w:val="subscript"/>
        </w:rPr>
        <w:t>2</w:t>
      </w:r>
      <w:r>
        <w:t>), inducing linear ASE peak shifts across 470- to 710-nanometer full-color spectra. Spatially modulated multicolor ASE patterns further verify its adaptability. We achieve precise, wide microscale emission wavelength modulation of CsPbX</w:t>
      </w:r>
      <w:r>
        <w:rPr>
          <w:vertAlign w:val="subscript"/>
        </w:rPr>
        <w:t>3</w:t>
      </w:r>
      <w:r>
        <w:t>films in both temporal and spatial domains. These advantages establish PVAE as a dual-mode platform for high-precision pixelated laser displays, offering practical solutions for cutting-edge photonic applications such as programmable high-resolution lasing displays and dynamic laser anticounterfeiting labels.</w:t>
      </w:r>
    </w:p>
    <w:p>
      <w:pPr>
        <w:spacing w:before="120" w:after="120"/>
      </w:pPr>
      <w:r>
        <w:rPr>
          <w:sz w:val="18"/>
        </w:rPr>
        <w:t>——————————————————————————————————————————————————————————————————————</w:t>
      </w:r>
    </w:p>
    <w:p>
      <w:pPr>
        <w:spacing w:before="160" w:after="40" w:line="240" w:lineRule="auto"/>
      </w:pPr>
      <w:r>
        <w:rPr>
          <w:b/>
        </w:rPr>
        <w:t xml:space="preserve">[123] </w:t>
      </w:r>
      <w:hyperlink r:id="rId776">
        <w:r>
          <w:rPr>
            <w:color w:val="1155CC"/>
            <w:u w:val="single"/>
          </w:rPr>
          <w:t>通过广义弱值直接表征量子动力学</w:t>
        </w:r>
      </w:hyperlink>
    </w:p>
    <w:p>
      <w:pPr>
        <w:spacing w:before="0" w:after="80"/>
      </w:pPr>
      <w:r>
        <w:rPr>
          <w:i/>
          <w:sz w:val="20"/>
        </w:rPr>
        <w:t>EN: Direct characterization of quantum dynamics via generalized weak values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77">
        <w:r>
          <w:rPr>
            <w:color w:val="1155CC"/>
            <w:u w:val="single"/>
          </w:rPr>
          <w:t>10.1126/sciadv.aeb7304</w:t>
        </w:r>
      </w:hyperlink>
    </w:p>
    <w:p>
      <w:pPr>
        <w:spacing w:before="0" w:after="120"/>
      </w:pPr>
      <w:r>
        <w:rPr>
          <w:b/>
        </w:rPr>
        <w:t xml:space="preserve">Notes: </w:t>
      </w:r>
      <w:r>
        <w:t>abstract_source=crossref</w:t>
      </w:r>
    </w:p>
    <w:p>
      <w:pPr>
        <w:spacing w:before="0" w:after="80" w:lineRule="auto" w:line="276"/>
      </w:pPr>
      <w:r>
        <w:rPr>
          <w:b/>
        </w:rPr>
        <w:t xml:space="preserve">摘要（ZH）: </w:t>
      </w:r>
      <w:r>
        <w:t>从选择前和选择后的弱测量中产生的弱值表现出复值特性，从而能够直接表征量子系统。然而，传统的弱值不能解释系统的演化，限制了它们捕获量子动力学信息的能力。为了克服这个限制，我们引入了过程弱值（PWV），它结合了选择前和选择后可观察量之间的量子演化。通过建立 PWV 和酉算子矩阵元素之间的联系，我们开发了一个直接表征量子过程的理论框架。我们的实验验证涵盖单光子和双光子酉过程，以及非厄米宇称时间对称量子过程。与标准量子过程断层扫描相比，我们的方法减少了状态准备和测量所需的基础，同时规避了复杂的重建算法，提高了效率和可扩展性。我们的 PWV 形式为更广泛的弱测量基础研究开辟了道路，并在表征复杂的量子过程方面实现了高效的应用。</w:t>
      </w:r>
    </w:p>
    <w:p>
      <w:pPr>
        <w:spacing w:before="0" w:after="200" w:lineRule="auto" w:line="276"/>
      </w:pPr>
      <w:r>
        <w:rPr>
          <w:b/>
        </w:rPr>
        <w:t xml:space="preserve">Abstract (EN): </w:t>
      </w:r>
      <w:r>
        <w:t>Weak values, emerging from weak measurements in pre- and postselection, exhibit complex-valued properties, enabling the direct characterization of quantum systems. However, conventional weak values do not account for system evolution, restricting their capability to capture quantum dynamical information. To overcome this limitation, we introduce the process weak value (PWV), which incorporates quantum evolution between observables during pre- and postselection. By establishing a connection between PWVs and the matrix elements of unitary operators, we develop a theoretical framework for the direct characterization of quantum processes. Our experimental validation encompasses single-photon and two-photon unitary processes, as well as non-Hermitian parity-time symmetric quantum processes. Compared to standard quantum process tomography, our method reduces the required bases for state preparation and measurements while circumventing complex reconstruction algorithms, enhancing efficiency and scalability. Our PWV formalism opens avenues for broader foundational investigations of weak measurements and enables efficient applications in characterizing sophisticated quantum processes.</w:t>
      </w:r>
    </w:p>
    <w:p>
      <w:pPr>
        <w:spacing w:before="120" w:after="120"/>
      </w:pPr>
      <w:r>
        <w:rPr>
          <w:sz w:val="18"/>
        </w:rPr>
        <w:t>——————————————————————————————————————————————————————————————————————</w:t>
      </w:r>
    </w:p>
    <w:p>
      <w:pPr>
        <w:spacing w:before="160" w:after="40" w:line="240" w:lineRule="auto"/>
      </w:pPr>
      <w:r>
        <w:rPr>
          <w:b/>
        </w:rPr>
        <w:t xml:space="preserve">[124] </w:t>
      </w:r>
      <w:hyperlink r:id="rId778">
        <w:r>
          <w:rPr>
            <w:color w:val="1155CC"/>
            <w:u w:val="single"/>
          </w:rPr>
          <w:t>基于光学的可拉伸多模态传感器，用于检测具有周期性屈曲结构的应变和光</w:t>
        </w:r>
      </w:hyperlink>
    </w:p>
    <w:p>
      <w:pPr>
        <w:spacing w:before="0" w:after="80"/>
      </w:pPr>
      <w:r>
        <w:rPr>
          <w:i/>
          <w:sz w:val="20"/>
        </w:rPr>
        <w:t>EN: Optical-based stretchable multimodal sensors for detecting strain and light with periodic buckling structures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79">
        <w:r>
          <w:rPr>
            <w:color w:val="1155CC"/>
            <w:u w:val="single"/>
          </w:rPr>
          <w:t>10.1126/sciadv.aee9547</w:t>
        </w:r>
      </w:hyperlink>
    </w:p>
    <w:p>
      <w:pPr>
        <w:spacing w:before="0" w:after="120"/>
      </w:pPr>
      <w:r>
        <w:rPr>
          <w:b/>
        </w:rPr>
        <w:t xml:space="preserve">Notes: </w:t>
      </w:r>
      <w:r>
        <w:t>abstract_source=crossref</w:t>
      </w:r>
    </w:p>
    <w:p>
      <w:pPr>
        <w:spacing w:before="0" w:after="80" w:lineRule="auto" w:line="276"/>
      </w:pPr>
      <w:r>
        <w:rPr>
          <w:b/>
        </w:rPr>
        <w:t xml:space="preserve">摘要（ZH）: </w:t>
      </w:r>
      <w:r>
        <w:t>可拉伸光电传感器对于下一代可穿戴健康监测至关重要；然而，一个关键的限制仍未解决。当可拉伸光电探测器变形时，有效的光探测位置会在皮肤表面发生变化，从而使空间局部生理信号的解释变得复杂。在此，我们报告了一种周期性屈曲可拉伸有机光电探测器（OPD），它可以在单个设备内实现双光学和应变传感，从而可以实时估计有效检测位置的变化。开路电压（</w:t>
      </w:r>
      <w:r>
        <w:t xml:space="preserve"> </w:t>
      </w:r>
      <w:r>
        <w:t>V</w:t>
      </w:r>
      <w:r>
        <w:t xml:space="preserve"> </w:t>
      </w:r>
      <w:r>
        <w:t>奥克</w:t>
      </w:r>
      <w:r>
        <w:t xml:space="preserve"> </w:t>
      </w:r>
      <w:r>
        <w:t>）仅取决于光强度，而短路电流（</w:t>
      </w:r>
      <w:r>
        <w:t xml:space="preserve"> </w:t>
      </w:r>
      <w:r>
        <w:t>我</w:t>
      </w:r>
      <w:r>
        <w:t xml:space="preserve"> </w:t>
      </w:r>
      <w:r>
        <w:t>SC</w:t>
      </w:r>
      <w:r>
        <w:t xml:space="preserve"> </w:t>
      </w:r>
      <w:r>
        <w:t>）反映了活动区域的光强度和变化，从而实现光电检测位置的几何定位。 OPD 在高达 60% 的施加应变下表现出稳定的性能，并且变化</w:t>
      </w:r>
      <w:r>
        <w:t xml:space="preserve"> </w:t>
      </w:r>
      <w:r>
        <w:t>V</w:t>
      </w:r>
      <w:r>
        <w:t xml:space="preserve"> </w:t>
      </w:r>
      <w:r>
        <w:t>奥克</w:t>
      </w:r>
      <w:r>
        <w:t xml:space="preserve"> </w:t>
      </w:r>
      <w:r>
        <w:t>低于 1.1%，应变仪系数为 0.44，源自</w:t>
      </w:r>
      <w:r>
        <w:t xml:space="preserve"> </w:t>
      </w:r>
      <w:r>
        <w:t>我</w:t>
      </w:r>
      <w:r>
        <w:t xml:space="preserve"> </w:t>
      </w:r>
      <w:r>
        <w:t>SC</w:t>
      </w:r>
      <w:r>
        <w:t xml:space="preserve"> </w:t>
      </w:r>
      <w:r>
        <w:t>。这种方法解决了可拉伸光电探测器的一个关键限制，并为高分辨率、位置感知的可穿戴光学生物传感提供了一条途径。</w:t>
      </w:r>
    </w:p>
    <w:p>
      <w:pPr>
        <w:spacing w:before="0" w:after="200" w:lineRule="auto" w:line="276"/>
      </w:pPr>
      <w:r>
        <w:rPr>
          <w:b/>
        </w:rPr>
        <w:t xml:space="preserve">Abstract (EN): </w:t>
      </w:r>
      <w:r>
        <w:t>Stretchable optoelectronic sensors are essential for next-generation wearable health monitoring; however, a critical limitation remains unresolved. When a stretchable photodetector deforms, the effective light-detection location shifts across the skin surface, complicating the interpretation of spatially localized physiological signals. Herein, we report a periodic-buckling stretchable organic photodetector (OPD) that enables dual optical and strain sensing within a single device, allowing real-time estimation of changes in the effective detection position. The open-circuit voltage (</w:t>
      </w:r>
      <w:r>
        <w:t xml:space="preserve"> </w:t>
      </w:r>
      <w:r>
        <w:t>V</w:t>
      </w:r>
      <w:r>
        <w:t xml:space="preserve"> </w:t>
      </w:r>
      <w:r>
        <w:t>oc</w:t>
      </w:r>
      <w:r>
        <w:t xml:space="preserve"> </w:t>
      </w:r>
      <w:r>
        <w:t>) depends solely on light intensity, whereas the short-circuit current (</w:t>
      </w:r>
      <w:r>
        <w:t xml:space="preserve"> </w:t>
      </w:r>
      <w:r>
        <w:t>I</w:t>
      </w:r>
      <w:r>
        <w:t xml:space="preserve"> </w:t>
      </w:r>
      <w:r>
        <w:t>sc</w:t>
      </w:r>
      <w:r>
        <w:t xml:space="preserve"> </w:t>
      </w:r>
      <w:r>
        <w:t>) reflects both light intensity and variations in the active area, enabling geometric localization of the photodetection site. The OPD exhibits stable performance under applied strains of up to 60%, with variations in</w:t>
      </w:r>
      <w:r>
        <w:t xml:space="preserve"> </w:t>
      </w:r>
      <w:r>
        <w:t>V</w:t>
      </w:r>
      <w:r>
        <w:t xml:space="preserve"> </w:t>
      </w:r>
      <w:r>
        <w:t>oc</w:t>
      </w:r>
      <w:r>
        <w:t xml:space="preserve"> </w:t>
      </w:r>
      <w:r>
        <w:t>below 1.1% and a strain gauge factor of 0.44 derived from</w:t>
      </w:r>
      <w:r>
        <w:t xml:space="preserve"> </w:t>
      </w:r>
      <w:r>
        <w:t>I</w:t>
      </w:r>
      <w:r>
        <w:t xml:space="preserve"> </w:t>
      </w:r>
      <w:r>
        <w:t>sc</w:t>
      </w:r>
      <w:r>
        <w:t xml:space="preserve"> </w:t>
      </w:r>
      <w:r>
        <w:t>. This approach addresses a key limitation of stretchable photodetectors and provides a pathway toward high-resolution, position-aware wearable optical biosensing.</w:t>
      </w:r>
    </w:p>
    <w:p>
      <w:pPr>
        <w:spacing w:before="120" w:after="120"/>
      </w:pPr>
      <w:r>
        <w:rPr>
          <w:sz w:val="18"/>
        </w:rPr>
        <w:t>——————————————————————————————————————————————————————————————————————</w:t>
      </w:r>
    </w:p>
    <w:p>
      <w:pPr>
        <w:spacing w:before="160" w:after="40" w:line="240" w:lineRule="auto"/>
      </w:pPr>
      <w:r>
        <w:rPr>
          <w:b/>
        </w:rPr>
        <w:t xml:space="preserve">[125] </w:t>
      </w:r>
      <w:hyperlink r:id="rId780">
        <w:r>
          <w:rPr>
            <w:color w:val="1155CC"/>
            <w:u w:val="single"/>
          </w:rPr>
          <w:t>聚焦超声血脑屏障打开揭示了灵长类动物大脑中矛盾的远程代谢反应</w:t>
        </w:r>
      </w:hyperlink>
    </w:p>
    <w:p>
      <w:pPr>
        <w:spacing w:before="0" w:after="80"/>
      </w:pPr>
      <w:r>
        <w:rPr>
          <w:i/>
          <w:sz w:val="20"/>
        </w:rPr>
        <w:t>EN: Focused ultrasound blood-brain barrier opening reveals a paradoxical remote metabolic response in the primate brain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81">
        <w:r>
          <w:rPr>
            <w:color w:val="1155CC"/>
            <w:u w:val="single"/>
          </w:rPr>
          <w:t>10.1126/sciadv.aed4944</w:t>
        </w:r>
      </w:hyperlink>
    </w:p>
    <w:p>
      <w:pPr>
        <w:spacing w:before="0" w:after="120"/>
      </w:pPr>
      <w:r>
        <w:rPr>
          <w:b/>
        </w:rPr>
        <w:t xml:space="preserve">Notes: </w:t>
      </w:r>
      <w:r>
        <w:t>abstract_source=crossref</w:t>
      </w:r>
    </w:p>
    <w:p>
      <w:pPr>
        <w:spacing w:before="0" w:after="80" w:lineRule="auto" w:line="276"/>
      </w:pPr>
      <w:r>
        <w:rPr>
          <w:b/>
        </w:rPr>
        <w:t xml:space="preserve">摘要（ZH）: </w:t>
      </w:r>
      <w:r>
        <w:t>低强度聚焦超声（LIFU）是一种有前途的打开血脑屏障（BBB）进行药物输送的技术，但其对偏远大脑区域的生理影响仍然是临床安全性和有效性的主要盲点。为了解决这一差距，我们在非人类灵长类动物模型中，使用定量 BOLD MRI 测量氧提取分数 (OEF)，对局灶 LIFU 诱导的 BBB 打开后的脑代谢进行了定量绘图。我们报告了一个矛盾的反应：虽然目标纹状体没有表现出显着的代谢变化，但我们观察到同源对侧纹状体中 OEF 发生了深刻且空间特异性的增加，这种效应主要由壳核驱动。这些发现表明，局灶性血脑屏障开放不仅仅是一种局部血管事件，而且是一种有效的神经调节干预，可在远处、未经治疗的大脑区域诱导代谢应激，这一发现对于所有局灶性脑疗法的安全有效的临床转化具有重要意义。</w:t>
      </w:r>
    </w:p>
    <w:p>
      <w:pPr>
        <w:spacing w:before="0" w:after="200" w:lineRule="auto" w:line="276"/>
      </w:pPr>
      <w:r>
        <w:rPr>
          <w:b/>
        </w:rPr>
        <w:t xml:space="preserve">Abstract (EN): </w:t>
      </w:r>
      <w:r>
        <w:t>Low-intensity focused ultrasound (LIFU) is a promising technique for opening the blood-brain barrier (BBB) for drug delivery, but its physiological consequences in remote brain regions remain a major blind spot for clinical safety and efficacy. To address this gap, we performed the quantitative mapping of brain metabolism following a focal LIFU-induced BBB opening in a nonhuman primate model, using quantitative BOLD MRI to measure the oxygen extraction fraction (OEF). We report a paradoxical response: While the targeted striatum showed no significant metabolic changes, we observed a profound and spatially specific increase in OEF in the homologous contralateral striatum, an effect predominantly driven by the putamen. These findings demonstrate that focal BBB opening is not merely a localized vascular event but a potent neuromodulatory intervention that induces metabolic stress in distant, untreated brain regions, a discovery with critical implications for the safe and effective clinical translation of all focal brain therapies.</w:t>
      </w:r>
    </w:p>
    <w:p>
      <w:pPr>
        <w:spacing w:before="120" w:after="120"/>
      </w:pPr>
      <w:r>
        <w:rPr>
          <w:sz w:val="18"/>
        </w:rPr>
        <w:t>——————————————————————————————————————————————————————————————————————</w:t>
      </w:r>
    </w:p>
    <w:p>
      <w:pPr>
        <w:spacing w:before="160" w:after="40" w:line="240" w:lineRule="auto"/>
      </w:pPr>
      <w:r>
        <w:rPr>
          <w:b/>
        </w:rPr>
        <w:t xml:space="preserve">[126] </w:t>
      </w:r>
      <w:hyperlink r:id="rId782">
        <w:r>
          <w:rPr>
            <w:color w:val="1155CC"/>
            <w:u w:val="single"/>
          </w:rPr>
          <w:t>通过选择金鱼草中多个基因座来塑造发育梯度</w:t>
        </w:r>
      </w:hyperlink>
    </w:p>
    <w:p>
      <w:pPr>
        <w:spacing w:before="0" w:after="80"/>
      </w:pPr>
      <w:r>
        <w:rPr>
          <w:i/>
          <w:sz w:val="20"/>
        </w:rPr>
        <w:t>EN: Shaping of developmental gradients through selection on multiple loci in Antirrhinum</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83">
        <w:r>
          <w:rPr>
            <w:color w:val="1155CC"/>
            <w:u w:val="single"/>
          </w:rPr>
          <w:t>10.1126/sciadv.adx2011</w:t>
        </w:r>
      </w:hyperlink>
    </w:p>
    <w:p>
      <w:pPr>
        <w:spacing w:before="0" w:after="120"/>
      </w:pPr>
      <w:r>
        <w:rPr>
          <w:b/>
        </w:rPr>
        <w:t xml:space="preserve">Notes: </w:t>
      </w:r>
      <w:r>
        <w:t>abstract_source=crossref</w:t>
      </w:r>
    </w:p>
    <w:p>
      <w:pPr>
        <w:spacing w:before="0" w:after="80" w:lineRule="auto" w:line="276"/>
      </w:pPr>
      <w:r>
        <w:rPr>
          <w:b/>
        </w:rPr>
        <w:t xml:space="preserve">摘要（ZH）: </w:t>
      </w:r>
      <w:r>
        <w:t>发展取决于分子梯度的精确塑造，但自然选择如何发挥作用来建立精确度尚不清楚。在这里，我们分析了控制两个金鱼草品种之间黄花颜色梯度差异的基因（</w:t>
      </w:r>
      <w:r>
        <w:t xml:space="preserve"> </w:t>
      </w:r>
      <w:r>
        <w:t>金鱼草</w:t>
      </w:r>
      <w:r>
        <w:t xml:space="preserve"> </w:t>
      </w:r>
      <w:r>
        <w:t>）。我们证明这些差异部分取决于色素生物合成基因的顺式调控变异，</w:t>
      </w:r>
      <w:r>
        <w:t xml:space="preserve"> </w:t>
      </w:r>
      <w:r>
        <w:t>弗拉维亚</w:t>
      </w:r>
      <w:r>
        <w:t xml:space="preserve"> </w:t>
      </w:r>
      <w:r>
        <w:t>(</w:t>
      </w:r>
      <w:r>
        <w:t xml:space="preserve"> </w:t>
      </w:r>
      <w:r>
        <w:t>FLA</w:t>
      </w:r>
      <w:r>
        <w:t xml:space="preserve"> </w:t>
      </w:r>
      <w:r>
        <w:t>）。</w:t>
      </w:r>
      <w:r>
        <w:t xml:space="preserve"> </w:t>
      </w:r>
      <w:r>
        <w:t>FLA</w:t>
      </w:r>
      <w:r>
        <w:t xml:space="preserve"> </w:t>
      </w:r>
      <w:r>
        <w:t>与其他三个基因座以倍增方式相互作用，其中一个是反式作用调节因子</w:t>
      </w:r>
      <w:r>
        <w:t xml:space="preserve"> </w:t>
      </w:r>
      <w:r>
        <w:t>FLA</w:t>
      </w:r>
      <w:r>
        <w:t xml:space="preserve"> </w:t>
      </w:r>
      <w:r>
        <w:t>，进一步塑造黄色渐变。所有基因座都在混合区表现出斜系，其宽度与表型效应相关，表明选择如何通过作用于多个基因座的顺式和反式变异来以惊人的精度磨练梯度形状。</w:t>
      </w:r>
    </w:p>
    <w:p>
      <w:pPr>
        <w:spacing w:before="0" w:after="200" w:lineRule="auto" w:line="276"/>
      </w:pPr>
      <w:r>
        <w:rPr>
          <w:b/>
        </w:rPr>
        <w:t xml:space="preserve">Abstract (EN): </w:t>
      </w:r>
      <w:r>
        <w:t>Development depends on precise shaping of molecular gradients, but how natural selection acts to establish precision is unknown. Here, we analyze genes that control differences in the gradient of yellow flower color between two varieties of snapdragon (</w:t>
      </w:r>
      <w:r>
        <w:t xml:space="preserve"> </w:t>
      </w:r>
      <w:r>
        <w:t>Antirrhinum</w:t>
      </w:r>
      <w:r>
        <w:t xml:space="preserve"> </w:t>
      </w:r>
      <w:r>
        <w:t>). We show that these differences depend, in part, on cis-regulatory variation in the pigment biosynthetic gene,</w:t>
      </w:r>
      <w:r>
        <w:t xml:space="preserve"> </w:t>
      </w:r>
      <w:r>
        <w:t>FLAVIA</w:t>
      </w:r>
      <w:r>
        <w:t xml:space="preserve"> </w:t>
      </w:r>
      <w:r>
        <w:t>(</w:t>
      </w:r>
      <w:r>
        <w:t xml:space="preserve"> </w:t>
      </w:r>
      <w:r>
        <w:t>FLA</w:t>
      </w:r>
      <w:r>
        <w:t xml:space="preserve"> </w:t>
      </w:r>
      <w:r>
        <w:t>).</w:t>
      </w:r>
      <w:r>
        <w:t xml:space="preserve"> </w:t>
      </w:r>
      <w:r>
        <w:t>FLA</w:t>
      </w:r>
      <w:r>
        <w:t xml:space="preserve"> </w:t>
      </w:r>
      <w:r>
        <w:t>interacts multiplicatively with three other loci, one of which is a trans-acting regulator of</w:t>
      </w:r>
      <w:r>
        <w:t xml:space="preserve"> </w:t>
      </w:r>
      <w:r>
        <w:t>FLA</w:t>
      </w:r>
      <w:r>
        <w:t xml:space="preserve"> </w:t>
      </w:r>
      <w:r>
        <w:t>, to further shape the yellow gradient. All the loci exhibit clines at a hybrid zone, with widths that correlate with phenotypic effect, showing how selection can hone gradient shape with remarkable precision by acting on cis and trans variation at multiple loci.</w:t>
      </w:r>
    </w:p>
    <w:p>
      <w:pPr>
        <w:spacing w:before="120" w:after="120"/>
      </w:pPr>
      <w:r>
        <w:rPr>
          <w:sz w:val="18"/>
        </w:rPr>
        <w:t>——————————————————————————————————————————————————————————————————————</w:t>
      </w:r>
    </w:p>
    <w:p>
      <w:pPr>
        <w:spacing w:before="160" w:after="40" w:line="240" w:lineRule="auto"/>
      </w:pPr>
      <w:r>
        <w:rPr>
          <w:b/>
        </w:rPr>
        <w:t xml:space="preserve">[127] </w:t>
      </w:r>
      <w:hyperlink r:id="rId784">
        <w:r>
          <w:rPr>
            <w:color w:val="1155CC"/>
            <w:u w:val="single"/>
          </w:rPr>
          <w:t>海山俯冲带动富矿级金矿化</w:t>
        </w:r>
      </w:hyperlink>
    </w:p>
    <w:p>
      <w:pPr>
        <w:spacing w:before="0" w:after="80"/>
      </w:pPr>
      <w:r>
        <w:rPr>
          <w:i/>
          <w:sz w:val="20"/>
        </w:rPr>
        <w:t>EN: Seamount subduction drives bonanza-grade gold mineralization</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85">
        <w:r>
          <w:rPr>
            <w:color w:val="1155CC"/>
            <w:u w:val="single"/>
          </w:rPr>
          <w:t>10.1126/sciadv.aef6613</w:t>
        </w:r>
      </w:hyperlink>
    </w:p>
    <w:p>
      <w:pPr>
        <w:spacing w:before="0" w:after="120"/>
      </w:pPr>
      <w:r>
        <w:rPr>
          <w:b/>
        </w:rPr>
        <w:t xml:space="preserve">Notes: </w:t>
      </w:r>
      <w:r>
        <w:t>abstract_source=crossref</w:t>
      </w:r>
    </w:p>
    <w:p>
      <w:pPr>
        <w:spacing w:before="0" w:after="80" w:lineRule="auto" w:line="276"/>
      </w:pPr>
      <w:r>
        <w:rPr>
          <w:b/>
        </w:rPr>
        <w:t xml:space="preserve">摘要（ZH）: </w:t>
      </w:r>
      <w:r>
        <w:t>巨大的金矿床总是与造山运动有关，但因果关系仍然是个谜。许多巨型金矿床，例如南天山省的金矿床，都表现出与海山俯冲的时空关系。我们使用超低检测限分析方法报告了增生杂岩中不同变质等级的基性岩的金含量，其中羽流改性样品在变质作用过程中产生了更高的金含量，而金含量降低。我们提出，海山俯冲驱动主要金矿形成遵循三步顺序：（i）地幔柱将金从地幔深处泵入洋壳中的海山； (ii) 海山链的俯冲释放黄金并将其储存在上方板块的底部； (iii) 岩浆爆发期间广泛的熔体/流体活动将金输送到浅地壳进行矿化。该模型可以解释过去 6 亿年来全球金沉积频率与已知俯冲海山之间的惊人对应关系。</w:t>
      </w:r>
    </w:p>
    <w:p>
      <w:pPr>
        <w:spacing w:before="0" w:after="200" w:lineRule="auto" w:line="276"/>
      </w:pPr>
      <w:r>
        <w:rPr>
          <w:b/>
        </w:rPr>
        <w:t xml:space="preserve">Abstract (EN): </w:t>
      </w:r>
      <w:r>
        <w:t>Giant gold deposits are invariably related to orogenesis, but the causal link remains enigmatic. Many giant gold (Au) deposits, such as those in the South Tianshan province, exhibit a spatiotemporal relationship with seamount subduction. We report gold contents of mafic rocks of varying metamorphic grades from the accretionary complex using ultra-low-detection-limit analytical methods, where plume-modified samples yield higher gold contents and Au contents decrease during metamorphism. We propose that seamount subduction drives major gold formation following a three-step sequence: (i) a mantle plume pumps gold from the deep mantle into seamounts emplaced in oceanic crust; (ii) subduction of the seamount chain releases and stores gold at the base of the overriding plate; (iii) extensive melt/fluid activity during the magmatic flare-up transports the gold to the shallow crust for mineralization. This model can explain the striking correspondence between the frequency of Au deposits and known subducted seamounts globally over the past 600 million years.</w:t>
      </w:r>
    </w:p>
    <w:p>
      <w:pPr>
        <w:spacing w:before="120" w:after="120"/>
      </w:pPr>
      <w:r>
        <w:rPr>
          <w:sz w:val="18"/>
        </w:rPr>
        <w:t>——————————————————————————————————————————————————————————————————————</w:t>
      </w:r>
    </w:p>
    <w:p>
      <w:pPr>
        <w:spacing w:before="160" w:after="40" w:line="240" w:lineRule="auto"/>
      </w:pPr>
      <w:r>
        <w:rPr>
          <w:b/>
        </w:rPr>
        <w:t xml:space="preserve">[128] </w:t>
      </w:r>
      <w:hyperlink r:id="rId786">
        <w:r>
          <w:rPr>
            <w:color w:val="1155CC"/>
            <w:u w:val="single"/>
          </w:rPr>
          <w:t>PUM1 和 PUM2 促进染色质调节因子的翻译，以确保哺乳动物精子发生</w:t>
        </w:r>
      </w:hyperlink>
    </w:p>
    <w:p>
      <w:pPr>
        <w:spacing w:before="0" w:after="80"/>
      </w:pPr>
      <w:r>
        <w:rPr>
          <w:i/>
          <w:sz w:val="20"/>
        </w:rPr>
        <w:t>EN: PUM1 and PUM2 promote translation of chromatin regulators to ensure mammalian spermatogenesis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87">
        <w:r>
          <w:rPr>
            <w:color w:val="1155CC"/>
            <w:u w:val="single"/>
          </w:rPr>
          <w:t>10.1126/sciadv.aed5708</w:t>
        </w:r>
      </w:hyperlink>
    </w:p>
    <w:p>
      <w:pPr>
        <w:spacing w:before="0" w:after="120"/>
      </w:pPr>
      <w:r>
        <w:rPr>
          <w:b/>
        </w:rPr>
        <w:t xml:space="preserve">Notes: </w:t>
      </w:r>
      <w:r>
        <w:t>abstract_source=crossref</w:t>
      </w:r>
    </w:p>
    <w:p>
      <w:pPr>
        <w:spacing w:before="0" w:after="80" w:lineRule="auto" w:line="276"/>
      </w:pPr>
      <w:r>
        <w:rPr>
          <w:b/>
        </w:rPr>
        <w:t xml:space="preserve">摘要（ZH）: </w:t>
      </w:r>
      <w:r>
        <w:t>翻译控制对于男性生殖细胞的发育至关重要，但转录后调控如何与精子发生过程中的染色质重塑相结合仍知之甚少。在这里，我们发现 RNA 结合蛋白 PUMILIO1 (PUM1) 和 PUMILIO2 (PUM2) 促进小鼠睾丸中编码染色质调节因子的 mRNA 的翻译。有条件删除</w:t>
      </w:r>
      <w:r>
        <w:t xml:space="preserve"> </w:t>
      </w:r>
      <w:r>
        <w:t>泵1</w:t>
      </w:r>
      <w:r>
        <w:t xml:space="preserve"> </w:t>
      </w:r>
      <w:r>
        <w:t>和</w:t>
      </w:r>
      <w:r>
        <w:t xml:space="preserve"> </w:t>
      </w:r>
      <w:r>
        <w:t>泵2</w:t>
      </w:r>
      <w:r>
        <w:t xml:space="preserve"> </w:t>
      </w:r>
      <w:r>
        <w:t>在多个发育阶段的生殖细胞中，导致生精失败、核成形缺陷、组蛋白与鱼精蛋白交换受损以及完全雄性不育。多聚体分析和核糖体测序揭示了染色质调节剂（包括组蛋白修饰剂和核小体重塑剂）翻译效率的选择性降低，</w:t>
      </w:r>
      <w:r>
        <w:t xml:space="preserve"> </w:t>
      </w:r>
      <w:r>
        <w:t>泵1/2</w:t>
      </w:r>
      <w:r>
        <w:t xml:space="preserve"> </w:t>
      </w:r>
      <w:r>
        <w:t>- 睾丸缺陷。从机制上讲，PUM1/2 与 DAZL 和 PABPC1 结合形成生殖细胞特异性翻译激活复合物，可增强蛋白质输出，同时对 mRNA 稳定性影响很小。总之，这些发现将哺乳动物 PUM 蛋白重新定义为种系中环境依赖性翻译激活剂，并揭示了在精子发生过程中将 RNA 调节与染色质动力学联系起来的转录后机制。</w:t>
      </w:r>
    </w:p>
    <w:p>
      <w:pPr>
        <w:spacing w:before="0" w:after="200" w:lineRule="auto" w:line="276"/>
      </w:pPr>
      <w:r>
        <w:rPr>
          <w:b/>
        </w:rPr>
        <w:t xml:space="preserve">Abstract (EN): </w:t>
      </w:r>
      <w:r>
        <w:t>Translational control is essential for male germ cell development, yet how post-transcriptional regulation is coupled to chromatin remodeling during spermatogenesis remains poorly understood. Here, we show that the RNA-binding proteins PUMILIO1 (PUM1) and PUMILIO2 (PUM2) promote translation of mRNAs encoding chromatin regulators in the mouse testis. Conditional deletion of</w:t>
      </w:r>
      <w:r>
        <w:t xml:space="preserve"> </w:t>
      </w:r>
      <w:r>
        <w:t>Pum1</w:t>
      </w:r>
      <w:r>
        <w:t xml:space="preserve"> </w:t>
      </w:r>
      <w:r>
        <w:t>and</w:t>
      </w:r>
      <w:r>
        <w:t xml:space="preserve"> </w:t>
      </w:r>
      <w:r>
        <w:t>Pum2</w:t>
      </w:r>
      <w:r>
        <w:t xml:space="preserve"> </w:t>
      </w:r>
      <w:r>
        <w:t>in germ cells at multiple developmental stages results in spermatogenic failure, defective nuclear shaping, impaired histone-to-protamine exchange, and complete male sterility. Polysome profiling and ribosome sequencing reveal selective reductions in translation efficiency of chromatin regulators, including histone modifiers and nucleosome remodelers, in</w:t>
      </w:r>
      <w:r>
        <w:t xml:space="preserve"> </w:t>
      </w:r>
      <w:r>
        <w:t>Pum1/2</w:t>
      </w:r>
      <w:r>
        <w:t xml:space="preserve"> </w:t>
      </w:r>
      <w:r>
        <w:t>-deficient testes. Mechanistically, PUM1/2 associate with DAZL and PABPC1 to form a germ cell–specific translational activation complex that enhances protein output with little impact on mRNA stability. Together, these findings redefine mammalian PUM proteins as context-dependent translational activators in the germline and uncover a post-transcriptional mechanism that links RNA regulation to chromatin dynamics during spermatogenesis.</w:t>
      </w:r>
    </w:p>
    <w:p>
      <w:pPr>
        <w:spacing w:before="120" w:after="120"/>
      </w:pPr>
      <w:r>
        <w:rPr>
          <w:sz w:val="18"/>
        </w:rPr>
        <w:t>——————————————————————————————————————————————————————————————————————</w:t>
      </w:r>
    </w:p>
    <w:p>
      <w:pPr>
        <w:spacing w:before="160" w:after="40" w:line="240" w:lineRule="auto"/>
      </w:pPr>
      <w:r>
        <w:rPr>
          <w:b/>
        </w:rPr>
        <w:t xml:space="preserve">[129] </w:t>
      </w:r>
      <w:hyperlink r:id="rId788">
        <w:r>
          <w:rPr>
            <w:color w:val="1155CC"/>
            <w:u w:val="single"/>
          </w:rPr>
          <w:t>3D 拓扑极化弹性超材料可在有限频率下实现不对称能量隔离</w:t>
        </w:r>
      </w:hyperlink>
    </w:p>
    <w:p>
      <w:pPr>
        <w:spacing w:before="0" w:after="80"/>
      </w:pPr>
      <w:r>
        <w:rPr>
          <w:i/>
          <w:sz w:val="20"/>
        </w:rPr>
        <w:t>EN: 3D topologically polarized elastic metamaterials enable asymmetric energy isolation at finite frequencies</w:t>
      </w:r>
    </w:p>
    <w:p>
      <w:pPr>
        <w:spacing w:before="0" w:after="120"/>
      </w:pPr>
      <w:r>
        <w:rPr>
          <w:b/>
        </w:rPr>
        <w:t xml:space="preserve">Source: </w:t>
      </w:r>
      <w:r>
        <w:t>AAAS: Science Advances: Table of Contents</w:t>
      </w:r>
      <w:r>
        <w:t xml:space="preserve">    </w:t>
      </w:r>
      <w:r>
        <w:rPr>
          <w:b/>
        </w:rPr>
        <w:t xml:space="preserve">Pub date: </w:t>
      </w:r>
      <w:r>
        <w:t>2026-07-17 07:00:00+00:00</w:t>
      </w:r>
      <w:r>
        <w:t xml:space="preserve">    </w:t>
      </w:r>
      <w:r>
        <w:rPr>
          <w:b/>
        </w:rPr>
        <w:t xml:space="preserve">DOI: </w:t>
      </w:r>
      <w:hyperlink r:id="rId789">
        <w:r>
          <w:rPr>
            <w:color w:val="1155CC"/>
            <w:u w:val="single"/>
          </w:rPr>
          <w:t>10.1126/sciadv.aec6144</w:t>
        </w:r>
      </w:hyperlink>
    </w:p>
    <w:p>
      <w:pPr>
        <w:spacing w:before="0" w:after="120"/>
      </w:pPr>
      <w:r>
        <w:rPr>
          <w:b/>
        </w:rPr>
        <w:t xml:space="preserve">Notes: </w:t>
      </w:r>
      <w:r>
        <w:t>abstract_source=crossref</w:t>
      </w:r>
    </w:p>
    <w:p>
      <w:pPr>
        <w:spacing w:before="0" w:after="80" w:lineRule="auto" w:line="276"/>
      </w:pPr>
      <w:r>
        <w:rPr>
          <w:b/>
        </w:rPr>
        <w:t xml:space="preserve">摘要（ZH）: </w:t>
      </w:r>
      <w:r>
        <w:t>拓扑极化弹性已在较低维度中得到广泛研究，但其对应的三维 (3D) 弹性在很大程度上仍未得到探索。在这里，我们展示了 3D 结构中的全向拓扑弹性，该结构结合了弯曲刚度，将零频率拓扑力学状态提升为有限频率声子模式。这些模式位于单个边界，在静态和有限频率动态状态下产生明显的刚度对比。这种 3D 结构在所有空间维度上都表现出高度极化的机械行为，建立了全向不对称拓扑弹性。实验和数值结果证实了体拓扑极化和边界局域表面模式之间相互作用所产生的鲁棒、不对称能量隔离。我们的研究结果为 3D 超材料建立了一个范例，在振动屏蔽和定向波操纵方面具有广阔的应用前景。</w:t>
      </w:r>
    </w:p>
    <w:p>
      <w:pPr>
        <w:spacing w:before="0" w:after="200" w:lineRule="auto" w:line="276"/>
      </w:pPr>
      <w:r>
        <w:rPr>
          <w:b/>
        </w:rPr>
        <w:t xml:space="preserve">Abstract (EN): </w:t>
      </w:r>
      <w:r>
        <w:t>Topologically polarized elasticity has been extensively studied in lower dimensions, yet its three-dimensional (3D) counterpart remains largely unexplored. Here, we demonstrate omnidirectional topological elasticity in 3D structures that incorporate bending stiffness, which elevates zero-frequency topological mechanical states into finite-frequency phononic modes. These modes are localized at a single boundary, creating a pronounced stiffness contrast in both static and finite-frequency dynamic regimes. This 3D structure exhibits highly polarized mechanical behavior across all spatial dimensions, establishing omnidirectional asymmetric topological elasticity. Experimental and numerical results confirm robust, asymmetric energy isolation, arising from the interplay between bulk topological polarization and boundary-localized surface modes. Our findings establish a paradigm for 3D metamaterials, with promising applications in vibration shielding and directional wave manipulation.</w:t>
      </w:r>
    </w:p>
    <w:p>
      <w:pPr>
        <w:spacing w:before="120" w:after="120"/>
      </w:pPr>
      <w:r>
        <w:rPr>
          <w:sz w:val="18"/>
        </w:rPr>
        <w:t>——————————————————————————————————————————————————————————————————————</w:t>
      </w:r>
    </w:p>
    <w:p>
      <w:pPr>
        <w:spacing w:before="160" w:after="40" w:line="240" w:lineRule="auto"/>
      </w:pPr>
      <w:r>
        <w:rPr>
          <w:b/>
        </w:rPr>
        <w:t xml:space="preserve">[130] </w:t>
      </w:r>
      <w:hyperlink r:id="rId790">
        <w:r>
          <w:rPr>
            <w:color w:val="1155CC"/>
            <w:u w:val="single"/>
          </w:rPr>
          <w:t>范德华铁电体中极序竞争驱动的磁滞反转</w:t>
        </w:r>
      </w:hyperlink>
    </w:p>
    <w:p>
      <w:pPr>
        <w:spacing w:before="0" w:after="80"/>
      </w:pPr>
      <w:r>
        <w:rPr>
          <w:i/>
          <w:sz w:val="20"/>
        </w:rPr>
        <w:t>EN: Hysteresis Inversion Driven by Polar‐Order Competition in van der Waals Ferrielectric</w:t>
      </w:r>
    </w:p>
    <w:p>
      <w:pPr>
        <w:spacing w:before="0" w:after="120"/>
      </w:pPr>
      <w:r>
        <w:rPr>
          <w:b/>
        </w:rPr>
        <w:t xml:space="preserve">Source: </w:t>
      </w:r>
      <w:r>
        <w:t>Wiley: Advanced Materials: Table of Contents</w:t>
      </w:r>
      <w:r>
        <w:t xml:space="preserve">    </w:t>
      </w:r>
      <w:r>
        <w:rPr>
          <w:b/>
        </w:rPr>
        <w:t xml:space="preserve">Pub date: </w:t>
      </w:r>
      <w:r>
        <w:t>2026-07-17 07:07:05+00:00</w:t>
      </w:r>
      <w:r>
        <w:t xml:space="preserve">    </w:t>
      </w:r>
      <w:r>
        <w:rPr>
          <w:b/>
        </w:rPr>
        <w:t xml:space="preserve">DOI: </w:t>
      </w:r>
      <w:hyperlink r:id="rId791">
        <w:r>
          <w:rPr>
            <w:color w:val="1155CC"/>
            <w:u w:val="single"/>
          </w:rPr>
          <w:t>10.1002/adma.74102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新兴的人工智能范式越来越依赖于能够动态适应激增的计算工作负载的硬件，但目前的忆阻技术仍然从根本上受到设备固定极性的限制，这意味着一旦集成到电路中，其电响应的方向性就无法改变。因此，单个设备被锁定在特定的操作模式，无法实现复杂神经网络所需的灵活重新配置。在这里，我们引入了一种新的器件概念，即“极性可重构忆阻器”，它能够通过利用范德华铁电 CuCrP 中复杂的极序竞争来打破这一限制。</w:t>
      </w:r>
      <w:r>
        <w:rPr>
          <w:vertAlign w:val="subscript"/>
        </w:rPr>
        <w:t>2</w:t>
      </w:r>
      <w:r>
        <w:t>S</w:t>
      </w:r>
      <w:r>
        <w:rPr>
          <w:vertAlign w:val="subscript"/>
        </w:rPr>
        <w:t>6</w:t>
      </w:r>
      <w:r>
        <w:t>。通过动态调整相边界附近的反铁电 (AFE)、亚铁电 (FiE) 和铁电 (FE) 状态之间的平衡，该器件可逆地反转其电阻磁滞，在顺时针 (CW) 和逆时针 (CCW) 模式之间切换。这种逆转允许同一装置在增强型和抑制型突触可塑性之间交替。这些结果表明，极序竞争是实现内存和神经形态硬件内在极性可重构性的有效途径。</w:t>
      </w:r>
    </w:p>
    <w:p>
      <w:pPr>
        <w:spacing w:before="0" w:after="200" w:lineRule="auto" w:line="276"/>
      </w:pPr>
      <w:r>
        <w:rPr>
          <w:b/>
        </w:rPr>
        <w:t xml:space="preserve">Abstract (EN): </w:t>
      </w:r>
      <w:r>
        <w:t>Emerging artificial intelligence paradigms increasingly rely on hardware that can dynamically adapt to surging computational workloads, yet present memristive technology remains fundamentally constrained by the fixed polarity of the device, meaning that its directionality for electrical response is unchangeable once integrated into a circuit. Consequently, a single device is locked into a specific operating mode, unable to achieve the flexible reconfiguration required for complex neural networks. Here we introduce a new device concept, a “polarity‐reconfigurable memristor” capable of breaking this constraint by exploiting the complex polar‐order competition in the van der Waals ferrielectric CuCrP</w:t>
      </w:r>
      <w:r>
        <w:rPr>
          <w:vertAlign w:val="subscript"/>
        </w:rPr>
        <w:t>2</w:t>
      </w:r>
      <w:r>
        <w:t>S</w:t>
      </w:r>
      <w:r>
        <w:rPr>
          <w:vertAlign w:val="subscript"/>
        </w:rPr>
        <w:t>6</w:t>
      </w:r>
      <w:r>
        <w:t>. By dynamically tuning the balance among antiferroelectric (AFE), ferrielectric (FiE), and ferroelectric (FE) states near the phase boundary, the device reversibly inverts its resistive hysteresis, switching between clockwise (CW) and counter‐clockwise (CCW) modes. This reversal allows the same device to alternate between potentiation‐ and depression‐type synaptic plasticity. These results establish polar‐order competition as an effective route to achieve intrinsic polarity reconfigurability for memory and neuromorphic hardware.</w:t>
      </w:r>
    </w:p>
    <w:p>
      <w:pPr>
        <w:spacing w:before="120" w:after="120"/>
      </w:pPr>
      <w:r>
        <w:rPr>
          <w:sz w:val="18"/>
        </w:rPr>
        <w:t>——————————————————————————————————————————————————————————————————————</w:t>
      </w:r>
    </w:p>
    <w:p>
      <w:pPr>
        <w:spacing w:before="160" w:after="40" w:line="240" w:lineRule="auto"/>
      </w:pPr>
      <w:r>
        <w:rPr>
          <w:b/>
        </w:rPr>
        <w:t xml:space="preserve">[131] </w:t>
      </w:r>
      <w:hyperlink r:id="rId792">
        <w:r>
          <w:rPr>
            <w:color w:val="1155CC"/>
            <w:u w:val="single"/>
          </w:rPr>
          <w:t>利用线粒体-内质网功能相互作用与按需纳米颗粒来增强基于 mtDNA 的 STING 免疫疗法</w:t>
        </w:r>
      </w:hyperlink>
    </w:p>
    <w:p>
      <w:pPr>
        <w:spacing w:before="0" w:after="80"/>
      </w:pPr>
      <w:r>
        <w:rPr>
          <w:i/>
          <w:sz w:val="20"/>
        </w:rPr>
        <w:t>EN: Leveraging Mitochondria‐Endoplasmic Reticulum Functional Interplay With an On‐Demand Nanoparticle to Boost mtDNA‐Based STING Immunotherapy</w:t>
      </w:r>
    </w:p>
    <w:p>
      <w:pPr>
        <w:spacing w:before="0" w:after="120"/>
      </w:pPr>
      <w:r>
        <w:rPr>
          <w:b/>
        </w:rPr>
        <w:t xml:space="preserve">Source: </w:t>
      </w:r>
      <w:r>
        <w:t>Wiley: Advanced Materials: Table of Contents</w:t>
      </w:r>
      <w:r>
        <w:t xml:space="preserve">    </w:t>
      </w:r>
      <w:r>
        <w:rPr>
          <w:b/>
        </w:rPr>
        <w:t xml:space="preserve">Pub date: </w:t>
      </w:r>
      <w:r>
        <w:t>2026-07-17 07:17:22+00:00</w:t>
      </w:r>
      <w:r>
        <w:t xml:space="preserve">    </w:t>
      </w:r>
      <w:r>
        <w:rPr>
          <w:b/>
        </w:rPr>
        <w:t xml:space="preserve">DOI: </w:t>
      </w:r>
      <w:hyperlink r:id="rId793">
        <w:r>
          <w:rPr>
            <w:color w:val="1155CC"/>
            <w:u w:val="single"/>
          </w:rPr>
          <w:t>10.1002/adma.74146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线粒体 DNA (mtDNA) 的内源性 STING 激活提供了一种肿瘤背景依赖性策略，可能会降低脱靶毒性，但通常受到弱且短暂的 mtDNA 驱动的 STING 信号的限制，无法维持强大的 STING 聚类。在这里，我们开发了一种按需纳米颗粒系统，通过同时诱导 mtDNA 释放和 ER 应激来利用线粒体 - ER 功能相互作用，从而缓解 STIM1 介导的 STING 制动，并实现强大的 STING-TBK1 组装和下游信号传导。与 PBS 相比，该策略使 STING、TBK1 和 IRF3 的磷酸化水平分别显着提高了 11.50、9.70 和 8.95 倍，比商业 STING 激动剂 MSA-2 提高了 2 倍以上。此外，纳米粒子实现了空间控制的共同递送，允许细胞外释放PD-1/PD-L1抑制剂以及细胞内释放mtDNA释放剂和内质网应激诱导剂。因此，这种按需纳米颗粒系统有效增强了体内先天性和适应性抗肿瘤免疫，显着增加了 CD8</w:t>
      </w:r>
      <w:r>
        <w:t xml:space="preserve"> </w:t>
      </w:r>
      <w:r>
        <w:t>+</w:t>
      </w:r>
      <w:r>
        <w:t xml:space="preserve"> </w:t>
      </w:r>
      <w:r>
        <w:t>和CD4</w:t>
      </w:r>
      <w:r>
        <w:t xml:space="preserve"> </w:t>
      </w:r>
      <w:r>
        <w:t>+</w:t>
      </w:r>
      <w:r>
        <w:t xml:space="preserve"> </w:t>
      </w:r>
      <w:r>
        <w:t>T 细胞浸润，同时减少 Tregs，最终抑制乳腺癌和结肠癌小鼠模型中的肿瘤进展、转移和复发。该策略通过将空间分阶段药物释放与细胞器水平免疫调节相结合，推进了基于 STING 的免疫治疗。</w:t>
      </w:r>
    </w:p>
    <w:p>
      <w:pPr>
        <w:spacing w:before="0" w:after="200" w:lineRule="auto" w:line="276"/>
      </w:pPr>
      <w:r>
        <w:rPr>
          <w:b/>
        </w:rPr>
        <w:t xml:space="preserve">Abstract (EN): </w:t>
      </w:r>
      <w:r>
        <w:t>Endogenous STING activation by mitochondrial DNA (mtDNA) offers a tumor‐context‐dependent strategy with potentially reduced off‐target toxicity, but is often limited by weak and transient mtDNA‐driven STING signaling that fails to sustain robust STING clustering. Here, we developed an on‐demand nanoparticle system that harnesses mitochondrial–ER functional interplay by concurrently inducing mtDNA release and ER stress, thereby relieving the STIM1‐mediated brake on STING and enabling robust STING–TBK1 assembly and downstream signaling. This strategy markedly increased the phosphorylation levels of STING, TBK1, and IRF3 by 11.50‐, 9.70‐, and 8.95‐fold, respectively, compared with PBS, outperforming the commercial STING agonist MSA‐2 by more than 2‐fold. In addition, the nanoparticles enabled spatially controlled co‐delivery, allowing extracellular release of a PD‐1/PD‐L1 inhibitor and intracellular release of mtDNA‐releasing and ER stress‐inducing agents. Consequently, this on‐demand nanoparticle system potently enhanced both innate and adaptive antitumor immunity in vivo, significantly increasing CD8</w:t>
      </w:r>
      <w:r>
        <w:t xml:space="preserve"> </w:t>
      </w:r>
      <w:r>
        <w:t>+</w:t>
      </w:r>
      <w:r>
        <w:t xml:space="preserve"> </w:t>
      </w:r>
      <w:r>
        <w:t>and CD4</w:t>
      </w:r>
      <w:r>
        <w:t xml:space="preserve"> </w:t>
      </w:r>
      <w:r>
        <w:t>+</w:t>
      </w:r>
      <w:r>
        <w:t xml:space="preserve"> </w:t>
      </w:r>
      <w:r>
        <w:t>T cell infiltration while reducing Tregs, ultimately suppressing tumor progression, metastasis, and recurrence in mouse models of breast and colon cancer. This strategy advances STING‐based immunotherapy by integrating spatially staged drug release with organelle‐level immune modulation.</w:t>
      </w:r>
    </w:p>
    <w:p>
      <w:pPr>
        <w:spacing w:before="120" w:after="120"/>
      </w:pPr>
      <w:r>
        <w:rPr>
          <w:sz w:val="18"/>
        </w:rPr>
        <w:t>——————————————————————————————————————————————————————————————————————</w:t>
      </w:r>
    </w:p>
    <w:p>
      <w:pPr>
        <w:spacing w:before="160" w:after="40" w:line="240" w:lineRule="auto"/>
      </w:pPr>
      <w:r>
        <w:rPr>
          <w:b/>
        </w:rPr>
        <w:t xml:space="preserve">[132] </w:t>
      </w:r>
      <w:hyperlink r:id="rId794">
        <w:r>
          <w:rPr>
            <w:color w:val="1155CC"/>
            <w:u w:val="single"/>
          </w:rPr>
          <w:t>硫脲自组装单层的硫到金属单原子编辑为造币金属表面上吸附原子结合的N-杂环卡宾单层</w:t>
        </w:r>
      </w:hyperlink>
    </w:p>
    <w:p>
      <w:pPr>
        <w:spacing w:before="0" w:after="80"/>
      </w:pPr>
      <w:r>
        <w:rPr>
          <w:i/>
          <w:sz w:val="20"/>
        </w:rPr>
        <w:t>EN: Sulfur‐to‐Metal Single‐Atom Editing of a Thiourea Self‐Assembled Monolayer into an Adatom‐Bound N‐Heterocyclic Carbene Monolayer on Coinage Metal Surfaces</w:t>
      </w:r>
    </w:p>
    <w:p>
      <w:pPr>
        <w:spacing w:before="0" w:after="120"/>
      </w:pPr>
      <w:r>
        <w:rPr>
          <w:b/>
        </w:rPr>
        <w:t xml:space="preserve">Source: </w:t>
      </w:r>
      <w:r>
        <w:t>Wiley: Angewandte Chemie International Edition: Table of Contents</w:t>
      </w:r>
      <w:r>
        <w:t xml:space="preserve">    </w:t>
      </w:r>
      <w:r>
        <w:rPr>
          <w:b/>
        </w:rPr>
        <w:t xml:space="preserve">Pub date: </w:t>
      </w:r>
      <w:r>
        <w:t>2026-07-17 07:20:08+00:00</w:t>
      </w:r>
      <w:r>
        <w:t xml:space="preserve">    </w:t>
      </w:r>
      <w:r>
        <w:rPr>
          <w:b/>
        </w:rPr>
        <w:t xml:space="preserve">DOI: </w:t>
      </w:r>
      <w:hyperlink r:id="rId795">
        <w:r>
          <w:rPr>
            <w:color w:val="1155CC"/>
            <w:u w:val="single"/>
          </w:rPr>
          <w:t>10.1002/anie.3064564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N-杂环卡宾（NHC）自组装单层（SAM）正在成为强大且多功能的表面配体，但其具有原子精度的直接表面结构仍然难以捉摸。在这里，我们报告了一种用于单原子编辑的无试剂、热驱动的表面策略，提供了将杂原子锚定的 SAM 转换为功能性 NHC 层的替代方案。带有精心选择的取代基的 N-杂环硫脲 (NHT) 会发生 S-金属吸附原子交换，在造币金属表面产生吸附原子结合的 NHC。利用低温扫描隧道显微镜 (LT-STM)、同步辐射 X 射线光电子能谱 (SR-XPS)、飞行时间二次离子质谱 (ToF-SIMS) 和密度泛函理论 (DFT)，我们确定了两类不同的 SAM：(i) NHT-SAM，其中硫配位到金属表面；(ii) NHC-SAM，其特征为 M─C</w:t>
      </w:r>
      <w:r>
        <w:t xml:space="preserve"> </w:t>
      </w:r>
      <w:r>
        <w:t>σ</w:t>
      </w:r>
      <w:r>
        <w:t xml:space="preserve"> </w:t>
      </w:r>
      <w:r>
        <w:t>‐卡宾中心和表面吸附原子之间的键。 NHT 经历了干净的 SAM 到 SAM 转换，在完整的单层内实现了共价单原子编辑。 DFT 计算表明，这种转变在能量上是有利的，并且可以通过底物和 N 取代基进行高度调节，从而建立了表面原子精确分子编辑的通用框架。</w:t>
      </w:r>
    </w:p>
    <w:p>
      <w:pPr>
        <w:spacing w:before="0" w:after="200" w:lineRule="auto" w:line="276"/>
      </w:pPr>
      <w:r>
        <w:rPr>
          <w:b/>
        </w:rPr>
        <w:t xml:space="preserve">Abstract (EN): </w:t>
      </w:r>
      <w:r>
        <w:t>N‐Heterocyclic carbene (NHC) self‐assembled monolayers (SAMs) are emerging as robust and versatile surface ligands, yet their direct on‐surface construction with atomic precision remains elusive. Here, we report a reagent‐free, thermally driven on‐surface strategy for single‐atom editing, providing an alternative to convert a heteroatom‐anchored SAM into a functional NHC layer. N‐Heterocyclic thiourea (NHT) with carefully chosen substituents undergoes a S‐to‐metal adatom exchange, yielding adatom‐bound NHC on coinage metal surfaces. Using low‐temperature scanning tunneling microscopy (LT‐STM), synchrotron‐radiation X‐ray photoelectron spectroscopy (SR‐XPS), time of flight secondary ion mass spectrometry (ToF‐SIMS) and density functional theory (DFT), we identify two distinct classes of SAMs: (i) NHT‐SAM, in which sulfur coordinates to the metal surface and (ii) NHC‐SAM, characterized by M─C</w:t>
      </w:r>
      <w:r>
        <w:t xml:space="preserve"> </w:t>
      </w:r>
      <w:r>
        <w:t>σ</w:t>
      </w:r>
      <w:r>
        <w:t xml:space="preserve"> </w:t>
      </w:r>
      <w:r>
        <w:t>‐bonds between the carbene center and a surface adatom. NHT undergoes a clean SAM‐to‐SAM conversion, achieving covalent single‐atom editing within an intact monolayer. DFT calculations show this transformation is energetically favorable and highly tunable by substrates and N‐substituents, establishing a general framework for atom‐precise molecular editing at surfaces.</w:t>
      </w:r>
    </w:p>
    <w:p>
      <w:pPr>
        <w:spacing w:before="120" w:after="120"/>
      </w:pPr>
      <w:r>
        <w:rPr>
          <w:sz w:val="18"/>
        </w:rPr>
        <w:t>——————————————————————————————————————————————————————————————————————</w:t>
      </w:r>
    </w:p>
    <w:p>
      <w:pPr>
        <w:spacing w:before="160" w:after="40" w:line="240" w:lineRule="auto"/>
      </w:pPr>
      <w:r>
        <w:rPr>
          <w:b/>
        </w:rPr>
        <w:t xml:space="preserve">[133] </w:t>
      </w:r>
      <w:hyperlink r:id="rId796">
        <w:r>
          <w:rPr>
            <w:color w:val="1155CC"/>
            <w:u w:val="single"/>
          </w:rPr>
          <w:t>环烷基胺骨架重组为有角氮杂四环支架</w:t>
        </w:r>
      </w:hyperlink>
    </w:p>
    <w:p>
      <w:pPr>
        <w:spacing w:before="0" w:after="80"/>
      </w:pPr>
      <w:r>
        <w:rPr>
          <w:i/>
          <w:sz w:val="20"/>
        </w:rPr>
        <w:t>EN: Skeletal Reorganization of Cycloalkylamines Into Angular Azatetracyclic Scaffolds</w:t>
      </w:r>
    </w:p>
    <w:p>
      <w:pPr>
        <w:spacing w:before="0" w:after="120"/>
      </w:pPr>
      <w:r>
        <w:rPr>
          <w:b/>
        </w:rPr>
        <w:t xml:space="preserve">Source: </w:t>
      </w:r>
      <w:r>
        <w:t>Wiley: Angewandte Chemie International Edition: Table of Contents</w:t>
      </w:r>
      <w:r>
        <w:t xml:space="preserve">    </w:t>
      </w:r>
      <w:r>
        <w:rPr>
          <w:b/>
        </w:rPr>
        <w:t xml:space="preserve">Pub date: </w:t>
      </w:r>
      <w:r>
        <w:t>2026-07-17 07:22:45+00:00</w:t>
      </w:r>
      <w:r>
        <w:t xml:space="preserve">    </w:t>
      </w:r>
      <w:r>
        <w:rPr>
          <w:b/>
        </w:rPr>
        <w:t xml:space="preserve">DOI: </w:t>
      </w:r>
      <w:hyperlink r:id="rId797">
        <w:r>
          <w:rPr>
            <w:color w:val="1155CC"/>
            <w:u w:val="single"/>
          </w:rPr>
          <w:t>10.1002/anie.3086835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具有邻位四元立构中心的有角氮四环框架的高效、单步构建仍然是合成化学中的一个艰巨的挑战。在此，我们公开了第一个硼烷催化的级联重组</w:t>
      </w:r>
      <w:r>
        <w:t xml:space="preserve"> </w:t>
      </w:r>
      <w:r>
        <w:t>氮</w:t>
      </w:r>
      <w:r>
        <w:t xml:space="preserve"> </w:t>
      </w:r>
      <w:r>
        <w:t>-环亚烷基（CAD）取代的芳基环烷基胺，可以快速获得这些结构。由 B(C</w:t>
      </w:r>
      <w:r>
        <w:rPr>
          <w:vertAlign w:val="subscript"/>
        </w:rPr>
        <w:t>6</w:t>
      </w:r>
      <w:r>
        <w:t>F</w:t>
      </w:r>
      <w:r>
        <w:rPr>
          <w:vertAlign w:val="subscript"/>
        </w:rPr>
        <w:t>5</w:t>
      </w:r>
      <w:r>
        <w:t>）</w:t>
      </w:r>
      <w:r>
        <w:rPr>
          <w:vertAlign w:val="subscript"/>
        </w:rPr>
        <w:t>3</w:t>
      </w:r>
      <w:r>
        <w:t>‐介导的</w:t>
      </w:r>
      <w:r>
        <w:t xml:space="preserve"> </w:t>
      </w:r>
      <w:r>
        <w:t>α</w:t>
      </w:r>
      <w:r>
        <w:t xml:space="preserve"> </w:t>
      </w:r>
      <w:r>
        <w:t>‐氢化物抽象，反应通过氮杂-6π电环化和两次连续的环扩展进行，然后进行氢化物回弹，以产生具有高非对映选择性的密集功能化的角/稠合氮杂四环。这种设计的级联在一次操作中形成多个 C-C 键和立构中心，并表现出广泛的底物范围和出色的效率。详细的机理研究，结合实验结果和 DFT 计算，支持了所提出的氢化物提取、环化、双环膨胀和氢化物反弹的顺序。</w:t>
      </w:r>
    </w:p>
    <w:p>
      <w:pPr>
        <w:spacing w:before="0" w:after="200" w:lineRule="auto" w:line="276"/>
      </w:pPr>
      <w:r>
        <w:rPr>
          <w:b/>
        </w:rPr>
        <w:t xml:space="preserve">Abstract (EN): </w:t>
      </w:r>
      <w:r>
        <w:t>The efficient, single‐step construction of angular azatetracyclic frameworks bearing vicinal quaternary stereocenters remains a formidable challenge in synthetic chemistry. Herein, we disclose the first borane‐catalyzed cascade reorganization of</w:t>
      </w:r>
      <w:r>
        <w:t xml:space="preserve"> </w:t>
      </w:r>
      <w:r>
        <w:t>N</w:t>
      </w:r>
      <w:r>
        <w:t xml:space="preserve"> </w:t>
      </w:r>
      <w:r>
        <w:t>‐cycloalkylidenyl (CAD)‐substituted aryl cycloalkylamines that enables rapid access to these architectures. Initiated by B(C</w:t>
      </w:r>
      <w:r>
        <w:rPr>
          <w:vertAlign w:val="subscript"/>
        </w:rPr>
        <w:t>6</w:t>
      </w:r>
      <w:r>
        <w:t>F</w:t>
      </w:r>
      <w:r>
        <w:rPr>
          <w:vertAlign w:val="subscript"/>
        </w:rPr>
        <w:t>5</w:t>
      </w:r>
      <w:r>
        <w:t>)</w:t>
      </w:r>
      <w:r>
        <w:rPr>
          <w:vertAlign w:val="subscript"/>
        </w:rPr>
        <w:t>3</w:t>
      </w:r>
      <w:r>
        <w:t>‐mediated</w:t>
      </w:r>
      <w:r>
        <w:t xml:space="preserve"> </w:t>
      </w:r>
      <w:r>
        <w:t>α</w:t>
      </w:r>
      <w:r>
        <w:t xml:space="preserve"> </w:t>
      </w:r>
      <w:r>
        <w:t>‐hydride abstraction, the reaction proceeds through an aza‐6π electrocyclization and two successive ring expansions, followed by hydride rebound, to deliver densely functionalized angular/fused azatetracycles with high diastereoselectivity. This designed cascade forges multiple C–C bonds and stereocenters in a single operation and exhibits broad substrate scope and excellent efficiency. Detailed mechanistic investigations, combining experimental results and DFT calculations, support the proposed sequence of hydride abstraction, cyclization, double ring expansion, and hydride rebound.</w:t>
      </w:r>
    </w:p>
    <w:p>
      <w:pPr>
        <w:spacing w:before="120" w:after="120"/>
      </w:pPr>
      <w:r>
        <w:rPr>
          <w:sz w:val="18"/>
        </w:rPr>
        <w:t>——————————————————————————————————————————————————————————————————————</w:t>
      </w:r>
    </w:p>
    <w:p>
      <w:pPr>
        <w:spacing w:before="160" w:after="40" w:line="240" w:lineRule="auto"/>
      </w:pPr>
      <w:r>
        <w:rPr>
          <w:b/>
        </w:rPr>
        <w:t xml:space="preserve">[134] </w:t>
      </w:r>
      <w:hyperlink r:id="rId798">
        <w:r>
          <w:rPr>
            <w:color w:val="1155CC"/>
            <w:u w:val="single"/>
          </w:rPr>
          <w:t>有机合成中的黄素催化剂</w:t>
        </w:r>
      </w:hyperlink>
    </w:p>
    <w:p>
      <w:pPr>
        <w:spacing w:before="0" w:after="80"/>
      </w:pPr>
      <w:r>
        <w:rPr>
          <w:i/>
          <w:sz w:val="20"/>
        </w:rPr>
        <w:t>EN: Flavin Catalysts in Organic Synthesis</w:t>
      </w:r>
    </w:p>
    <w:p>
      <w:pPr>
        <w:spacing w:before="0" w:after="120"/>
      </w:pPr>
      <w:r>
        <w:rPr>
          <w:b/>
        </w:rPr>
        <w:t xml:space="preserve">Source: </w:t>
      </w:r>
      <w:r>
        <w:t>Wiley: Angewandte Chemie International Edition: Table of Contents</w:t>
      </w:r>
      <w:r>
        <w:t xml:space="preserve">    </w:t>
      </w:r>
      <w:r>
        <w:rPr>
          <w:b/>
        </w:rPr>
        <w:t xml:space="preserve">Pub date: </w:t>
      </w:r>
      <w:r>
        <w:t>2026-07-17 07:26:00+00:00</w:t>
      </w:r>
      <w:r>
        <w:t xml:space="preserve">    </w:t>
      </w:r>
      <w:r>
        <w:rPr>
          <w:b/>
        </w:rPr>
        <w:t xml:space="preserve">DOI: </w:t>
      </w:r>
      <w:hyperlink r:id="rId799">
        <w:r>
          <w:rPr>
            <w:color w:val="1155CC"/>
            <w:u w:val="single"/>
          </w:rPr>
          <w:t>10.1002/anie.6683110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黄素辅助因子是自然界的多面手，在黄素依赖性酶的活性位点中发挥着多种重要作用。这些黄素酶表现出惊人的广泛活性谱，这也适用于有机实验室。在合成化学中，黄素催化现已成为多种有机催化和光化学方法的组成部分，其应用范围从全合成到生物相容性光邻近标记。黄素在该领域占有独特的地位：它们很容易通过合成或生化方法获得，同时与其他（有机）催化剂相比还表现出正交反应性。在有关酶机制的大量文献的指导下，以仿生方式开发了几种黄素介导的有机反应。此外，黄素对定制催化剂的修饰可以实现所需的非自然转化。这篇小综述概述并强调了合成有机化学中黄素催化实现的不同关键化学转化，重点是光化学氧化和还原、敏化、氧化以及通过可逆共价键形成来激活底物。基于示例反应说明了实现特定黄素反应性的个体要求。最后，确定了黄素催化领域仍存在的挑战。</w:t>
      </w:r>
    </w:p>
    <w:p>
      <w:pPr>
        <w:spacing w:before="0" w:after="200" w:lineRule="auto" w:line="276"/>
      </w:pPr>
      <w:r>
        <w:rPr>
          <w:b/>
        </w:rPr>
        <w:t xml:space="preserve">Abstract (EN): </w:t>
      </w:r>
      <w:r>
        <w:t>Flavin cofactors are nature's all‐rounders with several essential roles in the active site of flavin‐dependent enzymes. These flavoenzymes display an astonishingly broad activity spectrum, which also translates to the organic laboratory. In synthetic chemistry, flavin catalysis is now an integral part of several organocatalytic and photochemical methods with applications ranging from total synthesis to biocompatible photoproximity labeling. Flavins take a unique position in the field: they are easily accessible through synthesis or biochemical methods, while additionally exhibiting orthogonal reactivity compared to other (organo‐)catalysts. Several flavin‐mediated organic reactions were developed in a biomimetic fashion guided by extensive literature on enzymatic mechanisms. Additionally, flavin modification to tailored catalysts enabled desired non‐natural transformations. This minireview gives an overview of and highlights the different key chemical transformations achieved with flavin catalysis in synthetic organic chemistry with a focus on photochemical oxidation and reduction, sensitization, oxygenation, and the activation of substrates by reversible covalent bond formation. The individual requirements for achieving specific flavin reactivity are illustrated based on example reactions. Finally, remaining challenges in the field of flavin catalysis are identified.</w:t>
      </w:r>
    </w:p>
    <w:p>
      <w:pPr>
        <w:spacing w:before="120" w:after="120"/>
      </w:pPr>
      <w:r>
        <w:rPr>
          <w:sz w:val="18"/>
        </w:rPr>
        <w:t>——————————————————————————————————————————————————————————————————————</w:t>
      </w:r>
    </w:p>
    <w:p>
      <w:pPr>
        <w:spacing w:before="160" w:after="40" w:line="240" w:lineRule="auto"/>
      </w:pPr>
      <w:r>
        <w:rPr>
          <w:b/>
        </w:rPr>
        <w:t xml:space="preserve">[135] </w:t>
      </w:r>
      <w:hyperlink r:id="rId800">
        <w:r>
          <w:rPr>
            <w:color w:val="1155CC"/>
            <w:u w:val="single"/>
          </w:rPr>
          <w:t>利用光子进行三重输出：智能材料中的铬、发光和机械转变</w:t>
        </w:r>
      </w:hyperlink>
    </w:p>
    <w:p>
      <w:pPr>
        <w:spacing w:before="0" w:after="80"/>
      </w:pPr>
      <w:r>
        <w:rPr>
          <w:i/>
          <w:sz w:val="20"/>
        </w:rPr>
        <w:t>EN: Harnessing Photons for Trifold Output: Chromic, Luminescent, and Mechanical Transformations in a Smart Material</w:t>
      </w:r>
    </w:p>
    <w:p>
      <w:pPr>
        <w:spacing w:before="0" w:after="120"/>
      </w:pPr>
      <w:r>
        <w:rPr>
          <w:b/>
        </w:rPr>
        <w:t xml:space="preserve">Source: </w:t>
      </w:r>
      <w:r>
        <w:t>Wiley: Angewandte Chemie International Edition: Table of Contents</w:t>
      </w:r>
      <w:r>
        <w:t xml:space="preserve">    </w:t>
      </w:r>
      <w:r>
        <w:rPr>
          <w:b/>
        </w:rPr>
        <w:t xml:space="preserve">Pub date: </w:t>
      </w:r>
      <w:r>
        <w:t>2026-07-17 07:27:46+00:00</w:t>
      </w:r>
      <w:r>
        <w:t xml:space="preserve">    </w:t>
      </w:r>
      <w:r>
        <w:rPr>
          <w:b/>
        </w:rPr>
        <w:t xml:space="preserve">DOI: </w:t>
      </w:r>
      <w:hyperlink r:id="rId801">
        <w:r>
          <w:rPr>
            <w:color w:val="1155CC"/>
            <w:u w:val="single"/>
          </w:rPr>
          <w:t>10.1002/anie.3029493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利用乙烯基吡啶结构单元的双重光化学活性，同时的[2+2]光环加成和光致电子转移被集成在配位聚合物框架内，以实现三重光响应，在单晶系统内同时产生光致变色、荧光调制和光机械驱动。尽管烯烃排列纵横交错，但有效的光环加成发生在互穿框架中，导致应力快速积累和释放，表现为爆炸性光显着行为以及光学开关。框架依赖性配体构象产生独特的荧光读数，从而可以光学监测环加成的进展。当嵌入聚乙烯醇基质中时，晶体级微应变被放大为可编程宏观运动，包括在单波长照射下伸直、爬行和聚集。这项工作提供了一种将多种光响应集成到单一材料中的设计策略，有助于可编程光驱动执行器和自适应设备。</w:t>
      </w:r>
    </w:p>
    <w:p>
      <w:pPr>
        <w:spacing w:before="0" w:after="200" w:lineRule="auto" w:line="276"/>
      </w:pPr>
      <w:r>
        <w:rPr>
          <w:b/>
        </w:rPr>
        <w:t xml:space="preserve">Abstract (EN): </w:t>
      </w:r>
      <w:r>
        <w:t>By leveraging the dual photochemical activity of vinylpyridinium building blocks, the concurrent [2+2] photocycloaddition and photoinduced electron transfer are integrated within coordination polymer frameworks to achieve triple photoresponses, simultaneously generating photochromism, fluorescence modulation, and photomechanical actuation within a single crystalline system. The efficient photocycloaddition occurs in the interpenetrated framework despite the criss‐crossed olefin arrangement, resulting in rapid stress accumulation and release that manifests as explosive photosalient behavior alongside optical switching. The framework‐dependent ligand conformations produce distinct fluorescence readouts, allowing the progress of the cycloaddition to be monitored optically. When embedded in poly(vinyl alcohol) matrices, the crystal‐level micro‐strain is amplified into programmable macroscopic motions including straightening, crawling, and gathering under single‐wavelength irradiation. This work provides a design strategy for integrating multiple photoresponses into a single material, contributing to programmable light‐driven actuators and adaptive devices.</w:t>
      </w:r>
    </w:p>
    <w:p>
      <w:pPr>
        <w:spacing w:before="120" w:after="120"/>
      </w:pPr>
      <w:r>
        <w:rPr>
          <w:sz w:val="18"/>
        </w:rPr>
        <w:t>——————————————————————————————————————————————————————————————————————</w:t>
      </w:r>
    </w:p>
    <w:p>
      <w:pPr>
        <w:spacing w:before="160" w:after="40" w:line="240" w:lineRule="auto"/>
      </w:pPr>
      <w:r>
        <w:rPr>
          <w:b/>
        </w:rPr>
        <w:t xml:space="preserve">[136] </w:t>
      </w:r>
      <w:hyperlink r:id="rId802">
        <w:r>
          <w:rPr>
            <w:color w:val="1155CC"/>
            <w:u w:val="single"/>
          </w:rPr>
          <w:t>用于靶向 RNA 解衰和延长蛋白质合成的谷胱甘肽响应性酰基修饰</w:t>
        </w:r>
      </w:hyperlink>
    </w:p>
    <w:p>
      <w:pPr>
        <w:spacing w:before="0" w:after="80"/>
      </w:pPr>
      <w:r>
        <w:rPr>
          <w:i/>
          <w:sz w:val="20"/>
        </w:rPr>
        <w:t>EN: Glutathione‐Responsive Acyl‐Modifications for Targeted RNA Decaging and Prolonged Protein Synthesis</w:t>
      </w:r>
    </w:p>
    <w:p>
      <w:pPr>
        <w:spacing w:before="0" w:after="120"/>
      </w:pPr>
      <w:r>
        <w:rPr>
          <w:b/>
        </w:rPr>
        <w:t xml:space="preserve">Source: </w:t>
      </w:r>
      <w:r>
        <w:t>Wiley: Angewandte Chemie International Edition: Table of Contents</w:t>
      </w:r>
      <w:r>
        <w:t xml:space="preserve">    </w:t>
      </w:r>
      <w:r>
        <w:rPr>
          <w:b/>
        </w:rPr>
        <w:t xml:space="preserve">Pub date: </w:t>
      </w:r>
      <w:r>
        <w:t>2026-07-17 07:33:36+00:00</w:t>
      </w:r>
      <w:r>
        <w:t xml:space="preserve">    </w:t>
      </w:r>
      <w:r>
        <w:rPr>
          <w:b/>
        </w:rPr>
        <w:t xml:space="preserve">DOI: </w:t>
      </w:r>
      <w:hyperlink r:id="rId803">
        <w:r>
          <w:rPr>
            <w:color w:val="1155CC"/>
            <w:u w:val="single"/>
          </w:rPr>
          <w:t>10.1002/anie.8835235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一系列基于二硫键的自毁酰基缀合物已被设计和测试，用于可逆保护 RNA 的核糖 2'-羟基位置。人们发现这些修饰对内源性谷胱甘肽水平敏感，可在溶液和培养细胞中有效回收 RNA。通过这种修饰策略，我们实现了生物分子免受核酸酶和翻译机制的影响，从而实现了 RNA 的可调释放，同时提高了细胞稳定性和最小化先天免疫激活。自毁 RNA 去保护包括环化步骤，该步骤根据环大小和电子特性表现出不同的动力学特征。此外，我们证明了细胞模型中绿色荧光蛋白和纳米荧光素酶的持续目标蛋白产生。与未修饰的 mRNA 对照相比，两种酰化 mRNA 模型均导致蛋白质表达显着增加，与未修饰的 RNA 相比，蛋白质表达增加高达 600%，并且在 120 小时内观察到修饰的 mRNA 样品的蛋白质表达持续较高。这些令人兴奋的结果凸显了我们的方法在设计下一代基于 RNA 的前药方面的多功能性。</w:t>
      </w:r>
    </w:p>
    <w:p>
      <w:pPr>
        <w:spacing w:before="0" w:after="200" w:lineRule="auto" w:line="276"/>
      </w:pPr>
      <w:r>
        <w:rPr>
          <w:b/>
        </w:rPr>
        <w:t xml:space="preserve">Abstract (EN): </w:t>
      </w:r>
      <w:r>
        <w:t>A series of disulfide‐based, self‐immolative acyl conjugates have been designed and tested for reversibly protecting the ribose 2’‐hydroxy position of RNA. These modifications were found to be responsive to endogenous glutathione levels for efficient RNA recovery both in solution and cultured cells. Through this modification strategy, we achieve shielding of the biomolecule from both nuclease enzymes and translational machinery, allowing for a tunable release of RNA with improved cellular stability and minimal innate immune activation. The self‐immolative RNA deprotection includes a cyclization step which exhibits differing kinetic profiles based on ring size and electronic properties. Moreover, we demonstrate sustained target protein production for both green‐fluorescent protein and nanoluciferase in cell models. Both acylated mRNA models resulted in significant increases in protein expression compared to the unmodified mRNA control, with increases in protein expression of up to 600% and sustained higher protein expression of modified mRNA samples observed over 120 h in comparison to unmodified RNA. These exciting results highlight the versatility of our approach in the design of next‐generation RNA‐based prodrugs.</w:t>
      </w:r>
    </w:p>
    <w:p>
      <w:pPr>
        <w:spacing w:before="120" w:after="120"/>
      </w:pPr>
      <w:r>
        <w:rPr>
          <w:sz w:val="18"/>
        </w:rPr>
        <w:t>——————————————————————————————————————————————————————————————————————</w:t>
      </w:r>
    </w:p>
    <w:p>
      <w:pPr>
        <w:spacing w:before="160" w:after="40" w:line="240" w:lineRule="auto"/>
      </w:pPr>
      <w:r>
        <w:rPr>
          <w:b/>
        </w:rPr>
        <w:t xml:space="preserve">[137] </w:t>
      </w:r>
      <w:hyperlink r:id="rId804">
        <w:r>
          <w:rPr>
            <w:color w:val="1155CC"/>
            <w:u w:val="single"/>
          </w:rPr>
          <w:t>用于光学加密和防伪的聚氨酯薄膜上的屈曲诱导角度可切换衍射图像</w:t>
        </w:r>
      </w:hyperlink>
    </w:p>
    <w:p>
      <w:pPr>
        <w:spacing w:before="0" w:after="80"/>
      </w:pPr>
      <w:r>
        <w:rPr>
          <w:i/>
          <w:sz w:val="20"/>
        </w:rPr>
        <w:t>EN: Buckling‐Induced Angular‐Switchable Diffraction Images on Polyurethane Film for Optical Encryption and Anti‐Counterfeiting</w:t>
      </w:r>
    </w:p>
    <w:p>
      <w:pPr>
        <w:spacing w:before="0" w:after="120"/>
      </w:pPr>
      <w:r>
        <w:rPr>
          <w:b/>
        </w:rPr>
        <w:t xml:space="preserve">Source: </w:t>
      </w:r>
      <w:r>
        <w:t>Wiley: Advanced Materials: Table of Contents</w:t>
      </w:r>
      <w:r>
        <w:t xml:space="preserve">    </w:t>
      </w:r>
      <w:r>
        <w:rPr>
          <w:b/>
        </w:rPr>
        <w:t xml:space="preserve">Pub date: </w:t>
      </w:r>
      <w:r>
        <w:t>2026-07-17 08:12:47+00:00</w:t>
      </w:r>
      <w:r>
        <w:t xml:space="preserve">    </w:t>
      </w:r>
      <w:r>
        <w:rPr>
          <w:b/>
        </w:rPr>
        <w:t xml:space="preserve">DOI: </w:t>
      </w:r>
      <w:hyperlink r:id="rId805">
        <w:r>
          <w:rPr>
            <w:color w:val="1155CC"/>
            <w:u w:val="single"/>
          </w:rPr>
          <w:t>10.1002/adma.74145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采用微纳结构构建的衍射防伪图像由于其固有的高空间频率分辨率和动态色彩变化而广泛应用于防伪领域。然而，传统的衍射防伪标签（DAL）通常基于丙烯酸酯材料，由于其简单的加密结构和单通道加密的信息容量有限，很容易被伪造。此外，在高温或高湿等恶劣环境下，它们很容易变形，从而导致验证功能丧失。为了解决这些限制，我们建议通过屈曲结构在光敏聚氨酯（Pho-PU）薄膜上构建八个高分辨率、角度可切换、独立的衍射图像，当视角变化、样品旋转或变化的照明时，这些图像会显示不同的加密图像。我们讨论了周期性屈曲结构的可设计性和可控性，并演示了如何通过这种角度复用策略集成公共信息和密钥。这种基于屈曲结构的多图像加密系统方法为制造高安全性 DAL 提供了有效的替代方案。</w:t>
      </w:r>
    </w:p>
    <w:p>
      <w:pPr>
        <w:spacing w:before="0" w:after="200" w:lineRule="auto" w:line="276"/>
      </w:pPr>
      <w:r>
        <w:rPr>
          <w:b/>
        </w:rPr>
        <w:t xml:space="preserve">Abstract (EN): </w:t>
      </w:r>
      <w:r>
        <w:t>Diffractive security images, constructed with micro‐nano structures, are widely used in anti‐counterfeiting due to their inherent high spatial frequency resolution and dynamic color variation. However, traditional diffraction anti‐counterfeiting labels (DALs), typically based on acrylic ester materials, are susceptible to counterfeiting due to their simple encryption structures and the limited information capacity of single‐channel encryption. Furthermore, in harsh environments such as high temperature or high humidity, they are prone to deformation, which can lead to loss of verification functionality. To address these limitations, we propose constructing eight high‐resolution, angular‐switchable, independent diffraction images on photosensitive polyurethane (Pho–PU) films through buckling structures that reveal different encrypted images as the viewing angle changes, through sample rotation, or varied illumination. We discuss the designability and controllability of periodic buckling structures and demonstrate how common information and secret keys can be integrated through this angle‐multiplexing strategy. This systematic approach to multi‐image encryption based on buckling structures provides an effective alternative for fabricating high‐security DALs.</w:t>
      </w:r>
    </w:p>
    <w:p>
      <w:pPr>
        <w:spacing w:before="120" w:after="120"/>
      </w:pPr>
      <w:r>
        <w:rPr>
          <w:sz w:val="18"/>
        </w:rPr>
        <w:t>——————————————————————————————————————————————————————————————————————</w:t>
      </w:r>
    </w:p>
    <w:p>
      <w:pPr>
        <w:spacing w:before="160" w:after="40" w:line="240" w:lineRule="auto"/>
      </w:pPr>
      <w:r>
        <w:rPr>
          <w:b/>
        </w:rPr>
        <w:t xml:space="preserve">[138] </w:t>
      </w:r>
      <w:hyperlink r:id="rId806">
        <w:r>
          <w:rPr>
            <w:color w:val="1155CC"/>
            <w:u w:val="single"/>
          </w:rPr>
          <w:t>通过 D-A 调制解锁基于邻苯二甲腈的 I 型光敏剂以促进电子转移</w:t>
        </w:r>
      </w:hyperlink>
    </w:p>
    <w:p>
      <w:pPr>
        <w:spacing w:before="0" w:after="80"/>
      </w:pPr>
      <w:r>
        <w:rPr>
          <w:i/>
          <w:sz w:val="20"/>
        </w:rPr>
        <w:t>EN: Unlocking Phthalonitrile‐Based Type I Photosensitizer Through D‐A Modulation to Promote Electron Transfer</w:t>
      </w:r>
    </w:p>
    <w:p>
      <w:pPr>
        <w:spacing w:before="0" w:after="120"/>
      </w:pPr>
      <w:r>
        <w:rPr>
          <w:b/>
        </w:rPr>
        <w:t xml:space="preserve">Source: </w:t>
      </w:r>
      <w:r>
        <w:t>Wiley: Advanced Materials: Table of Contents</w:t>
      </w:r>
      <w:r>
        <w:t xml:space="preserve">    </w:t>
      </w:r>
      <w:r>
        <w:rPr>
          <w:b/>
        </w:rPr>
        <w:t xml:space="preserve">Pub date: </w:t>
      </w:r>
      <w:r>
        <w:t>2026-07-17 08:20:55+00:00</w:t>
      </w:r>
      <w:r>
        <w:t xml:space="preserve">    </w:t>
      </w:r>
      <w:r>
        <w:rPr>
          <w:b/>
        </w:rPr>
        <w:t xml:space="preserve">DOI: </w:t>
      </w:r>
      <w:hyperlink r:id="rId807">
        <w:r>
          <w:rPr>
            <w:color w:val="1155CC"/>
            <w:u w:val="single"/>
          </w:rPr>
          <w:t>10.1002/adma.74143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І型光敏剂（PS）由于其对氧的依赖性最小，为克服光动力疗法（PDT）中的肿瘤缺氧提供了一种有前途的策略。然而，由于对结构与性能关系的理解不足，它们的合理设计仍然难以捉摸。在这里，我们利用供体-π桥-受体（D-π-A）共轭调制，通过系统调节四个关键参数（包括Δ）来设计基于邻苯二甲腈的І型PS。</w:t>
      </w:r>
      <w:r>
        <w:t xml:space="preserve"> </w:t>
      </w:r>
      <w:r>
        <w:t>乙</w:t>
      </w:r>
      <w:r>
        <w:t xml:space="preserve"> </w:t>
      </w:r>
      <w:r>
        <w:t>意法半导体</w:t>
      </w:r>
      <w:r>
        <w:t xml:space="preserve"> </w:t>
      </w:r>
      <w:r>
        <w:t>, T</w:t>
      </w:r>
      <w:r>
        <w:rPr>
          <w:vertAlign w:val="subscript"/>
        </w:rPr>
        <w:t>1</w:t>
      </w:r>
      <w:r>
        <w:t>能级、氧化还原电位和空间位阻，从而优化有效的电子转移途径。这些 PS 表现出聚集诱导的 І 型活性氧 (ROS) 生成，这是由有利的分子间电子相互作用驱动的。其中，DTPCH</w:t>
      </w:r>
      <w:r>
        <w:rPr>
          <w:vertAlign w:val="subscript"/>
        </w:rPr>
        <w:t>3</w:t>
      </w:r>
      <w:r>
        <w:t>表现出最高的 І 型 ROS 产量，归因于其最小的 Δ</w:t>
      </w:r>
      <w:r>
        <w:t xml:space="preserve"> </w:t>
      </w:r>
      <w:r>
        <w:t>乙</w:t>
      </w:r>
      <w:r>
        <w:t xml:space="preserve"> </w:t>
      </w:r>
      <w:r>
        <w:t>S1-T2</w:t>
      </w:r>
      <w:r>
        <w:t xml:space="preserve"> </w:t>
      </w:r>
      <w:r>
        <w:t>以及最有效的分子间电子转移相互作用。用两亲性聚合物 F127、DTPCH 封装后</w:t>
      </w:r>
      <w:r>
        <w:rPr>
          <w:vertAlign w:val="subscript"/>
        </w:rPr>
        <w:t>3</w:t>
      </w:r>
      <w:r>
        <w:t>纳米颗粒（DTPCH</w:t>
      </w:r>
      <w:r>
        <w:rPr>
          <w:vertAlign w:val="subscript"/>
        </w:rPr>
        <w:t>3</w:t>
      </w:r>
      <w:r>
        <w:t>_NPs) 保留有效的 O</w:t>
      </w:r>
      <w:r>
        <w:rPr>
          <w:vertAlign w:val="subscript"/>
        </w:rPr>
        <w:t>2</w:t>
      </w:r>
      <w:r>
        <w:t>•−</w:t>
      </w:r>
      <w:r>
        <w:t>和 H2O• 的产生，从而有效消除癌细胞并具有良好的耐缺氧能力。体内研究进一步证实 DTPCH 显着抑制肿瘤</w:t>
      </w:r>
      <w:r>
        <w:rPr>
          <w:vertAlign w:val="subscript"/>
        </w:rPr>
        <w:t>3</w:t>
      </w:r>
    </w:p>
    <w:p>
      <w:pPr>
        <w:spacing w:before="0" w:after="200" w:lineRule="auto" w:line="276"/>
      </w:pPr>
      <w:r>
        <w:rPr>
          <w:b/>
        </w:rPr>
        <w:t xml:space="preserve">Abstract (EN): </w:t>
      </w:r>
      <w:r>
        <w:t>Type І photosensitizers (PSs) offer a promising strategy to overcome tumor hypoxia in photodynamic therapy (PDT) owing to their minimal oxygen dependence. However, their rational design remains elusive due to insufficient understanding of structure–property relationships. Herein, we leverage donor‐π bridge‐acceptor (D‐π‐A) conjugate modulation to design phthalonitrile‐based Type І PSs through the systematic regulation of four critical parameters, including Δ</w:t>
      </w:r>
      <w:r>
        <w:t xml:space="preserve"> </w:t>
      </w:r>
      <w:r>
        <w:t>E</w:t>
      </w:r>
      <w:r>
        <w:t xml:space="preserve"> </w:t>
      </w:r>
      <w:r>
        <w:t>ST</w:t>
      </w:r>
      <w:r>
        <w:t xml:space="preserve"> </w:t>
      </w:r>
      <w:r>
        <w:t>, T</w:t>
      </w:r>
      <w:r>
        <w:rPr>
          <w:vertAlign w:val="subscript"/>
        </w:rPr>
        <w:t>1</w:t>
      </w:r>
      <w:r>
        <w:t>energy level, redox potential and steric hindrance, thereby optimizing efficient electron transfer pathway. These PSs exhibit aggregate‐induced Type І reactive oxygen species (ROS) generation, driven by favorable intermolecular electronic interactions. Among them, DTPCH</w:t>
      </w:r>
      <w:r>
        <w:rPr>
          <w:vertAlign w:val="subscript"/>
        </w:rPr>
        <w:t>3</w:t>
      </w:r>
      <w:r>
        <w:t>demonstrates the highest Type І ROS production, attributed to its minimal Δ</w:t>
      </w:r>
      <w:r>
        <w:t xml:space="preserve"> </w:t>
      </w:r>
      <w:r>
        <w:t>E</w:t>
      </w:r>
      <w:r>
        <w:t xml:space="preserve"> </w:t>
      </w:r>
      <w:r>
        <w:t>S1‐T2</w:t>
      </w:r>
      <w:r>
        <w:t xml:space="preserve"> </w:t>
      </w:r>
      <w:r>
        <w:t>and the most effective intermolecular electron transfer interactions. Upon encapsulation with amphiphilic polymer F127, DTPCH</w:t>
      </w:r>
      <w:r>
        <w:rPr>
          <w:vertAlign w:val="subscript"/>
        </w:rPr>
        <w:t>3</w:t>
      </w:r>
      <w:r>
        <w:t>nanoparticles (DTPCH</w:t>
      </w:r>
      <w:r>
        <w:rPr>
          <w:vertAlign w:val="subscript"/>
        </w:rPr>
        <w:t>3</w:t>
      </w:r>
      <w:r>
        <w:t>_NPs) retain efficient O</w:t>
      </w:r>
      <w:r>
        <w:rPr>
          <w:vertAlign w:val="subscript"/>
        </w:rPr>
        <w:t>2</w:t>
      </w:r>
      <w:r>
        <w:t>•−</w:t>
      </w:r>
      <w:r>
        <w:t>and HO• generation, resulting in potent cancer cell ablation and good hypoxic tolerance. In vivo studies further confirm significant tumor suppression by DTPCH</w:t>
      </w:r>
      <w:r>
        <w:rPr>
          <w:vertAlign w:val="subscript"/>
        </w:rPr>
        <w:t>3</w:t>
      </w:r>
      <w:r>
        <w:t>_NPs. Overall, this work establishes a molecular design strategy for Type I PSs, opening new avenues for the development of next‐generation PDT agents.</w:t>
      </w:r>
    </w:p>
    <w:p>
      <w:pPr>
        <w:spacing w:before="120" w:after="120"/>
      </w:pPr>
      <w:r>
        <w:rPr>
          <w:sz w:val="18"/>
        </w:rPr>
        <w:t>——————————————————————————————————————————————————————————————————————</w:t>
      </w:r>
    </w:p>
    <w:p>
      <w:pPr>
        <w:spacing w:before="160" w:after="40" w:line="240" w:lineRule="auto"/>
      </w:pPr>
      <w:r>
        <w:rPr>
          <w:b/>
        </w:rPr>
        <w:t xml:space="preserve">[139] </w:t>
      </w:r>
      <w:hyperlink r:id="rId808">
        <w:r>
          <w:rPr>
            <w:color w:val="1155CC"/>
            <w:u w:val="single"/>
          </w:rPr>
          <w:t>碳化钼/二硫化钼异质结与构象转变乙二醇分子协同作用诱导的宏观超润滑</w:t>
        </w:r>
      </w:hyperlink>
    </w:p>
    <w:p>
      <w:pPr>
        <w:spacing w:before="0" w:after="80"/>
      </w:pPr>
      <w:r>
        <w:rPr>
          <w:i/>
          <w:sz w:val="20"/>
        </w:rPr>
        <w:t>EN: Macro‐Superlubricity Induced by Synergistic Effect of Molybdenum Carbide/Molybdenum Disulfide Heterojunction and Conformation‐Transformable Ethylene Glycol Molecule</w:t>
      </w:r>
    </w:p>
    <w:p>
      <w:pPr>
        <w:spacing w:before="0" w:after="120"/>
      </w:pPr>
      <w:r>
        <w:rPr>
          <w:b/>
        </w:rPr>
        <w:t xml:space="preserve">Source: </w:t>
      </w:r>
      <w:r>
        <w:t>Wiley: Advanced Materials: Table of Contents</w:t>
      </w:r>
      <w:r>
        <w:t xml:space="preserve">    </w:t>
      </w:r>
      <w:r>
        <w:rPr>
          <w:b/>
        </w:rPr>
        <w:t xml:space="preserve">Pub date: </w:t>
      </w:r>
      <w:r>
        <w:t>2026-07-17 08:24:30+00:00</w:t>
      </w:r>
      <w:r>
        <w:t xml:space="preserve">    </w:t>
      </w:r>
      <w:r>
        <w:rPr>
          <w:b/>
        </w:rPr>
        <w:t xml:space="preserve">DOI: </w:t>
      </w:r>
      <w:hyperlink r:id="rId809">
        <w:r>
          <w:rPr>
            <w:color w:val="1155CC"/>
            <w:u w:val="single"/>
          </w:rPr>
          <w:t>10.1002/adma.74061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二维（2D）材料和液体分子的宏观固液协同超润滑将二维材料的低层间剪切强度与液体超润滑的优点相结合，显着减少工业应用中的摩擦和磨损。然而，单一二维材料的低承载能力和不清楚的协同超润滑机制严重限制了长效超润滑系统的设计。在此，通过创新性地引入范德华相互作用诱导的碳化钼/二硫化钼（Mo</w:t>
      </w:r>
      <w:r>
        <w:rPr>
          <w:vertAlign w:val="subscript"/>
        </w:rPr>
        <w:t>2</w:t>
      </w:r>
      <w:r>
        <w:t>CT</w:t>
      </w:r>
      <w:r>
        <w:t xml:space="preserve"> </w:t>
      </w:r>
      <w:r>
        <w:t>x</w:t>
      </w:r>
      <w:r>
        <w:t xml:space="preserve"> </w:t>
      </w:r>
      <w:r>
        <w:t>/MoS2</w:t>
      </w:r>
      <w:r>
        <w:rPr>
          <w:vertAlign w:val="subscript"/>
        </w:rPr>
        <w:t>2</w:t>
      </w:r>
      <w:r>
        <w:t>）异质结作为乙二醇（EG）中的添加剂，这种Mo</w:t>
      </w:r>
      <w:r>
        <w:rPr>
          <w:vertAlign w:val="subscript"/>
        </w:rPr>
        <w:t>2</w:t>
      </w:r>
      <w:r>
        <w:t>CT</w:t>
      </w:r>
      <w:r>
        <w:t xml:space="preserve"> </w:t>
      </w:r>
      <w:r>
        <w:t>x</w:t>
      </w:r>
      <w:r>
        <w:t xml:space="preserve"> </w:t>
      </w:r>
      <w:r>
        <w:t>/MoS2</w:t>
      </w:r>
      <w:r>
        <w:rPr>
          <w:vertAlign w:val="subscript"/>
        </w:rPr>
        <w:t>2</w:t>
      </w:r>
      <w:r>
        <w:t>–EG超润滑系统表现出0.0044的超低摩擦系数，8.17×10的极低磨损率</w:t>
      </w:r>
      <w:r>
        <w:t xml:space="preserve"> </w:t>
      </w:r>
      <w:r>
        <w:t>−10</w:t>
      </w:r>
      <w:r>
        <w:t xml:space="preserve"> </w:t>
      </w:r>
      <w:r>
        <w:t>毫米</w:t>
      </w:r>
      <w:r>
        <w:rPr>
          <w:vertAlign w:val="subscript"/>
        </w:rPr>
        <w:t>3</w:t>
      </w:r>
      <w:r>
        <w:t>•N</w:t>
      </w:r>
      <w:r>
        <w:t xml:space="preserve"> </w:t>
      </w:r>
      <w:r>
        <w:t>−1</w:t>
      </w:r>
      <w:r>
        <w:t xml:space="preserve"> </w:t>
      </w:r>
      <w:r>
        <w:t>•米</w:t>
      </w:r>
      <w:r>
        <w:t xml:space="preserve"> </w:t>
      </w:r>
      <w:r>
        <w:t>−1</w:t>
      </w:r>
      <w:r>
        <w:t xml:space="preserve"> </w:t>
      </w:r>
      <w:r>
        <w:t>，以及 432 000 次循环（相当于 2160 m）的超长润滑寿命。同时，最大平均接触压力达到711.9 MPa。原位形成的富含异质结和同质结纳米片的特殊摩擦膜有效降低了边界润滑下的剪切强度。值得注意的是，超低剪切应力</w:t>
      </w:r>
    </w:p>
    <w:p>
      <w:pPr>
        <w:spacing w:before="0" w:after="200" w:lineRule="auto" w:line="276"/>
      </w:pPr>
      <w:r>
        <w:rPr>
          <w:b/>
        </w:rPr>
        <w:t xml:space="preserve">Abstract (EN): </w:t>
      </w:r>
      <w:r>
        <w:t>Macroscopic solid–liquid synergistic superlubricity based on two‐dimensional (2D) materials and liquid molecules integrates the low interlayer shear strength of 2D materials with advantages of liquid superlubricity, significantly reducing friction and wear in industrial applications. However, the low load‐bearing capacity of single 2D material and the unclear synergistic superlubricity mechanism severely constrain the design of long‐lasting superlubricity systems. Herein, through innovatively introducing van der Waals interaction‐induced molybdenum carbide/molybdenum disulfide (Mo</w:t>
      </w:r>
      <w:r>
        <w:rPr>
          <w:vertAlign w:val="subscript"/>
        </w:rPr>
        <w:t>2</w:t>
      </w:r>
      <w:r>
        <w:t>CT</w:t>
      </w:r>
      <w:r>
        <w:t xml:space="preserve"> </w:t>
      </w:r>
      <w:r>
        <w:t>x</w:t>
      </w:r>
      <w:r>
        <w:t xml:space="preserve"> </w:t>
      </w:r>
      <w:r>
        <w:t>/MoS</w:t>
      </w:r>
      <w:r>
        <w:rPr>
          <w:vertAlign w:val="subscript"/>
        </w:rPr>
        <w:t>2</w:t>
      </w:r>
      <w:r>
        <w:t>) heterojunction as additives in ethylene glycol (EG), this Mo</w:t>
      </w:r>
      <w:r>
        <w:rPr>
          <w:vertAlign w:val="subscript"/>
        </w:rPr>
        <w:t>2</w:t>
      </w:r>
      <w:r>
        <w:t>CT</w:t>
      </w:r>
      <w:r>
        <w:t xml:space="preserve"> </w:t>
      </w:r>
      <w:r>
        <w:t>x</w:t>
      </w:r>
      <w:r>
        <w:t xml:space="preserve"> </w:t>
      </w:r>
      <w:r>
        <w:t>/MoS</w:t>
      </w:r>
      <w:r>
        <w:rPr>
          <w:vertAlign w:val="subscript"/>
        </w:rPr>
        <w:t>2</w:t>
      </w:r>
      <w:r>
        <w:t>–EG superlubricity system exhibits an ultralow friction coefficient of 0.0044, an extremely low wear rate of 8.17 × 10</w:t>
      </w:r>
      <w:r>
        <w:t xml:space="preserve"> </w:t>
      </w:r>
      <w:r>
        <w:t>−10</w:t>
      </w:r>
      <w:r>
        <w:t xml:space="preserve"> </w:t>
      </w:r>
      <w:r>
        <w:t>mm</w:t>
      </w:r>
      <w:r>
        <w:rPr>
          <w:vertAlign w:val="subscript"/>
        </w:rPr>
        <w:t>3</w:t>
      </w:r>
      <w:r>
        <w:t>•N</w:t>
      </w:r>
      <w:r>
        <w:t xml:space="preserve"> </w:t>
      </w:r>
      <w:r>
        <w:t>−1</w:t>
      </w:r>
      <w:r>
        <w:t xml:space="preserve"> </w:t>
      </w:r>
      <w:r>
        <w:t>•m</w:t>
      </w:r>
      <w:r>
        <w:t xml:space="preserve"> </w:t>
      </w:r>
      <w:r>
        <w:t>−1</w:t>
      </w:r>
      <w:r>
        <w:t xml:space="preserve"> </w:t>
      </w:r>
      <w:r>
        <w:t>, and an ultralong lubrication life of 432 000 cycles (equal to 2160 m). Meanwhile, the maximum average contact pressure reaches 711.9 MPa. The in‐situ formed special tribofilms enriched with heterojunction and homojunction nanosheets effectively reduce the shear strength under boundary lubrication. Notably, the ultralow shear strength at the Mo</w:t>
      </w:r>
      <w:r>
        <w:rPr>
          <w:vertAlign w:val="subscript"/>
        </w:rPr>
        <w:t>2</w:t>
      </w:r>
      <w:r>
        <w:t>C‐O/EG solid–liquid interface and the unique pressure‐responsive lubrication properties of EG molecules which leads to the formation of short‐range‐ordered structures are also crucial for achieving superlubricity. This study provides a new perspective for designing novel solid–liquid synergistic superlubricity systems by utilizing heterojunction nanomaterial and has great potential for application in industrial lubrication.</w:t>
      </w:r>
    </w:p>
    <w:p>
      <w:pPr>
        <w:spacing w:before="120" w:after="120"/>
      </w:pPr>
      <w:r>
        <w:rPr>
          <w:sz w:val="18"/>
        </w:rPr>
        <w:t>——————————————————————————————————————————————————————————————————————</w:t>
      </w:r>
    </w:p>
    <w:p>
      <w:pPr>
        <w:spacing w:before="160" w:after="40" w:line="240" w:lineRule="auto"/>
      </w:pPr>
      <w:r>
        <w:rPr>
          <w:b/>
        </w:rPr>
        <w:t xml:space="preserve">[140] </w:t>
      </w:r>
      <w:hyperlink r:id="rId810">
        <w:r>
          <w:rPr>
            <w:color w:val="1155CC"/>
            <w:u w:val="single"/>
          </w:rPr>
          <w:t>通过量子几何稳定的自旋三重态配对维格纳晶体</w:t>
        </w:r>
      </w:hyperlink>
    </w:p>
    <w:p>
      <w:pPr>
        <w:spacing w:before="0" w:after="80"/>
      </w:pPr>
      <w:r>
        <w:rPr>
          <w:i/>
          <w:sz w:val="20"/>
        </w:rPr>
        <w:t>EN: Spin-Triplet Paired Wigner Crystal Stabilized by Quantum Geometry</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11">
        <w:r>
          <w:rPr>
            <w:color w:val="1155CC"/>
            <w:u w:val="single"/>
          </w:rPr>
          <w:t>10.1103/ksxq-1l4q</w:t>
        </w:r>
      </w:hyperlink>
    </w:p>
    <w:p>
      <w:pPr>
        <w:spacing w:before="0" w:after="120"/>
      </w:pPr>
      <w:r>
        <w:rPr>
          <w:b/>
        </w:rPr>
        <w:t xml:space="preserve">Notes: </w:t>
      </w:r>
      <w:r>
        <w:t>abstract_source=rss_description</w:t>
      </w:r>
    </w:p>
    <w:p>
      <w:pPr>
        <w:spacing w:before="0" w:after="80" w:lineRule="auto" w:line="276"/>
      </w:pPr>
      <w:r>
        <w:rPr>
          <w:b/>
        </w:rPr>
        <w:t xml:space="preserve">摘要（ZH）: </w:t>
      </w:r>
      <w:r>
        <w:t>作者：Dmitry Zverevich、Alex Levchenko 和 Ilya Esterlis 我们使用变分态来分析能带几何结构对每个晶胞有 1 个和 2 个电子的二维维格纳晶体的影响。在足够低的电子密度下，我们发现贝里曲率的增加会驱动转变为由自旋三重组成的晶态……[物理。莱特牧师。 137, 036506] 发表于 2026 年 7 月 17 日星期五</w:t>
      </w:r>
    </w:p>
    <w:p>
      <w:pPr>
        <w:spacing w:before="0" w:after="200" w:lineRule="auto" w:line="276"/>
      </w:pPr>
      <w:r>
        <w:rPr>
          <w:b/>
        </w:rPr>
        <w:t xml:space="preserve">Abstract (EN): </w:t>
      </w:r>
      <w:r>
        <w:t>Author(s): Dmitry Zverevich, Alex Levchenko, and Ilya EsterlisWe have used variational states to analyze the effects of band geometry on the two-dimensional Wigner crystal with one and two electrons per unit cell. At sufficiently low electron densities, we find that increasing Berry curvature drives a transition into a crystalline state composed of spin-triple…[Phys. Rev. Lett. 137, 036506] Published Fri Jul 17, 2026</w:t>
      </w:r>
    </w:p>
    <w:p>
      <w:pPr>
        <w:spacing w:before="120" w:after="120"/>
      </w:pPr>
      <w:r>
        <w:rPr>
          <w:sz w:val="18"/>
        </w:rPr>
        <w:t>——————————————————————————————————————————————————————————————————————</w:t>
      </w:r>
    </w:p>
    <w:p>
      <w:pPr>
        <w:spacing w:before="160" w:after="40" w:line="240" w:lineRule="auto"/>
      </w:pPr>
      <w:r>
        <w:rPr>
          <w:b/>
        </w:rPr>
        <w:t xml:space="preserve">[141] </w:t>
      </w:r>
      <w:hyperlink r:id="rId812">
        <w:r>
          <w:rPr>
            <w:color w:val="1155CC"/>
            <w:u w:val="single"/>
          </w:rPr>
          <w:t>振荡玻色子星的周期性引力透镜</w:t>
        </w:r>
      </w:hyperlink>
    </w:p>
    <w:p>
      <w:pPr>
        <w:spacing w:before="0" w:after="80"/>
      </w:pPr>
      <w:r>
        <w:rPr>
          <w:i/>
          <w:sz w:val="20"/>
        </w:rPr>
        <w:t>EN: Periodic Gravitational Lensing with Oscillating Boson Stars</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13">
        <w:r>
          <w:rPr>
            <w:color w:val="1155CC"/>
            <w:u w:val="single"/>
          </w:rPr>
          <w:t>10.1103/6w3p-8ym2</w:t>
        </w:r>
      </w:hyperlink>
    </w:p>
    <w:p>
      <w:pPr>
        <w:spacing w:before="0" w:after="120"/>
      </w:pPr>
      <w:r>
        <w:rPr>
          <w:b/>
        </w:rPr>
        <w:t xml:space="preserve">Notes: </w:t>
      </w:r>
      <w:r>
        <w:t>abstract_source=rss_description</w:t>
      </w:r>
    </w:p>
    <w:p>
      <w:pPr>
        <w:spacing w:before="0" w:after="80" w:lineRule="auto" w:line="276"/>
      </w:pPr>
      <w:r>
        <w:rPr>
          <w:b/>
        </w:rPr>
        <w:t xml:space="preserve">摘要（ZH）: </w:t>
      </w:r>
      <w:r>
        <w:t>作者：杨星宇、陈坦和蔡荣根 我们证明，振荡（实标量）玻色子星通常具有振荡径向焦散。靠近该焦散的光源每半个周期就会穿过它，从而产生周期性的焦散交叉透镜。由此产生的可观测值被锁相到透镜振荡：图像对创建或安…[物理。莱特牧师。 137, 031403] 发表于 2026 年 7 月 17 日星期五</w:t>
      </w:r>
    </w:p>
    <w:p>
      <w:pPr>
        <w:spacing w:before="0" w:after="200" w:lineRule="auto" w:line="276"/>
      </w:pPr>
      <w:r>
        <w:rPr>
          <w:b/>
        </w:rPr>
        <w:t xml:space="preserve">Abstract (EN): </w:t>
      </w:r>
      <w:r>
        <w:t>Author(s): Xing-Yu Yang (杨星宇), Tan Chen (陈坦), and Rong-Gen Cai (蔡荣根)We show that oscillating (real-scalar) boson stars generically host an oscillating radial caustic. Sources near this caustic cross it every half period, thereby producing periodic caustic-crossing lensing. The resulting observables are phase locked to the lens oscillation: image-pair creation or ann…[Phys. Rev. Lett. 137, 031403] Published Fri Jul 17, 2026</w:t>
      </w:r>
    </w:p>
    <w:p>
      <w:pPr>
        <w:spacing w:before="120" w:after="120"/>
      </w:pPr>
      <w:r>
        <w:rPr>
          <w:sz w:val="18"/>
        </w:rPr>
        <w:t>——————————————————————————————————————————————————————————————————————</w:t>
      </w:r>
    </w:p>
    <w:p>
      <w:pPr>
        <w:spacing w:before="160" w:after="40" w:line="240" w:lineRule="auto"/>
      </w:pPr>
      <w:r>
        <w:rPr>
          <w:b/>
        </w:rPr>
        <w:t xml:space="preserve">[142] </w:t>
      </w:r>
      <w:hyperlink r:id="rId814">
        <w:r>
          <w:rPr>
            <w:color w:val="1155CC"/>
            <w:u w:val="single"/>
          </w:rPr>
          <w:t>建议解决 $^{208}\mathrm{Pb}$ 中 ${0}_{1}^{+}→{2}_{1}^{+}$ 四极跃迁的异常强度</w:t>
        </w:r>
      </w:hyperlink>
    </w:p>
    <w:p>
      <w:pPr>
        <w:spacing w:before="0" w:after="80"/>
      </w:pPr>
      <w:r>
        <w:rPr>
          <w:i/>
          <w:sz w:val="20"/>
        </w:rPr>
        <w:t>EN: Proposed resolution of the anomalous strength in the ${0}_{1}^{+}→{2}_{1}^{+}$ quadrupole transition in $^{208}\mathrm{Pb}$</w:t>
      </w:r>
    </w:p>
    <w:p>
      <w:pPr>
        <w:spacing w:before="0" w:after="120"/>
      </w:pPr>
      <w:r>
        <w:rPr>
          <w:b/>
        </w:rPr>
        <w:t xml:space="preserve">Source: </w:t>
      </w:r>
      <w:r>
        <w:t>Recent Articles in Phys. Rev. C</w:t>
      </w:r>
      <w:r>
        <w:t xml:space="preserve">    </w:t>
      </w:r>
      <w:r>
        <w:rPr>
          <w:b/>
        </w:rPr>
        <w:t xml:space="preserve">Pub date: </w:t>
      </w:r>
      <w:r>
        <w:t>2026-07-17 10:00:00+00:00</w:t>
      </w:r>
      <w:r>
        <w:t xml:space="preserve">    </w:t>
      </w:r>
      <w:r>
        <w:rPr>
          <w:b/>
        </w:rPr>
        <w:t xml:space="preserve">DOI: </w:t>
      </w:r>
      <w:hyperlink r:id="rId815">
        <w:r>
          <w:rPr>
            <w:color w:val="1155CC"/>
            <w:u w:val="single"/>
          </w:rPr>
          <w:t>10.1103/lxhy-wtr3</w:t>
        </w:r>
      </w:hyperlink>
    </w:p>
    <w:p>
      <w:pPr>
        <w:spacing w:before="0" w:after="120"/>
      </w:pPr>
      <w:r>
        <w:rPr>
          <w:b/>
        </w:rPr>
        <w:t xml:space="preserve">Notes: </w:t>
      </w:r>
      <w:r>
        <w:t>abstract_source=rss_description</w:t>
      </w:r>
    </w:p>
    <w:p>
      <w:pPr>
        <w:spacing w:before="0" w:after="80" w:lineRule="auto" w:line="276"/>
      </w:pPr>
      <w:r>
        <w:rPr>
          <w:b/>
        </w:rPr>
        <w:t xml:space="preserve">摘要（ZH）: </w:t>
      </w:r>
      <w:r>
        <w:t>作者：G. Singh、N. Keeley 和 K. W. Kemper$^{12}\mathrm{C}$ 在入射能量为 98 MeV 时从 $^{208}\mathrm{Pb}$ 发生非弹性散射，表现出一种奇怪的异常现象。而填充 4.086-MeV ${2}_{1}^{+}$ 水平 $^{208}\mathrm{Pb}$ 的角分布形状可以通过扭曲波玻恩近似很好地再现…[Phys. Rev. C 114, 014625] 2026 年 7 月 17 日星期五发布</w:t>
      </w:r>
    </w:p>
    <w:p>
      <w:pPr>
        <w:spacing w:before="0" w:after="200" w:lineRule="auto" w:line="276"/>
      </w:pPr>
      <w:r>
        <w:rPr>
          <w:b/>
        </w:rPr>
        <w:t xml:space="preserve">Abstract (EN): </w:t>
      </w:r>
      <w:r>
        <w:t>Author(s): G. Singh, N. Keeley, and K. W. KemperThe inelastic scattering of $^{12}\mathrm{C}$ from $^{208}\mathrm{Pb}$ at an incident energy of 98 MeV exhibits a curious anomaly. While the shape of the angular distribution for populating the 4.086-MeV ${2}_{1}^{+}$ level of $^{208}\mathrm{Pb}$ is well reproduced by distorted wave Born approximati…[Phys. Rev. C 114, 014625] Published Fri Jul 17, 2026</w:t>
      </w:r>
    </w:p>
    <w:p>
      <w:pPr>
        <w:spacing w:before="120" w:after="120"/>
      </w:pPr>
      <w:r>
        <w:rPr>
          <w:sz w:val="18"/>
        </w:rPr>
        <w:t>——————————————————————————————————————————————————————————————————————</w:t>
      </w:r>
    </w:p>
    <w:p>
      <w:pPr>
        <w:spacing w:before="160" w:after="40" w:line="240" w:lineRule="auto"/>
      </w:pPr>
      <w:r>
        <w:rPr>
          <w:b/>
        </w:rPr>
        <w:t xml:space="preserve">[143] </w:t>
      </w:r>
      <w:hyperlink r:id="rId816">
        <w:r>
          <w:rPr>
            <w:color w:val="1155CC"/>
            <w:u w:val="single"/>
          </w:rPr>
          <w:t>费米子哈伯德气体中的干扰和短程关联</w:t>
        </w:r>
      </w:hyperlink>
    </w:p>
    <w:p>
      <w:pPr>
        <w:spacing w:before="0" w:after="80"/>
      </w:pPr>
      <w:r>
        <w:rPr>
          <w:i/>
          <w:sz w:val="20"/>
        </w:rPr>
        <w:t>EN: Interference and Short-Range Correlation in Fermionic Hubbard Gases</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17">
        <w:r>
          <w:rPr>
            <w:color w:val="1155CC"/>
            <w:u w:val="single"/>
          </w:rPr>
          <w:t>10.1103/hjpy-sx8w</w:t>
        </w:r>
      </w:hyperlink>
    </w:p>
    <w:p>
      <w:pPr>
        <w:spacing w:before="0" w:after="120"/>
      </w:pPr>
      <w:r>
        <w:rPr>
          <w:b/>
        </w:rPr>
        <w:t xml:space="preserve">Notes: </w:t>
      </w:r>
      <w:r>
        <w:t>abstract_source=rss_description</w:t>
      </w:r>
    </w:p>
    <w:p>
      <w:pPr>
        <w:spacing w:before="0" w:after="80" w:lineRule="auto" w:line="276"/>
      </w:pPr>
      <w:r>
        <w:rPr>
          <w:b/>
        </w:rPr>
        <w:t xml:space="preserve">摘要（ZH）: </w:t>
      </w:r>
      <w:r>
        <w:t>作者：Yan-Song Zhu、Hou-Ji Shao、Yu-Xuan Wang、De-Zhi Zhu、Hao-Nan Sun、Si-Yuan Chen、Chi Zhang、Xing-Can Yao、Yu-Ao Chen 和 Jia-Wei Pan 从光学晶格弹道膨胀后观察到的超冷原子的干涉​​图案编码了强相关晶格系统的基本信息，包括相位相干性和非局域相关性。虽然晶格玻色子的干涉已被广泛研究……[物理。莱特牧师。 137, 033401] 发表于 2026 年 7 月 17 日星期五</w:t>
      </w:r>
    </w:p>
    <w:p>
      <w:pPr>
        <w:spacing w:before="0" w:after="200" w:lineRule="auto" w:line="276"/>
      </w:pPr>
      <w:r>
        <w:rPr>
          <w:b/>
        </w:rPr>
        <w:t xml:space="preserve">Abstract (EN): </w:t>
      </w:r>
      <w:r>
        <w:t>Author(s): Yan-Song Zhu, Hou-Ji Shao, Yu-Xuan Wang, De-Zhi Zhu, Hao-Nan Sun, Si-Yuan Chen, Chi Zhang, Xing-Can Yao, Yu-Ao Chen, and Jian-Wei PanThe interference patterns of ultracold atoms, observed after ballistic expansion from optical lattices, encode essential information about strongly correlated lattice systems, including phase coherence and nonlocal correlations. While the interference of lattice bosons has been extensively investiga…[Phys. Rev. Lett. 137, 033401] Published Fri Jul 17, 2026</w:t>
      </w:r>
    </w:p>
    <w:p>
      <w:pPr>
        <w:spacing w:before="120" w:after="120"/>
      </w:pPr>
      <w:r>
        <w:rPr>
          <w:sz w:val="18"/>
        </w:rPr>
        <w:t>——————————————————————————————————————————————————————————————————————</w:t>
      </w:r>
    </w:p>
    <w:p>
      <w:pPr>
        <w:spacing w:before="160" w:after="40" w:line="240" w:lineRule="auto"/>
      </w:pPr>
      <w:r>
        <w:rPr>
          <w:b/>
        </w:rPr>
        <w:t xml:space="preserve">[144] </w:t>
      </w:r>
      <w:hyperlink r:id="rId818">
        <w:r>
          <w:rPr>
            <w:color w:val="1155CC"/>
            <w:u w:val="single"/>
          </w:rPr>
          <w:t>使用 HST 和 JWST 成像识别出反冲超大质量黑洞 RBH-1 的前身</w:t>
        </w:r>
      </w:hyperlink>
    </w:p>
    <w:p>
      <w:pPr>
        <w:spacing w:before="0" w:after="80"/>
      </w:pPr>
      <w:r>
        <w:rPr>
          <w:i/>
          <w:sz w:val="20"/>
        </w:rPr>
        <w:t>EN: Progenitor of the Recoiling Supermassive Black Hole RBH-1 Identified Using HST and JWST Imaging</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19">
        <w:r>
          <w:rPr>
            <w:color w:val="1155CC"/>
            <w:u w:val="single"/>
          </w:rPr>
          <w:t>10.1103/fm3n-sy3f</w:t>
        </w:r>
      </w:hyperlink>
    </w:p>
    <w:p>
      <w:pPr>
        <w:spacing w:before="0" w:after="120"/>
      </w:pPr>
      <w:r>
        <w:rPr>
          <w:b/>
        </w:rPr>
        <w:t xml:space="preserve">Notes: </w:t>
      </w:r>
      <w:r>
        <w:t>abstract_source=rss_description</w:t>
      </w:r>
    </w:p>
    <w:p>
      <w:pPr>
        <w:spacing w:before="0" w:after="80" w:lineRule="auto" w:line="276"/>
      </w:pPr>
      <w:r>
        <w:rPr>
          <w:b/>
        </w:rPr>
        <w:t xml:space="preserve">摘要（ZH）: </w:t>
      </w:r>
      <w:r>
        <w:t>作者：Tousif Islam、Tejaswi Venumadhav 和 Digvijay Wadekar最近结合哈勃太空望远镜和詹姆斯·韦伯太空望远镜成像，发现了一个失控的超大质量黑洞，推断速度为 ${954}_{−126}^{+110}\text{ }\text{ }\mathrm{km}\text{ }{\mathrm{s}}^{−1}$，可能是从位于…[Phys.莱特牧师。 137, 031404] 发表于 2026 年 7 月 17 日星期五</w:t>
      </w:r>
    </w:p>
    <w:p>
      <w:pPr>
        <w:spacing w:before="0" w:after="200" w:lineRule="auto" w:line="276"/>
      </w:pPr>
      <w:r>
        <w:rPr>
          <w:b/>
        </w:rPr>
        <w:t xml:space="preserve">Abstract (EN): </w:t>
      </w:r>
      <w:r>
        <w:t>Author(s): Tousif Islam, Tejaswi Venumadhav, and Digvijay WadekarUsing a combination of Hubble Space Telescope and James Webb Space Telescope imaging, a runaway supermassive black hole was recently identified with an inferred velocity of ${954}_{−126}^{+110}\text{ }\text{ }\mathrm{km}\text{ }{\mathrm{s}}^{−1}$, likely ejected from a compact star-forming galaxy at…[Phys. Rev. Lett. 137, 031404] Published Fri Jul 17, 2026</w:t>
      </w:r>
    </w:p>
    <w:p>
      <w:pPr>
        <w:spacing w:before="120" w:after="120"/>
      </w:pPr>
      <w:r>
        <w:rPr>
          <w:sz w:val="18"/>
        </w:rPr>
        <w:t>——————————————————————————————————————————————————————————————————————</w:t>
      </w:r>
    </w:p>
    <w:p>
      <w:pPr>
        <w:spacing w:before="160" w:after="40" w:line="240" w:lineRule="auto"/>
      </w:pPr>
      <w:r>
        <w:rPr>
          <w:b/>
        </w:rPr>
        <w:t xml:space="preserve">[145] </w:t>
      </w:r>
      <w:hyperlink r:id="rId820">
        <w:r>
          <w:rPr>
            <w:color w:val="1155CC"/>
            <w:u w:val="single"/>
          </w:rPr>
          <w:t>孤立量子系统中宏观平衡的时间尺度：自由费米子的严格推导</w:t>
        </w:r>
      </w:hyperlink>
    </w:p>
    <w:p>
      <w:pPr>
        <w:spacing w:before="0" w:after="80"/>
      </w:pPr>
      <w:r>
        <w:rPr>
          <w:i/>
          <w:sz w:val="20"/>
        </w:rPr>
        <w:t>EN: Timescale for Macroscopic Equilibration in Isolated Quantum Systems: A Rigorous Derivation for Free Fermions</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21">
        <w:r>
          <w:rPr>
            <w:color w:val="1155CC"/>
            <w:u w:val="single"/>
          </w:rPr>
          <w:t>10.1103/xxxk-y6yp</w:t>
        </w:r>
      </w:hyperlink>
    </w:p>
    <w:p>
      <w:pPr>
        <w:spacing w:before="0" w:after="120"/>
      </w:pPr>
      <w:r>
        <w:rPr>
          <w:b/>
        </w:rPr>
        <w:t xml:space="preserve">Notes: </w:t>
      </w:r>
      <w:r>
        <w:t>abstract_source=rss_description</w:t>
      </w:r>
    </w:p>
    <w:p>
      <w:pPr>
        <w:spacing w:before="0" w:after="80" w:lineRule="auto" w:line="276"/>
      </w:pPr>
      <w:r>
        <w:rPr>
          <w:b/>
        </w:rPr>
        <w:t xml:space="preserve">摘要（ZH）: </w:t>
      </w:r>
      <w:r>
        <w:t>作者：Takashi Hara 和 Tatsuhiko Koike 对于 $d$ 维 $L×⋯×L$ 超立方晶格上的一类平移不变自由费米子系统（包括具有均匀最近邻跳跃的系统），我们证明，从任意纯初始状态开始，系统在…[Phys.莱特牧师。 137, 030406] 发表于 2026 年 7 月 17 日星期五</w:t>
      </w:r>
    </w:p>
    <w:p>
      <w:pPr>
        <w:spacing w:before="0" w:after="200" w:lineRule="auto" w:line="276"/>
      </w:pPr>
      <w:r>
        <w:rPr>
          <w:b/>
        </w:rPr>
        <w:t xml:space="preserve">Abstract (EN): </w:t>
      </w:r>
      <w:r>
        <w:t>Author(s): Takashi Hara and Tatsuhiko KoikeFor a class of translation-invariant free-fermion systems including those with uniform nearest-neighbor hopping) on a $d$-dimensional $L×⋯×L$ hypercubic lattice, we prove that, starting from an arbitrary pure initial state, the system equilibrates with respect to the coarse-grained density within a …[Phys. Rev. Lett. 137, 030406] Published Fri Jul 17, 2026</w:t>
      </w:r>
    </w:p>
    <w:p>
      <w:pPr>
        <w:spacing w:before="120" w:after="120"/>
      </w:pPr>
      <w:r>
        <w:rPr>
          <w:sz w:val="18"/>
        </w:rPr>
        <w:t>——————————————————————————————————————————————————————————————————————</w:t>
      </w:r>
    </w:p>
    <w:p>
      <w:pPr>
        <w:spacing w:before="160" w:after="40" w:line="240" w:lineRule="auto"/>
      </w:pPr>
      <w:r>
        <w:rPr>
          <w:b/>
        </w:rPr>
        <w:t xml:space="preserve">[146] </w:t>
      </w:r>
      <w:hyperlink r:id="rId822">
        <w:r>
          <w:rPr>
            <w:color w:val="1155CC"/>
            <w:u w:val="single"/>
          </w:rPr>
          <w:t>协变手性有效场理论中电荷依赖性核子-核子势</w:t>
        </w:r>
      </w:hyperlink>
    </w:p>
    <w:p>
      <w:pPr>
        <w:spacing w:before="0" w:after="80"/>
      </w:pPr>
      <w:r>
        <w:rPr>
          <w:i/>
          <w:sz w:val="20"/>
        </w:rPr>
        <w:t>EN: Charge-dependent nucleon-nucleon potentials in covariant chiral effective field theory</w:t>
      </w:r>
    </w:p>
    <w:p>
      <w:pPr>
        <w:spacing w:before="0" w:after="120"/>
      </w:pPr>
      <w:r>
        <w:rPr>
          <w:b/>
        </w:rPr>
        <w:t xml:space="preserve">Source: </w:t>
      </w:r>
      <w:r>
        <w:t>Recent Articles in Phys. Rev. C</w:t>
      </w:r>
      <w:r>
        <w:t xml:space="preserve">    </w:t>
      </w:r>
      <w:r>
        <w:rPr>
          <w:b/>
        </w:rPr>
        <w:t xml:space="preserve">Pub date: </w:t>
      </w:r>
      <w:r>
        <w:t>2026-07-17 10:00:00+00:00</w:t>
      </w:r>
      <w:r>
        <w:t xml:space="preserve">    </w:t>
      </w:r>
      <w:r>
        <w:rPr>
          <w:b/>
        </w:rPr>
        <w:t xml:space="preserve">DOI: </w:t>
      </w:r>
      <w:hyperlink r:id="rId823">
        <w:r>
          <w:rPr>
            <w:color w:val="1155CC"/>
            <w:u w:val="single"/>
          </w:rPr>
          <w:t>10.1103/85cd-6gzn</w:t>
        </w:r>
      </w:hyperlink>
    </w:p>
    <w:p>
      <w:pPr>
        <w:spacing w:before="0" w:after="120"/>
      </w:pPr>
      <w:r>
        <w:rPr>
          <w:b/>
        </w:rPr>
        <w:t xml:space="preserve">Notes: </w:t>
      </w:r>
      <w:r>
        <w:t>abstract_source=rss_description</w:t>
      </w:r>
    </w:p>
    <w:p>
      <w:pPr>
        <w:spacing w:before="0" w:after="80" w:lineRule="auto" w:line="276"/>
      </w:pPr>
      <w:r>
        <w:rPr>
          <w:b/>
        </w:rPr>
        <w:t xml:space="preserve">摘要（ZH）: </w:t>
      </w:r>
      <w:r>
        <w:t>作者：肖阳、陆俊旭、宋春燕和耿立生电荷依赖性核子-核子$(NN)$相互作用在理解核结构和反应问题中起着至关重要的作用。在这项工作中，我们探索了协变手性有效场理论中电荷依赖性 $NN$ 相互作用。通过结合同位旋破坏的贡献，w……[物理。 Rev. C 114, 014002] 2026 年 7 月 17 日星期五发布</w:t>
      </w:r>
    </w:p>
    <w:p>
      <w:pPr>
        <w:spacing w:before="0" w:after="200" w:lineRule="auto" w:line="276"/>
      </w:pPr>
      <w:r>
        <w:rPr>
          <w:b/>
        </w:rPr>
        <w:t xml:space="preserve">Abstract (EN): </w:t>
      </w:r>
      <w:r>
        <w:t>Author(s): Yang Xiao, Jun-Xu Lu, Chun-Yan Song, and Li-Sheng GengThe charge-dependent nucleon-nucleon $(NN)$ interaction plays a crucial role in understanding the nuclear structure and reaction problems. In this work, we explore the charge-dependent $NN$ interaction in covariant chiral effective field theory. By incorporating the isospin-breaking contributions, w…[Phys. Rev. C 114, 014002] Published Fri Jul 17, 2026</w:t>
      </w:r>
    </w:p>
    <w:p>
      <w:pPr>
        <w:spacing w:before="120" w:after="120"/>
      </w:pPr>
      <w:r>
        <w:rPr>
          <w:sz w:val="18"/>
        </w:rPr>
        <w:t>——————————————————————————————————————————————————————————————————————</w:t>
      </w:r>
    </w:p>
    <w:p>
      <w:pPr>
        <w:spacing w:before="160" w:after="40" w:line="240" w:lineRule="auto"/>
      </w:pPr>
      <w:r>
        <w:rPr>
          <w:b/>
        </w:rPr>
        <w:t xml:space="preserve">[147] </w:t>
      </w:r>
      <w:hyperlink r:id="rId824">
        <w:r>
          <w:rPr>
            <w:color w:val="1155CC"/>
            <w:u w:val="single"/>
          </w:rPr>
          <w:t>$\mathrm{SU}(N)$对称两通道近藤晶格模型中的反铁磁性和条纹通道顺序</w:t>
        </w:r>
      </w:hyperlink>
    </w:p>
    <w:p>
      <w:pPr>
        <w:spacing w:before="0" w:after="80"/>
      </w:pPr>
      <w:r>
        <w:rPr>
          <w:i/>
          <w:sz w:val="20"/>
        </w:rPr>
        <w:t>EN: Antiferromagnetism and Stripe Channel Order in the $\mathrm{SU}(N)$-Symmetric Two-Channel Kondo Lattice Model</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25">
        <w:r>
          <w:rPr>
            <w:color w:val="1155CC"/>
            <w:u w:val="single"/>
          </w:rPr>
          <w:t>10.1103/n715-5r2y</w:t>
        </w:r>
      </w:hyperlink>
    </w:p>
    <w:p>
      <w:pPr>
        <w:spacing w:before="0" w:after="120"/>
      </w:pPr>
      <w:r>
        <w:rPr>
          <w:b/>
        </w:rPr>
        <w:t xml:space="preserve">Notes: </w:t>
      </w:r>
      <w:r>
        <w:t>abstract_source=rss_description</w:t>
      </w:r>
    </w:p>
    <w:p>
      <w:pPr>
        <w:spacing w:before="0" w:after="80" w:lineRule="auto" w:line="276"/>
      </w:pPr>
      <w:r>
        <w:rPr>
          <w:b/>
        </w:rPr>
        <w:t xml:space="preserve">摘要（ZH）: </w:t>
      </w:r>
      <w:r>
        <w:t>作者：Elyasaf Y. Cohen、Fakher F. Assaad 和 Snir Gazit 我们对半填充时的方形晶格 $\mathrm{SU}(N)$ 对称双通道 Kondo 晶格模型进行了大规模、无符号问题行列式量子蒙特卡罗模拟。我们绘制了 $N=2$、4、6 和 8 的零温度相图，作为近藤耦合强度的函数......[物理。莱特牧师。 137, 036504] 发表于 2026 年 7 月 17 日星期五</w:t>
      </w:r>
    </w:p>
    <w:p>
      <w:pPr>
        <w:spacing w:before="0" w:after="200" w:lineRule="auto" w:line="276"/>
      </w:pPr>
      <w:r>
        <w:rPr>
          <w:b/>
        </w:rPr>
        <w:t xml:space="preserve">Abstract (EN): </w:t>
      </w:r>
      <w:r>
        <w:t>Author(s): Elyasaf Y. Cohen, Fakher F. Assaad, and Snir GazitWe carry out large-scale, sign-problem-free determinant quantum Monte Carlo simulations of the square lattice $\mathrm{SU}(N)$-symmetric two-channel Kondo lattice model at half-filling. We map out the zero-temperature phase diagram for $N=2$, 4, 6, and 8, as a function of the Kondo coupling strength…[Phys. Rev. Lett. 137, 036504] Published Fri Jul 17, 2026</w:t>
      </w:r>
    </w:p>
    <w:p>
      <w:pPr>
        <w:spacing w:before="120" w:after="120"/>
      </w:pPr>
      <w:r>
        <w:rPr>
          <w:sz w:val="18"/>
        </w:rPr>
        <w:t>——————————————————————————————————————————————————————————————————————</w:t>
      </w:r>
    </w:p>
    <w:p>
      <w:pPr>
        <w:spacing w:before="160" w:after="40" w:line="240" w:lineRule="auto"/>
      </w:pPr>
      <w:r>
        <w:rPr>
          <w:b/>
        </w:rPr>
        <w:t xml:space="preserve">[148] </w:t>
      </w:r>
      <w:hyperlink r:id="rId826">
        <w:r>
          <w:rPr>
            <w:color w:val="1155CC"/>
            <w:u w:val="single"/>
          </w:rPr>
          <w:t>Skyrme Hartree-Fock-Bogoliubov 方法中汞同位素的结构演化</w:t>
        </w:r>
      </w:hyperlink>
    </w:p>
    <w:p>
      <w:pPr>
        <w:spacing w:before="0" w:after="80"/>
      </w:pPr>
      <w:r>
        <w:rPr>
          <w:i/>
          <w:sz w:val="20"/>
        </w:rPr>
        <w:t>EN: Structural evolution in Hg isotopes within Skyrme Hartree-Fock-Bogoliubov approach</w:t>
      </w:r>
    </w:p>
    <w:p>
      <w:pPr>
        <w:spacing w:before="0" w:after="120"/>
      </w:pPr>
      <w:r>
        <w:rPr>
          <w:b/>
        </w:rPr>
        <w:t xml:space="preserve">Source: </w:t>
      </w:r>
      <w:r>
        <w:t>Recent Articles in Phys. Rev. C</w:t>
      </w:r>
      <w:r>
        <w:t xml:space="preserve">    </w:t>
      </w:r>
      <w:r>
        <w:rPr>
          <w:b/>
        </w:rPr>
        <w:t xml:space="preserve">Pub date: </w:t>
      </w:r>
      <w:r>
        <w:t>2026-07-17 10:00:00+00:00</w:t>
      </w:r>
      <w:r>
        <w:t xml:space="preserve">    </w:t>
      </w:r>
      <w:r>
        <w:rPr>
          <w:b/>
        </w:rPr>
        <w:t xml:space="preserve">DOI: </w:t>
      </w:r>
      <w:hyperlink r:id="rId827">
        <w:r>
          <w:rPr>
            <w:color w:val="1155CC"/>
            <w:u w:val="single"/>
          </w:rPr>
          <w:t>10.1103/q1gx-c2dz</w:t>
        </w:r>
      </w:hyperlink>
    </w:p>
    <w:p>
      <w:pPr>
        <w:spacing w:before="0" w:after="120"/>
      </w:pPr>
      <w:r>
        <w:rPr>
          <w:b/>
        </w:rPr>
        <w:t xml:space="preserve">Notes: </w:t>
      </w:r>
      <w:r>
        <w:t>abstract_source=rss_description</w:t>
      </w:r>
    </w:p>
    <w:p>
      <w:pPr>
        <w:spacing w:before="0" w:after="80" w:lineRule="auto" w:line="276"/>
      </w:pPr>
      <w:r>
        <w:rPr>
          <w:b/>
        </w:rPr>
        <w:t xml:space="preserve">摘要（ZH）: </w:t>
      </w:r>
      <w:r>
        <w:t>作者：Nithu Ashok 和 M. Bhuyan 使用 UNEDF2 能量密度泛函，在 Skyrme Hartree-Fock-Bogoliubov (SHFB) 框架内对质量数 $A=174$–266 的汞 (Hg) 同位素的结构演化进行了详细研究。该研究涵盖了大量核特性，例如结合能……[物理学。 Rev. C 114, 014323] 2026 年 7 月 17 日星期五发布</w:t>
      </w:r>
    </w:p>
    <w:p>
      <w:pPr>
        <w:spacing w:before="0" w:after="200" w:lineRule="auto" w:line="276"/>
      </w:pPr>
      <w:r>
        <w:rPr>
          <w:b/>
        </w:rPr>
        <w:t xml:space="preserve">Abstract (EN): </w:t>
      </w:r>
      <w:r>
        <w:t>Author(s): Nithu Ashok and M. BhuyanA detailed investigation of the structural evolution of mercury (Hg) isotopes with mass numbers $A=174$–266 is carried out within the Skyrme Hartree-Fock-Bogoliubov (SHFB) framework using the UNEDF2 energy density functional. The study encompasses both bulk nuclear properties, such as binding energi…[Phys. Rev. C 114, 014323] Published Fri Jul 17, 2026</w:t>
      </w:r>
    </w:p>
    <w:p>
      <w:pPr>
        <w:spacing w:before="120" w:after="120"/>
      </w:pPr>
      <w:r>
        <w:rPr>
          <w:sz w:val="18"/>
        </w:rPr>
        <w:t>——————————————————————————————————————————————————————————————————————</w:t>
      </w:r>
    </w:p>
    <w:p>
      <w:pPr>
        <w:spacing w:before="160" w:after="40" w:line="240" w:lineRule="auto"/>
      </w:pPr>
      <w:r>
        <w:rPr>
          <w:b/>
        </w:rPr>
        <w:t xml:space="preserve">[149] </w:t>
      </w:r>
      <w:hyperlink r:id="rId828">
        <w:r>
          <w:rPr>
            <w:color w:val="1155CC"/>
            <w:u w:val="single"/>
          </w:rPr>
          <w:t>利用自旋纹理动力学实现低噪声、高灵敏度磁传感器</w:t>
        </w:r>
      </w:hyperlink>
    </w:p>
    <w:p>
      <w:pPr>
        <w:spacing w:before="0" w:after="80"/>
      </w:pPr>
      <w:r>
        <w:rPr>
          <w:i/>
          <w:sz w:val="20"/>
        </w:rPr>
        <w:t>EN: Harnessing Spin-Texture Dynamics for Low-Noise, High-Sensitivity Magnetic Sensors</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29">
        <w:r>
          <w:rPr>
            <w:color w:val="1155CC"/>
            <w:u w:val="single"/>
          </w:rPr>
          <w:t>10.1103/vf43-sxwq</w:t>
        </w:r>
      </w:hyperlink>
    </w:p>
    <w:p>
      <w:pPr>
        <w:spacing w:before="0" w:after="120"/>
      </w:pPr>
      <w:r>
        <w:rPr>
          <w:b/>
        </w:rPr>
        <w:t xml:space="preserve">Notes: </w:t>
      </w:r>
      <w:r>
        <w:t>abstract_source=rss_description</w:t>
      </w:r>
    </w:p>
    <w:p>
      <w:pPr>
        <w:spacing w:before="0" w:after="80" w:lineRule="auto" w:line="276"/>
      </w:pPr>
      <w:r>
        <w:rPr>
          <w:b/>
        </w:rPr>
        <w:t xml:space="preserve">摘要（ZH）: </w:t>
      </w:r>
      <w:r>
        <w:t>作者：Kang Wang、Teng Xu、Meng Shi、Xinyang Sun、Yizhou Liu、Huali Yang、Run-Wei Li 和 Haifeng Du 低噪声、高灵敏度磁传感器的开发对于汽车系统、生物医学成像和磁显微镜等应用至关重要。然而，传感器性能长期以来一直受到噪声和灵敏度随之增加的基本限制的阻碍，这......[Phys。莱特牧师。 137, 036705] 发表于 2026 年 7 月 17 日星期五</w:t>
      </w:r>
    </w:p>
    <w:p>
      <w:pPr>
        <w:spacing w:before="0" w:after="200" w:lineRule="auto" w:line="276"/>
      </w:pPr>
      <w:r>
        <w:rPr>
          <w:b/>
        </w:rPr>
        <w:t xml:space="preserve">Abstract (EN): </w:t>
      </w:r>
      <w:r>
        <w:t>Author(s): Kang Wang, Teng Xu, Meng Shi, Xinxiang Sun, Yizhou Liu, Huali Yang, Run-Wei Li, and Haifeng DuThe development of low-noise, high-sensitivity magnetic sensors is essential for applications such as automotive systems, biomedical imaging, and magnetic microscopy. However, sensor performance has long been impeded by a fundamental constraint that noise and sensitivity increase concomitantly, whic…[Phys. Rev. Lett. 137, 036705] Published Fri Jul 17, 2026</w:t>
      </w:r>
    </w:p>
    <w:p>
      <w:pPr>
        <w:spacing w:before="120" w:after="120"/>
      </w:pPr>
      <w:r>
        <w:rPr>
          <w:sz w:val="18"/>
        </w:rPr>
        <w:t>——————————————————————————————————————————————————————————————————————</w:t>
      </w:r>
    </w:p>
    <w:p>
      <w:pPr>
        <w:spacing w:before="160" w:after="40" w:line="240" w:lineRule="auto"/>
      </w:pPr>
      <w:r>
        <w:rPr>
          <w:b/>
        </w:rPr>
        <w:t xml:space="preserve">[150] </w:t>
      </w:r>
      <w:hyperlink r:id="rId830">
        <w:r>
          <w:rPr>
            <w:color w:val="1155CC"/>
            <w:u w:val="single"/>
          </w:rPr>
          <w:t>原子 $^{7}\mathrm{Be}$ 电子捕获衰变中的震动和抖动光谱</w:t>
        </w:r>
      </w:hyperlink>
    </w:p>
    <w:p>
      <w:pPr>
        <w:spacing w:before="0" w:after="80"/>
      </w:pPr>
      <w:r>
        <w:rPr>
          <w:i/>
          <w:sz w:val="20"/>
        </w:rPr>
        <w:t>EN: Shakeup and shakeoff spectra in the electron capture decay of atomic $^{7}\mathrm{Be}$</w:t>
      </w:r>
    </w:p>
    <w:p>
      <w:pPr>
        <w:spacing w:before="0" w:after="120"/>
      </w:pPr>
      <w:r>
        <w:rPr>
          <w:b/>
        </w:rPr>
        <w:t xml:space="preserve">Source: </w:t>
      </w:r>
      <w:r>
        <w:t>Recent Articles in Phys. Rev. C</w:t>
      </w:r>
      <w:r>
        <w:t xml:space="preserve">    </w:t>
      </w:r>
      <w:r>
        <w:rPr>
          <w:b/>
        </w:rPr>
        <w:t xml:space="preserve">Pub date: </w:t>
      </w:r>
      <w:r>
        <w:t>2026-07-17 10:00:00+00:00</w:t>
      </w:r>
      <w:r>
        <w:t xml:space="preserve">    </w:t>
      </w:r>
      <w:r>
        <w:rPr>
          <w:b/>
        </w:rPr>
        <w:t xml:space="preserve">DOI: </w:t>
      </w:r>
      <w:hyperlink r:id="rId831">
        <w:r>
          <w:rPr>
            <w:color w:val="1155CC"/>
            <w:u w:val="single"/>
          </w:rPr>
          <w:t>10.1103/knwn-47kl</w:t>
        </w:r>
      </w:hyperlink>
    </w:p>
    <w:p>
      <w:pPr>
        <w:spacing w:before="0" w:after="120"/>
      </w:pPr>
      <w:r>
        <w:rPr>
          <w:b/>
        </w:rPr>
        <w:t xml:space="preserve">Notes: </w:t>
      </w:r>
      <w:r>
        <w:t>abstract_source=rss_description</w:t>
      </w:r>
    </w:p>
    <w:p>
      <w:pPr>
        <w:spacing w:before="0" w:after="80" w:lineRule="auto" w:line="276"/>
      </w:pPr>
      <w:r>
        <w:rPr>
          <w:b/>
        </w:rPr>
        <w:t xml:space="preserve">摘要（ZH）: </w:t>
      </w:r>
      <w:r>
        <w:t>作者：Mauro Guerra 等人。 (BeEST Collaboration) 目前，对亚兆电子伏惰性中微子存在最严格的实验室实验限制是通过嵌入超导传感器的放射性 $^{7}\mathrm{Be}$ 的衰变光谱来设定的。系统不确定性主要由电子模型决定……[物理。 Rev. C 114, 014624] 2026 年 7 月 17 日星期五发布</w:t>
      </w:r>
    </w:p>
    <w:p>
      <w:pPr>
        <w:spacing w:before="0" w:after="200" w:lineRule="auto" w:line="276"/>
      </w:pPr>
      <w:r>
        <w:rPr>
          <w:b/>
        </w:rPr>
        <w:t xml:space="preserve">Abstract (EN): </w:t>
      </w:r>
      <w:r>
        <w:t>Author(s): Mauro Guerra et al. (BeEST Collaboration)The most stringent laboratory-based experimental limits on the existence of submegaelectronvolt sterile neutrinos are currently set by decay spectroscopy of radioactive $^{7}\mathrm{Be}$ embedded into superconducting sensors. The systematic uncertainties are dominated by the modeling of the electron…[Phys. Rev. C 114, 014624] Published Fri Jul 17, 2026</w:t>
      </w:r>
    </w:p>
    <w:p>
      <w:pPr>
        <w:spacing w:before="120" w:after="120"/>
      </w:pPr>
      <w:r>
        <w:rPr>
          <w:sz w:val="18"/>
        </w:rPr>
        <w:t>——————————————————————————————————————————————————————————————————————</w:t>
      </w:r>
    </w:p>
    <w:p>
      <w:pPr>
        <w:spacing w:before="160" w:after="40" w:line="240" w:lineRule="auto"/>
      </w:pPr>
      <w:r>
        <w:rPr>
          <w:b/>
        </w:rPr>
        <w:t xml:space="preserve">[151] </w:t>
      </w:r>
      <w:hyperlink r:id="rId832">
        <w:r>
          <w:rPr>
            <w:color w:val="1155CC"/>
            <w:u w:val="single"/>
          </w:rPr>
          <w:t>$^{52,54}\mathrm{Cr}$ 中的形状共存以及 $^{52}\mathrm{Cr}$ 中 ${B}_{4/2}$ 异常的争论</w:t>
        </w:r>
      </w:hyperlink>
    </w:p>
    <w:p>
      <w:pPr>
        <w:spacing w:before="0" w:after="80"/>
      </w:pPr>
      <w:r>
        <w:rPr>
          <w:i/>
          <w:sz w:val="20"/>
        </w:rPr>
        <w:t>EN: Shape coexistence in $^{52,54}\mathrm{Cr}$ and debate on the ${B}_{4/2}$ anomaly in $^{52}\mathrm{Cr}$</w:t>
      </w:r>
    </w:p>
    <w:p>
      <w:pPr>
        <w:spacing w:before="0" w:after="120"/>
      </w:pPr>
      <w:r>
        <w:rPr>
          <w:b/>
        </w:rPr>
        <w:t xml:space="preserve">Source: </w:t>
      </w:r>
      <w:r>
        <w:t>Recent Articles in Phys. Rev. C</w:t>
      </w:r>
      <w:r>
        <w:t xml:space="preserve">    </w:t>
      </w:r>
      <w:r>
        <w:rPr>
          <w:b/>
        </w:rPr>
        <w:t xml:space="preserve">Pub date: </w:t>
      </w:r>
      <w:r>
        <w:t>2026-07-17 10:00:00+00:00</w:t>
      </w:r>
      <w:r>
        <w:t xml:space="preserve">    </w:t>
      </w:r>
      <w:r>
        <w:rPr>
          <w:b/>
        </w:rPr>
        <w:t xml:space="preserve">DOI: </w:t>
      </w:r>
      <w:hyperlink r:id="rId833">
        <w:r>
          <w:rPr>
            <w:color w:val="1155CC"/>
            <w:u w:val="single"/>
          </w:rPr>
          <w:t>10.1103/nfgm-wmg2</w:t>
        </w:r>
      </w:hyperlink>
    </w:p>
    <w:p>
      <w:pPr>
        <w:spacing w:before="0" w:after="120"/>
      </w:pPr>
      <w:r>
        <w:rPr>
          <w:b/>
        </w:rPr>
        <w:t xml:space="preserve">Notes: </w:t>
      </w:r>
      <w:r>
        <w:t>abstract_source=rss_description</w:t>
      </w:r>
    </w:p>
    <w:p>
      <w:pPr>
        <w:spacing w:before="0" w:after="80" w:lineRule="auto" w:line="276"/>
      </w:pPr>
      <w:r>
        <w:rPr>
          <w:b/>
        </w:rPr>
        <w:t xml:space="preserve">摘要（ZH）: </w:t>
      </w:r>
      <w:r>
        <w:t>作者：R. Benjedi 和 P. Buganu 研究了 $^{52,54}\mathrm{Cr}$ 同位素的最低态是否存在形状共存现象。使用协变密度泛函理论和密度相关点耦合 X 参数化来提取基态变形，而…[Phys. Rev. C 114, 014322] 2026 年 7 月 17 日星期五发布</w:t>
      </w:r>
    </w:p>
    <w:p>
      <w:pPr>
        <w:spacing w:before="0" w:after="200" w:lineRule="auto" w:line="276"/>
      </w:pPr>
      <w:r>
        <w:rPr>
          <w:b/>
        </w:rPr>
        <w:t xml:space="preserve">Abstract (EN): </w:t>
      </w:r>
      <w:r>
        <w:t>Author(s): R. Benjedi and P. BuganuThe lowest states of the $^{52,54}\mathrm{Cr}$ isotopes are investigated for the presence of the shape coexistence phenomenon. The ground state deformation is extracted using the covariant density functional theory with a density-dependent point-coupling X parametrization, while the properties of th…[Phys. Rev. C 114, 014322] Published Fri Jul 17, 2026</w:t>
      </w:r>
    </w:p>
    <w:p>
      <w:pPr>
        <w:spacing w:before="120" w:after="120"/>
      </w:pPr>
      <w:r>
        <w:rPr>
          <w:sz w:val="18"/>
        </w:rPr>
        <w:t>——————————————————————————————————————————————————————————————————————</w:t>
      </w:r>
    </w:p>
    <w:p>
      <w:pPr>
        <w:spacing w:before="160" w:after="40" w:line="240" w:lineRule="auto"/>
      </w:pPr>
      <w:r>
        <w:rPr>
          <w:b/>
        </w:rPr>
        <w:t xml:space="preserve">[152] </w:t>
      </w:r>
      <w:hyperlink r:id="rId834">
        <w:r>
          <w:rPr>
            <w:color w:val="1155CC"/>
            <w:u w:val="single"/>
          </w:rPr>
          <w:t>莫尔超晶格中晶格重建驱动的突现 Trion 共振</w:t>
        </w:r>
      </w:hyperlink>
    </w:p>
    <w:p>
      <w:pPr>
        <w:spacing w:before="0" w:after="80"/>
      </w:pPr>
      <w:r>
        <w:rPr>
          <w:i/>
          <w:sz w:val="20"/>
        </w:rPr>
        <w:t>EN: Emergent Trion Resonance Driven by Lattice Reconstruction in a Moiré Superlattice</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35">
        <w:r>
          <w:rPr>
            <w:color w:val="1155CC"/>
            <w:u w:val="single"/>
          </w:rPr>
          <w:t>10.1103/yvhp-1sm6</w:t>
        </w:r>
      </w:hyperlink>
    </w:p>
    <w:p>
      <w:pPr>
        <w:spacing w:before="0" w:after="120"/>
      </w:pPr>
      <w:r>
        <w:rPr>
          <w:b/>
        </w:rPr>
        <w:t xml:space="preserve">Notes: </w:t>
      </w:r>
      <w:r>
        <w:t>abstract_source=rss_description</w:t>
      </w:r>
    </w:p>
    <w:p>
      <w:pPr>
        <w:spacing w:before="0" w:after="80" w:lineRule="auto" w:line="276"/>
      </w:pPr>
      <w:r>
        <w:rPr>
          <w:b/>
        </w:rPr>
        <w:t xml:space="preserve">摘要（ZH）: </w:t>
      </w:r>
      <w:r>
        <w:t>作者：Zhida Liu、Haonan Wang、Xiaohui Liu、Yue Ni、Hongtao Yan、Frank Y. Gau、Saba Arash、Hyunsue Kim、Dong Seob Kim、Xiang Cheng Liu、Xiaoxiao Yu、Yongxin Zeng、Jiamin Quan、Di Huang、Kenji Watanabe、Takashi Taniguchi、Edoardo Baldini、Keji Lai、Allan H. MacDonald、Chih-Kang Shih、Jamie Warner、Li Yang和Xiaoqin Li我们研究了当晶格重构演化时，扭曲的${\mathrm{MoSe}}_{2}$同双层中出现多少电子激发态。值得注意的是，我们发现了一种新的三重子共振，它出现在晶格重建的过渡状态中，其中原子排列之间的逐渐变化......[物理。莱特牧师。 137, 036902] 发表于 2026 年 7 月 17 日星期五</w:t>
      </w:r>
    </w:p>
    <w:p>
      <w:pPr>
        <w:spacing w:before="0" w:after="200" w:lineRule="auto" w:line="276"/>
      </w:pPr>
      <w:r>
        <w:rPr>
          <w:b/>
        </w:rPr>
        <w:t xml:space="preserve">Abstract (EN): </w:t>
      </w:r>
      <w:r>
        <w:t>Author(s): Zhida Liu, Haonan Wang, Xiaohui Liu, Yue Ni, Hongtao Yan, Frank Y. Gao, Saba Arash, Hyunsue Kim, Dong Seob Kim, Xiangcheng Liu, Xiaoxiao Yu, Yongxin Zeng, Jiamin Quan, Di Huang, Kenji Watanabe, Takashi Taniguchi, Edoardo Baldini, Keji Lai, Allan H. MacDonald, Chih-Kang Shih, Jamie Warner, Li Yang, and Xiaoqin LiWe investigate how many-electron excited states emerge in twisted ${\mathrm{MoSe}}_{2}$ homobilayers when the lattice reconstructions evolve. Notably, we identify a new trion resonance that arises in the transition regime of lattice reconstruction, where gradual changes in atomic alignment between t…[Phys. Rev. Lett. 137, 036902] Published Fri Jul 17, 2026</w:t>
      </w:r>
    </w:p>
    <w:p>
      <w:pPr>
        <w:spacing w:before="120" w:after="120"/>
      </w:pPr>
      <w:r>
        <w:rPr>
          <w:sz w:val="18"/>
        </w:rPr>
        <w:t>——————————————————————————————————————————————————————————————————————</w:t>
      </w:r>
    </w:p>
    <w:p>
      <w:pPr>
        <w:spacing w:before="160" w:after="40" w:line="240" w:lineRule="auto"/>
      </w:pPr>
      <w:r>
        <w:rPr>
          <w:b/>
        </w:rPr>
        <w:t xml:space="preserve">[153] </w:t>
      </w:r>
      <w:hyperlink r:id="rId836">
        <w:r>
          <w:rPr>
            <w:color w:val="1155CC"/>
            <w:u w:val="single"/>
          </w:rPr>
          <w:t>通过压力调谐激子里德伯系列探测范德华异质结构中的介电屏蔽</w:t>
        </w:r>
      </w:hyperlink>
    </w:p>
    <w:p>
      <w:pPr>
        <w:spacing w:before="0" w:after="80"/>
      </w:pPr>
      <w:r>
        <w:rPr>
          <w:i/>
          <w:sz w:val="20"/>
        </w:rPr>
        <w:t>EN: Probing Dielectric Screening in van der Waals Heterostructures via Pressure-Tuned Exciton Rydberg Series</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37">
        <w:r>
          <w:rPr>
            <w:color w:val="1155CC"/>
            <w:u w:val="single"/>
          </w:rPr>
          <w:t>10.1103/245v-mgsb</w:t>
        </w:r>
      </w:hyperlink>
    </w:p>
    <w:p>
      <w:pPr>
        <w:spacing w:before="0" w:after="120"/>
      </w:pPr>
      <w:r>
        <w:rPr>
          <w:b/>
        </w:rPr>
        <w:t xml:space="preserve">Notes: </w:t>
      </w:r>
      <w:r>
        <w:t>abstract_source=rss_description</w:t>
      </w:r>
    </w:p>
    <w:p>
      <w:pPr>
        <w:spacing w:before="0" w:after="80" w:lineRule="auto" w:line="276"/>
      </w:pPr>
      <w:r>
        <w:rPr>
          <w:b/>
        </w:rPr>
        <w:t xml:space="preserve">摘要（ZH）: </w:t>
      </w:r>
      <w:r>
        <w:t>作者：Shalini Badola、Adlen Smiri、Thomas Pelini、Aditi Moghe、Tristan Riccardi、Amit Pawbake、Kenji Watanabe、Takashi Taniguchi、Iann C. Gerber 和 Clément Faugeras 二维半导体中的激子直接暴露在环境中，并且对其周围的介电特性敏感。在这里，我们展示了封装在六方氮化硼 (hBN) 中的单层 ${\mathrm{WSe}}_{2}$ 中激子的里德伯激发态系列 (hBN…[Phys. Rev. Lett. 137, 036903] 于 2026 年 7 月 17 日星期五发布</w:t>
      </w:r>
    </w:p>
    <w:p>
      <w:pPr>
        <w:spacing w:before="0" w:after="200" w:lineRule="auto" w:line="276"/>
      </w:pPr>
      <w:r>
        <w:rPr>
          <w:b/>
        </w:rPr>
        <w:t xml:space="preserve">Abstract (EN): </w:t>
      </w:r>
      <w:r>
        <w:t>Author(s): Shalini Badola, Adlen Smiri, Thomas Pelini, Aditi Moghe, Tristan Riccardi, Amit Pawbake, Kenji Watanabe, Takashi Taniguchi, Iann C. Gerber, and Clément FaugerasExcitons in two-dimensional semiconductors are directly exposed to the environment and are sensitive to the dielectric properties of their surrounding. Here, we show that the Rydberg series of excited states of excitons in a monolayer ${\mathrm{WSe}}_{2}$ encapsulated in hexagonal boron nitride (hBN…[Phys. Rev. Lett. 137, 036903] Published Fri Jul 17, 2026</w:t>
      </w:r>
    </w:p>
    <w:p>
      <w:pPr>
        <w:spacing w:before="120" w:after="120"/>
      </w:pPr>
      <w:r>
        <w:rPr>
          <w:sz w:val="18"/>
        </w:rPr>
        <w:t>——————————————————————————————————————————————————————————————————————</w:t>
      </w:r>
    </w:p>
    <w:p>
      <w:pPr>
        <w:spacing w:before="160" w:after="40" w:line="240" w:lineRule="auto"/>
      </w:pPr>
      <w:r>
        <w:rPr>
          <w:b/>
        </w:rPr>
        <w:t xml:space="preserve">[154] </w:t>
      </w:r>
      <w:hyperlink r:id="rId838">
        <w:r>
          <w:rPr>
            <w:color w:val="1155CC"/>
            <w:u w:val="single"/>
          </w:rPr>
          <w:t>切换陷阱中粒子之间强涌现相关性的实验证据</w:t>
        </w:r>
      </w:hyperlink>
    </w:p>
    <w:p>
      <w:pPr>
        <w:spacing w:before="0" w:after="80"/>
      </w:pPr>
      <w:r>
        <w:rPr>
          <w:i/>
          <w:sz w:val="20"/>
        </w:rPr>
        <w:t>EN: Experimental Evidence for Strong Emergent Correlations between Particles in a Switching Trap</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39">
        <w:r>
          <w:rPr>
            <w:color w:val="1155CC"/>
            <w:u w:val="single"/>
          </w:rPr>
          <w:t>10.1103/jkn8-h939</w:t>
        </w:r>
      </w:hyperlink>
    </w:p>
    <w:p>
      <w:pPr>
        <w:spacing w:before="0" w:after="120"/>
      </w:pPr>
      <w:r>
        <w:rPr>
          <w:b/>
        </w:rPr>
        <w:t xml:space="preserve">Notes: </w:t>
      </w:r>
      <w:r>
        <w:t>abstract_source=rss_description</w:t>
      </w:r>
    </w:p>
    <w:p>
      <w:pPr>
        <w:spacing w:before="0" w:after="80" w:lineRule="auto" w:line="276"/>
      </w:pPr>
      <w:r>
        <w:rPr>
          <w:b/>
        </w:rPr>
        <w:t xml:space="preserve">摘要（ZH）: </w:t>
      </w:r>
      <w:r>
        <w:t>作者：Marco Biroli、Sergio Ciliberto、Manas Kulkarni、Satya N. Majumdar、Artyom Petrosyan 和 Grégory Schehr 我们通过实验研究了一个由 $N=4$ 二维布朗粒子组成的系统，每个粒子都被限制在具有相同刚度的谐波陷阱中。刚度以随机泊松时间在两个值之间同时切换。这种集体切换驱动系统进入非平衡静止状态……[物理。莱特牧师。 137, 037102] 发表于 2026 年 7 月 17 日星期五</w:t>
      </w:r>
    </w:p>
    <w:p>
      <w:pPr>
        <w:spacing w:before="0" w:after="200" w:lineRule="auto" w:line="276"/>
      </w:pPr>
      <w:r>
        <w:rPr>
          <w:b/>
        </w:rPr>
        <w:t xml:space="preserve">Abstract (EN): </w:t>
      </w:r>
      <w:r>
        <w:t>Author(s): Marco Biroli, Sergio Ciliberto, Manas Kulkarni, Satya N. Majumdar, Artyom Petrosyan, and Grégory SchehrWe experimentally study a system of $N=4$ two-dimensional Brownian particles, each confined in a harmonic trap with identical stiffness. The stiffness switches simultaneously between two values at random Poissonian times. This collective switching drives the system into a nonequilibrium stationary s…[Phys. Rev. Lett. 137, 037102] Published Fri Jul 17, 2026</w:t>
      </w:r>
    </w:p>
    <w:p>
      <w:pPr>
        <w:spacing w:before="120" w:after="120"/>
      </w:pPr>
      <w:r>
        <w:rPr>
          <w:sz w:val="18"/>
        </w:rPr>
        <w:t>——————————————————————————————————————————————————————————————————————</w:t>
      </w:r>
    </w:p>
    <w:p>
      <w:pPr>
        <w:spacing w:before="160" w:after="40" w:line="240" w:lineRule="auto"/>
      </w:pPr>
      <w:r>
        <w:rPr>
          <w:b/>
        </w:rPr>
        <w:t xml:space="preserve">[155] </w:t>
      </w:r>
      <w:hyperlink r:id="rId840">
        <w:r>
          <w:rPr>
            <w:color w:val="1155CC"/>
            <w:u w:val="single"/>
          </w:rPr>
          <w:t>运行翻滚动力学中的逆克劳修斯热力学</w:t>
        </w:r>
      </w:hyperlink>
    </w:p>
    <w:p>
      <w:pPr>
        <w:spacing w:before="0" w:after="80"/>
      </w:pPr>
      <w:r>
        <w:rPr>
          <w:i/>
          <w:sz w:val="20"/>
        </w:rPr>
        <w:t>EN: Inverse Clausius Thermodynamics in Run-and-Tumble Dynamics</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41">
        <w:r>
          <w:rPr>
            <w:color w:val="1155CC"/>
            <w:u w:val="single"/>
          </w:rPr>
          <w:t>10.1103/h48q-1s1c</w:t>
        </w:r>
      </w:hyperlink>
    </w:p>
    <w:p>
      <w:pPr>
        <w:spacing w:before="0" w:after="120"/>
      </w:pPr>
      <w:r>
        <w:rPr>
          <w:b/>
        </w:rPr>
        <w:t xml:space="preserve">Notes: </w:t>
      </w:r>
      <w:r>
        <w:t>abstract_source=rss_description</w:t>
      </w:r>
    </w:p>
    <w:p>
      <w:pPr>
        <w:spacing w:before="0" w:after="80" w:lineRule="auto" w:line="276"/>
      </w:pPr>
      <w:r>
        <w:rPr>
          <w:b/>
        </w:rPr>
        <w:t xml:space="preserve">摘要（ZH）: </w:t>
      </w:r>
      <w:r>
        <w:t>作者：Oded Farago 我们建立了热噪声存在下的一维运行翻滚粒子动力学与空间不均匀温度场中的过阻尼布朗运动之间的映射。该方法被表述为逆克劳修斯热力学框架，其中有效温度……[物理。莱特牧师。 137, 037103] 发表于 2026 年 7 月 17 日星期五</w:t>
      </w:r>
    </w:p>
    <w:p>
      <w:pPr>
        <w:spacing w:before="0" w:after="200" w:lineRule="auto" w:line="276"/>
      </w:pPr>
      <w:r>
        <w:rPr>
          <w:b/>
        </w:rPr>
        <w:t xml:space="preserve">Abstract (EN): </w:t>
      </w:r>
      <w:r>
        <w:t>Author(s): Oded FaragoWe establish a mapping between one-dimensional run-and-tumble particle dynamics in the presence of thermal noise, and overdamped Brownian motion in a spatially inhomogeneous temperature field. The approach is formulated as an inverse-Clausius thermodynamic framework, where the effective temperature …[Phys. Rev. Lett. 137, 037103] Published Fri Jul 17, 2026</w:t>
      </w:r>
    </w:p>
    <w:p>
      <w:pPr>
        <w:spacing w:before="120" w:after="120"/>
      </w:pPr>
      <w:r>
        <w:rPr>
          <w:sz w:val="18"/>
        </w:rPr>
        <w:t>——————————————————————————————————————————————————————————————————————</w:t>
      </w:r>
    </w:p>
    <w:p>
      <w:pPr>
        <w:spacing w:before="160" w:after="40" w:line="240" w:lineRule="auto"/>
      </w:pPr>
      <w:r>
        <w:rPr>
          <w:b/>
        </w:rPr>
        <w:t xml:space="preserve">[156] </w:t>
      </w:r>
      <w:hyperlink r:id="rId842">
        <w:r>
          <w:rPr>
            <w:color w:val="1155CC"/>
            <w:u w:val="single"/>
          </w:rPr>
          <w:t>手性在导致对映空间群对的相变中不能是铁性的</w:t>
        </w:r>
      </w:hyperlink>
    </w:p>
    <w:p>
      <w:pPr>
        <w:spacing w:before="0" w:after="80"/>
      </w:pPr>
      <w:r>
        <w:rPr>
          <w:i/>
          <w:sz w:val="20"/>
        </w:rPr>
        <w:t>EN: Chirality Cannot Be Ferroic in Phase Transitions Leading to Enantiomorphic Space-Group Pairs</w:t>
      </w:r>
    </w:p>
    <w:p>
      <w:pPr>
        <w:spacing w:before="0" w:after="120"/>
      </w:pPr>
      <w:r>
        <w:rPr>
          <w:b/>
        </w:rPr>
        <w:t xml:space="preserve">Source: </w:t>
      </w:r>
      <w:r>
        <w:t>Recent Articles in Phys. Rev. Lett.</w:t>
      </w:r>
      <w:r>
        <w:t xml:space="preserve">    </w:t>
      </w:r>
      <w:r>
        <w:rPr>
          <w:b/>
        </w:rPr>
        <w:t xml:space="preserve">Pub date: </w:t>
      </w:r>
      <w:r>
        <w:t>2026-07-17 10:00:00+00:00</w:t>
      </w:r>
      <w:r>
        <w:t xml:space="preserve">    </w:t>
      </w:r>
      <w:r>
        <w:rPr>
          <w:b/>
        </w:rPr>
        <w:t xml:space="preserve">DOI: </w:t>
      </w:r>
      <w:hyperlink r:id="rId843">
        <w:r>
          <w:rPr>
            <w:color w:val="1155CC"/>
            <w:u w:val="single"/>
          </w:rPr>
          <w:t>10.1103/ktz2-7yd5</w:t>
        </w:r>
      </w:hyperlink>
    </w:p>
    <w:p>
      <w:pPr>
        <w:spacing w:before="0" w:after="120"/>
      </w:pPr>
      <w:r>
        <w:rPr>
          <w:b/>
        </w:rPr>
        <w:t xml:space="preserve">Notes: </w:t>
      </w:r>
      <w:r>
        <w:t>abstract_source=rss_description</w:t>
      </w:r>
    </w:p>
    <w:p>
      <w:pPr>
        <w:spacing w:before="0" w:after="80" w:lineRule="auto" w:line="276"/>
      </w:pPr>
      <w:r>
        <w:rPr>
          <w:b/>
        </w:rPr>
        <w:t xml:space="preserve">摘要（ZH）: </w:t>
      </w:r>
      <w:r>
        <w:t>作者：F. Gómez-Ortiz、S. Mamoudou Taganga、Emma E. McCabe、A. H. Romero 和 E. Bousquet 随着人们对周期性固体结构手性的兴趣日益浓厚，有人提出手性可能构成一种新的铁序参数。在所描述的工作中，我们通过正式的群理论证明和系统的群-子群分析证明了非手性到手性......[物理。莱特牧师。 137, 036103] 发表于 2026 年 7 月 17 日星期五</w:t>
      </w:r>
    </w:p>
    <w:p>
      <w:pPr>
        <w:spacing w:before="0" w:after="200" w:lineRule="auto" w:line="276"/>
      </w:pPr>
      <w:r>
        <w:rPr>
          <w:b/>
        </w:rPr>
        <w:t xml:space="preserve">Abstract (EN): </w:t>
      </w:r>
      <w:r>
        <w:t>Author(s): F. Gómez-Ortiz, S. Mamoudou Taganga, Emma E. McCabe, A. H. Romero, and E. BousquetWith growing interest in structural chirality in periodic solids, it has been suggested that chirality might constitute a new ferroic order parameter. In the work described, we demonstrate, by means of a formal group-theoretical proof and a systematic group-subgroup analysis, that achiral-to-chiral …[Phys. Rev. Lett. 137, 036103] Published Fri Jul 17, 2026</w:t>
      </w:r>
    </w:p>
    <w:p>
      <w:pPr>
        <w:spacing w:before="120" w:after="120"/>
      </w:pPr>
      <w:r>
        <w:rPr>
          <w:sz w:val="18"/>
        </w:rPr>
        <w:t>——————————————————————————————————————————————————————————————————————</w:t>
      </w:r>
    </w:p>
    <w:p>
      <w:pPr>
        <w:spacing w:before="160" w:after="40" w:line="240" w:lineRule="auto"/>
      </w:pPr>
      <w:r>
        <w:rPr>
          <w:b/>
        </w:rPr>
        <w:t xml:space="preserve">[157] </w:t>
      </w:r>
      <w:hyperlink r:id="rId844">
        <w:r>
          <w:rPr>
            <w:color w:val="1155CC"/>
            <w:u w:val="single"/>
          </w:rPr>
          <w:t>电编码视网膜形态分光光电探测器</w:t>
        </w:r>
      </w:hyperlink>
    </w:p>
    <w:p>
      <w:pPr>
        <w:spacing w:before="0" w:after="80"/>
      </w:pPr>
      <w:r>
        <w:rPr>
          <w:i/>
          <w:sz w:val="20"/>
        </w:rPr>
        <w:t>EN: Electrically Coded Retinomorphic Spectrophotodetector</w:t>
      </w:r>
    </w:p>
    <w:p>
      <w:pPr>
        <w:spacing w:before="0" w:after="120"/>
      </w:pPr>
      <w:r>
        <w:rPr>
          <w:b/>
        </w:rPr>
        <w:t xml:space="preserve">Source: </w:t>
      </w:r>
      <w:r>
        <w:t>Wiley: Advanced Materials: Table of Contents</w:t>
      </w:r>
      <w:r>
        <w:t xml:space="preserve">    </w:t>
      </w:r>
      <w:r>
        <w:rPr>
          <w:b/>
        </w:rPr>
        <w:t xml:space="preserve">Pub date: </w:t>
      </w:r>
      <w:r>
        <w:t>2026-07-17 10:10:00+00:00</w:t>
      </w:r>
      <w:r>
        <w:t xml:space="preserve">    </w:t>
      </w:r>
      <w:r>
        <w:rPr>
          <w:b/>
        </w:rPr>
        <w:t xml:space="preserve">DOI: </w:t>
      </w:r>
      <w:hyperlink r:id="rId845">
        <w:r>
          <w:rPr>
            <w:color w:val="1155CC"/>
            <w:u w:val="single"/>
          </w:rPr>
          <w:t>10.1002/adma.74160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确的颜色传感对于从材料分析到自主视觉等各种应用至关重要，但无需笨重的光学器件或计算密集型后处理即可直接在设备级别对颜色进行分类的紧凑型系统仍然有限。在这里，展示了一种无需机器学习、自供电的视网膜形态热释光探测器，可用于 365 至 940 nm 的直接电波长编码。多端Ag/ZnO/</w:t>
      </w:r>
      <w:r>
        <w:t>n</w:t>
      </w:r>
      <w:r>
        <w:t xml:space="preserve"> </w:t>
      </w:r>
      <w:r>
        <w:t>‐Si/Ag 器件使用静电平衡的内置电势将入射波长转换为不同的照片和热释电电流指纹，从而实现直接传感器内光谱辨别，无需光谱重建和外部神经处理。该器件实现了波长解码，精度低于 3 nm，热释电电流上升时间约为 46 µs。在系统层面，直接传感器内编码可实现延迟为 300 毫秒的端到端波长分类，同时降低下游能耗和计算复杂性。编码的电读数可实现准确的颜色分类，并进一步应用于植物健康和色素状态传感，以及牛奶、凝乳、椰子水、盐和糖溶液中 0% 至 40% 水掺假的定量，分类精度高于 92%。这项工作建立了一个用于实时、节能和高精度光谱传感的便携式视网膜形态平台，为直接传感器内颜色识别和波长分类提供了通用途径。</w:t>
      </w:r>
    </w:p>
    <w:p>
      <w:pPr>
        <w:spacing w:before="0" w:after="200" w:lineRule="auto" w:line="276"/>
      </w:pPr>
      <w:r>
        <w:rPr>
          <w:b/>
        </w:rPr>
        <w:t xml:space="preserve">Abstract (EN): </w:t>
      </w:r>
      <w:r>
        <w:t>Accurate color sensing is essential for applications ranging from materials analysis to autonomous vision, yet compact systems that can classify color directly at the device level without bulky optics or computationally intensive post‐processing remain limited. Here, a machine learning‐free, self‐powered retinomorphic pyro‐photodetector is demonstrated for direct electrical wavelength encoding from 365 to 940 nm. The multiterminal Ag/ZnO/</w:t>
      </w:r>
      <w:r>
        <w:t>n</w:t>
      </w:r>
      <w:r>
        <w:t xml:space="preserve"> </w:t>
      </w:r>
      <w:r>
        <w:t>‐Si/Ag device uses electrostatically balanced built‐in potentials to convert incident wavelength into distinct photo and pyroelectric current fingerprints, enabling direct in‐sensor spectral discrimination without spectral reconstruction and external neural processing. The device achieves wavelength decoding with less than 3 nm accuracy and a pyroelectric current rise‐time of ∼46 µs. At the system level, direct in‐sensor encoding enables end‐to‐end wavelength classification with 300 ms latency while reducing downstream energy and computational complexity. The encoded electrical readout enables accurate color classification and is further applied to plant health and pigment‐state sensing, as well as quantification of 0% to 40% water adulteration in milk, curd, coconut water, and salt and sugar solutions, with classification accuracy above 92%. This work establishes a portable retinomorphic platform for real‐time, energy‐efficient, and high‐precision spectral sensing, providing a general route toward direct in‐sensor color recognition and wavelength classification.</w:t>
      </w:r>
    </w:p>
    <w:p>
      <w:pPr>
        <w:spacing w:before="120" w:after="120"/>
      </w:pPr>
      <w:r>
        <w:rPr>
          <w:sz w:val="18"/>
        </w:rPr>
        <w:t>——————————————————————————————————————————————————————————————————————</w:t>
      </w:r>
    </w:p>
    <w:p>
      <w:pPr>
        <w:spacing w:before="160" w:after="40" w:line="240" w:lineRule="auto"/>
      </w:pPr>
      <w:r>
        <w:rPr>
          <w:b/>
        </w:rPr>
        <w:t xml:space="preserve">[158] </w:t>
      </w:r>
      <w:hyperlink r:id="rId846">
        <w:r>
          <w:rPr>
            <w:color w:val="1155CC"/>
            <w:u w:val="single"/>
          </w:rPr>
          <w:t>透明光热效率协调双隐形软体机器人</w:t>
        </w:r>
      </w:hyperlink>
    </w:p>
    <w:p>
      <w:pPr>
        <w:spacing w:before="0" w:after="80"/>
      </w:pPr>
      <w:r>
        <w:rPr>
          <w:i/>
          <w:sz w:val="20"/>
        </w:rPr>
        <w:t>EN: Transparency‐Photothermal Efficiency Coordinated Dual‐Invisible Soft Robots</w:t>
      </w:r>
    </w:p>
    <w:p>
      <w:pPr>
        <w:spacing w:before="0" w:after="120"/>
      </w:pPr>
      <w:r>
        <w:rPr>
          <w:b/>
        </w:rPr>
        <w:t xml:space="preserve">Source: </w:t>
      </w:r>
      <w:r>
        <w:t>Wiley: Advanced Materials: Table of Contents</w:t>
      </w:r>
      <w:r>
        <w:t xml:space="preserve">    </w:t>
      </w:r>
      <w:r>
        <w:rPr>
          <w:b/>
        </w:rPr>
        <w:t xml:space="preserve">Pub date: </w:t>
      </w:r>
      <w:r>
        <w:t>2026-07-17 10:31:25+00:00</w:t>
      </w:r>
      <w:r>
        <w:t xml:space="preserve">    </w:t>
      </w:r>
      <w:r>
        <w:rPr>
          <w:b/>
        </w:rPr>
        <w:t xml:space="preserve">DOI: </w:t>
      </w:r>
      <w:hyperlink r:id="rId847">
        <w:r>
          <w:rPr>
            <w:color w:val="1155CC"/>
            <w:u w:val="single"/>
          </w:rPr>
          <w:t>10.1002/adma.74147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能够无缝环境集成和不引人注目的操作的软机器人对于秘密监控、伪装和保持光学完整性至关重要。近红外（NIR）光驱动为隐形控制提供了理想的途径；然而，传统上它受到一个基本权衡的控制，即强烈的光响应需要深色材料和高填料含量，从而损害透明度。在这里，我们报告了一种通过二维原子薄 CuS (AT-CuS) 纳米片的界面工程在聚合物基体中形成稳定的单层分散体来实现可见光透明度和光热响应性的光谱解耦的系统。这种材料在 NIR-II 窗口中的光热效率达到破纪录的 96.3%。在 0.01 wt% At-CuS 的超低负载量下，该复合材料保持了超过 80% 的可见光透射率，同时表现出快速的近红外响应（2 秒内 &gt;130°C）。我们进一步展示了具有难以察觉的身体和隐藏的近红外控制的“双隐形”软机器人，其中身体和近红外控制信号保持不可察觉，执行敏捷的两栖运动。</w:t>
      </w:r>
    </w:p>
    <w:p>
      <w:pPr>
        <w:spacing w:before="0" w:after="200" w:lineRule="auto" w:line="276"/>
      </w:pPr>
      <w:r>
        <w:rPr>
          <w:b/>
        </w:rPr>
        <w:t xml:space="preserve">Abstract (EN): </w:t>
      </w:r>
      <w:r>
        <w:t>Soft robots capable of seamless environmental integration and unobtrusive operation are essential for covert monitoring, camouflage, and preserving optical integrity. Near‐infrared (NIR) photo‐actuation offers an ideal route for invisible control; however, it is traditionally governed by a fundamental trade‐off where strong photo‐responses necessitate dark materials and high filler loadings that compromise transparency. Here, we report a system achieving spectral decoupling of visible transparency and photothermal responsiveness through interfacial engineering of two‐dimensional atomically thin CuS (AT–CuS) nanosheets to form a stable monolayer dispersion in the polymer matrix. Such material reaches a record‐breaking photothermal efficiency of 96.3% in the NIR‐II window. At an ultralow loading of 0.01 wt % At‐CuS, the composite maintains over 80% visible‐light transmittance while exhibiting rapid NIR responses (&amp;gt;130°C within 2 s). We further demonstrate “dual‐invisible” soft robots with imperceptible bodies and hidden NIR control, where the body and the NIR control signal remain imperceptible, performing agile amphibious locomotion.</w:t>
      </w:r>
    </w:p>
    <w:p>
      <w:pPr>
        <w:spacing w:before="120" w:after="120"/>
      </w:pPr>
      <w:r>
        <w:rPr>
          <w:sz w:val="18"/>
        </w:rPr>
        <w:t>——————————————————————————————————————————————————————————————————————</w:t>
      </w:r>
    </w:p>
    <w:p>
      <w:pPr>
        <w:spacing w:before="160" w:after="40" w:line="240" w:lineRule="auto"/>
      </w:pPr>
      <w:r>
        <w:rPr>
          <w:b/>
        </w:rPr>
        <w:t xml:space="preserve">[159] </w:t>
      </w:r>
      <w:hyperlink r:id="rId848">
        <w:r>
          <w:rPr>
            <w:color w:val="1155CC"/>
            <w:u w:val="single"/>
          </w:rPr>
          <w:t>KTaO3(110)二维电子气中的轨道和自旋埃德尔斯坦效应</w:t>
        </w:r>
      </w:hyperlink>
    </w:p>
    <w:p>
      <w:pPr>
        <w:spacing w:before="0" w:after="80"/>
      </w:pPr>
      <w:r>
        <w:rPr>
          <w:i/>
          <w:sz w:val="20"/>
        </w:rPr>
        <w:t>EN: Orbital and Spin Edelstein Effects in KTaO3(110) Two‐Dimensional Electron Gases</w:t>
      </w:r>
    </w:p>
    <w:p>
      <w:pPr>
        <w:spacing w:before="0" w:after="120"/>
      </w:pPr>
      <w:r>
        <w:rPr>
          <w:b/>
        </w:rPr>
        <w:t xml:space="preserve">Source: </w:t>
      </w:r>
      <w:r>
        <w:t>Wiley: Advanced Materials: Table of Contents</w:t>
      </w:r>
      <w:r>
        <w:t xml:space="preserve">    </w:t>
      </w:r>
      <w:r>
        <w:rPr>
          <w:b/>
        </w:rPr>
        <w:t xml:space="preserve">Pub date: </w:t>
      </w:r>
      <w:r>
        <w:t>2026-07-17 11:09:10+00:00</w:t>
      </w:r>
      <w:r>
        <w:t xml:space="preserve">    </w:t>
      </w:r>
      <w:r>
        <w:rPr>
          <w:b/>
        </w:rPr>
        <w:t xml:space="preserve">DOI: </w:t>
      </w:r>
      <w:hyperlink r:id="rId849">
        <w:r>
          <w:rPr>
            <w:color w:val="1155CC"/>
            <w:u w:val="single"/>
          </w:rPr>
          <w:t>10.1002/adma.73899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轨道埃德尔斯坦效应将电场转化为非平衡轨道极化，为轨道电子学带来了新的机遇。尽管轨道埃德尔斯坦效应的特征已经被报道，但其微观机制和定量验证仍未得到充分探索。在这里，通过直接将（110）二维电子气的原子结构与其计算和测量的电子带色散联系起来，我们预测并提供了控制其谐波输运响应各向异性的重要轨道埃德尔斯坦贡献的实验证据。扫描透射电子显微镜和电子能量损失光谱解析了界面原子构型，并将其用作密度泛函计算的输入。然后，角分辨光电子能谱证实了所得的能带结构，该能带结构由紧束缚模型拟合，能够计算自旋和轨道埃德尔斯坦响应。谐波磁输运测量揭示了无法在纯自旋 Edelstein 框架内解释的各向异性响应，并且通过包含 20% 量级的轨道贡献来定量再现。我们的结果将（110）建立为轨道电子学的模型平台，并展示了在量子氧化物系统中生成和利用轨道极化的途径，同时还为超导状态下的配对机制提供了新的见解。</w:t>
      </w:r>
    </w:p>
    <w:p>
      <w:pPr>
        <w:spacing w:before="0" w:after="200" w:lineRule="auto" w:line="276"/>
      </w:pPr>
      <w:r>
        <w:rPr>
          <w:b/>
        </w:rPr>
        <w:t xml:space="preserve">Abstract (EN): </w:t>
      </w:r>
      <w:r>
        <w:t>The orbital Edelstein effect converts an electric field into a non‐equilibrium orbital polarization, opening new opportunities for orbitronics. Although signatures of the orbital Edelstein effect have been reported, its microscopic mechanisms and quantitative validation remain underexplored. Here, by directly linking the atomic structure of (110) two‐dimensional electron gases to both their calculated and measured electronic band dispersions, we predict and provide experimental evidence for a significant orbital Edelstein contribution that governs the anisotropy of its harmonic transport response. Scanning transmission electron microscopy and electron energy‐loss spectroscopy resolve the interfacial atomic configuration, which is used as input for density‐functional calculations. Angle‐resolved photoemission spectroscopy then confirms the resulting band structure, which is fitted by a tight‐binding model enabling computation of the spin and orbital Edelstein responses. Harmonic magnetotransport measurements reveal an anisotropic response that cannot be accounted for within a purely spin Edelstein framework, and is quantitatively reproduced by including an orbital contribution of order 20%. Our results establish (110) as a model platform for orbitronics and demonstrate a pathway to generate and harness orbital polarization in quantum oxide systems while also offering new insights into pairing mechanisms in their superconducting state.</w:t>
      </w:r>
    </w:p>
    <w:p>
      <w:pPr>
        <w:spacing w:before="120" w:after="120"/>
      </w:pPr>
      <w:r>
        <w:rPr>
          <w:sz w:val="18"/>
        </w:rPr>
        <w:t>——————————————————————————————————————————————————————————————————————</w:t>
      </w:r>
    </w:p>
    <w:p>
      <w:pPr>
        <w:spacing w:before="160" w:after="40" w:line="240" w:lineRule="auto"/>
      </w:pPr>
      <w:r>
        <w:rPr>
          <w:b/>
        </w:rPr>
        <w:t xml:space="preserve">[160] </w:t>
      </w:r>
      <w:hyperlink r:id="rId850">
        <w:r>
          <w:rPr>
            <w:color w:val="1155CC"/>
            <w:u w:val="single"/>
          </w:rPr>
          <w:t>棋盘微针阵列通过时空控制药物输送调节炎症</w:t>
        </w:r>
      </w:hyperlink>
    </w:p>
    <w:p>
      <w:pPr>
        <w:spacing w:before="0" w:after="80"/>
      </w:pPr>
      <w:r>
        <w:rPr>
          <w:i/>
          <w:sz w:val="20"/>
        </w:rPr>
        <w:t>EN: Chessboard Microneedle Array for Inflammation Regulation via Spatiotemporally Controlled Drug Delivery</w:t>
      </w:r>
    </w:p>
    <w:p>
      <w:pPr>
        <w:spacing w:before="0" w:after="120"/>
      </w:pPr>
      <w:r>
        <w:rPr>
          <w:b/>
        </w:rPr>
        <w:t xml:space="preserve">Source: </w:t>
      </w:r>
      <w:r>
        <w:t>Wiley: Advanced Materials: Table of Contents</w:t>
      </w:r>
      <w:r>
        <w:t xml:space="preserve">    </w:t>
      </w:r>
      <w:r>
        <w:rPr>
          <w:b/>
        </w:rPr>
        <w:t xml:space="preserve">Pub date: </w:t>
      </w:r>
      <w:r>
        <w:t>2026-07-17 11:10:55+00:00</w:t>
      </w:r>
      <w:r>
        <w:t xml:space="preserve">    </w:t>
      </w:r>
      <w:r>
        <w:rPr>
          <w:b/>
        </w:rPr>
        <w:t xml:space="preserve">DOI: </w:t>
      </w:r>
      <w:hyperlink r:id="rId851">
        <w:r>
          <w:rPr>
            <w:color w:val="1155CC"/>
            <w:u w:val="single"/>
          </w:rPr>
          <w:t>10.1002/adma.74168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光动力治疗（PDT）过程中活性氧的过量产生会加剧感染部位的炎症并增加肿瘤转移的风险，从而对治疗效果提出重大挑战。在这项研究中，采用微成型技术设计了棋盘结构微针贴片（HPC@PCN CMN）。该设计将光敏剂和抗氧化剂分别在空间上分离并封装在不同的快速和缓释微针系统中，从而实现 PDT 和抗炎治疗的时空有序控制。此外，通过调节透明质酸的交联度，可以调节抗氧化药物的释放速率，有利于延长抗炎作用。结果表明，HPC@PCN CMN 的抗炎过程可以通过抑制 ATP-P2RX4 通路来减轻炎症，在治疗痤疮和黑色素瘤方面显示出良好的疗效。总体而言，所开发的棋盘微针平台是可编程的，不仅能够实现氧化-抗氧化的顺序调节，而且还具有在药物输送场景中更广泛应用的潜力。</w:t>
      </w:r>
    </w:p>
    <w:p>
      <w:pPr>
        <w:spacing w:before="0" w:after="200" w:lineRule="auto" w:line="276"/>
      </w:pPr>
      <w:r>
        <w:rPr>
          <w:b/>
        </w:rPr>
        <w:t xml:space="preserve">Abstract (EN): </w:t>
      </w:r>
      <w:r>
        <w:t>Excessive production of reactive oxygen species during photodynamic therapy (PDT) can exacerbate inflammation at the infection site and increase the risk of tumor metastasis, thereby posing significant challenges to treatment efficacy. In this study, a chessboard‐structured microneedle patch (HPC@PCN CMN) was designed using a micromolding technique. This design spatially separates and encapsulates photosensitizers and antioxidants within distinct fast‐ and sustained‐release microneedle systems, respectively, thereby achieving spatiotemporally ordered control of PDT and anti‐inflammatory treatment. Additionally, by adjusting the crosslinking degree of hyaluronic acid, the release rate of antioxidant drugs can be regulated, which facilitates a prolonged anti‐inflammatory effect. The results indicate that the anti‐inflammatory process of HPC@PCN CMN can alleviate inflammation by inhibiting the ATP‐P2RX4 pathway, demonstrating promising efficacy in the treatment of acne and melanoma. Overall, the developed chessboard microneedle platform is programmable, enabling not only the sequential regulation of oxidation‐antioxidation but also the potential for broader applications in drug‐delivery scenarios.</w:t>
      </w:r>
    </w:p>
    <w:p>
      <w:pPr>
        <w:spacing w:before="120" w:after="120"/>
      </w:pPr>
      <w:r>
        <w:rPr>
          <w:sz w:val="18"/>
        </w:rPr>
        <w:t>——————————————————————————————————————————————————————————————————————</w:t>
      </w:r>
    </w:p>
    <w:p>
      <w:pPr>
        <w:spacing w:before="160" w:after="40" w:line="240" w:lineRule="auto"/>
      </w:pPr>
      <w:r>
        <w:rPr>
          <w:b/>
        </w:rPr>
        <w:t xml:space="preserve">[161] </w:t>
      </w:r>
      <w:hyperlink r:id="rId852">
        <w:r>
          <w:rPr>
            <w:color w:val="1155CC"/>
            <w:u w:val="single"/>
          </w:rPr>
          <w:t>多层核壳 DNA 折纸晶体的分层组装</w:t>
        </w:r>
      </w:hyperlink>
    </w:p>
    <w:p>
      <w:pPr>
        <w:spacing w:before="0" w:after="80"/>
      </w:pPr>
      <w:r>
        <w:rPr>
          <w:i/>
          <w:sz w:val="20"/>
        </w:rPr>
        <w:t>EN: Hierarchical Assembly of Multilayer Core–Shell DNA Origami Crystals</w:t>
      </w:r>
    </w:p>
    <w:p>
      <w:pPr>
        <w:spacing w:before="0" w:after="120"/>
      </w:pPr>
      <w:r>
        <w:rPr>
          <w:b/>
        </w:rPr>
        <w:t xml:space="preserve">Source: </w:t>
      </w:r>
      <w:r>
        <w:t>Wiley: Advanced Materials: Table of Contents</w:t>
      </w:r>
      <w:r>
        <w:t xml:space="preserve">    </w:t>
      </w:r>
      <w:r>
        <w:rPr>
          <w:b/>
        </w:rPr>
        <w:t xml:space="preserve">Pub date: </w:t>
      </w:r>
      <w:r>
        <w:t>2026-07-17 11:13:51+00:00</w:t>
      </w:r>
      <w:r>
        <w:t xml:space="preserve">    </w:t>
      </w:r>
      <w:r>
        <w:rPr>
          <w:b/>
        </w:rPr>
        <w:t xml:space="preserve">DOI: </w:t>
      </w:r>
      <w:hyperlink r:id="rId853">
        <w:r>
          <w:rPr>
            <w:color w:val="1155CC"/>
            <w:u w:val="single"/>
          </w:rPr>
          <w:t>10.1002/adma.74163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多层核壳结构能够选择性地将不同的纳米材料捕获到预定的层中，预计将促进微米尺度的多功能分离或级联过程。然而，制造具有大量具有复杂分布模式的壳的单晶结构仍然具有挑战性。在这项研究中，我们采用 DNA 纳米技术构建微型多层核壳 DNA 折纸晶体。内层表现出可调节的特性，包括尺寸、数量、自相似性和形态。壳尺寸可在 700 至 1800 µm 范围内调节</w:t>
      </w:r>
      <w:r>
        <w:rPr>
          <w:vertAlign w:val="subscript"/>
        </w:rPr>
        <w:t>3</w:t>
      </w:r>
      <w:r>
        <w:t>，层数可扩展至五层。我们还制造了八种表现出非自相似性的不同晶体和两种异形核壳晶体。每层都具有操作独立性，允许定制纳米材料的捕获和实施分区反应。这些多层核壳晶体有潜力作为功能单元的区室化模板，这可能为模拟细胞工作或构建人工细胞器提供可能性。</w:t>
      </w:r>
    </w:p>
    <w:p>
      <w:pPr>
        <w:spacing w:before="0" w:after="200" w:lineRule="auto" w:line="276"/>
      </w:pPr>
      <w:r>
        <w:rPr>
          <w:b/>
        </w:rPr>
        <w:t xml:space="preserve">Abstract (EN): </w:t>
      </w:r>
      <w:r>
        <w:t>A multilayer core–shell architecture capable of selectively capturing distinct nanomaterials into a predetermined layer is anticipated to facilitate multifunctional isolation or cascade processes at the microscale. However, fabricating single‐crystal architectures featuring numerous shells with intricate distribution patterns remains challenging. In this study, we employed DNA nanotechnology to construct microscale multilayer core–shell DNA origami crystals. The internal layers exhibit tunable properties, including size, quantity, self‐similarity, and morphology. The shell size can be regulated from 700 to 1800 µm</w:t>
      </w:r>
      <w:r>
        <w:rPr>
          <w:vertAlign w:val="subscript"/>
        </w:rPr>
        <w:t>3</w:t>
      </w:r>
      <w:r>
        <w:t>, and the layer quantity can be extended to five. We also fabricated eight distinct crystals exhibiting non‐self‐similarity and two types of heteromorphic core–shell crystals. Each layer has operational independence, allowing the customized capture of nanomaterials and implementation of compartmentalized reactions. These multilayer core–shell crystals have potential for serving as compartmentalization templates for functional units, which may provide possibilities for simulating cell work or constructing artificial organelles.</w:t>
      </w:r>
    </w:p>
    <w:p>
      <w:pPr>
        <w:spacing w:before="120" w:after="120"/>
      </w:pPr>
      <w:r>
        <w:rPr>
          <w:sz w:val="18"/>
        </w:rPr>
        <w:t>——————————————————————————————————————————————————————————————————————</w:t>
      </w:r>
    </w:p>
    <w:p>
      <w:pPr>
        <w:spacing w:before="160" w:after="40" w:line="240" w:lineRule="auto"/>
      </w:pPr>
      <w:r>
        <w:rPr>
          <w:b/>
        </w:rPr>
        <w:t xml:space="preserve">[162] </w:t>
      </w:r>
      <w:hyperlink r:id="rId854">
        <w:r>
          <w:rPr>
            <w:color w:val="1155CC"/>
            <w:u w:val="single"/>
          </w:rPr>
          <w:t>发射性氮化硼嵌入式累积烯：合成和双向光电流调制</w:t>
        </w:r>
      </w:hyperlink>
    </w:p>
    <w:p>
      <w:pPr>
        <w:spacing w:before="0" w:after="80"/>
      </w:pPr>
      <w:r>
        <w:rPr>
          <w:i/>
          <w:sz w:val="20"/>
        </w:rPr>
        <w:t>EN: Emissive BN‐Embedded Cumulenes: Synthesis and Bidirectional Photocurrent Modulation</w:t>
      </w:r>
    </w:p>
    <w:p>
      <w:pPr>
        <w:spacing w:before="0" w:after="120"/>
      </w:pPr>
      <w:r>
        <w:rPr>
          <w:b/>
        </w:rPr>
        <w:t xml:space="preserve">Source: </w:t>
      </w:r>
      <w:r>
        <w:t>Wiley: Angewandte Chemie International Edition: Table of Contents</w:t>
      </w:r>
      <w:r>
        <w:t xml:space="preserve">    </w:t>
      </w:r>
      <w:r>
        <w:rPr>
          <w:b/>
        </w:rPr>
        <w:t xml:space="preserve">Pub date: </w:t>
      </w:r>
      <w:r>
        <w:t>2026-07-17 12:12:17+00:00</w:t>
      </w:r>
      <w:r>
        <w:t xml:space="preserve">    </w:t>
      </w:r>
      <w:r>
        <w:rPr>
          <w:b/>
        </w:rPr>
        <w:t xml:space="preserve">DOI: </w:t>
      </w:r>
      <w:hyperlink r:id="rId855">
        <w:r>
          <w:rPr>
            <w:color w:val="1155CC"/>
            <w:u w:val="single"/>
          </w:rPr>
          <w:t>10.1002/anie.7973657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将硼和氮（BN）单元嵌入π共轭框架中，通过引入由硼的空p轨道和孤对氮产生的本征轨道极化，提供了一种调整电子结构的有效策略。虽然 BN 嵌入在 C(sp</w:t>
      </w:r>
      <w:r>
        <w:rPr>
          <w:vertAlign w:val="subscript"/>
        </w:rPr>
        <w:t>2</w:t>
      </w:r>
      <w:r>
        <w:t>）多环芳烃（PAH），其对富含 C(sp) 系统的光电性质的影响仍未得到充分研究。在这里，我们报告了空气和湿度稳定的BN封端的sp-碳链，它们与[3]-和[5]积碳烯等电子（</w:t>
      </w:r>
      <w:r>
        <w:t xml:space="preserve"> </w:t>
      </w:r>
      <w:r>
        <w:t>[n]BN</w:t>
      </w:r>
      <w:r>
        <w:t xml:space="preserve"> </w:t>
      </w:r>
      <w:r>
        <w:t>,</w:t>
      </w:r>
      <w:r>
        <w:t xml:space="preserve"> </w:t>
      </w:r>
      <w:r>
        <w:t>n</w:t>
      </w:r>
      <w:r>
        <w:t xml:space="preserve"> </w:t>
      </w:r>
      <w:r>
        <w:t>= 3, 5)。结构和光谱分析表明，BN 嵌入会引起明显的极化并使高频骨骼振动局域化。因此，</w:t>
      </w:r>
      <w:r>
        <w:t xml:space="preserve"> </w:t>
      </w:r>
      <w:r>
        <w:t>[n]BN</w:t>
      </w:r>
      <w:r>
        <w:t xml:space="preserve"> </w:t>
      </w:r>
      <w:r>
        <w:t>表现出类似准分子的固态荧光，而全碳对应物则保持微弱或不发射。利用激发态电荷分离和不对称载流子注入的特性，异质结光电器件将</w:t>
      </w:r>
      <w:r>
        <w:t xml:space="preserve"> </w:t>
      </w:r>
      <w:r>
        <w:t>[3]BN</w:t>
      </w:r>
      <w:r>
        <w:t xml:space="preserve"> </w:t>
      </w:r>
      <w:r>
        <w:t>展示了独特的双向光电流调制，将BN嵌入确立为调整富含C(sp)系统的电子结构和涌现功能的有效策略。</w:t>
      </w:r>
    </w:p>
    <w:p>
      <w:pPr>
        <w:spacing w:before="0" w:after="200" w:lineRule="auto" w:line="276"/>
      </w:pPr>
      <w:r>
        <w:rPr>
          <w:b/>
        </w:rPr>
        <w:t xml:space="preserve">Abstract (EN): </w:t>
      </w:r>
      <w:r>
        <w:t>Embedding boron and nitrogen (BN) units into π‐conjugated frameworks provides an effective strategy to tune electronic structures by introducing intrinsic orbital polarization arising from the vacant p orbital of boron and the lone pair of nitrogen. While BN‐embedding has been extensively explored in C(sp</w:t>
      </w:r>
      <w:r>
        <w:rPr>
          <w:vertAlign w:val="subscript"/>
        </w:rPr>
        <w:t>2</w:t>
      </w:r>
      <w:r>
        <w:t>) polyaromatic hydrocarbons (PAHs), its impact on the optoelectronic properties of C(sp)‐rich systems remains underexplored. Here we report air‐ and moisture‐stable BN‐capped sp‐carbon chains that are isoelectronic to [3]‐ and [5]cumulenes (</w:t>
      </w:r>
      <w:r>
        <w:t xml:space="preserve"> </w:t>
      </w:r>
      <w:r>
        <w:t>[n]BN</w:t>
      </w:r>
      <w:r>
        <w:t xml:space="preserve"> </w:t>
      </w:r>
      <w:r>
        <w:t>,</w:t>
      </w:r>
      <w:r>
        <w:t xml:space="preserve"> </w:t>
      </w:r>
      <w:r>
        <w:t>n</w:t>
      </w:r>
      <w:r>
        <w:t xml:space="preserve"> </w:t>
      </w:r>
      <w:r>
        <w:t>= 3, 5). Structural and spectroscopic analyses reveal that BN‐embedding induces pronounced polarization and localizes the high‐frequency skeletal vibrations. Consequently,</w:t>
      </w:r>
      <w:r>
        <w:t xml:space="preserve"> </w:t>
      </w:r>
      <w:r>
        <w:t>[n]BN</w:t>
      </w:r>
      <w:r>
        <w:t xml:space="preserve"> </w:t>
      </w:r>
      <w:r>
        <w:t>exhibit excimer‐like solid‐state fluorescence, whereas the all‐carbon counterparts remain weakly or non‐emissive. Leveraging the characteristics of excited‐state charge separation and asymmetric carrier injection, heterojunction optoelectronic devices incorporating</w:t>
      </w:r>
      <w:r>
        <w:t xml:space="preserve"> </w:t>
      </w:r>
      <w:r>
        <w:t>[3]BN</w:t>
      </w:r>
      <w:r>
        <w:t xml:space="preserve"> </w:t>
      </w:r>
      <w:r>
        <w:t>display unique bidirectional photocurrent modulation, establishing BN‐embedding as an effective strategy to tune the electronic structure and emergent functions of C(sp)‐rich systems.</w:t>
      </w:r>
    </w:p>
    <w:p>
      <w:pPr>
        <w:spacing w:before="120" w:after="120"/>
      </w:pPr>
      <w:r>
        <w:rPr>
          <w:sz w:val="18"/>
        </w:rPr>
        <w:t>——————————————————————————————————————————————————————————————————————</w:t>
      </w:r>
    </w:p>
    <w:p>
      <w:pPr>
        <w:spacing w:before="160" w:after="40" w:line="240" w:lineRule="auto"/>
      </w:pPr>
      <w:r>
        <w:rPr>
          <w:b/>
        </w:rPr>
        <w:t xml:space="preserve">[163] </w:t>
      </w:r>
      <w:hyperlink r:id="rId856">
        <w:r>
          <w:rPr>
            <w:color w:val="1155CC"/>
            <w:u w:val="single"/>
          </w:rPr>
          <w:t>通过双波长 3D 数字光处理进行编码和加密</w:t>
        </w:r>
      </w:hyperlink>
    </w:p>
    <w:p>
      <w:pPr>
        <w:spacing w:before="0" w:after="80"/>
      </w:pPr>
      <w:r>
        <w:rPr>
          <w:i/>
          <w:sz w:val="20"/>
        </w:rPr>
        <w:t>EN: Encoding and Encryption via Dual‐Wavelength 3D Digital Light Processing</w:t>
      </w:r>
    </w:p>
    <w:p>
      <w:pPr>
        <w:spacing w:before="0" w:after="120"/>
      </w:pPr>
      <w:r>
        <w:rPr>
          <w:b/>
        </w:rPr>
        <w:t xml:space="preserve">Source: </w:t>
      </w:r>
      <w:r>
        <w:t>Wiley: Angewandte Chemie International Edition: Table of Contents</w:t>
      </w:r>
      <w:r>
        <w:t xml:space="preserve">    </w:t>
      </w:r>
      <w:r>
        <w:rPr>
          <w:b/>
        </w:rPr>
        <w:t xml:space="preserve">Pub date: </w:t>
      </w:r>
      <w:r>
        <w:t>2026-07-17 12:14:46+00:00</w:t>
      </w:r>
      <w:r>
        <w:t xml:space="preserve">    </w:t>
      </w:r>
      <w:r>
        <w:rPr>
          <w:b/>
        </w:rPr>
        <w:t xml:space="preserve">DOI: </w:t>
      </w:r>
      <w:hyperlink r:id="rId857">
        <w:r>
          <w:rPr>
            <w:color w:val="1155CC"/>
            <w:u w:val="single"/>
          </w:rPr>
          <w:t>10.1002/anie.1978756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多响应材料的增材制造正在为信息存储、安全和传感等广泛应用带来新的机遇。在这里，通过在单一墨水配方中分别结合光响应和 pH 响应发色团、螺吡喃和酚酞衍生物，实现了能够在三维 (3D) 上编码和加密信息的复杂结构。为此，采用多波长数字光处理 (DLP) 系统，使用 405 nm 波长 LED 触发光聚合过程来制造最初的无色结构。同时，集成到同一系统中的 365 nm 波长 LED 可以诱导螺吡喃局部受控异构化为有色部花青，从而以逐层方式进行 3D 信息编码。存储的信息可以根据需要通过 pH 变化进行可逆加密。 pH 响应型发色团酚酞能够调节光学对比度，使编码图案暂时无法读取。这项工作开辟了在复杂 3D 架构中设计多响应功能的新途径。</w:t>
      </w:r>
    </w:p>
    <w:p>
      <w:pPr>
        <w:spacing w:before="0" w:after="200" w:lineRule="auto" w:line="276"/>
      </w:pPr>
      <w:r>
        <w:rPr>
          <w:b/>
        </w:rPr>
        <w:t xml:space="preserve">Abstract (EN): </w:t>
      </w:r>
      <w:r>
        <w:t>Additive manufacturing of multi‐responsive materials is opening new opportunities in a wide range of applications, including information storage, security, and sensing. Herein, complex structures enabling both the encoding and encryption of information in three dimensions (3D) are achieved by combining photo‐ and pH‐responsive chromophores, spiropyran and phenolphthalein derivatives, respectively, within a single ink formulation. To this end, a multi‐wavelength digital light processing (DLP) system is employed to fabricate initially colorless structures using a 405 nm wavelength LED to trigger the photopolymerization process. In parallel, a 365 nm wavelength LED integrated into the same system can induce locally controlled isomerization of spiropyran to the colored merocyanine, enabling information encoding in 3D in a layer‐by‐layer fashion. The stored information can be reversibly encrypted on demand via pH variation. The pH‐responsive chromophore, phenolphthalein, enables modulation of optical contrast, rendering the encoded patterns temporarily unreadable. This work opens new pathways toward engineering multi‐responsive functionality in complex 3D architectures.</w:t>
      </w:r>
    </w:p>
    <w:p>
      <w:pPr>
        <w:spacing w:before="120" w:after="120"/>
      </w:pPr>
      <w:r>
        <w:rPr>
          <w:sz w:val="18"/>
        </w:rPr>
        <w:t>——————————————————————————————————————————————————————————————————————</w:t>
      </w:r>
    </w:p>
    <w:p>
      <w:pPr>
        <w:spacing w:before="160" w:after="40" w:line="240" w:lineRule="auto"/>
      </w:pPr>
      <w:r>
        <w:rPr>
          <w:b/>
        </w:rPr>
        <w:t xml:space="preserve">[164] </w:t>
      </w:r>
      <w:hyperlink r:id="rId858">
        <w:r>
          <w:rPr>
            <w:color w:val="1155CC"/>
            <w:u w:val="single"/>
          </w:rPr>
          <w:t>一种通过利用两个独立反应途径中一个分子的瞬态来实现时间可编程输出延迟的化学燃料逻辑门</w:t>
        </w:r>
      </w:hyperlink>
    </w:p>
    <w:p>
      <w:pPr>
        <w:spacing w:before="0" w:after="80"/>
      </w:pPr>
      <w:r>
        <w:rPr>
          <w:i/>
          <w:sz w:val="20"/>
        </w:rPr>
        <w:t>EN: A Chemically Fueled Logic Gate With Temporally Programmable Output Delays by Harnessing Transient States of One Molecule in Two Independent Reaction Pathways</w:t>
      </w:r>
    </w:p>
    <w:p>
      <w:pPr>
        <w:spacing w:before="0" w:after="120"/>
      </w:pPr>
      <w:r>
        <w:rPr>
          <w:b/>
        </w:rPr>
        <w:t xml:space="preserve">Source: </w:t>
      </w:r>
      <w:r>
        <w:t>Wiley: Angewandte Chemie International Edition: Table of Contents</w:t>
      </w:r>
      <w:r>
        <w:t xml:space="preserve">    </w:t>
      </w:r>
      <w:r>
        <w:rPr>
          <w:b/>
        </w:rPr>
        <w:t xml:space="preserve">Pub date: </w:t>
      </w:r>
      <w:r>
        <w:t>2026-07-17 12:15:42+00:00</w:t>
      </w:r>
      <w:r>
        <w:t xml:space="preserve">    </w:t>
      </w:r>
      <w:r>
        <w:rPr>
          <w:b/>
        </w:rPr>
        <w:t xml:space="preserve">DOI: </w:t>
      </w:r>
      <w:hyperlink r:id="rId859">
        <w:r>
          <w:rPr>
            <w:color w:val="1155CC"/>
            <w:u w:val="single"/>
          </w:rPr>
          <w:t>10.1002/anie.5439859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逻辑门中的时间输出延迟在生物系统中普遍存在，特别是在神经系统中，它以增强的计算复杂性和传输精度来维持信号传输。然而，化学燃料逻辑门（CFLG）中的时间可编程输出延迟尚未在人工系统中实现。在这里，我们通过利用两个独立反应网络中同一分子的瞬态，报告了一种具有可编程输出信号时间延迟的仿生 CFLG。 CFLG 通过分别调节尿素-尿素酶、三磷酸腺苷和马铃薯腺苷三磷酸酶的反应网络来显示可编程瞬态。值得注意的是，出现了具有延迟输出的瞬态，模仿生物系统突触延迟中的信号处理。在具有时空可编程输出状态的 CFLG 阵列中实现了具有增强编码能力和安全性的自毁性信息加密。这项工作的发现扩大了非平衡软材料的范围，并将加速创新材料的开发，这些材料可以通过增强的编码能力和仿生时间延迟来执行精致的逻辑功能。</w:t>
      </w:r>
    </w:p>
    <w:p>
      <w:pPr>
        <w:spacing w:before="0" w:after="200" w:lineRule="auto" w:line="276"/>
      </w:pPr>
      <w:r>
        <w:rPr>
          <w:b/>
        </w:rPr>
        <w:t xml:space="preserve">Abstract (EN): </w:t>
      </w:r>
      <w:r>
        <w:t>Temporal output delays in logic gates are ubiquitous in biological systems, especially in the nervous system, which sustains the signal transmission with enhanced computational complexity and transmission accuracy. However, temporally programmable output delays in chemically fueled logic gates (CFLGs) have not been achieved in an artificial system. Here, we report a bioinspired CFLG with programmable time delays of the output signal by harnessing transient states of the same molecule in two independent reaction networks. The CFLGs show programmable transient states by regulating reaction networks of urea‐urease and adenosine triphosphate and potato apyrase, respectively. Notably, a transient state with delayed output emerges, mimicking the signal processing in the synaptic delay of biological systems. A self‐destructive information encryption with enhanced coding capacity and safety is achieved in the arrays of CFLGs with spatiotemporally programmable output states. The findings in this work expand the range of non‐equilibrium soft materials and will accelerate the development of innovative materials that can execute exquisite logic functions with enhanced coding capacity and biomimetic time delays.</w:t>
      </w:r>
    </w:p>
    <w:p>
      <w:pPr>
        <w:spacing w:before="120" w:after="120"/>
      </w:pPr>
      <w:r>
        <w:rPr>
          <w:sz w:val="18"/>
        </w:rPr>
        <w:t>——————————————————————————————————————————————————————————————————————</w:t>
      </w:r>
    </w:p>
    <w:p>
      <w:pPr>
        <w:spacing w:before="160" w:after="40" w:line="240" w:lineRule="auto"/>
      </w:pPr>
      <w:r>
        <w:rPr>
          <w:b/>
        </w:rPr>
        <w:t xml:space="preserve">[165] </w:t>
      </w:r>
      <w:hyperlink r:id="rId860">
        <w:r>
          <w:rPr>
            <w:color w:val="1155CC"/>
            <w:u w:val="single"/>
          </w:rPr>
          <w:t>具有宽可见光响应能力的高效分子马达的质子化门控正交控制</w:t>
        </w:r>
      </w:hyperlink>
    </w:p>
    <w:p>
      <w:pPr>
        <w:spacing w:before="0" w:after="80"/>
      </w:pPr>
      <w:r>
        <w:rPr>
          <w:i/>
          <w:sz w:val="20"/>
        </w:rPr>
        <w:t>EN: Protonation‐Gated Orthogonal Control of Highly Efficient Molecular Motors With Broad Visible‐Light Responsiveness</w:t>
      </w:r>
    </w:p>
    <w:p>
      <w:pPr>
        <w:spacing w:before="0" w:after="120"/>
      </w:pPr>
      <w:r>
        <w:rPr>
          <w:b/>
        </w:rPr>
        <w:t xml:space="preserve">Source: </w:t>
      </w:r>
      <w:r>
        <w:t>Wiley: Angewandte Chemie International Edition: Table of Contents</w:t>
      </w:r>
      <w:r>
        <w:t xml:space="preserve">    </w:t>
      </w:r>
      <w:r>
        <w:rPr>
          <w:b/>
        </w:rPr>
        <w:t xml:space="preserve">Pub date: </w:t>
      </w:r>
      <w:r>
        <w:t>2026-07-17 12:17:33+00:00</w:t>
      </w:r>
      <w:r>
        <w:t xml:space="preserve">    </w:t>
      </w:r>
      <w:r>
        <w:rPr>
          <w:b/>
        </w:rPr>
        <w:t xml:space="preserve">DOI: </w:t>
      </w:r>
      <w:hyperlink r:id="rId861">
        <w:r>
          <w:rPr>
            <w:color w:val="1155CC"/>
            <w:u w:val="single"/>
          </w:rPr>
          <w:t>10.1002/anie.4214875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红移吸收的分子马达对于生物医学应用非常有吸引力，但实现起来仍然具有挑战性，因为延长激发波长的传统策略通常会损害光化学效率和定向运动功能。在这里，我们报告了一种质子化门控策略，其中共轭拓扑的可逆调制能够在宽阔的可见光窗口内实现状态依赖的分子运动操作。用苯并唑取代基修饰香豆素衍生的过度拥挤的烯烃，所得电机在蓝绿光照射下经历有效的光异构化。 DFT 计算支持的光物理研究表明，质子化会引起明显的构象反转，形成分子内氢键，从而促进分子平坦化和增强的电子离域化，从而在 530-600 nm 照射下实现有效的光异构化，同时保留定量光转换。总的来说，这些发现将可逆质子化确立为一种强大的化学门控策略，无需永久性结构修饰即可扩展电机的可见光响应能力，为其在多模态响应生物成像和先进光学设备中的应用铺平了道路。</w:t>
      </w:r>
    </w:p>
    <w:p>
      <w:pPr>
        <w:spacing w:before="0" w:after="200" w:lineRule="auto" w:line="276"/>
      </w:pPr>
      <w:r>
        <w:rPr>
          <w:b/>
        </w:rPr>
        <w:t xml:space="preserve">Abstract (EN): </w:t>
      </w:r>
      <w:r>
        <w:t>Molecular motors with red‐shifted absorption are highly attractive for biomedical applications, yet remain challenging to realize because conventional strategies for extending excitation wavelengths often compromise photochemical efficiency and directional motor function. Here, we report a protonation‐gated strategy in which reversible modulation of conjugation topology enables state‐dependent molecular motor operation across a broad visible‐light window. Modifying coumarin‐derived overcrowded alkenes with benzazole substituents, the resulting motors undergo efficient photoisomerization under blue–green light irradiation. Photophysical studies supported by DFT calculations reveal that protonation induces a pronounced conformational inversion with the formation of intramolecular hydrogen bonds, thereby promoting molecular planarization and enhanced electronic delocalization, leading to the efficient photoisomerization under 530–600 nm irradiation while quantitative photoconversion is retained. Overall, these findings establish reversible protonation as a powerful chemical gating strategy to expand the visible‐light responsiveness of the motor without permanent structural modification, paving the way for its application in multimodal responsive bioimaging and advanced optical devices.</w:t>
      </w:r>
    </w:p>
    <w:p>
      <w:pPr>
        <w:spacing w:before="120" w:after="120"/>
      </w:pPr>
      <w:r>
        <w:rPr>
          <w:sz w:val="18"/>
        </w:rPr>
        <w:t>——————————————————————————————————————————————————————————————————————</w:t>
      </w:r>
    </w:p>
    <w:p>
      <w:pPr>
        <w:spacing w:before="160" w:after="40" w:line="240" w:lineRule="auto"/>
      </w:pPr>
      <w:r>
        <w:rPr>
          <w:b/>
        </w:rPr>
        <w:t xml:space="preserve">[166] </w:t>
      </w:r>
      <w:hyperlink r:id="rId862">
        <w:r>
          <w:rPr>
            <w:color w:val="1155CC"/>
            <w:u w:val="single"/>
          </w:rPr>
          <w:t>安德烈·伊曼纽尔·科特曼</w:t>
        </w:r>
      </w:hyperlink>
    </w:p>
    <w:p>
      <w:pPr>
        <w:spacing w:before="0" w:after="80"/>
      </w:pPr>
      <w:r>
        <w:rPr>
          <w:i/>
          <w:sz w:val="20"/>
        </w:rPr>
        <w:t>EN: Andrej Emanuel Cotman</w:t>
      </w:r>
    </w:p>
    <w:p>
      <w:pPr>
        <w:spacing w:before="0" w:after="120"/>
      </w:pPr>
      <w:r>
        <w:rPr>
          <w:b/>
        </w:rPr>
        <w:t xml:space="preserve">Source: </w:t>
      </w:r>
      <w:r>
        <w:t>Wiley: Angewandte Chemie International Edition: Table of Contents</w:t>
      </w:r>
      <w:r>
        <w:t xml:space="preserve">    </w:t>
      </w:r>
      <w:r>
        <w:rPr>
          <w:b/>
        </w:rPr>
        <w:t xml:space="preserve">Pub date: </w:t>
      </w:r>
      <w:r>
        <w:t>2026-07-17 12:19:53+00:00</w:t>
      </w:r>
      <w:r>
        <w:t xml:space="preserve">    </w:t>
      </w:r>
      <w:r>
        <w:rPr>
          <w:b/>
        </w:rPr>
        <w:t xml:space="preserve">DOI: </w:t>
      </w:r>
      <w:hyperlink r:id="rId863">
        <w:r>
          <w:rPr>
            <w:color w:val="1155CC"/>
            <w:u w:val="single"/>
          </w:rPr>
          <w:t>10.1002/anie.6798392</w:t>
        </w:r>
      </w:hyperlink>
    </w:p>
    <w:p>
      <w:pPr>
        <w:spacing w:before="0" w:after="120"/>
      </w:pPr>
      <w:r>
        <w:rPr>
          <w:b/>
        </w:rPr>
        <w:t xml:space="preserve">Notes: </w:t>
      </w:r>
      <w:r>
        <w:t>abstract_source=openalex</w:t>
      </w:r>
    </w:p>
    <w:p>
      <w:pPr>
        <w:spacing w:before="0" w:after="80" w:lineRule="auto" w:line="276"/>
      </w:pPr>
      <w:r>
        <w:rPr>
          <w:b/>
        </w:rPr>
        <w:t xml:space="preserve">摘要（ZH）: </w:t>
      </w:r>
      <w:r>
        <w:t>“我选择化学作为职业，因为我喜欢六边形，但我害怕蜜蜂......我建议我的学生听听我的建议，但不要服从它。相反，他们应该找到更好的方法......”在他的介绍......简介中了解更多关于 Andrej Emanuel Cotman 的信息。</w:t>
      </w:r>
    </w:p>
    <w:p>
      <w:pPr>
        <w:spacing w:before="0" w:after="200" w:lineRule="auto" w:line="276"/>
      </w:pPr>
      <w:r>
        <w:rPr>
          <w:b/>
        </w:rPr>
        <w:t xml:space="preserve">Abstract (EN): </w:t>
      </w:r>
      <w:r>
        <w:t>"I chose chemistry as a career because I like hexagons, but I am afraid of bees… I advise my students to listen to my advice but not to obey it. Instead, they should find a better way…" Find out more about Andrej Emanuel Cotman in his Introducing… Profile.</w:t>
      </w:r>
    </w:p>
    <w:p>
      <w:pPr>
        <w:spacing w:before="120" w:after="120"/>
      </w:pPr>
      <w:r>
        <w:rPr>
          <w:sz w:val="18"/>
        </w:rPr>
        <w:t>——————————————————————————————————————————————————————————————————————</w:t>
      </w:r>
    </w:p>
    <w:p>
      <w:pPr>
        <w:spacing w:before="160" w:after="40" w:line="240" w:lineRule="auto"/>
      </w:pPr>
      <w:r>
        <w:rPr>
          <w:b/>
        </w:rPr>
        <w:t xml:space="preserve">[167] </w:t>
      </w:r>
      <w:hyperlink r:id="rId864">
        <w:r>
          <w:rPr>
            <w:color w:val="1155CC"/>
            <w:u w:val="single"/>
          </w:rPr>
          <w:t>硫转移酶的工程底物增强内源性氢过硫化物并抑制铁死亡</w:t>
        </w:r>
      </w:hyperlink>
    </w:p>
    <w:p>
      <w:pPr>
        <w:spacing w:before="0" w:after="80"/>
      </w:pPr>
      <w:r>
        <w:rPr>
          <w:i/>
          <w:sz w:val="20"/>
        </w:rPr>
        <w:t>EN: Engineered Substrates for a Sulfurtransferase Enhance Endogenous Hydropersulfides and Inhibit Ferroptosis</w:t>
      </w:r>
    </w:p>
    <w:p>
      <w:pPr>
        <w:spacing w:before="0" w:after="120"/>
      </w:pPr>
      <w:r>
        <w:rPr>
          <w:b/>
        </w:rPr>
        <w:t xml:space="preserve">Source: </w:t>
      </w:r>
      <w:r>
        <w:t>Wiley: Angewandte Chemie International Edition: Table of Contents</w:t>
      </w:r>
      <w:r>
        <w:t xml:space="preserve">    </w:t>
      </w:r>
      <w:r>
        <w:rPr>
          <w:b/>
        </w:rPr>
        <w:t xml:space="preserve">Pub date: </w:t>
      </w:r>
      <w:r>
        <w:t>2026-07-17 12:23:42+00:00</w:t>
      </w:r>
      <w:r>
        <w:t xml:space="preserve">    </w:t>
      </w:r>
      <w:r>
        <w:rPr>
          <w:b/>
        </w:rPr>
        <w:t xml:space="preserve">DOI: </w:t>
      </w:r>
      <w:hyperlink r:id="rId865">
        <w:r>
          <w:rPr>
            <w:color w:val="1155CC"/>
            <w:u w:val="single"/>
          </w:rPr>
          <w:t>10.1002/anie.4893359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源自硫化氢（H）的细胞氢过硫化物（RS-SH）</w:t>
      </w:r>
      <w:r>
        <w:rPr>
          <w:vertAlign w:val="subscript"/>
        </w:rPr>
        <w:t>2</w:t>
      </w:r>
      <w:r>
        <w:t>S），例如谷胱甘肽氢过硫化物（GS-SH），是优秀的氢原子转移剂，可以淬灭自由基，以保护细胞免遭铁死亡，铁死亡是一种铁介导的细胞死亡形式，与不受控制的脂质自由基积聚有关。在此，利用酶抑制剂设计原理，开发了一系列用于内源性氢过硫化物生成酶 3-巯基丙酮酸硫转移酶（3-MST）的新型人工底物。我们发现，在动物模型中，先导分子在 3-MST 催化下产生 GS-SH，渗透细胞以增强内源性过硫化氢，保护细胞免于铁死亡，并减少动物模型中的全身炎症。总之，这种利用其生物合成机制促进细胞自身自由基捕获抗氧化剂来预防铁死亡的校准方法在氧化还原生物学和治疗学中具有巨大的影响。</w:t>
      </w:r>
    </w:p>
    <w:p>
      <w:pPr>
        <w:spacing w:before="0" w:after="200" w:lineRule="auto" w:line="276"/>
      </w:pPr>
      <w:r>
        <w:rPr>
          <w:b/>
        </w:rPr>
        <w:t xml:space="preserve">Abstract (EN): </w:t>
      </w:r>
      <w:r>
        <w:t>Cellular hydropersulfides (RS‐SH) derived from hydrogen sulfide (H</w:t>
      </w:r>
      <w:r>
        <w:rPr>
          <w:vertAlign w:val="subscript"/>
        </w:rPr>
        <w:t>2</w:t>
      </w:r>
      <w:r>
        <w:t>S) such as glutathione hydropersulfide (GS‐SH) are excellent hydrogen atom transfer agents, and quench radicals to protect cells from ferroptosis, a form of iron‐mediated cell death associated with an unchecked build‐up of lipid radicals. Here, using principles of enzyme‐inhibitor design, a series of new artificial substrates for the endogenous hydropersulfide‐generating enzyme, 3‐mercaptopyruvate sulfurtransferase (3‐MST) was developed. We find that the lead molecules generated GS‐SH, catalyzed by 3‐MST, permeated cells to enhance endogenous hydropersulfides, protected cells from ferroptosis, and reduced systemic inflammation in an animal model. Together, this calibrated approach to promote cell's own radical trapping antioxidants using its biosynthetic machinery to prevent ferroptosis has tremendous implications in redox biology and therapeutics.</w:t>
      </w:r>
    </w:p>
    <w:p>
      <w:pPr>
        <w:spacing w:before="120" w:after="120"/>
      </w:pPr>
      <w:r>
        <w:rPr>
          <w:sz w:val="18"/>
        </w:rPr>
        <w:t>——————————————————————————————————————————————————————————————————————</w:t>
      </w:r>
    </w:p>
    <w:p>
      <w:pPr>
        <w:spacing w:before="160" w:after="40" w:line="240" w:lineRule="auto"/>
      </w:pPr>
      <w:r>
        <w:rPr>
          <w:b/>
        </w:rPr>
        <w:t xml:space="preserve">[168] </w:t>
      </w:r>
      <w:hyperlink r:id="rId866">
        <w:r>
          <w:rPr>
            <w:color w:val="1155CC"/>
            <w:u w:val="single"/>
          </w:rPr>
          <w:t>用于氨基醇氧化的功函数调节银单原子催化剂</w:t>
        </w:r>
      </w:hyperlink>
    </w:p>
    <w:p>
      <w:pPr>
        <w:spacing w:before="0" w:after="80"/>
      </w:pPr>
      <w:r>
        <w:rPr>
          <w:i/>
          <w:sz w:val="20"/>
        </w:rPr>
        <w:t>EN: Work‐Function‐Modulated Ag Single‐Atom Catalysts for Amino Alcohol Oxidation</w:t>
      </w:r>
    </w:p>
    <w:p>
      <w:pPr>
        <w:spacing w:before="0" w:after="120"/>
      </w:pPr>
      <w:r>
        <w:rPr>
          <w:b/>
        </w:rPr>
        <w:t xml:space="preserve">Source: </w:t>
      </w:r>
      <w:r>
        <w:t>Wiley: Angewandte Chemie International Edition: Table of Contents</w:t>
      </w:r>
      <w:r>
        <w:t xml:space="preserve">    </w:t>
      </w:r>
      <w:r>
        <w:rPr>
          <w:b/>
        </w:rPr>
        <w:t xml:space="preserve">Pub date: </w:t>
      </w:r>
      <w:r>
        <w:t>2026-07-17 12:32:59+00:00</w:t>
      </w:r>
      <w:r>
        <w:t xml:space="preserve">    </w:t>
      </w:r>
      <w:r>
        <w:rPr>
          <w:b/>
        </w:rPr>
        <w:t xml:space="preserve">DOI: </w:t>
      </w:r>
      <w:hyperlink r:id="rId867">
        <w:r>
          <w:rPr>
            <w:color w:val="1155CC"/>
            <w:u w:val="single"/>
          </w:rPr>
          <w:t>10.1002/anie.5510018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我们报道了用于氨基醇氧化成氨基酸的银单原子催化剂。使用表面缺陷捕获策略，我们制造了一系列Ag</w:t>
      </w:r>
      <w:r>
        <w:rPr>
          <w:vertAlign w:val="subscript"/>
        </w:rPr>
        <w:t>1</w:t>
      </w:r>
      <w:r>
        <w:t>/莫</w:t>
      </w:r>
      <w:r>
        <w:t xml:space="preserve"> </w:t>
      </w:r>
      <w:r>
        <w:t>x</w:t>
      </w:r>
      <w:r>
        <w:t xml:space="preserve"> </w:t>
      </w:r>
      <w:r>
        <w:t>催化剂（M = Ce、Fe、Ti、Zn、Nb），具有原子分散性和 Ag 的可调电子态。配位不饱和MO上的氧空位</w:t>
      </w:r>
      <w:r>
        <w:t xml:space="preserve"> </w:t>
      </w:r>
      <w:r>
        <w:t>x</w:t>
      </w:r>
      <w:r>
        <w:t xml:space="preserve"> </w:t>
      </w:r>
      <w:r>
        <w:t>作为高亲和力捕获位点来锚定孤立的银原子。 Ag的电子密度</w:t>
      </w:r>
      <w:r>
        <w:rPr>
          <w:vertAlign w:val="subscript"/>
        </w:rPr>
        <w:t>1</w:t>
      </w:r>
      <w:r>
        <w:t>受可还原氧化物的功函数调节：低功函数载体诱导更强的电子转移到Ag，产生富电子Ag</w:t>
      </w:r>
      <w:r>
        <w:t xml:space="preserve"> </w:t>
      </w:r>
      <w:r>
        <w:t>δ+</w:t>
      </w:r>
      <w:r>
        <w:t xml:space="preserve"> </w:t>
      </w:r>
      <w:r>
        <w:t>物种 (0 &lt;</w:t>
      </w:r>
      <w:r>
        <w:t xml:space="preserve"> </w:t>
      </w:r>
      <w:r>
        <w:t>δ</w:t>
      </w:r>
      <w:r>
        <w:t xml:space="preserve"> </w:t>
      </w:r>
      <w:r>
        <w:t>&lt; 1)，而高功函数则抑制电荷转移并稳定更多的缺电子银位点。与相邻的氧空位一起，这些可调Ag</w:t>
      </w:r>
      <w:r>
        <w:t xml:space="preserve"> </w:t>
      </w:r>
      <w:r>
        <w:t>δ+</w:t>
      </w:r>
      <w:r>
        <w:t xml:space="preserve"> </w:t>
      </w:r>
      <w:r>
        <w:t>站点启用 O</w:t>
      </w:r>
      <w:r>
        <w:rPr>
          <w:vertAlign w:val="subscript"/>
        </w:rPr>
        <w:t>2</w:t>
      </w:r>
      <w:r>
        <w:t>活化和随后的氨基醇氧化，初始速率为 0.81 mol h</w:t>
      </w:r>
      <w:r>
        <w:t xml:space="preserve"> </w:t>
      </w:r>
      <w:r>
        <w:t>−1</w:t>
      </w:r>
      <w:r>
        <w:t xml:space="preserve"> </w:t>
      </w:r>
      <w:r>
        <w:t>克</w:t>
      </w:r>
      <w:r>
        <w:t xml:space="preserve"> </w:t>
      </w:r>
      <w:r>
        <w:t>金属</w:t>
      </w:r>
      <w:r>
        <w:t xml:space="preserve"> </w:t>
      </w:r>
      <w:r>
        <w:t>−1</w:t>
      </w:r>
      <w:r>
        <w:t xml:space="preserve"> </w:t>
      </w:r>
      <w:r>
        <w:t>单乙醇胺氧化的甘氨酸选择性为 95.1%。这项工作建立了一种功函数调制策略来设计银基单原子氧化催化剂，证明氨基醇氧化可以通过以下方式有效实现：</w:t>
      </w:r>
    </w:p>
    <w:p>
      <w:pPr>
        <w:spacing w:before="0" w:after="200" w:lineRule="auto" w:line="276"/>
      </w:pPr>
      <w:r>
        <w:rPr>
          <w:b/>
        </w:rPr>
        <w:t xml:space="preserve">Abstract (EN): </w:t>
      </w:r>
      <w:r>
        <w:t>We report Ag single‐atom catalysts for amino alcohol oxidation into amino acids. Using a surface defect trapping strategy, we fabricate a series of Ag</w:t>
      </w:r>
      <w:r>
        <w:rPr>
          <w:vertAlign w:val="subscript"/>
        </w:rPr>
        <w:t>1</w:t>
      </w:r>
      <w:r>
        <w:t>/MO</w:t>
      </w:r>
      <w:r>
        <w:t xml:space="preserve"> </w:t>
      </w:r>
      <w:r>
        <w:t>x</w:t>
      </w:r>
      <w:r>
        <w:t xml:space="preserve"> </w:t>
      </w:r>
      <w:r>
        <w:t>catalysts (M = Ce, Fe, Ti, Zn, Nb) featuring atomic dispersion and tunable electronic states of Ag. Oxygen vacancies on coordinatively unsaturated MO</w:t>
      </w:r>
      <w:r>
        <w:t xml:space="preserve"> </w:t>
      </w:r>
      <w:r>
        <w:t>x</w:t>
      </w:r>
      <w:r>
        <w:t xml:space="preserve"> </w:t>
      </w:r>
      <w:r>
        <w:t>act as high‐affinity trapping sites to anchor isolated Ag atoms. The electron density of Ag</w:t>
      </w:r>
      <w:r>
        <w:rPr>
          <w:vertAlign w:val="subscript"/>
        </w:rPr>
        <w:t>1</w:t>
      </w:r>
      <w:r>
        <w:t>is regulated by the work function of the reducible oxide: low‐work‐function supports induce stronger electron transfer to Ag, generating electron‐enriched Ag</w:t>
      </w:r>
      <w:r>
        <w:t xml:space="preserve"> </w:t>
      </w:r>
      <w:r>
        <w:t>δ+</w:t>
      </w:r>
      <w:r>
        <w:t xml:space="preserve"> </w:t>
      </w:r>
      <w:r>
        <w:t>species (0 &amp;lt;</w:t>
      </w:r>
      <w:r>
        <w:t xml:space="preserve"> </w:t>
      </w:r>
      <w:r>
        <w:t>δ</w:t>
      </w:r>
      <w:r>
        <w:t xml:space="preserve"> </w:t>
      </w:r>
      <w:r>
        <w:t>&amp;lt; 1), while high‐work‐function supports suppress charge transfer and stabilize more electron‐deficient Ag sites. Together with adjacent oxygen vacancies, these tunable Ag</w:t>
      </w:r>
      <w:r>
        <w:t xml:space="preserve"> </w:t>
      </w:r>
      <w:r>
        <w:t>δ+</w:t>
      </w:r>
      <w:r>
        <w:t xml:space="preserve"> </w:t>
      </w:r>
      <w:r>
        <w:t>sites enable O</w:t>
      </w:r>
      <w:r>
        <w:rPr>
          <w:vertAlign w:val="subscript"/>
        </w:rPr>
        <w:t>2</w:t>
      </w:r>
      <w:r>
        <w:t>activation and subsequent amino alcohol oxidation, delivering an initial rate of 0.81 mol h</w:t>
      </w:r>
      <w:r>
        <w:t xml:space="preserve"> </w:t>
      </w:r>
      <w:r>
        <w:t>−1</w:t>
      </w:r>
      <w:r>
        <w:t xml:space="preserve"> </w:t>
      </w:r>
      <w:r>
        <w:t>g</w:t>
      </w:r>
      <w:r>
        <w:t xml:space="preserve"> </w:t>
      </w:r>
      <w:r>
        <w:t>metal</w:t>
      </w:r>
      <w:r>
        <w:t xml:space="preserve"> </w:t>
      </w:r>
      <w:r>
        <w:t>−1</w:t>
      </w:r>
      <w:r>
        <w:t xml:space="preserve"> </w:t>
      </w:r>
      <w:r>
        <w:t>and 95.1% glycine selectivity in monoethanolamine oxidation. This work establishes a work‐function‐modulated strategy for designing Ag‐based single‐atom oxidation catalysts, demonstrating that amino alcohol oxidation can be efficiently achieved beyond the conventional reliance on Au‐based systems.</w:t>
      </w:r>
    </w:p>
    <w:p>
      <w:pPr>
        <w:spacing w:before="120" w:after="120"/>
      </w:pPr>
      <w:r>
        <w:rPr>
          <w:sz w:val="18"/>
        </w:rPr>
        <w:t>——————————————————————————————————————————————————————————————————————</w:t>
      </w:r>
    </w:p>
    <w:p>
      <w:pPr>
        <w:spacing w:before="160" w:after="40" w:line="240" w:lineRule="auto"/>
      </w:pPr>
      <w:r>
        <w:rPr>
          <w:b/>
        </w:rPr>
        <w:t xml:space="preserve">[169] </w:t>
      </w:r>
      <w:hyperlink r:id="rId868">
        <w:r>
          <w:rPr>
            <w:color w:val="1155CC"/>
            <w:u w:val="single"/>
          </w:rPr>
          <w:t>用于医疗器械的功能性水凝胶涂层：最新进展和生物医学应用</w:t>
        </w:r>
      </w:hyperlink>
    </w:p>
    <w:p>
      <w:pPr>
        <w:spacing w:before="0" w:after="80"/>
      </w:pPr>
      <w:r>
        <w:rPr>
          <w:i/>
          <w:sz w:val="20"/>
        </w:rPr>
        <w:t>EN: Functional Hydrogel Coatings for Medical Devices: Recent Developments and Biomedical Applications</w:t>
      </w:r>
    </w:p>
    <w:p>
      <w:pPr>
        <w:spacing w:before="0" w:after="120"/>
      </w:pPr>
      <w:r>
        <w:rPr>
          <w:b/>
        </w:rPr>
        <w:t xml:space="preserve">Source: </w:t>
      </w:r>
      <w:r>
        <w:t>Wiley: Advanced Materials: Table of Contents</w:t>
      </w:r>
      <w:r>
        <w:t xml:space="preserve">    </w:t>
      </w:r>
      <w:r>
        <w:rPr>
          <w:b/>
        </w:rPr>
        <w:t xml:space="preserve">Pub date: </w:t>
      </w:r>
      <w:r>
        <w:t>2026-07-17 12:55:36+00:00</w:t>
      </w:r>
      <w:r>
        <w:t xml:space="preserve">    </w:t>
      </w:r>
      <w:r>
        <w:rPr>
          <w:b/>
        </w:rPr>
        <w:t xml:space="preserve">DOI: </w:t>
      </w:r>
      <w:hyperlink r:id="rId869">
        <w:r>
          <w:rPr>
            <w:color w:val="1155CC"/>
            <w:u w:val="single"/>
          </w:rPr>
          <w:t>10.1002/adma.74021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医疗器械的表面涂层改性是克服临床应用中遇到的界面不相容性和相关生物并发症的有效策略。在各种涂层材料中，功能性水凝胶涂层可以赋予底层医疗器械基材柔软的弹性、润滑性、生物相容性和抗生物污损特性，同时在很大程度上保持其固有的机械完整性。与现有的审查框架不同，本审查采用面向医疗器械的功能性水凝胶涂层框架，将涂层功能、制造策略、基材兼容性、设备几何形状和临床应用场景联系起来。首先，系统地总结了水凝胶涂层的主要功能，以及其界面效应背后的生物和物理化学机制。接下来，讨论代表性的制造策略，特别强调它们对不同基板材料的适用性。随后，分析了医疗设备代表性类别的特定应用设计原则，强调设备相关的功能要求、界面故障模式和平移约束。最后，讨论了当前的挑战和未来的前景。这个以设备为中心的组织旨在为设计下一代多功能水凝胶涂层提供更清晰的基础，使其更好地符合实际生物医学应用和临床转化。</w:t>
      </w:r>
    </w:p>
    <w:p>
      <w:pPr>
        <w:spacing w:before="0" w:after="200" w:lineRule="auto" w:line="276"/>
      </w:pPr>
      <w:r>
        <w:rPr>
          <w:b/>
        </w:rPr>
        <w:t xml:space="preserve">Abstract (EN): </w:t>
      </w:r>
      <w:r>
        <w:t>Surface coating modification of medical devices is an effective strategy to overcome interfacial incompatibility and associated biological complications encountered in clinical applications. Among various coating materials, functional hydrogel coatings can impart soft elasticity, lubricity, biocompatibility, and anti‐biofouling characteristics to underlying medical device substrates while largely preserving their intrinsic mechanical integrity. Unlike existing review frameworks, this review adopts a medical device‐oriented framework for functional hydrogel coatings by linking coating function, fabrication strategy, substrate compatibility, device geometry, and clinical application scenario. First, the major functions of hydrogel coatings are systematically summarized, together with the biological and physicochemical mechanisms underlying their interfacial effects. Next, representative fabrication strategies are discussed, with particular emphasis on their applicability to different substrate materials. Subsequently, application‐specific design principles are analyzed across representative categories of medical devices, highlighting device‐dependent functional requirements, interfacial failure modes, and translational constraints. Finally, current challenges and future perspectives are discussed. This device‐centered organization aims to provide a clearer basis for designing next‐generation multifunctional hydrogel coatings that are better aligned with practical biomedical applications and clinical translation.</w:t>
      </w:r>
    </w:p>
    <w:p>
      <w:pPr>
        <w:spacing w:before="120" w:after="120"/>
      </w:pPr>
      <w:r>
        <w:rPr>
          <w:sz w:val="18"/>
        </w:rPr>
        <w:t>——————————————————————————————————————————————————————————————————————</w:t>
      </w:r>
    </w:p>
    <w:p>
      <w:pPr>
        <w:spacing w:before="160" w:after="40" w:line="240" w:lineRule="auto"/>
      </w:pPr>
      <w:r>
        <w:rPr>
          <w:b/>
        </w:rPr>
        <w:t xml:space="preserve">[170] </w:t>
      </w:r>
      <w:hyperlink r:id="rId870">
        <w:r>
          <w:rPr>
            <w:color w:val="1155CC"/>
            <w:u w:val="single"/>
          </w:rPr>
          <w:t>对“线粒体靶向纳米马达：H2S驱动的肝细胞癌级联疗法”的更正</w:t>
        </w:r>
      </w:hyperlink>
    </w:p>
    <w:p>
      <w:pPr>
        <w:spacing w:before="0" w:after="80"/>
      </w:pPr>
      <w:r>
        <w:rPr>
          <w:i/>
          <w:sz w:val="20"/>
        </w:rPr>
        <w:t>EN: Correction to “Mitochondria‐Targeted Nanomotor: H2S‐Driven Cascade Therapy for Hepatocellular Carcinoma”</w:t>
      </w:r>
    </w:p>
    <w:p>
      <w:pPr>
        <w:spacing w:before="0" w:after="120"/>
      </w:pPr>
      <w:r>
        <w:rPr>
          <w:b/>
        </w:rPr>
        <w:t xml:space="preserve">Source: </w:t>
      </w:r>
      <w:r>
        <w:t>Wiley: Advanced Materials: Table of Contents</w:t>
      </w:r>
      <w:r>
        <w:t xml:space="preserve">    </w:t>
      </w:r>
      <w:r>
        <w:rPr>
          <w:b/>
        </w:rPr>
        <w:t xml:space="preserve">Pub date: </w:t>
      </w:r>
      <w:r>
        <w:t>2026-07-17 12:58:09+00:00</w:t>
      </w:r>
      <w:r>
        <w:t xml:space="preserve">    </w:t>
      </w:r>
      <w:r>
        <w:rPr>
          <w:b/>
        </w:rPr>
        <w:t xml:space="preserve">DOI: </w:t>
      </w:r>
      <w:hyperlink r:id="rId871">
        <w:r>
          <w:rPr>
            <w:color w:val="1155CC"/>
            <w:u w:val="single"/>
          </w:rPr>
          <w:t>10.1002/adma.74114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872">
        <w:r>
          <w:rPr>
            <w:color w:val="1155CC"/>
            <w:u w:val="single"/>
          </w:rPr>
          <w:t>用于外源传感和细胞命运控制的导电水凝胶（Adv. Mater. 40/2026）</w:t>
        </w:r>
      </w:hyperlink>
    </w:p>
    <w:p>
      <w:pPr>
        <w:spacing w:before="0" w:after="80"/>
      </w:pPr>
      <w:r>
        <w:rPr>
          <w:i/>
          <w:sz w:val="20"/>
        </w:rPr>
        <w:t>EN: Conductive Hydrogels for Exogenous Sensing and Cell Fate Control (Adv. Mater. 40/2026)</w:t>
      </w:r>
    </w:p>
    <w:p>
      <w:pPr>
        <w:spacing w:before="0" w:after="120"/>
      </w:pPr>
      <w:r>
        <w:rPr>
          <w:b/>
        </w:rPr>
        <w:t xml:space="preserve">Source: </w:t>
      </w:r>
      <w:r>
        <w:t>Wiley: Advanced Materials: Table of Contents</w:t>
      </w:r>
      <w:r>
        <w:t xml:space="preserve">    </w:t>
      </w:r>
      <w:r>
        <w:rPr>
          <w:b/>
        </w:rPr>
        <w:t xml:space="preserve">Pub date: </w:t>
      </w:r>
      <w:r>
        <w:t>2026-07-17 13:23:16+00:00</w:t>
      </w:r>
      <w:r>
        <w:t xml:space="preserve">    </w:t>
      </w:r>
      <w:r>
        <w:rPr>
          <w:b/>
        </w:rPr>
        <w:t xml:space="preserve">DOI: </w:t>
      </w:r>
      <w:hyperlink r:id="rId873">
        <w:r>
          <w:rPr>
            <w:color w:val="1155CC"/>
            <w:u w:val="single"/>
          </w:rPr>
          <w:t>10.1002/adma.74099</w:t>
        </w:r>
      </w:hyperlink>
    </w:p>
    <w:p>
      <w:pPr>
        <w:spacing w:before="0" w:after="120"/>
      </w:pPr>
      <w:r>
        <w:rPr>
          <w:b/>
        </w:rPr>
        <w:t xml:space="preserve">Notes: </w:t>
      </w:r>
      <w:r>
        <w:t>abstract_source=openalex</w:t>
      </w:r>
    </w:p>
    <w:p>
      <w:pPr>
        <w:spacing w:before="0" w:after="80" w:lineRule="auto" w:line="276"/>
      </w:pPr>
      <w:r>
        <w:rPr>
          <w:b/>
        </w:rPr>
        <w:t xml:space="preserve">摘要（ZH）: </w:t>
      </w:r>
      <w:r>
        <w:t>电子细胞外基质通过电子细胞外基质桥接电子学和生物学：电信号触发存储在 3D 水合大分子网络中的蛋白质的释放，使它们能够与周围细胞相互作用并精确控制生物反应。更多详细信息，请参阅 Christoph Tondera、Ivan R. Minev 及其同事的研究文章 (DOI: 10.1002/adma.72866)。</w:t>
      </w:r>
    </w:p>
    <w:p>
      <w:pPr>
        <w:spacing w:before="0" w:after="200" w:lineRule="auto" w:line="276"/>
      </w:pPr>
      <w:r>
        <w:rPr>
          <w:b/>
        </w:rPr>
        <w:t xml:space="preserve">Abstract (EN): </w:t>
      </w:r>
      <w:r>
        <w:t>Electronic Extracellular Matrix Bridging electronics and biology with an electronic extracellular matrix: an electrical signal triggers the release of proteins stored in a 3D, hydrated macromolecular network, allowing them to interact with surrounding cells and precisely control biological responses. More details can be found in the Research Article by Christoph Tondera, Ivan R. Minev, and co-workers (DOI: 10.1002/adma.72866).</w:t>
      </w:r>
    </w:p>
    <w:p>
      <w:pPr>
        <w:spacing w:before="120" w:after="120"/>
      </w:pPr>
      <w:r>
        <w:rPr>
          <w:sz w:val="18"/>
        </w:rPr>
        <w:t>——————————————————————————————————————————————————————————————————————</w:t>
      </w:r>
    </w:p>
    <w:p>
      <w:pPr>
        <w:spacing w:before="160" w:after="40" w:line="240" w:lineRule="auto"/>
      </w:pPr>
      <w:r>
        <w:rPr>
          <w:b/>
        </w:rPr>
        <w:t xml:space="preserve">[172] </w:t>
      </w:r>
      <w:hyperlink r:id="rId874">
        <w:r>
          <w:rPr>
            <w:color w:val="1155CC"/>
            <w:u w:val="single"/>
          </w:rPr>
          <w:t>受病毒感染启发的融合病毒自主检测，用于筛选和环境监测（Adv. Mater. 40/2026）</w:t>
        </w:r>
      </w:hyperlink>
    </w:p>
    <w:p>
      <w:pPr>
        <w:spacing w:before="0" w:after="80"/>
      </w:pPr>
      <w:r>
        <w:rPr>
          <w:i/>
          <w:sz w:val="20"/>
        </w:rPr>
        <w:t>EN: Viral Infection‐Inspired Autonomous Detection of Fusion‐Competent Viruses for Screening and Environmental Surveillance (Adv. Mater. 40/2026)</w:t>
      </w:r>
    </w:p>
    <w:p>
      <w:pPr>
        <w:spacing w:before="0" w:after="120"/>
      </w:pPr>
      <w:r>
        <w:rPr>
          <w:b/>
        </w:rPr>
        <w:t xml:space="preserve">Source: </w:t>
      </w:r>
      <w:r>
        <w:t>Wiley: Advanced Materials: Table of Contents</w:t>
      </w:r>
      <w:r>
        <w:t xml:space="preserve">    </w:t>
      </w:r>
      <w:r>
        <w:rPr>
          <w:b/>
        </w:rPr>
        <w:t xml:space="preserve">Pub date: </w:t>
      </w:r>
      <w:r>
        <w:t>2026-07-17 13:23:16+00:00</w:t>
      </w:r>
      <w:r>
        <w:t xml:space="preserve">    </w:t>
      </w:r>
      <w:r>
        <w:rPr>
          <w:b/>
        </w:rPr>
        <w:t xml:space="preserve">DOI: </w:t>
      </w:r>
      <w:hyperlink r:id="rId875">
        <w:r>
          <w:rPr>
            <w:color w:val="1155CC"/>
            <w:u w:val="single"/>
          </w:rPr>
          <w:t>10.1002/adma.74101</w:t>
        </w:r>
      </w:hyperlink>
    </w:p>
    <w:p>
      <w:pPr>
        <w:spacing w:before="0" w:after="120"/>
      </w:pPr>
      <w:r>
        <w:rPr>
          <w:b/>
        </w:rPr>
        <w:t xml:space="preserve">Notes: </w:t>
      </w:r>
      <w:r>
        <w:t>abstract_source=openalex</w:t>
      </w:r>
    </w:p>
    <w:p>
      <w:pPr>
        <w:spacing w:before="0" w:after="80" w:lineRule="auto" w:line="276"/>
      </w:pPr>
      <w:r>
        <w:rPr>
          <w:b/>
        </w:rPr>
        <w:t xml:space="preserve">摘要（ZH）: </w:t>
      </w:r>
      <w:r>
        <w:t>呼吸道病毒的快速自主检测 在他们的研究文章（DOI：10.1002/adma.202521241）中，Jae Chul Park、Seung-Jung Kee、Hojun Kim 及其同事报告了一种膜融合介导的平台，用于基于感染性相关信号快速自主检测呼吸道病毒。通过重现天然病毒进入机制，融合囊泡选择性地与具有融合能力的病毒颗粒融合。这可以在两分钟内实现高度灵敏的一步式病毒检测，为临床筛查和大面积环境监测提供直观的工具。</w:t>
      </w:r>
    </w:p>
    <w:p>
      <w:pPr>
        <w:spacing w:before="0" w:after="200" w:lineRule="auto" w:line="276"/>
      </w:pPr>
      <w:r>
        <w:rPr>
          <w:b/>
        </w:rPr>
        <w:t xml:space="preserve">Abstract (EN): </w:t>
      </w:r>
      <w:r>
        <w:t>Rapid and Autonomous Detection of Respiratory Viruses In their Research Article (DOI: 10.1002/adma.202521241), Jae Chul Park, Seung-Jung Kee, Hojun Kim, and co-workers report a membrane fusion-mediated platform for the rapid and autonomous detection of respiratory viruses based on infectivity-relevant signals. By recapitulating native viral entry mechanisms, fusogenic vesicles selectively fuse with fusion-competent viral particles. This enables highly sensitive, one-step viral detection within two minutes, offering an intuitive tool for both clinical screening and large-area environmental surveillance.</w:t>
      </w:r>
    </w:p>
    <w:p>
      <w:pPr>
        <w:spacing w:before="120" w:after="120"/>
      </w:pPr>
      <w:r>
        <w:rPr>
          <w:sz w:val="18"/>
        </w:rPr>
        <w:t>——————————————————————————————————————————————————————————————————————</w:t>
      </w:r>
    </w:p>
    <w:p>
      <w:pPr>
        <w:spacing w:before="160" w:after="40" w:line="240" w:lineRule="auto"/>
      </w:pPr>
      <w:r>
        <w:rPr>
          <w:b/>
        </w:rPr>
        <w:t xml:space="preserve">[173] </w:t>
      </w:r>
      <w:hyperlink r:id="rId876">
        <w:r>
          <w:rPr>
            <w:color w:val="1155CC"/>
            <w:u w:val="single"/>
          </w:rPr>
          <w:t>冷冻保存生物墨水可实现贴壁细胞的直接生物打印（Adv. Mater. 40/2026）</w:t>
        </w:r>
      </w:hyperlink>
    </w:p>
    <w:p>
      <w:pPr>
        <w:spacing w:before="0" w:after="80"/>
      </w:pPr>
      <w:r>
        <w:rPr>
          <w:i/>
          <w:sz w:val="20"/>
        </w:rPr>
        <w:t>EN: Cryopreservative Bioink Enables Direct Bioprinting of Adherent Cells (Adv. Mater. 40/2026)</w:t>
      </w:r>
    </w:p>
    <w:p>
      <w:pPr>
        <w:spacing w:before="0" w:after="120"/>
      </w:pPr>
      <w:r>
        <w:rPr>
          <w:b/>
        </w:rPr>
        <w:t xml:space="preserve">Source: </w:t>
      </w:r>
      <w:r>
        <w:t>Wiley: Advanced Materials: Table of Contents</w:t>
      </w:r>
      <w:r>
        <w:t xml:space="preserve">    </w:t>
      </w:r>
      <w:r>
        <w:rPr>
          <w:b/>
        </w:rPr>
        <w:t xml:space="preserve">Pub date: </w:t>
      </w:r>
      <w:r>
        <w:t>2026-07-17 13:23:16+00:00</w:t>
      </w:r>
      <w:r>
        <w:t xml:space="preserve">    </w:t>
      </w:r>
      <w:r>
        <w:rPr>
          <w:b/>
        </w:rPr>
        <w:t xml:space="preserve">DOI: </w:t>
      </w:r>
      <w:hyperlink r:id="rId877">
        <w:r>
          <w:rPr>
            <w:color w:val="1155CC"/>
            <w:u w:val="single"/>
          </w:rPr>
          <w:t>10.1002/adma.74097</w:t>
        </w:r>
      </w:hyperlink>
    </w:p>
    <w:p>
      <w:pPr>
        <w:spacing w:before="0" w:after="120"/>
      </w:pPr>
      <w:r>
        <w:rPr>
          <w:b/>
        </w:rPr>
        <w:t xml:space="preserve">Notes: </w:t>
      </w:r>
      <w:r>
        <w:t>abstract_source=openalex</w:t>
      </w:r>
    </w:p>
    <w:p>
      <w:pPr>
        <w:spacing w:before="0" w:after="80" w:lineRule="auto" w:line="276"/>
      </w:pPr>
      <w:r>
        <w:rPr>
          <w:b/>
        </w:rPr>
        <w:t xml:space="preserve">摘要（ZH）: </w:t>
      </w:r>
      <w:r>
        <w:t>贴壁细胞的直接生物打印 在他们的研究文章 (DOI: 10.1002/adma.72714) 中，Qi Gu 和同事报告了 CAMP，这是一种不含 DMSO 的冷冻保存策略，使用贴壁细胞作为功能构件并实现按需生物打印。在艺术作品中，白雪覆盖的山脉和冰川象征着低温环境，而印刷的纸巾则被描绘成腊梅花。受中国古典诗句“腊梅花香自苦寒来”的启发，该图像传达了冷冻保存的细胞如何通过精确的生物打印发育成强健的功能性组织。</w:t>
      </w:r>
    </w:p>
    <w:p>
      <w:pPr>
        <w:spacing w:before="0" w:after="200" w:lineRule="auto" w:line="276"/>
      </w:pPr>
      <w:r>
        <w:rPr>
          <w:b/>
        </w:rPr>
        <w:t xml:space="preserve">Abstract (EN): </w:t>
      </w:r>
      <w:r>
        <w:t>Direct Bioprinting of Adherent Cells In their Research Article (DOI: 10.1002/adma.72714), Qi Gu and co-workers report CAMP, a DMSO-free cryopreservation strategy that uses adherent cells as functional building blocks and enables on-demand bioprinting. In the artwork, snow-covered mountains and glaciers symbolize the cryogenic environment, while printed tissues are depicted as wintersweet blossoms. Inspired by the classic Chinese poetic line, ‘The fragrance of wintersweet blossoms comes from enduring bitter cold,’ the image conveys how cryopreserved cells can develop into robust and functional tissues through precise bioprinting.</w:t>
      </w:r>
    </w:p>
    <w:p>
      <w:pPr>
        <w:spacing w:before="120" w:after="120"/>
      </w:pPr>
      <w:r>
        <w:rPr>
          <w:sz w:val="18"/>
        </w:rPr>
        <w:t>——————————————————————————————————————————————————————————————————————</w:t>
      </w:r>
    </w:p>
    <w:p>
      <w:pPr>
        <w:spacing w:before="160" w:after="40" w:line="240" w:lineRule="auto"/>
      </w:pPr>
      <w:r>
        <w:rPr>
          <w:b/>
        </w:rPr>
        <w:t xml:space="preserve">[174] </w:t>
      </w:r>
      <w:hyperlink r:id="rId878">
        <w:r>
          <w:rPr>
            <w:color w:val="1155CC"/>
            <w:u w:val="single"/>
          </w:rPr>
          <w:t>二次谐波超米氏光学活性实现闭环手性光化学（Adv. Mater. 40/2026）</w:t>
        </w:r>
      </w:hyperlink>
    </w:p>
    <w:p>
      <w:pPr>
        <w:spacing w:before="0" w:after="80"/>
      </w:pPr>
      <w:r>
        <w:rPr>
          <w:i/>
          <w:sz w:val="20"/>
        </w:rPr>
        <w:t>EN: Second‐Harmonic Hyper‐Mie Optical Activity Enables Closed‐Loop Chiral Photochemistry (Adv. Mater. 40/2026)</w:t>
      </w:r>
    </w:p>
    <w:p>
      <w:pPr>
        <w:spacing w:before="0" w:after="120"/>
      </w:pPr>
      <w:r>
        <w:rPr>
          <w:b/>
        </w:rPr>
        <w:t xml:space="preserve">Source: </w:t>
      </w:r>
      <w:r>
        <w:t>Wiley: Advanced Materials: Table of Contents</w:t>
      </w:r>
      <w:r>
        <w:t xml:space="preserve">    </w:t>
      </w:r>
      <w:r>
        <w:rPr>
          <w:b/>
        </w:rPr>
        <w:t xml:space="preserve">Pub date: </w:t>
      </w:r>
      <w:r>
        <w:t>2026-07-17 13:23:16+00:00</w:t>
      </w:r>
      <w:r>
        <w:t xml:space="preserve">    </w:t>
      </w:r>
      <w:r>
        <w:rPr>
          <w:b/>
        </w:rPr>
        <w:t xml:space="preserve">DOI: </w:t>
      </w:r>
      <w:hyperlink r:id="rId879">
        <w:r>
          <w:rPr>
            <w:color w:val="1155CC"/>
            <w:u w:val="single"/>
          </w:rPr>
          <w:t>10.1002/adma.74096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[175] </w:t>
      </w:r>
      <w:hyperlink r:id="rId880">
        <w:r>
          <w:rPr>
            <w:color w:val="1155CC"/>
            <w:u w:val="single"/>
          </w:rPr>
          <w:t>表观基因组修饰定义染色质状态以调节游离 DNA 片段组学</w:t>
        </w:r>
      </w:hyperlink>
    </w:p>
    <w:p>
      <w:pPr>
        <w:spacing w:before="0" w:after="80"/>
      </w:pPr>
      <w:r>
        <w:rPr>
          <w:i/>
          <w:sz w:val="20"/>
        </w:rPr>
        <w:t>EN: Epigenomic modifications define chromatin states to regulate cell-free DNA fragmentomics</w:t>
      </w:r>
    </w:p>
    <w:p>
      <w:pPr>
        <w:spacing w:before="0" w:after="120"/>
      </w:pPr>
      <w:r>
        <w:rPr>
          <w:b/>
        </w:rPr>
        <w:t xml:space="preserve">Source: </w:t>
      </w:r>
      <w:r>
        <w:t>Biological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血浆游离 DNA (cfDNA) 片段组学提供了有前景的癌症生物标志物，但其分子调控仍然难以捉摸。在这里，我们研究了表观基因组修饰在 cfDNA 片段化中的作用。我们发现 cfDNA 片段组特征与 cfDNA 中测量的各种表观遗传标记之间存在很强的相关性。我们使用组蛋白修饰信号进一步将基因组分割成不同的染色质状态，揭示了与 cfDNA 片段组学的一致关联。这种关联通过组蛋白修饰物扰动实验得到进一步验证，证实染色质组织是 cfDNA 片段化的关键调节因子。在癌症诊断中，与转座子元件 (TE) 相关的 CfDNA 片段组特征优于全基因组指标，反映了癌症类型特异性模式。利用这些见解，我们开发了 TEANA（cfDNA 中的转座子元素分析），这是一种人工智能驱动的模型，使用一小组 TE 片段组学特征进行泛癌检测和肿瘤起源预测，在独立队列中实现了稳健的性能。因此，染色质状态驱动 cfDNA 碎片，而失调的 TE 为癌症诊断提供信息丰富的生物标志物。</w:t>
      </w:r>
    </w:p>
    <w:p>
      <w:pPr>
        <w:spacing w:before="0" w:after="200" w:lineRule="auto" w:line="276"/>
      </w:pPr>
      <w:r>
        <w:rPr>
          <w:b/>
        </w:rPr>
        <w:t xml:space="preserve">Abstract (EN): </w:t>
      </w:r>
      <w:r>
        <w:t>Plasma cell-free DNA (cfDNA) fragmentomics offer promising cancer biomarkers, but their molecular regulation remains elusive. Here, we investigate the role of epigenomic modifications in cfDNA fragmentation. We identify strong correlations between cfDNA fragmentomic features and various epigenetic marks measured in cfDNA. We further segment the genome into different chromatin states using histone modification signals, revealing consistent associations with cfDNA fragmentomics. The association is further validated by histone modifier perturbation experiments, confirming chromatin organization as a key regulator of cfDNA fragmentation. CfDNA fragmentomic features associated with Transposon Elements (TEs) outperform genome-wide metrics in cancer diagnosis, reflecting cancer type-specific patterns. Leveraging these insights, we develop TEANA (Transposon Element Analysis in cfDNA), an AI-empowered model using a small set of TE fragmentomic features for pan-cancer detection and tumor-origin prediction, achieving robust performance across independent cohorts. Hence, chromatin states drive cfDNA fragmentation, and dysregulated TEs provide highly informative biomarkers for cancer diagnosis.</w:t>
      </w:r>
    </w:p>
    <w:p>
      <w:pPr>
        <w:spacing w:before="120" w:after="120"/>
      </w:pPr>
      <w:r>
        <w:rPr>
          <w:sz w:val="18"/>
        </w:rPr>
        <w:t>——————————————————————————————————————————————————————————————————————</w:t>
      </w:r>
    </w:p>
    <w:p>
      <w:pPr>
        <w:spacing w:before="160" w:after="40" w:line="240" w:lineRule="auto"/>
      </w:pPr>
      <w:r>
        <w:rPr>
          <w:b/>
        </w:rPr>
        <w:t xml:space="preserve">[176] </w:t>
      </w:r>
      <w:hyperlink r:id="rId881">
        <w:r>
          <w:rPr>
            <w:color w:val="1155CC"/>
            <w:u w:val="single"/>
          </w:rPr>
          <w:t>综合能源系统混合储能优化配置</w:t>
        </w:r>
      </w:hyperlink>
    </w:p>
    <w:p>
      <w:pPr>
        <w:spacing w:before="0" w:after="80"/>
      </w:pPr>
      <w:r>
        <w:rPr>
          <w:i/>
          <w:sz w:val="20"/>
        </w:rPr>
        <w:t>EN: Optimization configuration of hybrid energy storage in integrated energy systems</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882">
        <w:r>
          <w:rPr>
            <w:color w:val="1155CC"/>
            <w:u w:val="single"/>
          </w:rPr>
          <w:t>10.1016/j.apenergy.2026.128394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883">
        <w:r>
          <w:rPr>
            <w:color w:val="1155CC"/>
            <w:u w:val="single"/>
          </w:rPr>
          <w:t>全球河滨的人类印记</w:t>
        </w:r>
      </w:hyperlink>
    </w:p>
    <w:p>
      <w:pPr>
        <w:spacing w:before="0" w:after="80"/>
      </w:pPr>
      <w:r>
        <w:rPr>
          <w:i/>
          <w:sz w:val="20"/>
        </w:rPr>
        <w:t>EN: Human imprints on global riverfronts</w:t>
      </w:r>
    </w:p>
    <w:p>
      <w:pPr>
        <w:spacing w:before="0" w:after="120"/>
      </w:pPr>
      <w:r>
        <w:rPr>
          <w:b/>
        </w:rPr>
        <w:t xml:space="preserve">Source: </w:t>
      </w:r>
      <w:r>
        <w:t>Earth and environmental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河流沿水陆界面（河滨）受到人类活动的深刻影响，但这些印记的全球分布和驱动因素仍然知之甚少。在这里，我们利用卫星图像和深度学习展示了 752 万公里河滨的高分辨率全球地图。我们发现，全球近 20% 的河岸受到人为改造，主要是农业 (13.43%) 和建筑区 (6.29%)。一条独特的改造带横跨非洲和欧亚大陆的部分地区，约占全球改造的 60%，其印记密度比其他地方高六倍。这种横向破碎代表了普遍存在的人类压力，与大坝引起的纵向破碎有着根本不同，并且与水质恶化和生物多样性威胁密切相关。环境限制和特定地区的社会经济依赖性进一步塑造了这些空间格局。我们的研究结果为河滨管理提供了信息，并强调了协调这些过渡区的发展与生态完整性的迫切需要。</w:t>
      </w:r>
    </w:p>
    <w:p>
      <w:pPr>
        <w:spacing w:before="0" w:after="200" w:lineRule="auto" w:line="276"/>
      </w:pPr>
      <w:r>
        <w:rPr>
          <w:b/>
        </w:rPr>
        <w:t xml:space="preserve">Abstract (EN): </w:t>
      </w:r>
      <w:r>
        <w:t>Rivers are profoundly shaped by human activity along their water-land interfaces (riverfronts), yet the global distribution and drivers of these imprints remain poorly understood. Here we present a high-resolution global map of 7.52 million kilometers of riverfronts using satellite imagery and deep learning. We find that nearly 20% of global riverfronts are anthropogenically modified, primarily by agriculture (13.43%) and built-up areas (6.29%). A distinct modification belt spans parts of Africa and Eurasia, accounting for ~60% of global alterations, with imprint densities six times higher than elsewhere. This lateral fragmentation represents a pervasive human pressure that differs fundamentally from dam-induced longitudinal fragmentation, and is closely linked to deteriorating water quality and biodiversity threats. Environmental constraints and region-specific socio-economic dependencies further shape these spatial patterns. Our findings inform riverfront management and underscore the urgent need to reconcile development with the ecological integrity of these transitional zones.</w:t>
      </w:r>
    </w:p>
    <w:p>
      <w:pPr>
        <w:spacing w:before="120" w:after="120"/>
      </w:pPr>
      <w:r>
        <w:rPr>
          <w:sz w:val="18"/>
        </w:rPr>
        <w:t>——————————————————————————————————————————————————————————————————————</w:t>
      </w:r>
    </w:p>
    <w:p>
      <w:pPr>
        <w:spacing w:before="160" w:after="40" w:line="240" w:lineRule="auto"/>
      </w:pPr>
      <w:r>
        <w:rPr>
          <w:b/>
        </w:rPr>
        <w:t xml:space="preserve">[178] </w:t>
      </w:r>
      <w:hyperlink r:id="rId884">
        <w:r>
          <w:rPr>
            <w:color w:val="1155CC"/>
            <w:u w:val="single"/>
          </w:rPr>
          <w:t>贝努样本中的难熔夹杂物表明太阳系外层有吸积作用</w:t>
        </w:r>
      </w:hyperlink>
    </w:p>
    <w:p>
      <w:pPr>
        <w:spacing w:before="0" w:after="80"/>
      </w:pPr>
      <w:r>
        <w:rPr>
          <w:i/>
          <w:sz w:val="20"/>
        </w:rPr>
        <w:t>EN: Refractory inclusions in Bennu samples indicative of outer Solar System accretion</w:t>
      </w:r>
    </w:p>
    <w:p>
      <w:pPr>
        <w:spacing w:before="0" w:after="120"/>
      </w:pPr>
      <w:r>
        <w:rPr>
          <w:b/>
        </w:rPr>
        <w:t xml:space="preserve">Source: </w:t>
      </w:r>
      <w:r>
        <w:t>Earth and environmental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美国宇航局的奥西里斯-雷克斯任务从碳质小行星贝努返回了物质，该行星主要由水蚀变产物组成，但保留了罕见的高温成分。在此，我们对 Bennu 样品中的难熔夹杂物进行了综合岩相学、氧同位素和 26Al-26Mg 年代学表征。所有已识别的包裹体都很小（26Al-26Mg系统学表明在太阳系演化的最早阶段形成，并且与小行星Ryugu样本和球粒陨石中的耐火包裹体具有遗传亲和力。不同球粒陨石材料共享的耐火包裹体特征与早期形成的内盘固体的广泛向外传输和混合一致。迄今为止，在分析的Bennu样本中，不存在大型（&gt;亚毫米）耐火包裹体，这与大多数球粒陨石不同。这种尺寸分布意味着贝努的成分在太阳系外层积聚，超出了与原木星相关的压力凸起，从而有效地过滤了不同的尘埃群。</w:t>
      </w:r>
    </w:p>
    <w:p>
      <w:pPr>
        <w:spacing w:before="0" w:after="200" w:lineRule="auto" w:line="276"/>
      </w:pPr>
      <w:r>
        <w:rPr>
          <w:b/>
        </w:rPr>
        <w:t xml:space="preserve">Abstract (EN): </w:t>
      </w:r>
      <w:r>
        <w:t>NASA’s OSIRIS-REx mission returned material from the carbonaceous asteroid Bennu, which is dominated by aqueous-alteration products but preserves rare high-temperature components. Here we present an integrated petrographic, oxygen-isotopic and 26Al–26Mg chronological characterization of refractory inclusions in Bennu samples. All identified inclusions are small (26Al–26Mg systematics demonstrate formation during the earliest stage of Solar System evolution and genetic affinity with refractory inclusions in asteroid Ryugu samples and chondritic meteorites. The shared refractory-inclusion signatures across diverse chondritic materials are consistent with widespread outward transport and mixing of early-formed inner-disk solids. In Bennu samples analyzed thus far, large (&gt;submillimeter) refractory inclusions are absent, in contrast to most carbonaceous chondrites. This size distribution implies that Bennu’s constituents accreted in the outer Solar System beyond the pressure bump associated with proto-Jupiter, which effectively filtered distinct dust populations.</w:t>
      </w:r>
    </w:p>
    <w:p>
      <w:pPr>
        <w:spacing w:before="120" w:after="120"/>
      </w:pPr>
      <w:r>
        <w:rPr>
          <w:sz w:val="18"/>
        </w:rPr>
        <w:t>——————————————————————————————————————————————————————————————————————</w:t>
      </w:r>
    </w:p>
    <w:p>
      <w:pPr>
        <w:spacing w:before="160" w:after="40" w:line="240" w:lineRule="auto"/>
      </w:pPr>
      <w:r>
        <w:rPr>
          <w:b/>
        </w:rPr>
        <w:t xml:space="preserve">[179] </w:t>
      </w:r>
      <w:hyperlink r:id="rId885">
        <w:r>
          <w:rPr>
            <w:color w:val="1155CC"/>
            <w:u w:val="single"/>
          </w:rPr>
          <w:t>具有外泌体-氧化铈纳米复合材料的双功能可注射水凝胶介导脑梗塞治疗</w:t>
        </w:r>
      </w:hyperlink>
    </w:p>
    <w:p>
      <w:pPr>
        <w:spacing w:before="0" w:after="80"/>
      </w:pPr>
      <w:r>
        <w:rPr>
          <w:i/>
          <w:sz w:val="20"/>
        </w:rPr>
        <w:t>EN: Dual-function Injectable Hydrogel with Exosome-Cerium Oxide Nanocomposite Mediates Brain Infarction Therapy</w:t>
      </w:r>
    </w:p>
    <w:p>
      <w:pPr>
        <w:spacing w:before="0" w:after="120"/>
      </w:pPr>
      <w:r>
        <w:rPr>
          <w:b/>
        </w:rPr>
        <w:t xml:space="preserve">Source: </w:t>
      </w:r>
      <w:r>
        <w:t>ACS Applied Materials &amp; Interfaces: Latest Articles (ACS Publications)</w:t>
      </w:r>
      <w:r>
        <w:t xml:space="preserve">    </w:t>
      </w:r>
      <w:r>
        <w:rPr>
          <w:b/>
        </w:rPr>
        <w:t xml:space="preserve">Pub date: </w:t>
      </w:r>
      <w:r>
        <w:t>2026-07-18 00:00:00+00:00</w:t>
      </w:r>
      <w:r>
        <w:t xml:space="preserve">    </w:t>
      </w:r>
      <w:r>
        <w:rPr>
          <w:b/>
        </w:rPr>
        <w:t xml:space="preserve">DOI: </w:t>
      </w:r>
      <w:hyperlink r:id="rId886">
        <w:r>
          <w:rPr>
            <w:color w:val="1155CC"/>
            <w:u w:val="single"/>
          </w:rPr>
          <w:t>10.1021/acsami.6c03227</w:t>
        </w:r>
      </w:hyperlink>
    </w:p>
    <w:p>
      <w:pPr>
        <w:spacing w:before="0" w:after="120"/>
      </w:pPr>
      <w:r>
        <w:rPr>
          <w:b/>
        </w:rPr>
        <w:t xml:space="preserve">Notes: </w:t>
      </w:r>
      <w:r>
        <w:t>abstract_source=pubmed</w:t>
      </w:r>
    </w:p>
    <w:p>
      <w:pPr>
        <w:spacing w:before="0" w:after="80" w:lineRule="auto" w:line="276"/>
      </w:pPr>
      <w:r>
        <w:rPr>
          <w:b/>
        </w:rPr>
        <w:t xml:space="preserve">摘要（ZH）: </w:t>
      </w:r>
      <w:r>
        <w:t>中风是全球残疾和死亡的主要原因，其中缺血性中风构成特别严重的威胁。尽管进行再灌注治疗，但由于氧化应激、神经炎症和神经损伤，结果往往持续不佳。本研究开发了一种基于双修饰透明质酸的可注射水凝胶，用于持续递送外泌体-氧化铈纳米复合物（EXO@CeO2），针对缺血性中风后的病理性脑微环境。在氧糖剥夺模型中，EXO@CeO2 有效清除活性氧 (ROS)，减少 ROS 介导的细胞凋亡，稳定线粒体膜电位，并通过下调促炎细胞因子（IL-1β、IL-6）和上调抗炎 IL-10 来调节炎症。它还表现出促血管生成作用，同时保留神经元结构和功能。在小鼠光血栓性中风模型中，水凝胶减轻了急性期的脑氧化应激，并促进小胶质细胞从促炎性 M1 极化到抗炎性 M2 表型。在恢复过程中，它改善了局部脑血流量，并导致神经行为功能的持续改善。总之，这种可注射水凝胶能够持续共递送外泌体和氧化铈，为缺血性中风提供抗氧化和外泌体介导的修复作用相结合的联合疗法。总的来说，这种双重策略可以同时减轻急性氧化损伤并促进长期神经血管修复。</w:t>
      </w:r>
    </w:p>
    <w:p>
      <w:pPr>
        <w:spacing w:before="0" w:after="200" w:lineRule="auto" w:line="276"/>
      </w:pPr>
      <w:r>
        <w:rPr>
          <w:b/>
        </w:rPr>
        <w:t xml:space="preserve">Abstract (EN): </w:t>
      </w:r>
      <w:r>
        <w:t>Stroke is a leading global cause of disability and death, with ischemic stroke posing a particularly severe threat. Despite reperfusion therapy, poor outcomes often persist due to oxidative stress, neuroinflammation, and nerve impairment. This study developed an injectable hydrogel based on dual-modified hyaluronic acid for sustained delivery of exosome-cerium oxide nanocomposite (EXO@CeO2), targeting the pathological brain microenvironment after ischemic stroke. In an oxygen-glucose deprivation model, EXO@CeO2 effectively scavenged reactive oxygen species (ROS), reduced ROS-mediated apoptosis, stabilized mitochondrial membrane potential, and modulated inflammation by downregulating pro-inflammatory cytokines (IL-1β, IL-6) and upregulating anti-inflammatory IL-10. It also exhibited pro-angiogenic effects while preserving neuronal structure and function. In a murine photothrombotic stroke model, the hydrogel alleviated cerebral oxidative stress in the acute phase and promoted microglial polarization from the pro-inflammatory M1 to the anti-inflammatory M2 phenotype. During recovery, it improved local cerebral blood flow and led to sustained improvements in neurobehavioral function. In summary, this injectable hydrogel enables sustained codelivery of exosomes and cerium oxide, offering a combined therapy integrating antioxidant and exosome-mediated reparative effects for ischemic stroke. Collectively, this dual strategy simultaneously mitigates acute oxidative damage and promotes long-term neurovascular repair.</w:t>
      </w:r>
    </w:p>
    <w:p>
      <w:pPr>
        <w:spacing w:before="120" w:after="120"/>
      </w:pPr>
      <w:r>
        <w:rPr>
          <w:sz w:val="18"/>
        </w:rPr>
        <w:t>——————————————————————————————————————————————————————————————————————</w:t>
      </w:r>
    </w:p>
    <w:p>
      <w:pPr>
        <w:spacing w:before="160" w:after="40" w:line="240" w:lineRule="auto"/>
      </w:pPr>
      <w:r>
        <w:rPr>
          <w:b/>
        </w:rPr>
        <w:t xml:space="preserve">[180] </w:t>
      </w:r>
      <w:hyperlink r:id="rId887">
        <w:r>
          <w:rPr>
            <w:color w:val="1155CC"/>
            <w:u w:val="single"/>
          </w:rPr>
          <w:t>可重构光学算术逻辑单元及其应用</w:t>
        </w:r>
      </w:hyperlink>
    </w:p>
    <w:p>
      <w:pPr>
        <w:spacing w:before="0" w:after="80"/>
      </w:pPr>
      <w:r>
        <w:rPr>
          <w:i/>
          <w:sz w:val="20"/>
        </w:rPr>
        <w:t>EN: Reconfigurable optical arithmetic logic unit and its applications</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摩尔定律日益增长的限制从根本上阻碍了传统电子集成电路能效的进一步提高。为此，集成光子学因其卓越的带宽和超低延迟而成为一种有前景的解决方案。与电子数字方案相比，基于集成光子学的光学数字计算在运行速度和能源效率方面具有固有的优势。然而，在光子芯片上实现多功能算术逻辑基元仍然面临着相当大的挑战，并且报道的工作主要限于基本逻辑门或隔离计算模块，而不是可重构计算系统。在这里，我们报告了一种利用硅基微环调制器的可重构光学计算架构，它可以实现可重构的基本逻辑运算和各种算术逻辑单元，包括2位加法器、减法器和数字比较器。实验结果表明，在 20 Gb/s 的运行速度下，计算密度高达 528 Gb/s/mm2，能源效率为 12.36 fJ/bit。通过数据加密和图像处理等多个应用场景进一步证明了该设备的实际可行性。</w:t>
      </w:r>
    </w:p>
    <w:p>
      <w:pPr>
        <w:spacing w:before="0" w:after="200" w:lineRule="auto" w:line="276"/>
      </w:pPr>
      <w:r>
        <w:rPr>
          <w:b/>
        </w:rPr>
        <w:t xml:space="preserve">Abstract (EN): </w:t>
      </w:r>
      <w:r>
        <w:t>The growing constraints of Moore’s Law have fundamentally impeded further advancement in the energy efficiency of conventional electronic integrated circuits. In response, integrated photonics has emerged as a promising solution due to its exceptional bandwidth and ultralow latency. Optical digital computing based on integrated photonics offers inherent advantages in operation speed and energy efficiency compared to electronic digital schemes. However, implementing multi-functional arithmetic logic primitives on photonic chips still face a considerable challenge, and the reported works are mainly limited to basic logic gates or isolated computing modules rather than reconfigurable computational systems. Here, we report a reconfigurable optical computing architecture utilizing silicon-based microring modulators, which can implement reconfigurable basic logic operations and various arithmetic logic units, including 2-bit adder, subtractor and digital comparator. The experimental results demonstrate high computational density of 528 Gb/s/mm2 and energy efficiency of 12.36 fJ/bit at the operation speed of 20 Gb/s. The proposed device’s practical viability is further demonstrated through multiple application scenarios including data encryption and image processing.</w:t>
      </w:r>
    </w:p>
    <w:p>
      <w:pPr>
        <w:spacing w:before="120" w:after="120"/>
      </w:pPr>
      <w:r>
        <w:rPr>
          <w:sz w:val="18"/>
        </w:rPr>
        <w:t>——————————————————————————————————————————————————————————————————————</w:t>
      </w:r>
    </w:p>
    <w:p>
      <w:pPr>
        <w:spacing w:before="160" w:after="40" w:line="240" w:lineRule="auto"/>
      </w:pPr>
      <w:r>
        <w:rPr>
          <w:b/>
        </w:rPr>
        <w:t xml:space="preserve">[181] </w:t>
      </w:r>
      <w:hyperlink r:id="rId888">
        <w:r>
          <w:rPr>
            <w:color w:val="1155CC"/>
            <w:u w:val="single"/>
          </w:rPr>
          <w:t>受 Raphia hookeri 种子启发的弱各向异性纳米复合材料</w:t>
        </w:r>
      </w:hyperlink>
    </w:p>
    <w:p>
      <w:pPr>
        <w:spacing w:before="0" w:after="80"/>
      </w:pPr>
      <w:r>
        <w:rPr>
          <w:i/>
          <w:sz w:val="20"/>
        </w:rPr>
        <w:t>EN: Raphia hookeri seed-inspired weakly anisotropic nanocomposites</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受珍珠母、骨骼和牙齿等启发的复合材料，由于其结构单元的高纵横比，往往表现出各向异性的机械性能，导致在特定载荷条件下突然失效。制备具有弱各向异性力学性能的纳米复合材料仍然是一个巨大的挑战。在此，我们发现了Raphia hookeri种子的独特结构，在多个方向上具有弱的各向异性抗裂性。卓越的机械性能源于其紧密结合的等径孔和互锁凹坑。受Raphia hookeri种子的启发，我们通过组装带有凹坑的层状聚甲基丙烯酸甲酯-石墨烯微球，然后与聚甲基丙烯酸甲酯交织以模仿基本的分层结构，展示了一种人造Raphia hookeri种子纳米复合材料。人工Raphia hookeri种子在所有裂纹方向上都表现出有效的增韧性能，断裂韧性高达4.84 MPa m1/2，比韧度为4.28 MPa m1/2/(Mg m−3)，高于天然Raphia hookeri种子和先前制备的弱各向异性聚合物纳米复合材料。凹坑的最佳分布和微球之间增强的界面相互作用有效地抑制了裂纹扩展，从而使人造 Raphia hookeri 种子在各个方向上都具有优异的韧性。这种坑式颗粒微球结构为制造高性能弱各向异性纳米复合材料提供了途径。</w:t>
      </w:r>
    </w:p>
    <w:p>
      <w:pPr>
        <w:spacing w:before="0" w:after="200" w:lineRule="auto" w:line="276"/>
      </w:pPr>
      <w:r>
        <w:rPr>
          <w:b/>
        </w:rPr>
        <w:t xml:space="preserve">Abstract (EN): </w:t>
      </w:r>
      <w:r>
        <w:t>The composites inspired by nacre, bone and teeth etc, often display anisotropic mechanical properties due to the high aspect ratio of their structural units, resulting in sudden failures under specific loading conditions. It still remains great challenge for fabricating the nanocomposites with weakly anisotropic mechanical properties. Herein, we discover the unique structure of the Raphia hookeri seed with a weakly anisotropic crack resistance in multiple directions. The remarkable mechanical properties stem from its tightly bonded, isodiametric cells and interlocking pits. Drawing inspiration from Raphia hookeri seed, we demonstrate an artificial Raphia hookeri seed nanocomposites by assembling layered polymethyl methacrylate-graphene microspheres with pits, which were then interwoven with polymethyl methacrylate to mimic the essential hierarchical structure. The artificial Raphia hookeri seed exhibits effective toughening performance across all crack orientations, and achieves a fracture toughness of up to 4.84 MPa m1/2 and specific toughness of 4.28 MPa m1/2/(Mg m−3), which are higher than both natural Raphia hookeri seed and previously fabricated weakly anisotropic polymer nanocomposites. The optimal distribution of pits and enhanced interfacial interactions between microspheres effectively inhibit crack propagation, contributing to the artificial Raphia hookeri seed’s superior toughness in all directions. This pit-enabled granular microsphere architecture provides an avenue for fabrication high-performance weakly anisotropic nanocomposites.</w:t>
      </w:r>
    </w:p>
    <w:p>
      <w:pPr>
        <w:spacing w:before="120" w:after="120"/>
      </w:pPr>
      <w:r>
        <w:rPr>
          <w:sz w:val="18"/>
        </w:rPr>
        <w:t>——————————————————————————————————————————————————————————————————————</w:t>
      </w:r>
    </w:p>
    <w:p>
      <w:pPr>
        <w:spacing w:before="160" w:after="40" w:line="240" w:lineRule="auto"/>
      </w:pPr>
      <w:r>
        <w:rPr>
          <w:b/>
        </w:rPr>
        <w:t xml:space="preserve">[182] </w:t>
      </w:r>
      <w:hyperlink r:id="rId889">
        <w:r>
          <w:rPr>
            <w:color w:val="1155CC"/>
            <w:u w:val="single"/>
          </w:rPr>
          <w:t>由微腔 MoS2 光电探测器阵列实现的波长编码神经形态推理</w:t>
        </w:r>
      </w:hyperlink>
    </w:p>
    <w:p>
      <w:pPr>
        <w:spacing w:before="0" w:after="80"/>
      </w:pPr>
      <w:r>
        <w:rPr>
          <w:i/>
          <w:sz w:val="20"/>
        </w:rPr>
        <w:t>EN: Wavelength-encoded neuromorphic inference enabled by microcavity MoS2 photodetector arrays</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生物视觉系统将光谱传感与时间集成紧密结合，以最少的数据移动提取与任务相关的信息。相比之下，传统的光电视觉硬件通常将光电检测与电子计算分开，从而产生大量的延迟和能源成本。光神经网络可以缓解这一瓶颈，但许多实现难以扩展。在这里，我们提出了一种基于法布里-珀罗微腔集成MoS2光电探测器阵列的仿生光电推理架构，其中传感、加权和累积在每个像素内统一。腔体设计的波长选择性对光谱域中的神经网络权重进行编码，而 MoS2 的有限载流子寿命无需外部存储器即可实现模拟时间累积。该系统在 MNIST、CIFAR-10 和自由口语数字数据集上的测试准确率分别达到 99.6%、94.8% 和 94.0%。训练后光学 Hessian 剪枝进一步降低了光学复杂性，同时保持了鲁棒性。该架构提供了一种实现波长感知传感器内神经形态推理的紧凑途径。</w:t>
      </w:r>
    </w:p>
    <w:p>
      <w:pPr>
        <w:spacing w:before="0" w:after="200" w:lineRule="auto" w:line="276"/>
      </w:pPr>
      <w:r>
        <w:rPr>
          <w:b/>
        </w:rPr>
        <w:t xml:space="preserve">Abstract (EN): </w:t>
      </w:r>
      <w:r>
        <w:t>Biological vision systems tightly couple spectral sensing with temporal integration to extract task-relevant information with minimal data movement. In contrast, conventional optoelectronic vision hardware typically separates photodetection from electronic computation, incurring substantial latency and energy costs. Optical neural networks can alleviate this bottleneck, but many implementations are difficult to scale. Here, we propose a bio-inspired optoelectronic inference architecture based on a Fabry-Perot microcavity-integrated MoS2 photodetector array, in which sensing, weighting, and accumulation are unified within each pixel. Cavity-engineered wavelength selectivity encodes neural-network weights in the spectral domain, while the finite carrier lifetime of MoS2 enables analog temporal accumulation without external memory. The system achieves test accuracies of 99.6%, 94.8% and 94.0% on MNIST, CIFAR-10 and the Free Spoken Digit Dataset, respectively. Post-training optical Hessian pruning further reduces optical complexity while maintaining robustness. This architecture provides a compact route toward wavelength-aware in-sensor neuromorphic inference.</w:t>
      </w:r>
    </w:p>
    <w:p>
      <w:pPr>
        <w:spacing w:before="120" w:after="120"/>
      </w:pPr>
      <w:r>
        <w:rPr>
          <w:sz w:val="18"/>
        </w:rPr>
        <w:t>——————————————————————————————————————————————————————————————————————</w:t>
      </w:r>
    </w:p>
    <w:p>
      <w:pPr>
        <w:spacing w:before="160" w:after="40" w:line="240" w:lineRule="auto"/>
      </w:pPr>
      <w:r>
        <w:rPr>
          <w:b/>
        </w:rPr>
        <w:t xml:space="preserve">[183] </w:t>
      </w:r>
      <w:hyperlink r:id="rId890">
        <w:r>
          <w:rPr>
            <w:color w:val="1155CC"/>
            <w:u w:val="single"/>
          </w:rPr>
          <w:t>通过腔光力学中的位移噪声光谱解决超导纳米弦谐振器中的阿布里科索夫涡旋进入问题</w:t>
        </w:r>
      </w:hyperlink>
    </w:p>
    <w:p>
      <w:pPr>
        <w:spacing w:before="0" w:after="80"/>
      </w:pPr>
      <w:r>
        <w:rPr>
          <w:i/>
          <w:sz w:val="20"/>
        </w:rPr>
        <w:t>EN: Resolving Abrikosov vortex entry in superconducting nanostring resonators via displacement-noise spectroscopy in cavity optomechanics</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II 型超导体中的阿布里科索夫涡旋会影响电流、耗散和相干性，从而限制超导量子技术。在介观电路元件中，单个涡流的进入和钉扎会改变谐振频率、重新分布通量并降低器件性能。在这里，我们使用通量介导的腔光机械平台，其中悬浮的超导铝纳米线形成终止微波谐振器的 SQUID 的一个臂，通过纳米机械弹性特征研究涡流进入过程。在 T ≈ 85 mK 和 0.25 mT 面内场分辨率下运行，我们解决了与一个或几个单量子化阿布里科索夫涡旋的随机进入一致的机械共振频率的离散跳跃。它们的场位置在热循环之间变化，表明通过淬火钉扎景观实现无序介导的成核。这些事件叠加在由集体坎贝尔-拉布施弹性响应确定的平滑幂律硬化背景上。将跳跃重铸为等效力特征会产生阿托牛顿规模的力，并且在单事件钉扎模型中，特征涡旋钉扎能量为 0.09 − 0.44 eV。平滑的背景给出了 1014 N m−4 阶的集体 Labusch 参数。我们的结果将腔光机械传感确立为涡旋物质的原位探针，并将涡旋进入确定为通量介导的超导量子电路的定量设计约束。</w:t>
      </w:r>
    </w:p>
    <w:p>
      <w:pPr>
        <w:spacing w:before="0" w:after="200" w:lineRule="auto" w:line="276"/>
      </w:pPr>
      <w:r>
        <w:rPr>
          <w:b/>
        </w:rPr>
        <w:t xml:space="preserve">Abstract (EN): </w:t>
      </w:r>
      <w:r>
        <w:t>Abrikosov vortices in type-II superconductors influence current flow, dissipation and coherence, thereby limiting superconducting quantum technologies. In mesoscopic circuit elements, the entry and pinning of a single vortex can shift resonant frequencies, redistribute flux and degrade device performance. Here, we use a flux-mediated cavity-optomechanical platform, in which a suspended superconducting aluminum nanostring forms one arm of a SQUID terminating a microwave resonator, to investigate vortex-entry processes through nanomechanical elastic signatures. Operating at T ≈ 85 mK with 0.25 mT in-plane-field resolution, we resolve discrete jumps of the mechanical resonance frequency consistent with the stochastic entry of one or a few singly quantized Abrikosov vortices. Their field positions vary between thermal cycles, indicating disorder-mediated nucleation through a quenched pinning landscape. These events are superimposed on a smooth power-law stiffening background identified with the collective Campbell–Labusch elastic response. Recasting the jumps as equivalent force signatures yields attonewton-scale forces and, within a single-event pinning model, characteristic vortex-pinning energies of 0.09 − 0.44 eV. The smooth background gives a collective Labusch parameter of order 1014 N m−4. Our results establish cavity-optomechanical sensing as an in situ probe of vortex matter and identify vortex entry as a quantitative design constraint for flux-mediated superconducting quantum circuits.</w:t>
      </w:r>
    </w:p>
    <w:p>
      <w:pPr>
        <w:spacing w:before="120" w:after="120"/>
      </w:pPr>
      <w:r>
        <w:rPr>
          <w:sz w:val="18"/>
        </w:rPr>
        <w:t>——————————————————————————————————————————————————————————————————————</w:t>
      </w:r>
    </w:p>
    <w:p>
      <w:pPr>
        <w:spacing w:before="160" w:after="40" w:line="240" w:lineRule="auto"/>
      </w:pPr>
      <w:r>
        <w:rPr>
          <w:b/>
        </w:rPr>
        <w:t xml:space="preserve">[184] </w:t>
      </w:r>
      <w:hyperlink r:id="rId891">
        <w:r>
          <w:rPr>
            <w:color w:val="1155CC"/>
            <w:u w:val="single"/>
          </w:rPr>
          <w:t>形态发生胶体</w:t>
        </w:r>
      </w:hyperlink>
    </w:p>
    <w:p>
      <w:pPr>
        <w:spacing w:before="0" w:after="80"/>
      </w:pPr>
      <w:r>
        <w:rPr>
          <w:i/>
          <w:sz w:val="20"/>
        </w:rPr>
        <w:t>EN: Morphogenic colloids</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形态发生是生命的核心动态过程，其中结构和区划的产生产生了功能性架构。综合复制此类转变仍然具有挑战性，因为它们是由紧密耦合的物理化学过程产生的。在这里，我们报告了一个最小的平台，其中暴露于两亲性三嵌段共聚物（BCP）的乳液液滴通过可逆的形状变形和拓扑转变再现生物形态发生的关键特征。液滴经历拓扑重塑，导致周围水相（包括悬浮的胶体物质）自发且非选择性的内化。在平衡状态下，BCP 的界面自组装与液滴膨胀相结合，稳定了一系列非球形形态，这些形态可以通过 BCP 浓度或温度进行可逆调节。这些转变可以在大量单分散液滴中同步诱导，并通过光聚合永久固定。这个组成简单的平台提供了一个易于处理的模型，用于研究形态发生的物理原理，同时将胶体系统推向生物学相关的复杂性和逼真的适应性。</w:t>
      </w:r>
    </w:p>
    <w:p>
      <w:pPr>
        <w:spacing w:before="0" w:after="200" w:lineRule="auto" w:line="276"/>
      </w:pPr>
      <w:r>
        <w:rPr>
          <w:b/>
        </w:rPr>
        <w:t xml:space="preserve">Abstract (EN): </w:t>
      </w:r>
      <w:r>
        <w:t>Morphogenesis is a dynamic process central to life, in which structure and compartmentalization arise to produce functional architectures. Replicating such transformations synthetically remains challenging because they emerge from tightly coupled physicochemical processes. Here, we report a minimal platform in which emulsion droplets exposed to amphiphilic triblock copolymers (BCPs) reproduce key features of biological morphogenesis through reversible shape morphing and topology transitions. Droplets undergo topological remodeling that leads to spontaneous and nonselective internalization of the surrounding aqueous phase, including suspended colloidal matter. In equilibrium, interfacial self-assembly of BCPs combined with droplet swelling stabilizes a spectrum of non-spherical morphologies that can be reversibly tuned by BCP concentration or temperature. These transitions can be induced synchronously across large populations of monodisperse droplets and permanently fixed via photopolymerization. This compositionally simple platform provides a tractable model for investigating the physical principles of morphogenesis while advancing colloidal systems toward biologically relevant complexity and life-like adaptability.</w:t>
      </w:r>
    </w:p>
    <w:p>
      <w:pPr>
        <w:spacing w:before="120" w:after="120"/>
      </w:pPr>
      <w:r>
        <w:rPr>
          <w:sz w:val="18"/>
        </w:rPr>
        <w:t>——————————————————————————————————————————————————————————————————————</w:t>
      </w:r>
    </w:p>
    <w:p>
      <w:pPr>
        <w:spacing w:before="160" w:after="40" w:line="240" w:lineRule="auto"/>
      </w:pPr>
      <w:r>
        <w:rPr>
          <w:b/>
        </w:rPr>
        <w:t xml:space="preserve">[185] </w:t>
      </w:r>
      <w:hyperlink r:id="rId892">
        <w:r>
          <w:rPr>
            <w:color w:val="1155CC"/>
            <w:u w:val="single"/>
          </w:rPr>
          <w:t>用于分布式信号处理的工程微生物联盟</w:t>
        </w:r>
      </w:hyperlink>
    </w:p>
    <w:p>
      <w:pPr>
        <w:spacing w:before="0" w:after="80"/>
      </w:pPr>
      <w:r>
        <w:rPr>
          <w:i/>
          <w:sz w:val="20"/>
        </w:rPr>
        <w:t>EN: Engineering microbial consortia for distributed signal processing</w:t>
      </w:r>
    </w:p>
    <w:p>
      <w:pPr>
        <w:spacing w:before="0" w:after="120"/>
      </w:pPr>
      <w:r>
        <w:rPr>
          <w:b/>
        </w:rPr>
        <w:t xml:space="preserve">Source: </w:t>
      </w:r>
      <w:r>
        <w:t>Biological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生物学的一个中心目标是从可测量的读数推断输入信号。工程生物传感器通常是为了选择性地响应单个输入而构建的，因此必须通过费力的、特定于上下文的正交化来消除传感器之间的串扰。在这里，我们表明可以在不消除串扰的情况下推断多重浓度。我们将传感分布在整个微生物群落中，并解码其时间分辨的集体响应，即使单个传感器表现出串扰或间接响应，这也可以消除化学输入组合的歧义。将动力学建模与机器学习相结合的计算框架将这些群落动态映射到输入浓度。我们在具有低或高传感器串扰的群落、仅对抗生素组合产生间接反应的群落以及掺有目标分析物的医院水槽池水中展示了定量推断。通过容忍非正交、交叉反应和间接响应，分布式动态传感扩大了可用于多重测量的生物系统的范围，无论输入组合产生可重复的、可区分的响应轨迹。</w:t>
      </w:r>
    </w:p>
    <w:p>
      <w:pPr>
        <w:spacing w:before="0" w:after="200" w:lineRule="auto" w:line="276"/>
      </w:pPr>
      <w:r>
        <w:rPr>
          <w:b/>
        </w:rPr>
        <w:t xml:space="preserve">Abstract (EN): </w:t>
      </w:r>
      <w:r>
        <w:t>A central goal in biology is to infer input signals from measurable readouts. Engineered biosensors are usually built to respond selectively to single inputs, so crosstalk between sensors must be removed through laborious, context-specific orthogonalization. Here we show that multiplexed concentrations can be inferred without eliminating crosstalk. We distribute sensing across a microbial community and decode its time-resolved collective response, which can disambiguate combinations of chemical inputs even when individual sensors show crosstalk or respond indirectly. A computational framework coupling kinetic modeling with machine learning maps these community dynamics to input concentrations. We demonstrate quantitative inference in communities with low or high sensor crosstalk, in communities that respond only indirectly to antibiotic combinations, and in pooled hospital sink water spiked with target analytes. By tolerating non-orthogonal, cross-reactive, and indirect responses, distributed dynamic sensing broadens the range of biological systems usable for multiplexed measurement, wherever input combinations produce reproducible, distinguishable response trajectories.</w:t>
      </w:r>
    </w:p>
    <w:p>
      <w:pPr>
        <w:spacing w:before="120" w:after="120"/>
      </w:pPr>
      <w:r>
        <w:rPr>
          <w:sz w:val="18"/>
        </w:rPr>
        <w:t>——————————————————————————————————————————————————————————————————————</w:t>
      </w:r>
    </w:p>
    <w:p>
      <w:pPr>
        <w:spacing w:before="160" w:after="40" w:line="240" w:lineRule="auto"/>
      </w:pPr>
      <w:r>
        <w:rPr>
          <w:b/>
        </w:rPr>
        <w:t xml:space="preserve">[186] </w:t>
      </w:r>
      <w:hyperlink r:id="rId893">
        <w:r>
          <w:rPr>
            <w:color w:val="1155CC"/>
            <w:u w:val="single"/>
          </w:rPr>
          <w:t>逃逸引起的时间相关噪声驱动生长动力学和普遍性类别的交叉</w:t>
        </w:r>
      </w:hyperlink>
    </w:p>
    <w:p>
      <w:pPr>
        <w:spacing w:before="0" w:after="80"/>
      </w:pPr>
      <w:r>
        <w:rPr>
          <w:i/>
          <w:sz w:val="20"/>
        </w:rPr>
        <w:t>EN: Escape-induced temporally correlated noise driven crossover in growth kinetics and universality class</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远离平衡系统中的普遍行为是由传输过程和噪声结构之间的相互作用驱动的。 Kardar-Parisi-Zhang (KPZ) 框架预测，结合保守电流或时间相关噪声的扩展会产生不同的生长形态和普遍性类别，但直接的实验实现仍然难以捉摸。在这里，我们报告了在 Sb 掺杂 MnBi2Te4 上原子分辨的 Sn 薄膜生长，揭示了两种根本不同的状态之间的急剧动态交叉。早期生长遵循 Villain-Lai-Das Sarma (VLDS) 缩放，形成二维岛和斯坦烯层。超过临界沉积时间，时间相关噪声成为主导因素，驱动 α-Sn 团簇的成核、它们发展成多面晶粒以及多面 β-Sn 的共存。分子动力学模拟和俄歇电子能谱表明，吸附原子逃逸是这种时间相关噪声的微观起源，为观察到的普遍性交叉提供了一种机制。这些发现表明，时间噪声相关性可以从根本上改变不断增长的界面的普遍性类别，将原子动力学与新兴的普遍行为联系起来。</w:t>
      </w:r>
    </w:p>
    <w:p>
      <w:pPr>
        <w:spacing w:before="0" w:after="200" w:lineRule="auto" w:line="276"/>
      </w:pPr>
      <w:r>
        <w:rPr>
          <w:b/>
        </w:rPr>
        <w:t xml:space="preserve">Abstract (EN): </w:t>
      </w:r>
      <w:r>
        <w:t>Universal behavior in far-from-equilibrium systems is driven by interactions between transport processes and noise structure. The Kardar-Parisi-Zhang (KPZ) framework predicts that extensions incorporating conserved currents or temporally correlated noise give rise to distinct growth morphologies and universality classes, yet direct experimental realization has remained elusive. Here, we report atomically resolved Sn thin-film growth on Sb-doped MnBi2Te4, revealing a sharp dynamical crossover between two fundamentally different regimes. Early-stage growth follows Villain-Lai-Das Sarma (VLDS) scaling, forming two-dimensional islands and stanene layers. Beyond a critical deposition time, temporally correlated noise becomes the dominant factor, driving the nucleation of α-Sn clusters, their development into faceted grains, and the coexistence of faceted β-Sn. Molecular dynamics simulations and Auger electron spectroscopy reveal that adatom escape serves as the microscopic origin of this temporally correlated noise, offering a mechanism for the observed universality crossover. These findings establish that temporal noise correlations can fundamentally alter the universality class of a growing interface, linking atomistic kinetics to emergent universal behavior.</w:t>
      </w:r>
    </w:p>
    <w:p>
      <w:pPr>
        <w:spacing w:before="120" w:after="120"/>
      </w:pPr>
      <w:r>
        <w:rPr>
          <w:sz w:val="18"/>
        </w:rPr>
        <w:t>——————————————————————————————————————————————————————————————————————</w:t>
      </w:r>
    </w:p>
    <w:p>
      <w:pPr>
        <w:spacing w:before="160" w:after="40" w:line="240" w:lineRule="auto"/>
      </w:pPr>
      <w:r>
        <w:rPr>
          <w:b/>
        </w:rPr>
        <w:t xml:space="preserve">[187] </w:t>
      </w:r>
      <w:hyperlink r:id="rId894">
        <w:r>
          <w:rPr>
            <w:color w:val="1155CC"/>
            <w:u w:val="single"/>
          </w:rPr>
          <w:t>学习复合材料设计的序数感知多模态表示</w:t>
        </w:r>
      </w:hyperlink>
    </w:p>
    <w:p>
      <w:pPr>
        <w:spacing w:before="0" w:after="80"/>
      </w:pPr>
      <w:r>
        <w:rPr>
          <w:i/>
          <w:sz w:val="20"/>
        </w:rPr>
        <w:t>EN: Learning ordinality-aware multimodal representations for composite materials design</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复合材料设计需要了解复杂的微观结构特征，需要将异构数据源与人工智能相集成。当前的多模态学习框架主要是针对具有离散结构-性能映射和明确定义的结构图的晶体或聚合物系统开发的，但无法在数据稀缺的情况下对连续和非线性复合材料设计空间进行建模。在这里，我们将序数作为构建复合材料多模态表示时的核心原则。我们提出了 ORDinal-aware imagE-tabulaR (ORDER) 对齐，以将微结构与表格材料描述符集成，并应用基于物理的代理信号来消除对完整属性注释的需要。 ORDER 确保相似的目标属性占据潜在空间中的附近区域，保留复合属性的连续性质，并在稀疏观察的设计之间实现有意义的插值。在纳米纤维和碳纤维复合材料数据集上进行评估，ORDER 在属性预测、跨模式检索和微观结构生成任务中始终优于面向对齐和属性感知的基线。</w:t>
      </w:r>
    </w:p>
    <w:p>
      <w:pPr>
        <w:spacing w:before="0" w:after="200" w:lineRule="auto" w:line="276"/>
      </w:pPr>
      <w:r>
        <w:rPr>
          <w:b/>
        </w:rPr>
        <w:t xml:space="preserve">Abstract (EN): </w:t>
      </w:r>
      <w:r>
        <w:t>Composite materials design requires understanding complex microstructural characteristics, necessitating the integration of heterogeneous data sources with artificial intelligence. Current multimodal learning frameworks are mostly developed for crystalline or polymer systems with discrete structure-property mappings and well-defined structural graphs, but fail to model the continuous and nonlinear composite design spaces under data scarcity. Here we present ordinality as a core principle when building multimodal representations for composite materials. We propose ORDinal-aware imagE-tabulaR (ORDER) alignment to integrate microstructures with tabular material descriptors and apply physics-based surrogate signals to eliminate the need for full property annotation. ORDER ensures similar target properties occupy nearby regions in the latent space, preserving the continuous nature of composite properties and enabling meaningful interpolation between sparsely observed designs. Evaluated on nanofiber and carbon fiber composite datasets, ORDER consistently outperforms alignment-oriented and property-aware baselines across property prediction, cross-modal retrieval, and microstructure generation tasks.</w:t>
      </w:r>
    </w:p>
    <w:p>
      <w:pPr>
        <w:spacing w:before="120" w:after="120"/>
      </w:pPr>
      <w:r>
        <w:rPr>
          <w:sz w:val="18"/>
        </w:rPr>
        <w:t>——————————————————————————————————————————————————————————————————————</w:t>
      </w:r>
    </w:p>
    <w:p>
      <w:pPr>
        <w:spacing w:before="160" w:after="40" w:line="240" w:lineRule="auto"/>
      </w:pPr>
      <w:r>
        <w:rPr>
          <w:b/>
        </w:rPr>
        <w:t xml:space="preserve">[188] </w:t>
      </w:r>
      <w:hyperlink r:id="rId895">
        <w:r>
          <w:rPr>
            <w:color w:val="1155CC"/>
            <w:u w:val="single"/>
          </w:rPr>
          <w:t>通过迈斯纳效应门控抑制超导的成像</w:t>
        </w:r>
      </w:hyperlink>
    </w:p>
    <w:p>
      <w:pPr>
        <w:spacing w:before="0" w:after="80"/>
      </w:pPr>
      <w:r>
        <w:rPr>
          <w:i/>
          <w:sz w:val="20"/>
        </w:rPr>
        <w:t>EN: Imaging of gate-controlled suppression of superconductivity via the Meissner effect</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最近发现，可以通过向附近的栅电极施加栅极电压来猝灭流过细超导纳米线的超电流。这种超电流的栅极控制（称为 GCS 效应）可以实现超导晶体管逻辑。在这里，我们报告说，GCS 还表现为对迈斯纳屏蔽的抑制，从而将该现象确立为不限于输运的超导性的真正特征。我们使用亚开尔文温度下的扫描氮空位 (NV) 磁力计，对微米级铌岛中 GCS 抑制的纳米级空间区域进行成像。我们的观察结果与准粒子产生和扩散的微观热点模型兼容，但与焦耳热或电场效应等其他候选机制相冲突。我们的工作介绍了一种研究超导纳米结构中准粒子动力学的替代方法，并展示了局部成像技术在理解新兴凝聚态物质现象方面的力量。</w:t>
      </w:r>
    </w:p>
    <w:p>
      <w:pPr>
        <w:spacing w:before="0" w:after="200" w:lineRule="auto" w:line="276"/>
      </w:pPr>
      <w:r>
        <w:rPr>
          <w:b/>
        </w:rPr>
        <w:t xml:space="preserve">Abstract (EN): </w:t>
      </w:r>
      <w:r>
        <w:t>It was recently discovered that supercurrents flowing through thin superconducting nanowires can be quenched by applying a gate voltage to a nearby gate electrode. This gate control of supercurrents, known as the GCS effect, could enable superconducting transistor logic. Here, we report that the GCS also manifests in a suppression of Meissner screening, establishing the phenomenon as a genuine feature of superconductivity that is not restricted to transport. Using a scanning nitrogen-vacancy (NV) magnetometer at sub-Kelvin temperatures, we image the nanoscale spatial region of GCS suppression in micron-size niobium islands. Our observations are compatible with a microscopic hot-spot model of quasiparticle generation and diffusion, and in conflict with other candidate mechanisms such as Joule heating or an electric field effect. Our work introduces an alternative means for studying quasiparticle dynamics in superconducting nanostructures, and showcases the power of local imaging techniques for understanding emergent condensed matter phenomena.</w:t>
      </w:r>
    </w:p>
    <w:p>
      <w:pPr>
        <w:spacing w:before="120" w:after="120"/>
      </w:pPr>
      <w:r>
        <w:rPr>
          <w:sz w:val="18"/>
        </w:rPr>
        <w:t>——————————————————————————————————————————————————————————————————————</w:t>
      </w:r>
    </w:p>
    <w:p>
      <w:pPr>
        <w:spacing w:before="160" w:after="40" w:line="240" w:lineRule="auto"/>
      </w:pPr>
      <w:r>
        <w:rPr>
          <w:b/>
        </w:rPr>
        <w:t xml:space="preserve">[189] </w:t>
      </w:r>
      <w:hyperlink r:id="rId896">
        <w:r>
          <w:rPr>
            <w:color w:val="1155CC"/>
            <w:u w:val="single"/>
          </w:rPr>
          <w:t>化疗引起的衰老促进基质硬度和抗氧化适应，从而促进胰腺导管腺癌的化疗耐药性</w:t>
        </w:r>
      </w:hyperlink>
    </w:p>
    <w:p>
      <w:pPr>
        <w:spacing w:before="0" w:after="80"/>
      </w:pPr>
      <w:r>
        <w:rPr>
          <w:i/>
          <w:sz w:val="20"/>
        </w:rPr>
        <w:t>EN: Chemotherapy-induced senescence promotes stroma stiffness and antioxidant adaptation to promote chemoresistance in pancreatic ductal adenocarcinoma</w:t>
      </w:r>
    </w:p>
    <w:p>
      <w:pPr>
        <w:spacing w:before="0" w:after="120"/>
      </w:pPr>
      <w:r>
        <w:rPr>
          <w:b/>
        </w:rPr>
        <w:t xml:space="preserve">Source: </w:t>
      </w:r>
      <w:r>
        <w:t>Biological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胰腺导管腺癌（PDAC）的化疗耐药部分是由病理性基质重塑驱动的，但其潜在机制仍知之甚少。在这里，我们发现吉西他滨治疗诱导肿瘤细胞衰老，并通过衰老相关的分泌表型激活癌症相关的成纤维细胞，导致进行性纤维化基质硬化。这种生物力学重编程涉及机械敏感离子通道 Piezo1，触发代谢重新布线，使 BRG1 阳性肿瘤细胞越来越依赖 NRF2 介导的抗氧化防御。 Piezo1 信号传导促进 NRF2 核易位及其与 BRG1 的染色质重塑合作，从而上调 SLC7A11 依赖性抗氧化程序并抑制铁死亡。值得注意的是，抗衰老剂 ABT-263 与铁死亡诱导剂 Erastin 的组合可有效消除 BRG1-NRF2 驱动的吉西他滨耐药性，减轻基质纤维化，增强 T 细胞浸润，并抑制体内肿瘤生长。这种衰老-铁死亡方法利用了化疗老化的 PDAC 的代谢脆弱性，并为基质靶向联合疗法提供了机制原理。</w:t>
      </w:r>
    </w:p>
    <w:p>
      <w:pPr>
        <w:spacing w:before="0" w:after="200" w:lineRule="auto" w:line="276"/>
      </w:pPr>
      <w:r>
        <w:rPr>
          <w:b/>
        </w:rPr>
        <w:t xml:space="preserve">Abstract (EN): </w:t>
      </w:r>
      <w:r>
        <w:t>Chemoresistance in pancreatic ductal adenocarcinoma (PDAC) is partly driven by pathological stromal remodeling, yet the underlying mechanisms remain poorly understood. Here, we show that gemcitabine treatment induces tumor cell senescence and activates cancer-associated fibroblasts via the senescence-associated secretory phenotype, leading to progressive fibrotic matrix stiffening. This biomechanical reprogramming engages the mechanosensitive ion channel Piezo1, triggering metabolic rewiring that renders BRG1-positive tumor cells increasingly dependent on NRF2-mediated antioxidant defenses. Piezo1 signaling promotes NRF2 nuclear translocation and its chromatin-remodeling cooperation with BRG1, thereby upregulating SLC7A11-dependent antioxidant programs and suppressing ferroptosis. Notably, the combination of the senolytic agent ABT-263 with the ferroptosis inducer Erastin effectively dismantles BRG1–NRF2-driven gemcitabine resistance, alleviates stromal fibrosis, enhances T-cell infiltration, and suppresses tumor growth in vivo. This senolytic–ferroptosis approach exploits metabolic vulnerabilities in chemotherapy-aged PDAC and provides a mechanistic rationale for stroma-targeted combination therapies.</w:t>
      </w:r>
    </w:p>
    <w:p>
      <w:pPr>
        <w:spacing w:before="120" w:after="120"/>
      </w:pPr>
      <w:r>
        <w:rPr>
          <w:sz w:val="18"/>
        </w:rPr>
        <w:t>——————————————————————————————————————————————————————————————————————</w:t>
      </w:r>
    </w:p>
    <w:p>
      <w:pPr>
        <w:spacing w:before="160" w:after="40" w:line="240" w:lineRule="auto"/>
      </w:pPr>
      <w:r>
        <w:rPr>
          <w:b/>
        </w:rPr>
        <w:t xml:space="preserve">[190] </w:t>
      </w:r>
      <w:hyperlink r:id="rId897">
        <w:r>
          <w:rPr>
            <w:color w:val="1155CC"/>
            <w:u w:val="single"/>
          </w:rPr>
          <w:t>扭曲菱面体三层双层石墨烯中具有陈数 $${{\mathcal{C}}} &gt; 1$$C&gt;1 的库仑相互作用稳定的孤立窄带</w:t>
        </w:r>
      </w:hyperlink>
    </w:p>
    <w:p>
      <w:pPr>
        <w:spacing w:before="0" w:after="80"/>
      </w:pPr>
      <w:r>
        <w:rPr>
          <w:i/>
          <w:sz w:val="20"/>
        </w:rPr>
        <w:t>EN: Coulomb interaction-stabilized isolated narrow bands with Chern numbers $${{\mathcal{C}}} &gt; 1$$C&gt;1 in twisted rhombohedral trilayer-bilayer graphene</w:t>
      </w:r>
    </w:p>
    <w:p>
      <w:pPr>
        <w:spacing w:before="0" w:after="120"/>
      </w:pPr>
      <w:r>
        <w:rPr>
          <w:b/>
        </w:rPr>
        <w:t xml:space="preserve">Source: </w:t>
      </w:r>
      <w:r>
        <w:t>Physical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最近，当陈数 C=1" role="presentation"&gt;C=1{{\mathcal{C}}}=1 的拓扑非平凡能带被部分掺杂时，在二维莫尔材料中发现了分数量子反常霍尔效应。值得注意的是，超晶格布洛赫能带可以携带更高的陈数，这违背了朗道能级范式，甚至可能具有非阿贝尔准粒子的奇异分数化态。通过这种令人兴奋的可能性，我们提出了 θ ~ 1.2° 的扭曲菱形三层-双层石墨烯作为场可调量子反常陈绝缘体，其具有光谱隔离、动力学猝灭和拓扑非平凡的能带，其中 C=2,3" role="presentation"&gt;C=2,3{{\mathcal{C}}}=2,3 有利于部分掺杂后的分数相，其特征在于量子几何。基于广泛的自洽平均场计算，我们表明这些相通过库仑相互作用稳定，并且对于介电环境、紧束缚跳跃参数和晶格弛豫的变化具有鲁棒性。</w:t>
      </w:r>
    </w:p>
    <w:p>
      <w:pPr>
        <w:spacing w:before="0" w:after="200" w:lineRule="auto" w:line="276"/>
      </w:pPr>
      <w:r>
        <w:rPr>
          <w:b/>
        </w:rPr>
        <w:t xml:space="preserve">Abstract (EN): </w:t>
      </w:r>
      <w:r>
        <w:t>Recently, fractional quantum anomalous Hall effects have been discovered in two-dimensional moiré materials when a topologically nontrivial band with Chern number C=1" role="presentation"&gt;C=1{{\mathcal{C}}}=1 is partially doped. Remarkably, superlattice Bloch bands can carry higher Chern numbers that defy the Landau-level paradigm and may even host exotic fractionalized states with non-Abelian quasiparticles. Inspired by this exciting possibility, we propose twisted rhombohedral trilayer-bilayer graphene at θ ~ 1.2° as a field-tunable quantum anomalous Chern insulator that features spectrally-isolated, kinetically-quenched, and topologically-nontrivial bands with C=2,3" role="presentation"&gt;C=2,3{{\mathcal{C}}}=2,3 favorable for fractional phases once fractionally doped, as characterized by their quantum geometry. Based on extensive self-consistent mean-field calculations, we show that these phases are stabilized by Coulomb interactions and are robust against variations in dielectric environment, tight-binding hopping parameters, and lattice relaxation.</w:t>
      </w:r>
    </w:p>
    <w:p>
      <w:pPr>
        <w:spacing w:before="120" w:after="120"/>
      </w:pPr>
      <w:r>
        <w:rPr>
          <w:sz w:val="18"/>
        </w:rPr>
        <w:t>——————————————————————————————————————————————————————————————————————</w:t>
      </w:r>
    </w:p>
    <w:p>
      <w:pPr>
        <w:spacing w:before="160" w:after="40" w:line="240" w:lineRule="auto"/>
      </w:pPr>
      <w:r>
        <w:rPr>
          <w:b/>
        </w:rPr>
        <w:t xml:space="preserve">[191] </w:t>
      </w:r>
      <w:hyperlink r:id="rId898">
        <w:r>
          <w:rPr>
            <w:color w:val="1155CC"/>
            <w:u w:val="single"/>
          </w:rPr>
          <w:t>儿童 SARS-CoV-2 感染风险的免疫相关性：一项基于社区的前瞻性队列研究</w:t>
        </w:r>
      </w:hyperlink>
    </w:p>
    <w:p>
      <w:pPr>
        <w:spacing w:before="0" w:after="80"/>
      </w:pPr>
      <w:r>
        <w:rPr>
          <w:i/>
          <w:sz w:val="20"/>
        </w:rPr>
        <w:t>EN: Immune correlates of risk for SARS-CoV-2 infection in children: a prospective, community-based cohort study</w:t>
      </w:r>
    </w:p>
    <w:p>
      <w:pPr>
        <w:spacing w:before="0" w:after="120"/>
      </w:pPr>
      <w:r>
        <w:rPr>
          <w:b/>
        </w:rPr>
        <w:t xml:space="preserve">Source: </w:t>
      </w:r>
      <w:r>
        <w:t>Biological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很少有研究描述儿童 SARS-CoV-2 感染风险的免疫相关性，特别是那些因疫苗接种和既往感染而具有混合免疫力的儿童。我们对 1509 名美国儿童（2022-2024 年）进行了一项基于社区的前瞻性队列研究，每周进行 SARS-CoV-2 PCR 检测，并测量针对多种变体的基线结合和中和抗体滴度。在调整年龄、近期感染、暴露环境和时间趋势后，较高的抗体水平，尤其是核衣壳结合抗体和 Omicron 特异性中和抗体，与 SARS-CoV-2 感染风险降低显着相关（调整后的风险比范围为每 log10 倍抗体水平 (AU/mL) 阳性单位差异 0.60 至 0.87）。二次分析表明，这些发现对于 SARS-CoV-2 免疫状态的多个分层来说是稳健的，与不同儿科年龄组相关，并且似乎适用于总体和症状感染风险。总之，结果表明特异性抗体可以预测具有不同免疫史的儿科人群的相对感染风险。随着 SARS-CoV-2 的不断发展，了解这些免疫相关性可能会为量身定制的疫苗接种策略和风险评估提供信息。</w:t>
      </w:r>
    </w:p>
    <w:p>
      <w:pPr>
        <w:spacing w:before="0" w:after="200" w:lineRule="auto" w:line="276"/>
      </w:pPr>
      <w:r>
        <w:rPr>
          <w:b/>
        </w:rPr>
        <w:t xml:space="preserve">Abstract (EN): </w:t>
      </w:r>
      <w:r>
        <w:t>Few studies have characterized immune correlates of SARS-CoV-2 infection risk in children, particularly those with hybrid immunity from vaccination and prior infection. We conduct a prospective community-based cohort study of 1509 U.S. children (2022–2024), performing weekly SARS-CoV-2 PCR testing and measuring baseline binding and neutralizing antibody titers against multiple variants. Higher antibody levels, notably nucleocapsid-binding and Omicron-specific neutralizing antibodies, are significantly associated with reduced risk of SARS-CoV-2 infection after adjusting for age, recent infection, exposure settings, and temporal trends (adjusted hazard ratios ranging from 0.60 to 0.87 per positive unit difference in log10-fold antibody level (AU/mL)). Secondary analyses suggest these findings are robust to multiple stratifications of SARS-CoV-2 immune status, are relevant across different pediatric age groups, and appear to apply to both overall and symptomatic infection risk. Together, the results suggest that specific antibodies can predict relative infection risk in pediatric populations with diverse immune histories. Understanding these immune correlates may inform tailored vaccination strategies and risk assessments as SARS-CoV-2 continues to evolve.</w:t>
      </w:r>
    </w:p>
    <w:p>
      <w:pPr>
        <w:spacing w:before="120" w:after="120"/>
      </w:pPr>
      <w:r>
        <w:rPr>
          <w:sz w:val="18"/>
        </w:rPr>
        <w:t>——————————————————————————————————————————————————————————————————————</w:t>
      </w:r>
    </w:p>
    <w:p>
      <w:pPr>
        <w:spacing w:before="160" w:after="40" w:line="240" w:lineRule="auto"/>
      </w:pPr>
      <w:r>
        <w:rPr>
          <w:b/>
        </w:rPr>
        <w:t xml:space="preserve">[192] </w:t>
      </w:r>
      <w:hyperlink r:id="rId899">
        <w:r>
          <w:rPr>
            <w:color w:val="1155CC"/>
            <w:u w:val="single"/>
          </w:rPr>
          <w:t>趋同的基因组轨迹塑造了跨动物谱系对陆地生活的适应</w:t>
        </w:r>
      </w:hyperlink>
    </w:p>
    <w:p>
      <w:pPr>
        <w:spacing w:before="0" w:after="80"/>
      </w:pPr>
      <w:r>
        <w:rPr>
          <w:i/>
          <w:sz w:val="20"/>
        </w:rPr>
        <w:t>EN: Convergent genomic trajectories shape adaptation to life on land across animal lineages</w:t>
      </w:r>
    </w:p>
    <w:p>
      <w:pPr>
        <w:spacing w:before="0" w:after="120"/>
      </w:pPr>
      <w:r>
        <w:rPr>
          <w:b/>
        </w:rPr>
        <w:t xml:space="preserve">Source: </w:t>
      </w:r>
      <w:r>
        <w:t>Biological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动物如何反复适应陆地生活是进化生物学的核心问题。虽然陆化在动物门中独立发生，但目前尚不清楚这些转变是否存在共同的基因组机制。在这里，我们结合了大规模比较基因组学、机器学习和多组学数据，包括来自与 17 个物种的陆地环境挑战相关的应激实验的蛋白质组学和转录组学，以研究动物陆地适应的基因组基础。基因共表达网络揭示，与压力相关的基因在很大程度上是谱系特异性的，但通过早于陆地化事件的基因家族的共同选择而在功能上趋同。系统基因组学和机器学习分析支持早期进化基因的主导作用，这些基因富含与压力相关的功能，并且在陆地化节点上基因损失高于获得。我们的研究结果支持谱系特异性基因组变化模型，涉及在独立过渡到陆地生命期间在功能水平上聚合的大部分保守基因。</w:t>
      </w:r>
    </w:p>
    <w:p>
      <w:pPr>
        <w:spacing w:before="0" w:after="200" w:lineRule="auto" w:line="276"/>
      </w:pPr>
      <w:r>
        <w:rPr>
          <w:b/>
        </w:rPr>
        <w:t xml:space="preserve">Abstract (EN): </w:t>
      </w:r>
      <w:r>
        <w:t>How animals repeatedly adapted to life on land is a central question in evolutionary biology. While terrestrialisation occurred independently across animal phyla, it remains unclear whether shared genomic mechanisms underlie these transitions. Here, we combine large-scale comparative genomics, machine learning, and multi-omics data, including proteomics and transcriptomics from stress experiments relevant to terrestrial environmental challenges in 17 species, to investigate the genomic basis of animal terrestrial adaptation. Gene co-expression networks reveal that genes relevant to stress are largely lineage-specific, yet converge in function through the co-option of gene families pre-dating terrestrialisation events. Phylogenomic and machine learning analyses support a dominant role for early-evolving genes, enriched in stress-related functions, paired with a higher gene loss than gain at terrestrialisation nodes. Our findings support a model of lineage-specific genomic changes involving mostly conserved genes that converged at the functional level during the independent transitions to terrestrial life.</w:t>
      </w:r>
    </w:p>
    <w:p>
      <w:pPr>
        <w:spacing w:before="120" w:after="120"/>
      </w:pPr>
      <w:r>
        <w:rPr>
          <w:sz w:val="18"/>
        </w:rPr>
        <w:t>——————————————————————————————————————————————————————————————————————</w:t>
      </w:r>
    </w:p>
    <w:p>
      <w:pPr>
        <w:spacing w:before="160" w:after="40" w:line="240" w:lineRule="auto"/>
      </w:pPr>
      <w:r>
        <w:rPr>
          <w:b/>
        </w:rPr>
        <w:t xml:space="preserve">[193] </w:t>
      </w:r>
      <w:hyperlink r:id="rId900">
        <w:r>
          <w:rPr>
            <w:color w:val="1155CC"/>
            <w:u w:val="single"/>
          </w:rPr>
          <w:t>评估构象流动性对铜 (II/I) 电子转移自交换的影响</w:t>
        </w:r>
      </w:hyperlink>
    </w:p>
    <w:p>
      <w:pPr>
        <w:spacing w:before="0" w:after="80"/>
      </w:pPr>
      <w:r>
        <w:rPr>
          <w:i/>
          <w:sz w:val="20"/>
        </w:rPr>
        <w:t>EN: Assessing the Impacts of Conformational Fluxionality on Copper(II/I) Electron Transfer Self-Exchange</w:t>
      </w:r>
    </w:p>
    <w:p>
      <w:pPr>
        <w:spacing w:before="0" w:after="120"/>
      </w:pPr>
      <w:r>
        <w:rPr>
          <w:b/>
        </w:rPr>
        <w:t xml:space="preserve">Source: </w:t>
      </w:r>
      <w:r>
        <w:t>Journal of the American Chemical Society: Latest Articles (ACS Publications)</w:t>
      </w:r>
      <w:r>
        <w:t xml:space="preserve">    </w:t>
      </w:r>
      <w:r>
        <w:rPr>
          <w:b/>
        </w:rPr>
        <w:t xml:space="preserve">Pub date: </w:t>
      </w:r>
      <w:r>
        <w:t>2026-07-18 00:00:00+00:00</w:t>
      </w:r>
      <w:r>
        <w:t xml:space="preserve">    </w:t>
      </w:r>
      <w:r>
        <w:rPr>
          <w:b/>
        </w:rPr>
        <w:t xml:space="preserve">DOI: </w:t>
      </w:r>
      <w:hyperlink r:id="rId901">
        <w:r>
          <w:rPr>
            <w:color w:val="1155CC"/>
            <w:u w:val="single"/>
          </w:rPr>
          <w:t>10.1021/jacs.6c10562</w:t>
        </w:r>
      </w:hyperlink>
    </w:p>
    <w:p>
      <w:pPr>
        <w:spacing w:before="0" w:after="120"/>
      </w:pPr>
      <w:r>
        <w:rPr>
          <w:b/>
        </w:rPr>
        <w:t xml:space="preserve">Notes: </w:t>
      </w:r>
      <w:r>
        <w:t>abstract_source=pubmed</w:t>
      </w:r>
    </w:p>
    <w:p>
      <w:pPr>
        <w:spacing w:before="0" w:after="80" w:lineRule="auto" w:line="276"/>
      </w:pPr>
      <w:r>
        <w:rPr>
          <w:b/>
        </w:rPr>
        <w:t xml:space="preserve">摘要（ZH）: </w:t>
      </w:r>
      <w:r>
        <w:t>典型的 Cu(II/I) 配合物在电子转移 (ET) 反应过程中表现出标志性的结构变化，这些变化是由（伪）Jahn-Teller 畸变和 d9/d10 配置固有的极化率变化引起的。鉴于这种结构变化会导致大量的重组能量损失，这些化合物的 ET 特性缓慢速率也就不足为奇了。然而，我们最近报道了一组 Cu(II/I) 配合物，它们在氧化还原反应过程中经历了显着且明确的结构变化，但表现出快速 (&gt;105 M-1 s-1) ET 自交换速率常数 (k11)。为了解释这些结果，我们提出了一个预平衡模型，其中两种氧化态之一的固有构象流动性提供了在 ET 事件期间涉及较低重组能的途径。在此，我们报告了通过制备和研究一系列在 Cu(I) 态下表现出不同程度的构象流动性的同源化合物来检验这一假设的结果。我们通过电化学、结构和变温核磁共振波谱对这些化合物进行了表征，为整个系列的流动性增加提供实验证据。然后，我们通过 NMR 线宽展宽实验将这一趋势与 k11 的增加联系起来，并进一步注意确定其中溶剂杂质的影响。最后，通过计算探索构象重排的性质及其与 k11 增加的关系，以揭示该系列中不同的构象异构体玻尔兹曼群体。这</w:t>
      </w:r>
    </w:p>
    <w:p>
      <w:pPr>
        <w:spacing w:before="0" w:after="200" w:lineRule="auto" w:line="276"/>
      </w:pPr>
      <w:r>
        <w:rPr>
          <w:b/>
        </w:rPr>
        <w:t xml:space="preserve">Abstract (EN): </w:t>
      </w:r>
      <w:r>
        <w:t>Typical Cu(II/I) complexes exhibit hallmark structural changes during their electron transfer (ET) reactions that result from the (pseudo) Jahn-Teller distortions and changes in polarizability inherent to their d9/d10 configurations. Given that such structural changes incur large reorganization energy penalties, the slow rates of ET characteristic of these compounds are unsuprising. However, we recently reported a set of Cu(II/I) complexes that undergo significant and well-defined structural changes during their redox reactions yet exhibit rapid (&gt;105 M-1 s-1) ET self-exchange rate constants (k11). To explain these results, we proposed a pre-equilibrium model in which inherent conformational fluxionality in one of the two oxidation states provides access to pathways involving lower reorganization energies during the ET event. Herein, we report our results testing this hypothesis through the preparation and study of a homologous series of compounds exhibiting varying extents of conformational fluxionality in the Cu(I) state. We characterize these compounds electrochemically, structurally, and by variable temperature NMR spectroscopy to provide experimental evidence for increased fluxionality across the series. We then correlate the trend with increasing k11 through NMR linewidth broadening experiments, further taking care to define the impacts of solvent impurities therein. Finally, the nature of the conformational rearrangements and their relation to increased k11 are explored computationally to reveal differential Boltzmann populations of conformers across the series. The cumulative results of these studies support a previously underappreciated strategy for overcoming barriers to slow ET kinetics: namely through the incorporation of conformational fluxionality.</w:t>
      </w:r>
    </w:p>
    <w:p>
      <w:pPr>
        <w:spacing w:before="120" w:after="120"/>
      </w:pPr>
      <w:r>
        <w:rPr>
          <w:sz w:val="18"/>
        </w:rPr>
        <w:t>——————————————————————————————————————————————————————————————————————</w:t>
      </w:r>
    </w:p>
    <w:p>
      <w:pPr>
        <w:spacing w:before="160" w:after="40" w:line="240" w:lineRule="auto"/>
      </w:pPr>
      <w:r>
        <w:rPr>
          <w:b/>
        </w:rPr>
        <w:t xml:space="preserve">[194] </w:t>
      </w:r>
      <w:hyperlink r:id="rId902">
        <w:r>
          <w:rPr>
            <w:color w:val="1155CC"/>
            <w:u w:val="single"/>
          </w:rPr>
          <w:t>不同未来下的规划替代方案：将变革性场景设计与自下而上的建模和分配影响评估联系起来，以量化电力负担能力的不平等</w:t>
        </w:r>
      </w:hyperlink>
    </w:p>
    <w:p>
      <w:pPr>
        <w:spacing w:before="0" w:after="80"/>
      </w:pPr>
      <w:r>
        <w:rPr>
          <w:i/>
          <w:sz w:val="20"/>
        </w:rPr>
        <w:t>EN: Planning alternatives under divergent futures: Linking transformative scenario design with bottom-up modelling and distributional impact assessment to quantify inequalities in electricity affordability</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903">
        <w:r>
          <w:rPr>
            <w:color w:val="1155CC"/>
            <w:u w:val="single"/>
          </w:rPr>
          <w:t>10.1016/j.apenergy.2026.128449</w:t>
        </w:r>
      </w:hyperlink>
    </w:p>
    <w:p>
      <w:pPr>
        <w:spacing w:before="0" w:after="120"/>
      </w:pPr>
      <w:r>
        <w:rPr>
          <w:b/>
        </w:rPr>
        <w:t xml:space="preserve">Notes: </w:t>
      </w:r>
      <w:r>
        <w:t>abstract_source=openalex</w:t>
      </w:r>
    </w:p>
    <w:p>
      <w:pPr>
        <w:spacing w:before="0" w:after="80" w:lineRule="auto" w:line="276"/>
      </w:pPr>
      <w:r>
        <w:rPr>
          <w:b/>
        </w:rPr>
        <w:t xml:space="preserve">摘要（ZH）: </w:t>
      </w:r>
      <w:r>
        <w:t>清洁能源转型有望带来巨大的社会效益，但如果其成本和效益分配不均，则可能会加剧现有的不平等。尽管分配影响在气候和能源政策分析中受到越来越多的关注，但许多建模框架在代表社会经济异质性、自下而上的技术选择和以公民为中心的转型路径方面的能力仍然有限，特别是在可变可再生能源比例较高的电力系统中。因此，此类框架可能会歪曲电力负担能力，掩盖倒退影响，并支持忽视弱势家庭的政策建议。本研究以希腊电力行业为案例研究，通过将自下而上的模型与分布影响评估相结合来解决这一差距。我们根据能源公民概念和未来世界叙事的故事情节开发替代过渡场景。这些情景嵌入到 OSeMOSYS 建模框架中，用于评估不确定性加剧和外部冲击条件下的替代系统规划演变、成本和排放。随后将模型输出与家庭预算调查数据相结合，以评估如何在不同收入群体之间分配成本，并考虑电力消费模式的异质性。我们的结果表明，到 2050 年，与集中式替代方案相比，分散式、以太阳能为导向的过渡途径可以显着提高电力负担能力，从而降低电费占总电费的比例</w:t>
      </w:r>
    </w:p>
    <w:p>
      <w:pPr>
        <w:spacing w:before="0" w:after="200" w:lineRule="auto" w:line="276"/>
      </w:pPr>
      <w:r>
        <w:rPr>
          <w:b/>
        </w:rPr>
        <w:t xml:space="preserve">Abstract (EN): </w:t>
      </w:r>
      <w:r>
        <w:t>The clean energy transition promises substantial societal benefits but risks reinforcing existing inequalities if its costs and benefits are unevenly distributed. While distributional impacts have gained increasing attention in climate and energy policy analysis, many modelling frameworks remain limited in their ability to represent socioeconomic heterogeneity, bottom-up technology choices, and citizen-centred transition pathways, particularly in electricity systems with high shares of variable renewable energy. As a result, such frameworks may misrepresent electricity affordability, conceal regressive impacts, and support policy recommendations that overlook vulnerable households. This study addresses this gap by integrating bottom-up modelling with distributional impact assessment, using the Greek power sector as a case study. We develop alternative transition scenarios based on storylines informed by the concept of energy citizenship and future-world narratives. These scenarios are embedded within the OSeMOSYS modelling framework to assess alternative system-planning evolutions, costs, and emissions under conditions of heightened uncertainty and external shocks. Model outputs are subsequently combined with household budget survey data to evaluate how costs are allocated across income groups, accounting for heterogeneity in electricity consumption patterns. Our results show that decentralised, solar-oriented transition pathways could significantly improve electricity affordability compared with centralised alternatives by 2050, reducing electricity bills as a share of total income (2.4% versus 4.6%) and substantially narrowing affordability gaps between the lowest and highest income groups (6.3% versus 11%). Overall, our findings demonstrate that least-cost electricity system designs do not necessarily align with socially equitable outcomes and provide insights for designing just and inclusive energy transitions.</w:t>
      </w:r>
    </w:p>
    <w:p>
      <w:pPr>
        <w:spacing w:before="120" w:after="120"/>
      </w:pPr>
      <w:r>
        <w:rPr>
          <w:sz w:val="18"/>
        </w:rPr>
        <w:t>——————————————————————————————————————————————————————————————————————</w:t>
      </w:r>
    </w:p>
    <w:p>
      <w:pPr>
        <w:spacing w:before="160" w:after="40" w:line="240" w:lineRule="auto"/>
      </w:pPr>
      <w:r>
        <w:rPr>
          <w:b/>
        </w:rPr>
        <w:t xml:space="preserve">[195] </w:t>
      </w:r>
      <w:hyperlink r:id="rId904">
        <w:r>
          <w:rPr>
            <w:color w:val="1155CC"/>
            <w:u w:val="single"/>
          </w:rPr>
          <w:t>运动丘脑深部脑刺激对言语和吞咽的频率依赖性影响</w:t>
        </w:r>
      </w:hyperlink>
    </w:p>
    <w:p>
      <w:pPr>
        <w:spacing w:before="0" w:after="80"/>
      </w:pPr>
      <w:r>
        <w:rPr>
          <w:i/>
          <w:sz w:val="20"/>
        </w:rPr>
        <w:t>EN: Frequency-dependent effects of motor thalamus deep brain stimulation on speech and swallowing</w:t>
      </w:r>
    </w:p>
    <w:p>
      <w:pPr>
        <w:spacing w:before="0" w:after="120"/>
      </w:pPr>
      <w:r>
        <w:rPr>
          <w:b/>
        </w:rPr>
        <w:t xml:space="preserve">Source: </w:t>
      </w:r>
      <w:r>
        <w:t>Biological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言语和吞咽是由运动皮层和颅肌之间的皮质-延髓通讯驱动的复杂运动序列。这些通路的损伤会损害口面部肌肉的力量和控制，导致慢性构音障碍和吞咽困难，从而增加社会孤立、误吸风险和死亡率。我们证明运动丘脑深部脑刺激（DBS）可以改善创伤性脑损伤（TBI）后的这些功能。首先，我们证明低频 DBS (50-80 Hz) 有助于激活皮质延髓纤维，立即增强 n = 8 名通路完整的参与者的运动输出。在一名患有 TBI 并导致慢性中度吞咽困难和严重构音障碍的参与者中，低频 DBS 改善了呼吸、发声和发音子系统的面部运动、吞咽效率和言语清晰度。重要的是，面部咬合器和语音子系统控制的这些改进特定于低频（50-80 Hz）刺激。这些发现提供了初步证据，表明运动丘脑 DBS 可以调节皮质延髓回路，以改善脑损伤后的构音障碍和吞咽困难。</w:t>
      </w:r>
    </w:p>
    <w:p>
      <w:pPr>
        <w:spacing w:before="0" w:after="200" w:lineRule="auto" w:line="276"/>
      </w:pPr>
      <w:r>
        <w:rPr>
          <w:b/>
        </w:rPr>
        <w:t xml:space="preserve">Abstract (EN): </w:t>
      </w:r>
      <w:r>
        <w:t>Speech and swallowing are complex motor sequences driven by cortico-bulbar communication between motor cortex and cranial muscles. Damage to these pathways impairs strength and control of orofacial muscles, causing chronic dysarthria and dysphagia that increase social isolation, aspiration risks, and mortality. We show that motor thalamus Deep Brain Stimulation (DBS) can improve these functions after traumatic brain injury (TBI). First, we demonstrated that low-frequency DBS (50-80 Hz) facilitates activation of cortico-bulbar fibers, immediately potentiating motor output in n = 8 participants with intact pathways. In a participant who sustained a TBI resulting in chronic moderate dysphagia and severe dysarthria, low-frequency DBS improved facial movement, swallowing efficiency, and speech intelligibility across respiratory, phonatory, and articulatory subsystems. Importantly, these improvements in facial articulator and speech subsystems control were specific to low-frequency (50-80 Hz) stimulation. These findings provide preliminary evidence that motor thalamus DBS can modulate corticobulbar circuitry to improve dysarthria and dysphagia following cerebral lesions.</w:t>
      </w:r>
    </w:p>
    <w:p>
      <w:pPr>
        <w:spacing w:before="120" w:after="120"/>
      </w:pPr>
      <w:r>
        <w:rPr>
          <w:sz w:val="18"/>
        </w:rPr>
        <w:t>——————————————————————————————————————————————————————————————————————</w:t>
      </w:r>
    </w:p>
    <w:p>
      <w:pPr>
        <w:spacing w:before="160" w:after="40" w:line="240" w:lineRule="auto"/>
      </w:pPr>
      <w:r>
        <w:rPr>
          <w:b/>
        </w:rPr>
        <w:t xml:space="preserve">[196] </w:t>
      </w:r>
      <w:hyperlink r:id="rId905">
        <w:r>
          <w:rPr>
            <w:color w:val="1155CC"/>
            <w:u w:val="single"/>
          </w:rPr>
          <w:t>非理想通信条件下多能源微电网数字孪生云边协作的弹性分层控制策略</w:t>
        </w:r>
      </w:hyperlink>
    </w:p>
    <w:p>
      <w:pPr>
        <w:spacing w:before="0" w:after="80"/>
      </w:pPr>
      <w:r>
        <w:rPr>
          <w:i/>
          <w:sz w:val="20"/>
        </w:rPr>
        <w:t>EN: Resilient hierarchical control strategy for digital twin cloud-edge collaboration in multi-energy microgrids under non-ideal communication conditions</w:t>
      </w:r>
    </w:p>
    <w:p>
      <w:pPr>
        <w:spacing w:before="0" w:after="120"/>
      </w:pPr>
      <w:r>
        <w:rPr>
          <w:b/>
        </w:rPr>
        <w:t xml:space="preserve">Source: </w:t>
      </w:r>
      <w:r>
        <w:t>ScienceDirect Publication: Applied Energy</w:t>
      </w:r>
      <w:r>
        <w:t xml:space="preserve">    </w:t>
      </w:r>
      <w:r>
        <w:rPr>
          <w:b/>
        </w:rPr>
        <w:t xml:space="preserve">Pub date: </w:t>
      </w:r>
      <w:r>
        <w:t>2026-07-18 00:00:00+00:00</w:t>
      </w:r>
      <w:r>
        <w:t xml:space="preserve">    </w:t>
      </w:r>
      <w:r>
        <w:rPr>
          <w:b/>
        </w:rPr>
        <w:t xml:space="preserve">DOI: </w:t>
      </w:r>
      <w:hyperlink r:id="rId906">
        <w:r>
          <w:rPr>
            <w:color w:val="1155CC"/>
            <w:u w:val="single"/>
          </w:rPr>
          <w:t>10.1016/j.apenergy.2026.128374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[197] </w:t>
      </w:r>
      <w:hyperlink r:id="rId907">
        <w:r>
          <w:rPr>
            <w:color w:val="1155CC"/>
            <w:u w:val="single"/>
          </w:rPr>
          <w:t>罗丹明-二茂铁二元组中的电化学荧光转换：仿生膜中的时空控制</w:t>
        </w:r>
      </w:hyperlink>
    </w:p>
    <w:p>
      <w:pPr>
        <w:spacing w:before="0" w:after="80"/>
      </w:pPr>
      <w:r>
        <w:rPr>
          <w:i/>
          <w:sz w:val="20"/>
        </w:rPr>
        <w:t>EN: Electrochemical Fluorescence Switching in Rhodamine–Ferrocene Dyads: Spatiotemporal Control in Biomimetic Membranes</w:t>
      </w:r>
    </w:p>
    <w:p>
      <w:pPr>
        <w:spacing w:before="0" w:after="120"/>
      </w:pPr>
      <w:r>
        <w:rPr>
          <w:b/>
        </w:rPr>
        <w:t xml:space="preserve">Source: </w:t>
      </w:r>
      <w:r>
        <w:t>Journal of the American Chemical Society: Latest Articles (ACS Publications)</w:t>
      </w:r>
      <w:r>
        <w:t xml:space="preserve">    </w:t>
      </w:r>
      <w:r>
        <w:rPr>
          <w:b/>
        </w:rPr>
        <w:t xml:space="preserve">Pub date: </w:t>
      </w:r>
      <w:r>
        <w:t>2026-07-18 00:00:00+00:00</w:t>
      </w:r>
      <w:r>
        <w:t xml:space="preserve">    </w:t>
      </w:r>
      <w:r>
        <w:rPr>
          <w:b/>
        </w:rPr>
        <w:t xml:space="preserve">DOI: </w:t>
      </w:r>
      <w:hyperlink r:id="rId908">
        <w:r>
          <w:rPr>
            <w:color w:val="1155CC"/>
            <w:u w:val="single"/>
          </w:rPr>
          <w:t>10.1021/jacs.6c07688</w:t>
        </w:r>
      </w:hyperlink>
    </w:p>
    <w:p>
      <w:pPr>
        <w:spacing w:before="0" w:after="120"/>
      </w:pPr>
      <w:r>
        <w:rPr>
          <w:b/>
        </w:rPr>
        <w:t xml:space="preserve">Notes: </w:t>
      </w:r>
      <w:r>
        <w:t>abstract_source=pubmed</w:t>
      </w:r>
    </w:p>
    <w:p>
      <w:pPr>
        <w:spacing w:before="0" w:after="80" w:lineRule="auto" w:line="276"/>
      </w:pPr>
      <w:r>
        <w:rPr>
          <w:b/>
        </w:rPr>
        <w:t xml:space="preserve">摘要（ZH）: </w:t>
      </w:r>
      <w:r>
        <w:t>荧光的电化学控制已在均质介质中得到了广泛的发展，但其在电绝缘脂质双层中的实现仍然很大程度上未被探索。在这里，我们确定可以使用罗丹明-二茂铁二元组在单个巨型单层囊泡中实现电化学门控荧光开关，该二元组通过氧化还原控制的光诱导电子转移来调节发射。膜锚定衍生物能够在电化学偏压下直接可视化可逆荧光激活。值得注意的是，这种转换是严格的小叶选择性的，并且仅发生在暴露于电极界面的二元体上，突出了脂质双层的绝缘性质。此外，膜表面电荷关键控制着转换效率，并引起氧化和还原过程之间明显的动力学不对称，揭示了界面静电相互作用在氧化还原控制发射中的关键作用。这些结果将膜中的电化学荧光调制建立为空间和静电门控界面过程，并定义了在软界面（例如脂质膜）中操作的氧化还原响应探针的一般原理。</w:t>
      </w:r>
    </w:p>
    <w:p>
      <w:pPr>
        <w:spacing w:before="0" w:after="200" w:lineRule="auto" w:line="276"/>
      </w:pPr>
      <w:r>
        <w:rPr>
          <w:b/>
        </w:rPr>
        <w:t xml:space="preserve">Abstract (EN): </w:t>
      </w:r>
      <w:r>
        <w:t>The electrochemical control of fluorescence has been extensively developed in homogeneous media, yet its implementation within electrically insulating lipid bilayers remains largely unexplored. Here we establish that an electrochemically gated fluorescence switch can be implemented in individual giant unilamellar vesicles using a rhodamine-ferrocene dyad that modulates emission through redox-controlled photoinduced electron transfer. A membrane-anchored derivative enables direct visualization of reversible fluorescence activation under electrochemical bias. Remarkably, the switching is strictly leaflet-selective and occurs only for dyads exposed to the electrode interface, highlighting the insulating nature of lipid bilayers. Furthermore, membrane surface charge critically governs the switching efficiency and induces pronounced kinetic asymmetry between oxidation and reduction processes, revealing the key role of interfacial electrostatic interactions in redox-controlled emission. These results establish electrochemical fluorescence modulation in membranes as a spatially and electrostatically gated interfacial process and define general principles for redox-responsive probes operating in soft interfaces, such as lipid membranes.</w:t>
      </w:r>
    </w:p>
    <w:p>
      <w:pPr>
        <w:spacing w:before="120" w:after="120"/>
      </w:pPr>
      <w:r>
        <w:rPr>
          <w:sz w:val="18"/>
        </w:rPr>
        <w:t>——————————————————————————————————————————————————————————————————————</w:t>
      </w:r>
    </w:p>
    <w:p>
      <w:pPr>
        <w:spacing w:before="160" w:after="40" w:line="240" w:lineRule="auto"/>
      </w:pPr>
      <w:r>
        <w:rPr>
          <w:b/>
        </w:rPr>
        <w:t xml:space="preserve">[198] </w:t>
      </w:r>
      <w:hyperlink r:id="rId909">
        <w:r>
          <w:rPr>
            <w:color w:val="1155CC"/>
            <w:u w:val="single"/>
          </w:rPr>
          <w:t>预测然后优化：LM-MTSF 为主动配电网络的分布式稳健运行优化提供数据驱动的支持</w:t>
        </w:r>
      </w:hyperlink>
    </w:p>
    <w:p>
      <w:pPr>
        <w:spacing w:before="0" w:after="80"/>
      </w:pPr>
      <w:r>
        <w:rPr>
          <w:i/>
          <w:sz w:val="20"/>
        </w:rPr>
        <w:t>EN: Predict-then-optimize: LM-MTSF provides data-driven support for distributionally robust operation optimization of active distribution networks</w:t>
      </w:r>
    </w:p>
    <w:p>
      <w:pPr>
        <w:spacing w:before="0" w:after="120"/>
      </w:pPr>
      <w:r>
        <w:rPr>
          <w:b/>
        </w:rPr>
        <w:t xml:space="preserve">Source: </w:t>
      </w:r>
      <w:r>
        <w:t>ScienceDirect Publication: Applied Energy</w:t>
      </w:r>
      <w:r>
        <w:t xml:space="preserve">    </w:t>
      </w:r>
      <w:r>
        <w:rPr>
          <w:b/>
        </w:rPr>
        <w:t xml:space="preserve">Pub date: </w:t>
      </w:r>
      <w:r>
        <w:t>2026-07-18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[199] </w:t>
      </w:r>
      <w:hyperlink r:id="rId910">
        <w:r>
          <w:rPr>
            <w:color w:val="1155CC"/>
            <w:u w:val="single"/>
          </w:rPr>
          <w:t>广域电动汽车充电需求时空预测误差的可解释因果分析方法</w:t>
        </w:r>
      </w:hyperlink>
    </w:p>
    <w:p>
      <w:pPr>
        <w:spacing w:before="0" w:after="80"/>
      </w:pPr>
      <w:r>
        <w:rPr>
          <w:i/>
          <w:sz w:val="20"/>
        </w:rPr>
        <w:t>EN: An explainable causal analysis method for spatiotemporal prediction errors of wide-area electric vehicle charging demand</w:t>
      </w:r>
    </w:p>
    <w:p>
      <w:pPr>
        <w:spacing w:before="0" w:after="120"/>
      </w:pPr>
      <w:r>
        <w:rPr>
          <w:b/>
        </w:rPr>
        <w:t xml:space="preserve">Source: </w:t>
      </w:r>
      <w:r>
        <w:t>ScienceDirect Publication: Applied Energy</w:t>
      </w:r>
      <w:r>
        <w:t xml:space="preserve">    </w:t>
      </w:r>
      <w:r>
        <w:rPr>
          <w:b/>
        </w:rPr>
        <w:t xml:space="preserve">Pub date: </w:t>
      </w:r>
      <w:r>
        <w:t>2026-07-18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[200] </w:t>
      </w:r>
      <w:hyperlink r:id="rId911">
        <w:r>
          <w:rPr>
            <w:color w:val="1155CC"/>
            <w:u w:val="single"/>
          </w:rPr>
          <w:t>物理先验正则化解耦外源感知网络，用于商业园区级综合能源系统中可靠的多能源负荷预测</w:t>
        </w:r>
      </w:hyperlink>
    </w:p>
    <w:p>
      <w:pPr>
        <w:spacing w:before="0" w:after="80"/>
      </w:pPr>
      <w:r>
        <w:rPr>
          <w:i/>
          <w:sz w:val="20"/>
        </w:rPr>
        <w:t>EN: Physical-prior-regularized decoupled exogenous-aware network for trustworthy multi-energy load forecasting in commercial park-level integrated energy systems</w:t>
      </w:r>
    </w:p>
    <w:p>
      <w:pPr>
        <w:spacing w:before="0" w:after="120"/>
      </w:pPr>
      <w:r>
        <w:rPr>
          <w:b/>
        </w:rPr>
        <w:t xml:space="preserve">Source: </w:t>
      </w:r>
      <w:r>
        <w:t>ScienceDirect Publication: Applied Energy</w:t>
      </w:r>
      <w:r>
        <w:t xml:space="preserve">    </w:t>
      </w:r>
      <w:r>
        <w:rPr>
          <w:b/>
        </w:rPr>
        <w:t xml:space="preserve">Pub date: </w:t>
      </w:r>
      <w:r>
        <w:t>2026-07-18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[201] </w:t>
      </w:r>
      <w:hyperlink r:id="rId912">
        <w:r>
          <w:rPr>
            <w:color w:val="1155CC"/>
            <w:u w:val="single"/>
          </w:rPr>
          <w:t>消费者什么时候会因可变电价而蒙受损失？</w:t>
        </w:r>
      </w:hyperlink>
    </w:p>
    <w:p>
      <w:pPr>
        <w:spacing w:before="0" w:after="80"/>
      </w:pPr>
      <w:r>
        <w:rPr>
          <w:i/>
          <w:sz w:val="20"/>
        </w:rPr>
        <w:t>EN: When do consumers lose from variable electricity pricing?</w:t>
      </w:r>
    </w:p>
    <w:p>
      <w:pPr>
        <w:spacing w:before="0" w:after="120"/>
      </w:pPr>
      <w:r>
        <w:rPr>
          <w:b/>
        </w:rPr>
        <w:t xml:space="preserve">Source: </w:t>
      </w:r>
      <w:r>
        <w:t>ScienceDirect Publication: Energy Policy</w:t>
      </w:r>
      <w:r>
        <w:t xml:space="preserve">    </w:t>
      </w:r>
      <w:r>
        <w:rPr>
          <w:b/>
        </w:rPr>
        <w:t xml:space="preserve">Pub date: </w:t>
      </w:r>
      <w:r>
        <w:t>2026-07-18 00:00:00+00:00</w:t>
      </w:r>
      <w:r>
        <w:t xml:space="preserve">    </w:t>
      </w:r>
      <w:r>
        <w:rPr>
          <w:b/>
        </w:rPr>
        <w:t xml:space="preserve">DOI: </w:t>
      </w:r>
      <w:hyperlink r:id="rId913">
        <w:r>
          <w:rPr>
            <w:color w:val="1155CC"/>
            <w:u w:val="single"/>
          </w:rPr>
          <w:t>10.1016/j.enpol.2026.115474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[202] </w:t>
      </w:r>
      <w:hyperlink r:id="rId914">
        <w:r>
          <w:rPr>
            <w:color w:val="1155CC"/>
            <w:u w:val="single"/>
          </w:rPr>
          <w:t>能源转型、碳政策和贸易冲突的动态和协同效应：混合频率方法</w:t>
        </w:r>
      </w:hyperlink>
    </w:p>
    <w:p>
      <w:pPr>
        <w:spacing w:before="0" w:after="80"/>
      </w:pPr>
      <w:r>
        <w:rPr>
          <w:i/>
          <w:sz w:val="20"/>
        </w:rPr>
        <w:t>EN: Dynamic and synergic effects of energy transition, carbon policy and trade conflicts: A mixed-frequency approach</w:t>
      </w:r>
    </w:p>
    <w:p>
      <w:pPr>
        <w:spacing w:before="0" w:after="120"/>
      </w:pPr>
      <w:r>
        <w:rPr>
          <w:b/>
        </w:rPr>
        <w:t xml:space="preserve">Source: </w:t>
      </w:r>
      <w:r>
        <w:t>ScienceDirect Publication: Energy Policy</w:t>
      </w:r>
      <w:r>
        <w:t xml:space="preserve">    </w:t>
      </w:r>
      <w:r>
        <w:rPr>
          <w:b/>
        </w:rPr>
        <w:t xml:space="preserve">Pub date: </w:t>
      </w:r>
      <w:r>
        <w:t>2026-07-18 00:00:00+00:00</w:t>
      </w:r>
      <w:r>
        <w:t xml:space="preserve">    </w:t>
      </w:r>
      <w:r>
        <w:rPr>
          <w:b/>
        </w:rPr>
        <w:t xml:space="preserve">DOI: </w:t>
      </w:r>
      <w:hyperlink r:id="rId915">
        <w:r>
          <w:rPr>
            <w:color w:val="1155CC"/>
            <w:u w:val="single"/>
          </w:rPr>
          <w:t>10.1016/j.enpol.2026.115488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[203] </w:t>
      </w:r>
      <w:hyperlink r:id="rId916">
        <w:r>
          <w:rPr>
            <w:color w:val="1155CC"/>
            <w:u w:val="single"/>
          </w:rPr>
          <w:t>星形胶质细胞发育延迟损害Sema6a-Plxna2/4介导的星形胶质细胞-神经元串扰并导致抑郁样行为</w:t>
        </w:r>
      </w:hyperlink>
    </w:p>
    <w:p>
      <w:pPr>
        <w:spacing w:before="0" w:after="80"/>
      </w:pPr>
      <w:r>
        <w:rPr>
          <w:i/>
          <w:sz w:val="20"/>
        </w:rPr>
        <w:t>EN: Delayed astrocyte development impairs Sema6a-Plxna2/4-mediated astrocyte-neuron crosstalk and causes depressive-like behavior</w:t>
      </w:r>
    </w:p>
    <w:p>
      <w:pPr>
        <w:spacing w:before="0" w:after="120"/>
      </w:pPr>
      <w:r>
        <w:rPr>
          <w:b/>
        </w:rPr>
        <w:t xml:space="preserve">Source: </w:t>
      </w:r>
      <w:r>
        <w:t>Biological sciences : Nature Communications subject feeds</w:t>
      </w:r>
      <w:r>
        <w:t xml:space="preserve">    </w:t>
      </w:r>
      <w:r>
        <w:rPr>
          <w:b/>
        </w:rPr>
        <w:t xml:space="preserve">Pub date: </w:t>
      </w:r>
      <w:r>
        <w:t>2026-07-18 00:00:00+00:00</w:t>
      </w:r>
    </w:p>
    <w:p>
      <w:pPr>
        <w:spacing w:before="0" w:after="120"/>
      </w:pPr>
      <w:r>
        <w:rPr>
          <w:b/>
        </w:rPr>
        <w:t xml:space="preserve">Notes: </w:t>
      </w:r>
      <w:r>
        <w:t>abstract_source=nature_html</w:t>
      </w:r>
    </w:p>
    <w:p>
      <w:pPr>
        <w:spacing w:before="0" w:after="80" w:lineRule="auto" w:line="276"/>
      </w:pPr>
      <w:r>
        <w:rPr>
          <w:b/>
        </w:rPr>
        <w:t xml:space="preserve">摘要（ZH）: </w:t>
      </w:r>
      <w:r>
        <w:t>神经功能和回路形成依赖于关键时期各种细胞类型之间复杂的串扰。神经元和星形胶质细胞之间的这种串扰的中断或延迟会导致神经功能异常和神经发育障碍。然而，由于缺乏强大的小鼠模型来研究星形胶质细胞和神经元之间的串扰，因此阻碍这种相互作用的影响尚不清楚。在这项研究中，我们证明，在神经元成熟的关键时期，Egfr 敲除会导致星形胶质细胞短暂缺失，但在成年小鼠中观察到恢复。因此，该模型提供了一个独特的机会来研究发育过程中星形胶质细胞-神经元通讯受损的影响。从机械角度来看，我们发现 Egfr 的缺失会破坏 Egfr-pERK-Epb41l2 信号轴，从而阻止神经胶质祖细胞向外迁移。更重要的是，关键时期的 Egfr 缺乏会损害星形胶质细胞-神经元通过 Sema6a-Plxna2/4 配体-受体对的通讯。这种受损的细胞间串扰降低了神经元树突的复杂性和兴奋性，最终导致成年小鼠出现抑郁样行为。</w:t>
      </w:r>
    </w:p>
    <w:p>
      <w:pPr>
        <w:spacing w:before="0" w:after="200" w:lineRule="auto" w:line="276"/>
      </w:pPr>
      <w:r>
        <w:rPr>
          <w:b/>
        </w:rPr>
        <w:t xml:space="preserve">Abstract (EN): </w:t>
      </w:r>
      <w:r>
        <w:t>Neural functions and circuit formation rely on intricate crosstalk among various cell types during critical periods. Disruptions or delays in this crosstalk between neurons and astrocytes lead to abnormal neural functions and neurodevelopmental disorders. However, the lack of robust mouse models to study the crosstalk between astrocytes and neurons thus renders unclear the implications of impeding such interactions. In this study, we demonstrate that Egfr knockout during the critical period of neuronal maturation results in a transient absence of astrocytes, with recovery observed in adult mice. This model thus provides a unique opportunity to investigate the effects of impaired astrocyte-neuron communication during development. Mechanically, we show that loss of Egfr disrupts the Egfr-pERK-Epb41l2 signaling axis, which in turn prevents glial progenitor cells from migrating outward. More importantly, Egfr deficiency during the critical period compromises astrocyte-neuron communication via the Sema6a-Plxna2/4 ligand-receptor pair. This impaired intercellular crosstalk reduces neuronal dendritic complexity and excitability, ultimately culminating in depressive-like behaviors in adult mice.</w:t>
      </w:r>
    </w:p>
    <w:p>
      <w:pPr>
        <w:spacing w:before="120" w:after="120"/>
      </w:pPr>
      <w:r>
        <w:rPr>
          <w:sz w:val="18"/>
        </w:rPr>
        <w:t>——————————————————————————————————————————————————————————————————————</w:t>
      </w:r>
    </w:p>
    <w:p>
      <w:pPr>
        <w:spacing w:before="160" w:after="40" w:line="240" w:lineRule="auto"/>
      </w:pPr>
      <w:r>
        <w:rPr>
          <w:b/>
        </w:rPr>
        <w:t xml:space="preserve">[204] </w:t>
      </w:r>
      <w:hyperlink r:id="rId917">
        <w:r>
          <w:rPr>
            <w:color w:val="1155CC"/>
            <w:u w:val="single"/>
          </w:rPr>
          <w:t>用于概率净负荷预测的增强条件扩散模型</w:t>
        </w:r>
      </w:hyperlink>
    </w:p>
    <w:p>
      <w:pPr>
        <w:spacing w:before="0" w:after="80"/>
      </w:pPr>
      <w:r>
        <w:rPr>
          <w:i/>
          <w:sz w:val="20"/>
        </w:rPr>
        <w:t>EN: Enhanced conditional diffusion modeling for probabilistic net load forecasting</w:t>
      </w:r>
    </w:p>
    <w:p>
      <w:pPr>
        <w:spacing w:before="0" w:after="120"/>
      </w:pPr>
      <w:r>
        <w:rPr>
          <w:b/>
        </w:rPr>
        <w:t xml:space="preserve">Source: </w:t>
      </w:r>
      <w:r>
        <w:t>ScienceDirect Publication: Applied Energy</w:t>
      </w:r>
      <w:r>
        <w:t xml:space="preserve">    </w:t>
      </w:r>
      <w:r>
        <w:rPr>
          <w:b/>
        </w:rPr>
        <w:t xml:space="preserve">Pub date: </w:t>
      </w:r>
      <w:r>
        <w:t>2026-07-18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[205] </w:t>
      </w:r>
      <w:hyperlink r:id="rId918">
        <w:r>
          <w:rPr>
            <w:color w:val="1155CC"/>
            <w:u w:val="single"/>
          </w:rPr>
          <w:t>具有对齐六方氮化硼的扭曲双双层石墨烯中的可调谐扩展磁性非费米液体</w:t>
        </w:r>
      </w:hyperlink>
    </w:p>
    <w:p>
      <w:pPr>
        <w:spacing w:before="0" w:after="80"/>
      </w:pPr>
      <w:r>
        <w:rPr>
          <w:i/>
          <w:sz w:val="20"/>
        </w:rPr>
        <w:t>EN: Tunable Extended Magnetic Non‐Fermi Liquid in Twisted Double Bilayer Graphene With Aligned hBN</w:t>
      </w:r>
    </w:p>
    <w:p>
      <w:pPr>
        <w:spacing w:before="0" w:after="120"/>
      </w:pPr>
      <w:r>
        <w:rPr>
          <w:b/>
        </w:rPr>
        <w:t xml:space="preserve">Source: </w:t>
      </w:r>
      <w:r>
        <w:t>Wiley: Advanced Materials: Table of Contents</w:t>
      </w:r>
      <w:r>
        <w:t xml:space="preserve">    </w:t>
      </w:r>
      <w:r>
        <w:rPr>
          <w:b/>
        </w:rPr>
        <w:t xml:space="preserve">Pub date: </w:t>
      </w:r>
      <w:r>
        <w:t>2026-07-18 11:47:08+00:00</w:t>
      </w:r>
      <w:r>
        <w:t xml:space="preserve">    </w:t>
      </w:r>
      <w:r>
        <w:rPr>
          <w:b/>
        </w:rPr>
        <w:t xml:space="preserve">DOI: </w:t>
      </w:r>
      <w:hyperlink r:id="rId919">
        <w:r>
          <w:rPr>
            <w:color w:val="1155CC"/>
            <w:u w:val="single"/>
          </w:rPr>
          <w:t>10.1002/adma.74210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高度可调平带电子结构的扭曲石墨烯异质结构是探索新型相关和拓扑量子相的理想平台。虽然之前的努力主要集中在扭曲角上，但与六方氮化硼衬底的晶格排列是打破对称性并重建能带结构的另一个关键参数。然而，其潜在机制仍未得到充分探索，迫切需要将其扩展到更广泛的扭曲石墨烯系统，以发现更多奇特的量子现象。在这里，我们报告了在由对齐的六方氮化硼层封装的扭曲双层石墨烯（TDBG）中观察到的可调谐扩展非费米液体行为。该 NFL 相出现在接近电荷中性的相关绝缘态的空穴掺杂侧，跨越了较宽的载流子密度范围，并表现出与载流子密度相关的电阻指数。值得注意的是，NFL 相可以在更高的掺杂水平下重新进入相​​关绝缘状态。结合温度相关电阻、磁输运和微分电阻测量，这些发现支持了这样一种情况：局域载流子和流动载流子之间的相互作用可能会出现强烈的量子涨落。我们的工作建立了一个超越传统框架的高度可调的平台，以研究非费米液体物理在不同行为中表现出来的组织原理。</w:t>
      </w:r>
    </w:p>
    <w:p>
      <w:pPr>
        <w:spacing w:before="0" w:after="200" w:lineRule="auto" w:line="276"/>
      </w:pPr>
      <w:r>
        <w:rPr>
          <w:b/>
        </w:rPr>
        <w:t xml:space="preserve">Abstract (EN): </w:t>
      </w:r>
      <w:r>
        <w:t>Twisted graphene heterostructures with highly tunable flat‐band electronic structures serve as an ideal platform for exploring novel correlated and topological quantum phases. While previous efforts have focused on the twist angle, the lattice alignment with the hBN substrate is another crucial parameter that breaks symmetry and reconstructs the band structure. However, its underlying mechanisms remain insufficiently explored, and extending it to a wider class of twisted graphene systems is urgently needed to uncover more exotic quantum phenomena. Here, we report the observation of tunable extended non‐Fermi liquid behavior in twisted double bilayer graphene (TDBG) encapsulated by aligned hBN layers. This NFL phase emerges on the hole‐doped side of the correlated insulating state near charge neutrality, spanning a broad range of carrier densities and exhibiting a carrier density–dependent resistance exponent. Notably, the NFL phase can re‐enter a correlated insulating state at higher doping levels. Combined with temperature‐dependent resistance, magnetotransport, and differential resistance measurements, these findings support a scenario where strong quantum fluctuations may emerge from the interplay between localized and itinerant carriers. Our work establishes a highly tunable platform beyond conventional frameworks to investigate the organizing principles of non‐Fermi liquid physics manifested in diverse behaviors.</w:t>
      </w:r>
    </w:p>
    <w:p>
      <w:pPr>
        <w:spacing w:before="120" w:after="120"/>
      </w:pPr>
      <w:r>
        <w:rPr>
          <w:sz w:val="18"/>
        </w:rPr>
        <w:t>——————————————————————————————————————————————————————————————————————</w:t>
      </w:r>
    </w:p>
    <w:p>
      <w:pPr>
        <w:spacing w:before="160" w:after="40" w:line="240" w:lineRule="auto"/>
      </w:pPr>
      <w:r>
        <w:rPr>
          <w:b/>
        </w:rPr>
        <w:t xml:space="preserve">[206] </w:t>
      </w:r>
      <w:hyperlink r:id="rId920">
        <w:r>
          <w:rPr>
            <w:color w:val="1155CC"/>
            <w:u w:val="single"/>
          </w:rPr>
          <w:t>结晶时电阻率的变化作为金属玻璃形成能力的稳健描述</w:t>
        </w:r>
      </w:hyperlink>
    </w:p>
    <w:p>
      <w:pPr>
        <w:spacing w:before="0" w:after="80"/>
      </w:pPr>
      <w:r>
        <w:rPr>
          <w:i/>
          <w:sz w:val="20"/>
        </w:rPr>
        <w:t>EN: Electrical Resistivity Change Upon Crystallization as a Robust Descriptor for Metallic Glass Forming Ability</w:t>
      </w:r>
    </w:p>
    <w:p>
      <w:pPr>
        <w:spacing w:before="0" w:after="120"/>
      </w:pPr>
      <w:r>
        <w:rPr>
          <w:b/>
        </w:rPr>
        <w:t xml:space="preserve">Source: </w:t>
      </w:r>
      <w:r>
        <w:t>Wiley: Advanced Materials: Table of Contents</w:t>
      </w:r>
      <w:r>
        <w:t xml:space="preserve">    </w:t>
      </w:r>
      <w:r>
        <w:rPr>
          <w:b/>
        </w:rPr>
        <w:t xml:space="preserve">Pub date: </w:t>
      </w:r>
      <w:r>
        <w:t>2026-07-18 11:51:08+00:00</w:t>
      </w:r>
      <w:r>
        <w:t xml:space="preserve">    </w:t>
      </w:r>
      <w:r>
        <w:rPr>
          <w:b/>
        </w:rPr>
        <w:t xml:space="preserve">DOI: </w:t>
      </w:r>
      <w:hyperlink r:id="rId921">
        <w:r>
          <w:rPr>
            <w:color w:val="1155CC"/>
            <w:u w:val="single"/>
          </w:rPr>
          <w:t>10.1002/adma.74092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快速鉴定具有高玻璃形成能力（GFA）的成分仍然是发现新型金属玻璃的主要瓶颈。在这里，我们表明，热退火引起的电阻率变化是一个可快速测量的参数，可作为结晶电阻的可靠描述符，用于识别给定合金系统中的高 GFA 成分。组合薄膜库包含跨多个金属玻璃形成系统的约 3500 种不同合金成分，揭示了明确的成分景观，其中电阻率变化最小的区域与表现出高 GFA 的合金一致。这种趋势在熔纺带材中持续存在，并且与结晶动力学参数直接相关：电阻率变化较小的合金表现出较低的 Avrami 指数和较高的结晶活化能。由于每个成分点的电阻率测量仅需要几秒钟，比基于衍射或量热法的表征快两个数量级以上，因此该描述符提供了一种有效的途径来绘制复杂成分空间中的微观结构稳定性，并能够快速探索新型块体金属玻璃。</w:t>
      </w:r>
    </w:p>
    <w:p>
      <w:pPr>
        <w:spacing w:before="0" w:after="200" w:lineRule="auto" w:line="276"/>
      </w:pPr>
      <w:r>
        <w:rPr>
          <w:b/>
        </w:rPr>
        <w:t xml:space="preserve">Abstract (EN): </w:t>
      </w:r>
      <w:r>
        <w:t>Rapid identification of compositions with high glass forming ability (GFA) remains a major bottleneck in the discovery of new metallic glasses. Here we show that the electrical resistivity change induced by thermal annealing, a rapidly measurable parameter, serves as a robust descriptor of crystallization resistance for identifying high‐GFA compositions within given alloy systems. Combinatorial thin film libraries comprising ∼3500 distinct alloy compositions across multiple metallic glass‐forming systems reveal well‐defined compositional landscapes, in which regions of minimal resistivity change coincide with alloys exhibiting high GFA. This trend persists in melt‐spun ribbons and correlates directly with the crystallization kinetic parameters: alloys with smaller resistivity change exhibit lower Avrami exponents and higher activation energies of crystallization. As resistivity measurements require only seconds per composition point, more than two orders of magnitude faster than diffraction or calorimetry‐based characterization, the descriptor provides an efficient route for mapping microstructural stability across complex compositional spaces and enables rapid exploration of new bulk metallic glasses.</w:t>
      </w:r>
    </w:p>
    <w:p>
      <w:pPr>
        <w:spacing w:before="120" w:after="120"/>
      </w:pPr>
      <w:r>
        <w:rPr>
          <w:sz w:val="18"/>
        </w:rPr>
        <w:t>——————————————————————————————————————————————————————————————————————</w:t>
      </w:r>
    </w:p>
    <w:p>
      <w:pPr>
        <w:spacing w:before="160" w:after="40" w:line="240" w:lineRule="auto"/>
      </w:pPr>
      <w:r>
        <w:rPr>
          <w:b/>
        </w:rPr>
        <w:t xml:space="preserve">[207] </w:t>
      </w:r>
      <w:hyperlink r:id="rId922">
        <w:r>
          <w:rPr>
            <w:color w:val="1155CC"/>
            <w:u w:val="single"/>
          </w:rPr>
          <w:t>用于多通道数据链路的超低色散硅太赫兹光子晶体互连</w:t>
        </w:r>
      </w:hyperlink>
    </w:p>
    <w:p>
      <w:pPr>
        <w:spacing w:before="0" w:after="80"/>
      </w:pPr>
      <w:r>
        <w:rPr>
          <w:i/>
          <w:sz w:val="20"/>
        </w:rPr>
        <w:t>EN: Ultralow‐Dispersion Silicon THz Photonic Crystal Interconnects for Multichannel Datalinks</w:t>
      </w:r>
    </w:p>
    <w:p>
      <w:pPr>
        <w:spacing w:before="0" w:after="120"/>
      </w:pPr>
      <w:r>
        <w:rPr>
          <w:b/>
        </w:rPr>
        <w:t xml:space="preserve">Source: </w:t>
      </w:r>
      <w:r>
        <w:t>Wiley: Advanced Materials: Table of Contents</w:t>
      </w:r>
      <w:r>
        <w:t xml:space="preserve">    </w:t>
      </w:r>
      <w:r>
        <w:rPr>
          <w:b/>
        </w:rPr>
        <w:t xml:space="preserve">Pub date: </w:t>
      </w:r>
      <w:r>
        <w:t>2026-07-18 11:51:13+00:00</w:t>
      </w:r>
      <w:r>
        <w:t xml:space="preserve">    </w:t>
      </w:r>
      <w:r>
        <w:rPr>
          <w:b/>
        </w:rPr>
        <w:t xml:space="preserve">DOI: </w:t>
      </w:r>
      <w:hyperlink r:id="rId923">
        <w:r>
          <w:rPr>
            <w:color w:val="1155CC"/>
            <w:u w:val="single"/>
          </w:rPr>
          <w:t>10.1002/adma.74150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全硅 (Si) 太赫兹 (THz) 互连是下一代片上通信的关键平台，利用宽带光子学来连接可重构电子器件。然而，由于报告的数据速率较低，并且缺乏对片上太赫兹数据链路色散作用的系统性了解，它们的潜力在很大程度上仍未实现。我们通过片上全硅宽带低色散太赫兹光子晶体波导互连展示了超过 400 Gbps 的总数据速率来应对这些挑战。借助波导的低色散（群速度色散 (GVD) 低至 2.9 ps），七个数据通道可传输 452 Gbps 的复杂调制数据</w:t>
      </w:r>
      <w:r>
        <w:rPr>
          <w:vertAlign w:val="subscript"/>
        </w:rPr>
        <w:t>2</w:t>
      </w:r>
      <w:r>
        <w:t>毫米</w:t>
      </w:r>
      <w:r>
        <w:t xml:space="preserve"> </w:t>
      </w:r>
      <w:r>
        <w:t>−1</w:t>
      </w:r>
      <w:r>
        <w:t xml:space="preserve"> </w:t>
      </w:r>
      <w:r>
        <w:t>。我们的太赫兹波导互连提供了创纪录的 9.81 Tbps 总品质因数 (FoM)，优于之前的太赫兹波导数据传输报告。我们对高数据速率的演示、阐明了 GVD 在片上太赫兹数据互连中的作用以及卓越的 FoM 为全硅太赫兹光子晶体波导作为厘米级片上互连以增强数据中心基础设施铺平了道路。</w:t>
      </w:r>
    </w:p>
    <w:p>
      <w:pPr>
        <w:spacing w:before="0" w:after="200" w:lineRule="auto" w:line="276"/>
      </w:pPr>
      <w:r>
        <w:rPr>
          <w:b/>
        </w:rPr>
        <w:t xml:space="preserve">Abstract (EN): </w:t>
      </w:r>
      <w:r>
        <w:t>All‐Silicon (Si) Terahertz (THz) interconnects are a key platform for next‐generation on‐chip communication, leveraging broadband photonics to connect reconfigurable electronics. Yet their potential remains largely unrealized, due to low reported data rates and a lack of systematic insight into the role of dispersion in on‐chip THz data links. We address these challenges by demonstrating aggregate data rates exceeding 400 Gbps through an on‐chip all‐Si broadband low‐dispersion THz photonic crystal waveguide‐interconnect. Seven data channels deliver 452 Gbps of complex‐modulated data, aided by the waveguide's low dispersion with group velocity dispersion (GVD) reaching as low as 2.9 ps</w:t>
      </w:r>
      <w:r>
        <w:rPr>
          <w:vertAlign w:val="subscript"/>
        </w:rPr>
        <w:t>2</w:t>
      </w:r>
      <w:r>
        <w:t>mm</w:t>
      </w:r>
      <w:r>
        <w:t xml:space="preserve"> </w:t>
      </w:r>
      <w:r>
        <w:t>−1</w:t>
      </w:r>
      <w:r>
        <w:t xml:space="preserve"> </w:t>
      </w:r>
      <w:r>
        <w:t>. Our THz waveguide interconnect delivers a record 9.81 Tbps aggregate figure of merit (FoM), outperforming prior THz waveguide data transfer reports. Our demonstration of high data rates, elucidating the role of GVD for on‐chip THz data interconnects, and superior FoMs pave the way for all‐Si THz photonic crystal waveguides as centimeter‐scale on‐chip interconnects for augmenting data center infrastructure.</w:t>
      </w:r>
    </w:p>
    <w:p>
      <w:pPr>
        <w:spacing w:before="120" w:after="120"/>
      </w:pPr>
      <w:r>
        <w:rPr>
          <w:sz w:val="18"/>
        </w:rPr>
        <w:t>——————————————————————————————————————————————————————————————————————</w:t>
      </w:r>
    </w:p>
    <w:p>
      <w:pPr>
        <w:spacing w:before="160" w:after="40" w:line="240" w:lineRule="auto"/>
      </w:pPr>
      <w:r>
        <w:rPr>
          <w:b/>
        </w:rPr>
        <w:t xml:space="preserve">[208] </w:t>
      </w:r>
      <w:hyperlink r:id="rId924">
        <w:r>
          <w:rPr>
            <w:color w:val="1155CC"/>
            <w:u w:val="single"/>
          </w:rPr>
          <w:t>复杂环境中选择性挥发性芳香烃检测的工程功能反转牺牲位点</w:t>
        </w:r>
      </w:hyperlink>
    </w:p>
    <w:p>
      <w:pPr>
        <w:spacing w:before="0" w:after="80"/>
      </w:pPr>
      <w:r>
        <w:rPr>
          <w:i/>
          <w:sz w:val="20"/>
        </w:rPr>
        <w:t>EN: Engineering Function‐Reversal Sacrificial Sites for Selective Volatile Aromatic Hydrocarbons Detection in Complex Environments</w:t>
      </w:r>
    </w:p>
    <w:p>
      <w:pPr>
        <w:spacing w:before="0" w:after="120"/>
      </w:pPr>
      <w:r>
        <w:rPr>
          <w:b/>
        </w:rPr>
        <w:t xml:space="preserve">Source: </w:t>
      </w:r>
      <w:r>
        <w:t>Wiley: Advanced Materials: Table of Contents</w:t>
      </w:r>
      <w:r>
        <w:t xml:space="preserve">    </w:t>
      </w:r>
      <w:r>
        <w:rPr>
          <w:b/>
        </w:rPr>
        <w:t xml:space="preserve">Pub date: </w:t>
      </w:r>
      <w:r>
        <w:t>2026-07-18 11:52:13+00:00</w:t>
      </w:r>
      <w:r>
        <w:t xml:space="preserve">    </w:t>
      </w:r>
      <w:r>
        <w:rPr>
          <w:b/>
        </w:rPr>
        <w:t xml:space="preserve">DOI: </w:t>
      </w:r>
      <w:hyperlink r:id="rId925">
        <w:r>
          <w:rPr>
            <w:color w:val="1155CC"/>
            <w:u w:val="single"/>
          </w:rPr>
          <w:t>10.1002/adma.74215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准确监测致癌挥发性芳香烃（BTX）对于评估特定场合的空气质量和危险等级至关重要，但在复杂环境中对其进行高选择性识别仍然具有挑战性。在这里，我们通过将功能反转 ZnO 材料安装到 Ir-WO 中开发了一种气体分流策略</w:t>
      </w:r>
      <w:r>
        <w:rPr>
          <w:vertAlign w:val="subscript"/>
        </w:rPr>
        <w:t>3</w:t>
      </w:r>
      <w:r>
        <w:t>支持减少干扰气体响应并指导特殊芳香烃传感。我们发现 ZnO 材料可以作为小分子 H 的反应牺牲位点</w:t>
      </w:r>
      <w:r>
        <w:rPr>
          <w:vertAlign w:val="subscript"/>
        </w:rPr>
        <w:t>2</w:t>
      </w:r>
      <w:r>
        <w:t>S和CO并诱导主要芳烃反应物生成Ir-WO</w:t>
      </w:r>
      <w:r>
        <w:rPr>
          <w:vertAlign w:val="subscript"/>
        </w:rPr>
        <w:t>3</w:t>
      </w:r>
      <w:r>
        <w:t>支持。即使在二元/三元气体混合物中，这种气体分流路线也能保证高选择性芳烃传感。通过将功能相反的传感器集成到系统中，最终的传感阵列以较低的培训成本实现了 10 种单一气体和 75 种多成分气体的 100% 分类精度。此外，我们还展示了一种自主“巡航检测”系统，通过在机器狗中配备传感器阵列来准确识别复杂气体。我们的研究结果强调具有选择性功能的传感器设计，并可能扩大复杂环境中的集成传感系统分析。</w:t>
      </w:r>
    </w:p>
    <w:p>
      <w:pPr>
        <w:spacing w:before="0" w:after="200" w:lineRule="auto" w:line="276"/>
      </w:pPr>
      <w:r>
        <w:rPr>
          <w:b/>
        </w:rPr>
        <w:t xml:space="preserve">Abstract (EN): </w:t>
      </w:r>
      <w:r>
        <w:t>Accurately monitoring carcinogenic volatile aromatic hydrocarbons (BTXs) is crucial for assessing air‐qualities and danger‐classes in specific occasions, However, it remains challenging to conduct highly selective identification of them in complex environments. Here, we have developed a gas‐shunting strategy by installing function‐reversal ZnO materials into Ir‐WO</w:t>
      </w:r>
      <w:r>
        <w:rPr>
          <w:vertAlign w:val="subscript"/>
        </w:rPr>
        <w:t>3</w:t>
      </w:r>
      <w:r>
        <w:t>supports to diminish interference‐gas responses and guide special aromatic hydrocarbons sensing. We find that ZnO materials can serve as reactively sacrificial sites for small‐molecule H</w:t>
      </w:r>
      <w:r>
        <w:rPr>
          <w:vertAlign w:val="subscript"/>
        </w:rPr>
        <w:t>2</w:t>
      </w:r>
      <w:r>
        <w:t>S and CO and induce main aromatic hydrocarbons reactants into Ir‐WO</w:t>
      </w:r>
      <w:r>
        <w:rPr>
          <w:vertAlign w:val="subscript"/>
        </w:rPr>
        <w:t>3</w:t>
      </w:r>
      <w:r>
        <w:t>supports. This gas‐shunting route guarantees highly‐selective aromatic hydrocarbons sensing even in dual/ternary gas mixtures. Through integrating functional‐opposite sensors into a system, the final sensing arrays achieve 100% classification accuracy for 10 single gases and 75 multi‐compose gases with low training costs. In addition, we also show an autonomic “cruise‐detection” system by equipping sensor arrays into robotic dog to accurately identify complex gases. Our findings emphasize sensors designs with selective features and may broaden integrated sensing‐system analysis in complex environment.</w:t>
      </w:r>
    </w:p>
    <w:p>
      <w:pPr>
        <w:spacing w:before="120" w:after="120"/>
      </w:pPr>
      <w:r>
        <w:rPr>
          <w:sz w:val="18"/>
        </w:rPr>
        <w:t>——————————————————————————————————————————————————————————————————————</w:t>
      </w:r>
    </w:p>
    <w:p>
      <w:pPr>
        <w:spacing w:before="160" w:after="40" w:line="240" w:lineRule="auto"/>
      </w:pPr>
      <w:r>
        <w:rPr>
          <w:b/>
        </w:rPr>
        <w:t xml:space="preserve">[209] </w:t>
      </w:r>
      <w:hyperlink r:id="rId926">
        <w:r>
          <w:rPr>
            <w:color w:val="1155CC"/>
            <w:u w:val="single"/>
          </w:rPr>
          <w:t>超分子 STING 水凝胶时空增强肿瘤衍生的细胞外囊泡个性化疫苗，用于增强癌症免疫治疗</w:t>
        </w:r>
      </w:hyperlink>
    </w:p>
    <w:p>
      <w:pPr>
        <w:spacing w:before="0" w:after="80"/>
      </w:pPr>
      <w:r>
        <w:rPr>
          <w:i/>
          <w:sz w:val="20"/>
        </w:rPr>
        <w:t>EN: Supramolecular STING‐Hydrogel Spatiotemporally Boosts Tumor‐Derived Extracellular Vesicle‐Based Personalized Vaccine for Enhanced Cancer Immunotherapy</w:t>
      </w:r>
    </w:p>
    <w:p>
      <w:pPr>
        <w:spacing w:before="0" w:after="120"/>
      </w:pPr>
      <w:r>
        <w:rPr>
          <w:b/>
        </w:rPr>
        <w:t xml:space="preserve">Source: </w:t>
      </w:r>
      <w:r>
        <w:t>Wiley: Advanced Materials: Table of Contents</w:t>
      </w:r>
      <w:r>
        <w:t xml:space="preserve">    </w:t>
      </w:r>
      <w:r>
        <w:rPr>
          <w:b/>
        </w:rPr>
        <w:t xml:space="preserve">Pub date: </w:t>
      </w:r>
      <w:r>
        <w:t>2026-07-18 11:53:21+00:00</w:t>
      </w:r>
      <w:r>
        <w:t xml:space="preserve">    </w:t>
      </w:r>
      <w:r>
        <w:rPr>
          <w:b/>
        </w:rPr>
        <w:t xml:space="preserve">DOI: </w:t>
      </w:r>
      <w:hyperlink r:id="rId927">
        <w:r>
          <w:rPr>
            <w:color w:val="1155CC"/>
            <w:u w:val="single"/>
          </w:rPr>
          <w:t>10.1002/adma.74204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个性化疫苗通过引发肿瘤特异性免疫反应，代表了一种有前途的癌症治疗方法。然而，它们的开发面临持续的挑战，包括新抗原鉴定过程费力且成本高昂，这大大延迟了疫苗的生产。此外，传统平台存在快速的全身清除和向抗原呈递细胞（APC）的低效递送，导致仅产生短暂且微弱的免疫激活。在这里，我们报告了一种 STING 激动剂集成水凝胶系统，旨在局部递送肿瘤来源的细胞外囊泡（TEV），以实现强大而持久的抗肿瘤免疫。皮下注射后，原位形成的水凝胶疫苗可充当富含抗原的 TEV 和 STING 激动剂的储存库。我们证明，这种疫苗通过时空控制抗原佐剂分布和延长 APC 抗原结合，促进树突状细胞 (DC) 募集并建立免疫许可生态位。在这个生态位中，DC 在 STING 介导的激活下有效地内化和处理 TEV。这些成熟的 DC 随后迁移到引流淋巴结，在那里它们启动有效且持续的肿瘤特异性 T 细胞反应。我们的结果表明，源自黑色素瘤 TEV 的可快速生产的个性化疫苗可有效抑制肿瘤生长。在术后乳腺癌模型中，患者定制的 TEV 疫苗还可以显着预防肿瘤复发和转移。这个易于定制的平台代表了一个强大的翻译平台</w:t>
      </w:r>
    </w:p>
    <w:p>
      <w:pPr>
        <w:spacing w:before="0" w:after="200" w:lineRule="auto" w:line="276"/>
      </w:pPr>
      <w:r>
        <w:rPr>
          <w:b/>
        </w:rPr>
        <w:t xml:space="preserve">Abstract (EN): </w:t>
      </w:r>
      <w:r>
        <w:t>Personalized vaccines represent a promising approach for cancer treatment by eliciting tumor‐specific immune responses. However, their development faces persistent challenges, including the laborious and costly process of neoantigen identification, which substantially delays vaccine production. Moreover, conventional platforms suffer from rapid systemic clearance and inefficient delivery to antigen‐presenting cells (APCs), leading to only transient and weak immune activation. Here, we report a STING‐agonist‐integrated hydrogel system designed for localized delivery of tumor‐derived extracellular vesicles (TEVs) to achieve robust and durable antitumor immunity. Upon subcutaneous administration, the in situ formed hydrogel vaccine acts as a depot for antigen‐rich TEVs and STING agonists. We demonstrate that this vaccine promotes dendritic cells (DCs) recruitment and establishes an immune‐permissive niche through spatiotemporal control over antigen‐adjuvant distribution and prolonged APC‐antigen engagement. Within this niche, DCs efficiently internalize and process TEVs under STING‐mediated activation. These matured DCs subsequently migrate to draining lymph nodes, where they initiate potent and sustained tumor‐specific T‐cell responses. Our results show that rapidly producible personalized vaccines derived from melanoma TEVs effectively inhibit tumor growth. In a postoperative breast cancer model, patient‐tailored TEV vaccines also markedly prevent tumor recurrence and metastasis. This readily customizable platform represents a robust and translatable strategy for personalized cancer immunotherapy.</w:t>
      </w:r>
    </w:p>
    <w:p>
      <w:pPr>
        <w:spacing w:before="120" w:after="120"/>
      </w:pPr>
      <w:r>
        <w:rPr>
          <w:sz w:val="18"/>
        </w:rPr>
        <w:t>——————————————————————————————————————————————————————————————————————</w:t>
      </w:r>
    </w:p>
    <w:p>
      <w:pPr>
        <w:spacing w:before="160" w:after="40" w:line="240" w:lineRule="auto"/>
      </w:pPr>
      <w:r>
        <w:rPr>
          <w:b/>
        </w:rPr>
        <w:t xml:space="preserve">[210] </w:t>
      </w:r>
      <w:hyperlink r:id="rId928">
        <w:r>
          <w:rPr>
            <w:color w:val="1155CC"/>
            <w:u w:val="single"/>
          </w:rPr>
          <w:t>通过原位激光激活选择性化学镀制造高分辨率 3D 陶瓷电子器件</w:t>
        </w:r>
      </w:hyperlink>
    </w:p>
    <w:p>
      <w:pPr>
        <w:spacing w:before="0" w:after="80"/>
      </w:pPr>
      <w:r>
        <w:rPr>
          <w:i/>
          <w:sz w:val="20"/>
        </w:rPr>
        <w:t>EN: Fabrication of High‐Resolution 3D Ceramic Electronics Via In Situ Laser‐Activated Selective Electroless Plating</w:t>
      </w:r>
    </w:p>
    <w:p>
      <w:pPr>
        <w:spacing w:before="0" w:after="120"/>
      </w:pPr>
      <w:r>
        <w:rPr>
          <w:b/>
        </w:rPr>
        <w:t xml:space="preserve">Source: </w:t>
      </w:r>
      <w:r>
        <w:t>Wiley: Advanced Materials: Table of Contents</w:t>
      </w:r>
      <w:r>
        <w:t xml:space="preserve">    </w:t>
      </w:r>
      <w:r>
        <w:rPr>
          <w:b/>
        </w:rPr>
        <w:t xml:space="preserve">Pub date: </w:t>
      </w:r>
      <w:r>
        <w:t>2026-07-18 11:55:15+00:00</w:t>
      </w:r>
      <w:r>
        <w:t xml:space="preserve">    </w:t>
      </w:r>
      <w:r>
        <w:rPr>
          <w:b/>
        </w:rPr>
        <w:t xml:space="preserve">DOI: </w:t>
      </w:r>
      <w:hyperlink r:id="rId929">
        <w:r>
          <w:rPr>
            <w:color w:val="1155CC"/>
            <w:u w:val="single"/>
          </w:rPr>
          <w:t>10.1002/adma.74140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定制 3D 陶瓷电子产品因其卓越的热、电和机械性能，以及精确定制其结构和功能设计以满足特殊应用要求的能力而受到先进电子系统的关注。在这项工作中，我们提出了一种混合增材制造方法，该方法结合了数字光处理和原位激光激活化学镀来制造高精度 3D 陶瓷电子产品。开发了一种包含低温共烧陶瓷 (LTCC) 和氧化锑锡 (ATO) 的光聚合物，用于 3D 打印和后续烧结过程。然后，可以选择性地原位激光激活烧结的 3D 陶瓷，将 ATO 转化为 Sn</w:t>
      </w:r>
      <w:r>
        <w:t xml:space="preserve"> </w:t>
      </w:r>
      <w:r>
        <w:t>二</w:t>
      </w:r>
      <w:r>
        <w:t xml:space="preserve"> </w:t>
      </w:r>
      <w:r>
        <w:t>电镀种子，通过化学镀铜和化学镀镍浸金实现金属化。为了验证所提出技术的可行性和可扩展性，成功开发了一系列陶瓷电子器件，包括带有 IC 芯片的 3D 电路、结合热管理通道的高功率 LED 电路以及带有叉指电极阵列的 3D UV 传感器。该技术为快速、经济高效地定制高性能 3D 陶瓷电子产品提供了一条新途径，为推动航空航天和卫星、先进汽车系统以及恶劣环境中的下一代无线通信技术等先进应用的创新展现了巨大的前景。</w:t>
      </w:r>
    </w:p>
    <w:p>
      <w:pPr>
        <w:spacing w:before="0" w:after="200" w:lineRule="auto" w:line="276"/>
      </w:pPr>
      <w:r>
        <w:rPr>
          <w:b/>
        </w:rPr>
        <w:t xml:space="preserve">Abstract (EN): </w:t>
      </w:r>
      <w:r>
        <w:t>Customized 3D ceramic electronics are gaining attention for advanced electronics systems due to their exceptional thermal, electrical, and mechanical properties, coupled with the capability to precisely tailor their structural and functional designs to meet specialized application requirements. In this work, we propose a hybrid additive manufacturing approach that combines digital light processing and in situ laser‐activated electroless plating to fabricate high‐precision 3D ceramic electronics. A photopolymer containing low‐temperature co‐fired ceramic (LTCC) and antimony tin oxide (ATO) is developed for 3D printing and subsequent sintering processes. Then, the sintered 3D ceramic can be selectively laser activated in situ to convert the ATO into Sn</w:t>
      </w:r>
      <w:r>
        <w:t xml:space="preserve"> </w:t>
      </w:r>
      <w:r>
        <w:t>II</w:t>
      </w:r>
      <w:r>
        <w:t xml:space="preserve"> </w:t>
      </w:r>
      <w:r>
        <w:t>plating seeds, enabling metallization via electroless copper plating and electroless nickel immersion gold plating. To validate the feasibility and scalability of the proposed technology, a series of ceramic electronics, including 3D circuits with IC chips, high‐power LED circuits incorporating thermal management channels, and 3D UV sensors with an interdigital electrode array are successfully developed. This technology offers a new pathway for the rapid and cost‐effective customization of high‐performance 3D ceramic electronics, exhibiting great promise for driving innovation in advanced applications such as aerospace and satellite, advanced automotive systems, and next‐generation wireless communication technologies in harsh environments.</w:t>
      </w:r>
    </w:p>
    <w:p>
      <w:pPr>
        <w:spacing w:before="120" w:after="120"/>
      </w:pPr>
      <w:r>
        <w:rPr>
          <w:sz w:val="18"/>
        </w:rPr>
        <w:t>——————————————————————————————————————————————————————————————————————</w:t>
      </w:r>
    </w:p>
    <w:p>
      <w:pPr>
        <w:spacing w:before="160" w:after="40" w:line="240" w:lineRule="auto"/>
      </w:pPr>
      <w:r>
        <w:rPr>
          <w:b/>
        </w:rPr>
        <w:t xml:space="preserve">[211] </w:t>
      </w:r>
      <w:hyperlink r:id="rId930">
        <w:r>
          <w:rPr>
            <w:color w:val="1155CC"/>
            <w:u w:val="single"/>
          </w:rPr>
          <w:t>化学编程的前药纳米颗粒可将口服多巴胺精确递送至帕金森病的深部脑区域</w:t>
        </w:r>
      </w:hyperlink>
    </w:p>
    <w:p>
      <w:pPr>
        <w:spacing w:before="0" w:after="80"/>
      </w:pPr>
      <w:r>
        <w:rPr>
          <w:i/>
          <w:sz w:val="20"/>
        </w:rPr>
        <w:t>EN: Chemically Programmed Prodrug Nanoparticles for Precise Oral Dopamine Delivery to Deep Brain Regions in Parkinson's Disease</w:t>
      </w:r>
    </w:p>
    <w:p>
      <w:pPr>
        <w:spacing w:before="0" w:after="120"/>
      </w:pPr>
      <w:r>
        <w:rPr>
          <w:b/>
        </w:rPr>
        <w:t xml:space="preserve">Source: </w:t>
      </w:r>
      <w:r>
        <w:t>Wiley: Advanced Materials: Table of Contents</w:t>
      </w:r>
      <w:r>
        <w:t xml:space="preserve">    </w:t>
      </w:r>
      <w:r>
        <w:rPr>
          <w:b/>
        </w:rPr>
        <w:t xml:space="preserve">Pub date: </w:t>
      </w:r>
      <w:r>
        <w:t>2026-07-18 11:56:22+00:00</w:t>
      </w:r>
      <w:r>
        <w:t xml:space="preserve">    </w:t>
      </w:r>
      <w:r>
        <w:rPr>
          <w:b/>
        </w:rPr>
        <w:t xml:space="preserve">DOI: </w:t>
      </w:r>
      <w:hyperlink r:id="rId931">
        <w:r>
          <w:rPr>
            <w:color w:val="1155CC"/>
            <w:u w:val="single"/>
          </w:rPr>
          <w:t>10.1002/adma.74148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帕金森病 (PD) 的特点是发炎的黑质中多巴胺能神经元进行性变性，导致纹状体多巴胺 (DA) 耗竭和严重的运动功能障碍。在这里，我们报告了一种化学编程的炎症响应前药纳米颗粒（NP）系统——β-葡聚糖-DA(OAc)</w:t>
      </w:r>
      <w:r>
        <w:rPr>
          <w:vertAlign w:val="subscript"/>
        </w:rPr>
        <w:t>2</w:t>
      </w:r>
      <w:r>
        <w:t>NPs——能够通过口腔将DA精确地从肠道输送到大脑深处。在此设计中，乙酰化 DA 前药 DA(OAc)</w:t>
      </w:r>
      <w:r>
        <w:rPr>
          <w:vertAlign w:val="subscript"/>
        </w:rPr>
        <w:t>2</w:t>
      </w:r>
      <w:r>
        <w:t>通过活性氧 (ROS)-可裂解的硫缩酮连接体与 β-葡聚糖缀合，从而防止 DA 自动氧化，增强运输过程中的稳定性，并确保神经炎症部位的选择性激活。 PD小鼠口服给药后，NPs被Dectin-1识别，被肠道巨噬细胞内化，并通过淋巴和体循环穿过血脑屏障，最终特异性地归巢到大脑深部发炎的黑质。在这个病理生态位中，对升高的 ROS 和酶活性的双重反应触发了受控的前药裂解、持续的 DA 再生以及通过黑质纹状体途径恢复纹状体 DA，最终挽救运动功能。这种炎症引导的模块化前药平台为多巴胺能治疗提供了一种无创且精确的策略，强调了其作为 PD 管理的变革性方法的潜力。</w:t>
      </w:r>
    </w:p>
    <w:p>
      <w:pPr>
        <w:spacing w:before="0" w:after="200" w:lineRule="auto" w:line="276"/>
      </w:pPr>
      <w:r>
        <w:rPr>
          <w:b/>
        </w:rPr>
        <w:t xml:space="preserve">Abstract (EN): </w:t>
      </w:r>
      <w:r>
        <w:t>Parkinson's disease (PD) is characterized by progressive degeneration of dopaminergic neurons in the inflamed substantia nigra, resulting in striatal dopamine (DA) depletion and severe motor dysfunction. Here, we report a chemically programmed, inflammation‐responsive prodrug nanoparticle (NP) system—β‐glucans–DA(OAc)</w:t>
      </w:r>
      <w:r>
        <w:rPr>
          <w:vertAlign w:val="subscript"/>
        </w:rPr>
        <w:t>2</w:t>
      </w:r>
      <w:r>
        <w:t>NPs—that enables precise oral gut‐to‐brain delivery of DA into deep brain regions. In this design, the acetylated DA prodrug DA(OAc)</w:t>
      </w:r>
      <w:r>
        <w:rPr>
          <w:vertAlign w:val="subscript"/>
        </w:rPr>
        <w:t>2</w:t>
      </w:r>
      <w:r>
        <w:t>is conjugated to β‐glucans via a reactive oxygen species (ROS)–cleavable thioketal linker, thereby preventing DA autooxidation, enhancing stability during transit, and ensuring selective activation at neuroinflammatory sites. Following oral administration in PD mice, the NPs are recognized by Dectin‐1, internalized by intestinal macrophages, and trafficked through the lymphatic and systemic circulation to cross the blood–brain barrier, ultimately homing specifically to the inflamed substantia nigra in the deep brain. Within this pathological niche, dual responsiveness to elevated ROS and enzymatic activity triggers controlled prodrug cleavage, sustained DA regeneration, and restoration of striatal DA via the nigrostriatal pathway, ultimately rescuing motor function. This inflammation‐guided, modular prodrug platform provides a noninvasive and precise strategy for dopaminergic therapy, underscoring its potential as a transformative approach for PD management.</w:t>
      </w:r>
    </w:p>
    <w:p>
      <w:pPr>
        <w:spacing w:before="120" w:after="120"/>
      </w:pPr>
      <w:r>
        <w:rPr>
          <w:sz w:val="18"/>
        </w:rPr>
        <w:t>——————————————————————————————————————————————————————————————————————</w:t>
      </w:r>
    </w:p>
    <w:p>
      <w:pPr>
        <w:spacing w:before="160" w:after="40" w:line="240" w:lineRule="auto"/>
      </w:pPr>
      <w:r>
        <w:rPr>
          <w:b/>
        </w:rPr>
        <w:t xml:space="preserve">[212] </w:t>
      </w:r>
      <w:hyperlink r:id="rId932">
        <w:r>
          <w:rPr>
            <w:color w:val="1155CC"/>
            <w:u w:val="single"/>
          </w:rPr>
          <w:t>OEG 官能化共轭聚合物的溶剂引导手性组装和化学掺杂</w:t>
        </w:r>
      </w:hyperlink>
    </w:p>
    <w:p>
      <w:pPr>
        <w:spacing w:before="0" w:after="80"/>
      </w:pPr>
      <w:r>
        <w:rPr>
          <w:i/>
          <w:sz w:val="20"/>
        </w:rPr>
        <w:t>EN: Solvent‐Guided Chiral Assemblies and Chemical Doping of OEG‐Functionalized Conjugated Polymers</w:t>
      </w:r>
    </w:p>
    <w:p>
      <w:pPr>
        <w:spacing w:before="0" w:after="120"/>
      </w:pPr>
      <w:r>
        <w:rPr>
          <w:b/>
        </w:rPr>
        <w:t xml:space="preserve">Source: </w:t>
      </w:r>
      <w:r>
        <w:t>Wiley: Advanced Materials: Table of Contents</w:t>
      </w:r>
      <w:r>
        <w:t xml:space="preserve">    </w:t>
      </w:r>
      <w:r>
        <w:rPr>
          <w:b/>
        </w:rPr>
        <w:t xml:space="preserve">Pub date: </w:t>
      </w:r>
      <w:r>
        <w:t>2026-07-18 11:56:57+00:00</w:t>
      </w:r>
      <w:r>
        <w:t xml:space="preserve">    </w:t>
      </w:r>
      <w:r>
        <w:rPr>
          <w:b/>
        </w:rPr>
        <w:t xml:space="preserve">DOI: </w:t>
      </w:r>
      <w:hyperlink r:id="rId933">
        <w:r>
          <w:rPr>
            <w:color w:val="1155CC"/>
            <w:u w:val="single"/>
          </w:rPr>
          <w:t>10.1002/adma.74130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非手性共轭聚合物的手性组装已成为促进（光）电子性能和控制载流子和光子角动量的新途径。溶剂在溶致液晶 (LLC) 组装途径中的手性显现中发挥着关键作用，但支撑溶剂效应的规则仍然难以捉摸。在这里，我们建立了一个将溶剂质量与聚集结构和超分子手性联系起来的统一框架。使用氧化还原活性共轭聚合物作为模型系统，我们揭示了两种类型的溶液聚集：（1）β1聚集，由具有弱链间耦合和扭转主链的纤维结构定义，通过形成螺旋纤维促进LLC介导的手性组装； (2) β2 聚集，其特征是具有强链间耦合和减少主链扭转的堆叠原纤维，抑制手性。温度依赖性研究表明，β2 聚集体在加热后会恢复为 β1，从而恢复手性组装。扩展到 37 种聚合物-溶剂-温度组合中的 6 种共轭聚合物，我们证明了聚集体类型和手性涌现之间的普遍联系。此外，对源自 β1 聚集体的手性薄膜进行化学掺杂，可将跨越多种加工条件的九种聚合物-溶剂对的电导率提高高达 100 倍。这些发现揭示了溶剂引导的手性组装的一般原理，可实现高性能手性电子学、光电子学和自旋电子学。</w:t>
      </w:r>
    </w:p>
    <w:p>
      <w:pPr>
        <w:spacing w:before="0" w:after="200" w:lineRule="auto" w:line="276"/>
      </w:pPr>
      <w:r>
        <w:rPr>
          <w:b/>
        </w:rPr>
        <w:t xml:space="preserve">Abstract (EN): </w:t>
      </w:r>
      <w:r>
        <w:t>Chiral assembly of achiral conjugated polymers has emerged as a new avenue to promote (opto)electronic properties and control the angular momentum of charge carriers and photons. Solvent plays a key role in chiral emergence through the lyotropic liquid crystal (LLC) assembly pathway, yet rules underpinning solvent effect remain elusive. Here, we establish a unifying framework linking solvent quality to aggregate structure and supramolecular chirality. Using redox active conjugated polymers as model systems, we reveal two types of solution aggregation: (1) β1 aggregation, defined by fibrillar structures with weak interchain coupling and torsional backbone, promotes LLC‐mediated chiral assemblies via formation of helical fibers; (2) β2 aggregation, characterized by stacked fibrils with strong interchain coupling and reduced backbone torsion, suppresses chirality. Temperature‐dependent studies show that β2 aggregates revert to β1 upon heating, thus restoring chiral assemblies. Extending to 6 conjugated polymers across 37 polymer–solvent–temperature combinations, we demonstrate the universal link between aggregate type and chiral emergence. Further, chemical doping of chiral films derived from β1 aggregates elevates electrical conductivity by up to 100‐fold across nine polymer–solvent pairs spanning a wide range of processing conditions. These findings reveal general principles for solvent‐guided chiral assembly enabling high‐performance chiral electronics, optoelectronics and spintronics.</w:t>
      </w:r>
    </w:p>
    <w:p>
      <w:pPr>
        <w:spacing w:before="120" w:after="120"/>
      </w:pPr>
      <w:r>
        <w:rPr>
          <w:sz w:val="18"/>
        </w:rPr>
        <w:t>——————————————————————————————————————————————————————————————————————</w:t>
      </w:r>
    </w:p>
    <w:p>
      <w:pPr>
        <w:spacing w:before="160" w:after="40" w:line="240" w:lineRule="auto"/>
      </w:pPr>
      <w:r>
        <w:rPr>
          <w:b/>
        </w:rPr>
        <w:t xml:space="preserve">[213] </w:t>
      </w:r>
      <w:hyperlink r:id="rId934">
        <w:r>
          <w:rPr>
            <w:color w:val="1155CC"/>
            <w:u w:val="single"/>
          </w:rPr>
          <w:t>用于材料编码机械感知的磁压电复合材料中的场编程各向异性</w:t>
        </w:r>
      </w:hyperlink>
    </w:p>
    <w:p>
      <w:pPr>
        <w:spacing w:before="0" w:after="80"/>
      </w:pPr>
      <w:r>
        <w:rPr>
          <w:i/>
          <w:sz w:val="20"/>
        </w:rPr>
        <w:t>EN: Field‐Programmed Anisotropy in Magneto‐Piezoelectric Composites for Material‐Encoded Mechanoperception</w:t>
      </w:r>
    </w:p>
    <w:p>
      <w:pPr>
        <w:spacing w:before="0" w:after="120"/>
      </w:pPr>
      <w:r>
        <w:rPr>
          <w:b/>
        </w:rPr>
        <w:t xml:space="preserve">Source: </w:t>
      </w:r>
      <w:r>
        <w:t>Wiley: Advanced Materials: Table of Contents</w:t>
      </w:r>
      <w:r>
        <w:t xml:space="preserve">    </w:t>
      </w:r>
      <w:r>
        <w:rPr>
          <w:b/>
        </w:rPr>
        <w:t xml:space="preserve">Pub date: </w:t>
      </w:r>
      <w:r>
        <w:t>2026-07-18 12:00:25+00:00</w:t>
      </w:r>
      <w:r>
        <w:t xml:space="preserve">    </w:t>
      </w:r>
      <w:r>
        <w:rPr>
          <w:b/>
        </w:rPr>
        <w:t xml:space="preserve">DOI: </w:t>
      </w:r>
      <w:hyperlink r:id="rId935">
        <w:r>
          <w:rPr>
            <w:color w:val="1155CC"/>
            <w:u w:val="single"/>
          </w:rPr>
          <w:t>10.1002/adma.73967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沿着空间不同轴解耦叠加的力矢量是软智能系统中人工体感的先决条件。尽管聚合物压电复合材料提供了基本的柔顺性，但随机分布的纳米填料会导致固有的极性方向性和宏观各向异性的损失，从而阻碍了力矢量辨别。在这里，我们通过场编程各向异性将力模式选择性编码到磁压电复合材料中来解决这一挑战。在严格的扭矩平衡框架的指导下，我们实现了 Fe 的确定性空间对准</w:t>
      </w:r>
      <w:r>
        <w:rPr>
          <w:vertAlign w:val="subscript"/>
        </w:rPr>
        <w:t>3</w:t>
      </w:r>
      <w:r>
        <w:t>氧</w:t>
      </w:r>
      <w:r>
        <w:rPr>
          <w:vertAlign w:val="subscript"/>
        </w:rPr>
        <w:t>4</w:t>
      </w:r>
      <w:r>
        <w:t>‐修饰BaTiO</w:t>
      </w:r>
      <w:r>
        <w:rPr>
          <w:vertAlign w:val="subscript"/>
        </w:rPr>
        <w:t>3</w:t>
      </w:r>
      <w:r>
        <w:t>形状记忆聚合物基质内的纳米线。由此产生的轴向对齐的分层渗滤网络作为连续的负载转移路径，将机械应力集中在纳米线的主轴上，同时抑制离轴干扰。机电耦合中这种结构驱动的各向异性最大限度地提高了压电转换效率，并使纳米复合材料能够从本质上区分力模态。通过将压电纳米线的固有各向异性提升到宏观复合水平，我们的方法定义了材料编码的机械感知的物理基础。我们的研究结果为软体智能建立了一个多功能平台，在物质层面提供矢量解析体感功能。</w:t>
      </w:r>
    </w:p>
    <w:p>
      <w:pPr>
        <w:spacing w:before="0" w:after="200" w:lineRule="auto" w:line="276"/>
      </w:pPr>
      <w:r>
        <w:rPr>
          <w:b/>
        </w:rPr>
        <w:t xml:space="preserve">Abstract (EN): </w:t>
      </w:r>
      <w:r>
        <w:t>Decoupling superposed force vectors along spatially distinct axes is a prerequisite for artificial somatosensation in soft intelligent systems. Although polymer‐piezoelectric composites offer essential compliance, randomly distributed nanofillers result in a loss of inherent polar directionality and macroscopic anisotropy, which prevents force‐vector discrimination. Here, we address this challenge by encoding force‐mode selectivity into magneto‐piezoelectric composites via field‐programmed anisotropy. Guided by a rigorous torque‐balance framework, we achieve the deterministic spatial alignment of Fe</w:t>
      </w:r>
      <w:r>
        <w:rPr>
          <w:vertAlign w:val="subscript"/>
        </w:rPr>
        <w:t>3</w:t>
      </w:r>
      <w:r>
        <w:t>O</w:t>
      </w:r>
      <w:r>
        <w:rPr>
          <w:vertAlign w:val="subscript"/>
        </w:rPr>
        <w:t>4</w:t>
      </w:r>
      <w:r>
        <w:t>‐decorated BaTiO</w:t>
      </w:r>
      <w:r>
        <w:rPr>
          <w:vertAlign w:val="subscript"/>
        </w:rPr>
        <w:t>3</w:t>
      </w:r>
      <w:r>
        <w:t>nanowires within a shape‐memory polymer matrix. The resulting axially aligned hierarchical percolation networks serve as continuous load‐transfer pathways to concentrate mechanical stress along the principal axes of the nanowires while suppressing off‐axis interference. Such structure‐driven anisotropy in electromechanical coupling maximizes piezoelectric transduction efficiency and empowers the nanocomposite to intrinsically distinguish force modalities. By upscaling the intrinsic anisotropy of piezoelectric nanowires to the macroscopic composite level, our approach defines a physical basis for material‐encoded mechanoperception. Our findings establish a versatile platform for soft embodied intelligence that offers vector‐resolved somatosensory capabilities at the material level.</w:t>
      </w:r>
    </w:p>
    <w:p>
      <w:pPr>
        <w:spacing w:before="120" w:after="120"/>
      </w:pPr>
      <w:r>
        <w:rPr>
          <w:sz w:val="18"/>
        </w:rPr>
        <w:t>——————————————————————————————————————————————————————————————————————</w:t>
      </w:r>
    </w:p>
    <w:p>
      <w:pPr>
        <w:spacing w:before="160" w:after="40" w:line="240" w:lineRule="auto"/>
      </w:pPr>
      <w:r>
        <w:rPr>
          <w:b/>
        </w:rPr>
        <w:t xml:space="preserve">[214] </w:t>
      </w:r>
      <w:hyperlink r:id="rId936">
        <w:r>
          <w:rPr>
            <w:color w:val="1155CC"/>
            <w:u w:val="single"/>
          </w:rPr>
          <w:t>不对称Zn─N3O1单原子位点促进羟基自由基的产生，以自然光驱动灭活耐药细菌</w:t>
        </w:r>
      </w:hyperlink>
    </w:p>
    <w:p>
      <w:pPr>
        <w:spacing w:before="0" w:after="80"/>
      </w:pPr>
      <w:r>
        <w:rPr>
          <w:i/>
          <w:sz w:val="20"/>
        </w:rPr>
        <w:t>EN: Asymmetric Zn─N3O1 Single‐Atom Sites Promote Hydroxyl Radical Generation for Natural‐Light‐Driven Inactivation of Drug‐Resistant Bacteria</w:t>
      </w:r>
    </w:p>
    <w:p>
      <w:pPr>
        <w:spacing w:before="0" w:after="120"/>
      </w:pPr>
      <w:r>
        <w:rPr>
          <w:b/>
        </w:rPr>
        <w:t xml:space="preserve">Source: </w:t>
      </w:r>
      <w:r>
        <w:t>Wiley: Advanced Materials: Table of Contents</w:t>
      </w:r>
      <w:r>
        <w:t xml:space="preserve">    </w:t>
      </w:r>
      <w:r>
        <w:rPr>
          <w:b/>
        </w:rPr>
        <w:t xml:space="preserve">Pub date: </w:t>
      </w:r>
      <w:r>
        <w:t>2026-07-18 12:01:35+00:00</w:t>
      </w:r>
      <w:r>
        <w:t xml:space="preserve">    </w:t>
      </w:r>
      <w:r>
        <w:rPr>
          <w:b/>
        </w:rPr>
        <w:t xml:space="preserve">DOI: </w:t>
      </w:r>
      <w:hyperlink r:id="rId937">
        <w:r>
          <w:rPr>
            <w:color w:val="1155CC"/>
            <w:u w:val="single"/>
          </w:rPr>
          <w:t>10.1002/adma.74222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耐药细菌对全球健康构成严重威胁，凸显了高效消毒策略的迫切需要。光催化产生羟基自由基（·OH）代表了一种绿色且强大的细菌灭活途径，但其效率往往受到逐步单电子氧还原途径缓慢动力学的限制。在此，我们报告了一种通过锚定不对称 Zn─N 的原子级设计策略</w:t>
      </w:r>
      <w:r>
        <w:rPr>
          <w:vertAlign w:val="subscript"/>
        </w:rPr>
        <w:t>3</w:t>
      </w:r>
      <w:r>
        <w:t>氧</w:t>
      </w:r>
      <w:r>
        <w:rPr>
          <w:vertAlign w:val="subscript"/>
        </w:rPr>
        <w:t>1</w:t>
      </w:r>
      <w:r>
        <w:t>位点到超薄石墨氮化碳纳米片（Zn</w:t>
      </w:r>
      <w:r>
        <w:rPr>
          <w:vertAlign w:val="subscript"/>
        </w:rPr>
        <w:t>1</w:t>
      </w:r>
      <w:r>
        <w:t>/OCN) 加速•OH 的产生。引入Zn─N</w:t>
      </w:r>
      <w:r>
        <w:rPr>
          <w:vertAlign w:val="subscript"/>
        </w:rPr>
        <w:t>3</w:t>
      </w:r>
      <w:r>
        <w:t>氧</w:t>
      </w:r>
      <w:r>
        <w:rPr>
          <w:vertAlign w:val="subscript"/>
        </w:rPr>
        <w:t>1</w:t>
      </w:r>
      <w:r>
        <w:t>位点创建局部中间态，能够在 Zn 单原子位点快速捕获光生电子并延长其寿命，从而驱动逐步单电子氧还原反应 (ORR)，以有效生成·OH。同时，相邻的C=O部分充当空穴捕获中心来驱动水氧化反应（WOR），建立局部的H储存库</w:t>
      </w:r>
      <w:r>
        <w:rPr>
          <w:vertAlign w:val="subscript"/>
        </w:rPr>
        <w:t>2</w:t>
      </w:r>
      <w:r>
        <w:t>氧</w:t>
      </w:r>
      <w:r>
        <w:rPr>
          <w:vertAlign w:val="subscript"/>
        </w:rPr>
        <w:t>2</w:t>
      </w:r>
      <w:r>
        <w:t>和质子与 ORR 过程耦合，从而形成协同氧化还原途径以增强·OH 的产生。此外，这些不对称位点有效降低了 *OOH 和 *OH 中间体的形成能，从而加速了 ORR 和 WOR 过程</w:t>
      </w:r>
    </w:p>
    <w:p>
      <w:pPr>
        <w:spacing w:before="0" w:after="200" w:lineRule="auto" w:line="276"/>
      </w:pPr>
      <w:r>
        <w:rPr>
          <w:b/>
        </w:rPr>
        <w:t xml:space="preserve">Abstract (EN): </w:t>
      </w:r>
      <w:r>
        <w:t>Waterborne drug‐resistant bacteria pose a serious global health threat, underscoring the urgent need for highly efficient disinfection strategies. The photocatalytic generation of hydroxyl radicals (•OH) represents a green and powerful route for bacterial inactivation, yet its efficiency is often limited by the sluggish kinetics of the stepwise single‐electron oxygen reduction pathway. Herein, we report an atomic‐level design strategy by anchoring asymmetric Zn─N</w:t>
      </w:r>
      <w:r>
        <w:rPr>
          <w:vertAlign w:val="subscript"/>
        </w:rPr>
        <w:t>3</w:t>
      </w:r>
      <w:r>
        <w:t>O</w:t>
      </w:r>
      <w:r>
        <w:rPr>
          <w:vertAlign w:val="subscript"/>
        </w:rPr>
        <w:t>1</w:t>
      </w:r>
      <w:r>
        <w:t>sites onto ultrathin graphitic carbon nitride nanosheets (Zn</w:t>
      </w:r>
      <w:r>
        <w:rPr>
          <w:vertAlign w:val="subscript"/>
        </w:rPr>
        <w:t>1</w:t>
      </w:r>
      <w:r>
        <w:t>/OCN) to accelerate •OH production. The introduced Zn─N</w:t>
      </w:r>
      <w:r>
        <w:rPr>
          <w:vertAlign w:val="subscript"/>
        </w:rPr>
        <w:t>3</w:t>
      </w:r>
      <w:r>
        <w:t>O</w:t>
      </w:r>
      <w:r>
        <w:rPr>
          <w:vertAlign w:val="subscript"/>
        </w:rPr>
        <w:t>1</w:t>
      </w:r>
      <w:r>
        <w:t>sites create localized intermediate states that enable rapid trapping of photogenerated electrons at Zn single‐atom sites and prolong their lifetime, thereby driving a stepwise single‐electron oxygen reduction reaction (ORR) for efficient •OH generation. Simultaneously, adjacent C═O moieties act as hole‐trapping centers to drive water oxidation reaction (WOR), establishing a local reservoir of H</w:t>
      </w:r>
      <w:r>
        <w:rPr>
          <w:vertAlign w:val="subscript"/>
        </w:rPr>
        <w:t>2</w:t>
      </w:r>
      <w:r>
        <w:t>O</w:t>
      </w:r>
      <w:r>
        <w:rPr>
          <w:vertAlign w:val="subscript"/>
        </w:rPr>
        <w:t>2</w:t>
      </w:r>
      <w:r>
        <w:t>and protons that couples with the ORR process, thus forming a cooperative redox pathway for enhanced •OH production. Additionally, these asymmetric sites effectively lower the formation energies of *OOH and *OH intermediates, thereby accelerating both ORR and WOR processes and facilitating •OH generation. Consequently, Zn</w:t>
      </w:r>
      <w:r>
        <w:rPr>
          <w:vertAlign w:val="subscript"/>
        </w:rPr>
        <w:t>1</w:t>
      </w:r>
      <w:r>
        <w:t>/OCN achieves outstanding bactericidal performance, inactivating 99.9% of drug‐resistant bacteria, within 30 min under natural light, markedly outperforming representative photocatalytic antibacterial materials reported to date.</w:t>
      </w:r>
    </w:p>
    <w:p>
      <w:pPr>
        <w:spacing w:before="120" w:after="120"/>
      </w:pPr>
      <w:r>
        <w:rPr>
          <w:sz w:val="18"/>
        </w:rPr>
        <w:t>——————————————————————————————————————————————————————————————————————</w:t>
      </w:r>
    </w:p>
    <w:p>
      <w:pPr>
        <w:spacing w:before="160" w:after="40" w:line="240" w:lineRule="auto"/>
      </w:pPr>
      <w:r>
        <w:rPr>
          <w:b/>
        </w:rPr>
        <w:t xml:space="preserve">[215] </w:t>
      </w:r>
      <w:hyperlink r:id="rId938">
        <w:r>
          <w:rPr>
            <w:color w:val="1155CC"/>
            <w:u w:val="single"/>
          </w:rPr>
          <w:t>超越固有极限：偏振敏感载流子动力学将细微的固有光学各向异性放大为巨大的线性二向色性</w:t>
        </w:r>
      </w:hyperlink>
    </w:p>
    <w:p>
      <w:pPr>
        <w:spacing w:before="0" w:after="80"/>
      </w:pPr>
      <w:r>
        <w:rPr>
          <w:i/>
          <w:sz w:val="20"/>
        </w:rPr>
        <w:t>EN: Beyond Intrinsic Limits: Polarization‐Sensitive Carrier Dynamics Amplify Subtle Intrinsic Optical Anisotropy into Giant Linear Dichroism</w:t>
      </w:r>
    </w:p>
    <w:p>
      <w:pPr>
        <w:spacing w:before="0" w:after="120"/>
      </w:pPr>
      <w:r>
        <w:rPr>
          <w:b/>
        </w:rPr>
        <w:t xml:space="preserve">Source: </w:t>
      </w:r>
      <w:r>
        <w:t>Wiley: Advanced Materials: Table of Contents</w:t>
      </w:r>
      <w:r>
        <w:t xml:space="preserve">    </w:t>
      </w:r>
      <w:r>
        <w:rPr>
          <w:b/>
        </w:rPr>
        <w:t xml:space="preserve">Pub date: </w:t>
      </w:r>
      <w:r>
        <w:t>2026-07-18 12:02:09+00:00</w:t>
      </w:r>
      <w:r>
        <w:t xml:space="preserve">    </w:t>
      </w:r>
      <w:r>
        <w:rPr>
          <w:b/>
        </w:rPr>
        <w:t xml:space="preserve">DOI: </w:t>
      </w:r>
      <w:hyperlink r:id="rId939">
        <w:r>
          <w:rPr>
            <w:color w:val="1155CC"/>
            <w:u w:val="single"/>
          </w:rPr>
          <w:t>10.1002/adma.74211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滤光片偏振分辨光电检测对于紧凑型光电系统很有吸引力，但其偏振对比度从根本上受到半导体低本征吸收各向异性的限制。在这里，我们引入了偏振敏感载流子动力学（PSCD），这是一种将偏振辨别从静态吸收各向异性转变为光载流子群体的时间演化的设计原理。我们通过将分子薄 p 型有机单晶与二维共价有机框架浮栅集成，在非易失性浮栅光电晶体管中实现 PSCD。正交线偏振光在各向异性晶体中产生不同的光发生速率，从而引起不同的光学擦除动力学和通道空穴群的时间发散恢复。因此，3.4的吸收线性二色性比（LDR）被动态放大超过四个数量级，达到3.6×10的瞬态光电流LDR</w:t>
      </w:r>
      <w:r>
        <w:rPr>
          <w:vertAlign w:val="subscript"/>
        </w:rPr>
        <w:t>4</w:t>
      </w:r>
      <w:r>
        <w:t>在优化的偏置条件下。该器件在部分偏振照明下进一步保持较强的偏振辨别能力，实现9.8×10的瞬态光电流LDR</w:t>
      </w:r>
      <w:r>
        <w:rPr>
          <w:vertAlign w:val="subscript"/>
        </w:rPr>
        <w:t>2</w:t>
      </w:r>
      <w:r>
        <w:t>线性偏振度为0.3。这些结果建立了通过载流子动态调制弱光学各向异性的时域放大作为紧凑光电平台中无滤波器、高对比度偏振传感的策略。</w:t>
      </w:r>
    </w:p>
    <w:p>
      <w:pPr>
        <w:spacing w:before="0" w:after="200" w:lineRule="auto" w:line="276"/>
      </w:pPr>
      <w:r>
        <w:rPr>
          <w:b/>
        </w:rPr>
        <w:t xml:space="preserve">Abstract (EN): </w:t>
      </w:r>
      <w:r>
        <w:t>Filterless polarization‐resolved photodetection is attractive for compact optoelectronic systems, but its polarization contrast is fundamentally constrained by the low intrinsic absorption anisotropy of semiconductors. Here, we introduce polarization‐sensitive carrier dynamics (PSCD), a design principle that shifts polarization discrimination from static absorption anisotropy to the time evolution of photocarrier populations. We implement PSCD in a nonvolatile floating‐gate phototransistor by integrating a molecularly thin p‐type organic single crystal with a two‐dimensional covalent organic framework floating gate. Orthogonal linearly polarized light generates different photogeneration rates in the anisotropic crystal, which induce distinct optical‐erasure kinetics and temporally divergent recovery of the channel hole population. Consequently, the absorption linear dichroism ratio (LDR) of 3.4 is dynamically amplified by over four orders of magnitude, reaching a transient photocurrent LDR of 3.6 × 10</w:t>
      </w:r>
      <w:r>
        <w:rPr>
          <w:vertAlign w:val="subscript"/>
        </w:rPr>
        <w:t>4</w:t>
      </w:r>
      <w:r>
        <w:t>under optimized bias conditions. The device further maintains strong polarization discrimination under partially polarized illumination, achieving a transient photocurrent LDR of 9.8 × 10</w:t>
      </w:r>
      <w:r>
        <w:rPr>
          <w:vertAlign w:val="subscript"/>
        </w:rPr>
        <w:t>2</w:t>
      </w:r>
      <w:r>
        <w:t>at a degree of linear polarization of 0.3. These results establish time‐domain amplification of weak optical anisotropy through carrier‐dynamic modulation as a strategy for filterless, high‐contrast polarimetric sensing in compact optoelectronic platforms.</w:t>
      </w:r>
    </w:p>
    <w:p>
      <w:pPr>
        <w:spacing w:before="120" w:after="120"/>
      </w:pPr>
      <w:r>
        <w:rPr>
          <w:sz w:val="18"/>
        </w:rPr>
        <w:t>——————————————————————————————————————————————————————————————————————</w:t>
      </w:r>
    </w:p>
    <w:p>
      <w:pPr>
        <w:spacing w:before="160" w:after="40" w:line="240" w:lineRule="auto"/>
      </w:pPr>
      <w:r>
        <w:rPr>
          <w:b/>
        </w:rPr>
        <w:t xml:space="preserve">[216] </w:t>
      </w:r>
      <w:hyperlink r:id="rId940">
        <w:r>
          <w:rPr>
            <w:color w:val="1155CC"/>
            <w:u w:val="single"/>
          </w:rPr>
          <w:t>DNA折纸晶体中尺度多壳形态的定向组装</w:t>
        </w:r>
      </w:hyperlink>
    </w:p>
    <w:p>
      <w:pPr>
        <w:spacing w:before="0" w:after="80"/>
      </w:pPr>
      <w:r>
        <w:rPr>
          <w:i/>
          <w:sz w:val="20"/>
        </w:rPr>
        <w:t>EN: Directing Assembly of Mesoscale Multi‐Shell Morphologies of DNA Origami Crystals</w:t>
      </w:r>
    </w:p>
    <w:p>
      <w:pPr>
        <w:spacing w:before="0" w:after="120"/>
      </w:pPr>
      <w:r>
        <w:rPr>
          <w:b/>
        </w:rPr>
        <w:t xml:space="preserve">Source: </w:t>
      </w:r>
      <w:r>
        <w:t>Wiley: Advanced Materials: Table of Contents</w:t>
      </w:r>
      <w:r>
        <w:t xml:space="preserve">    </w:t>
      </w:r>
      <w:r>
        <w:rPr>
          <w:b/>
        </w:rPr>
        <w:t xml:space="preserve">Pub date: </w:t>
      </w:r>
      <w:r>
        <w:t>2026-07-18 12:03:18+00:00</w:t>
      </w:r>
      <w:r>
        <w:t xml:space="preserve">    </w:t>
      </w:r>
      <w:r>
        <w:rPr>
          <w:b/>
        </w:rPr>
        <w:t xml:space="preserve">DOI: </w:t>
      </w:r>
      <w:hyperlink r:id="rId941">
        <w:r>
          <w:rPr>
            <w:color w:val="1155CC"/>
            <w:u w:val="single"/>
          </w:rPr>
          <w:t>10.1002/adma.74118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自然通过空间和时间上的调节生长来构建分层有序的材料，例如贝壳、木材和骨头。在合成系统中模仿这种水平的控制仍然具有挑战性，特别是在实现具有规定的纳米级排列和所需材料形态的多尺度组织方面。在这项研究中，我们引入了一种基于 DNA 的自组装策略，用于从纳米级晶格构建不同的多壳介观形态，从而实现规定的结构和组成 3D 材料模式。我们使用 DNA 折纸框架作为模块化单体，通过可寻址的 DNA 框架结合基序引导各向异性外延生长，并将纳米粒子 (NP) 封装在所需的 3D 图案中。在热力学有利的条件下连续添加单体使得壳能够通过异质成核生长，同时最大限度地减少不需要的均质成核。我们证明 DNA 编码的可寻址性使得外延壳能够沿着特定晶格方向生长，产生具有多层介观组织的晶体，包括管状（</w:t>
      </w:r>
      <w:r>
        <w:t xml:space="preserve"> </w:t>
      </w:r>
      <w:r>
        <w:t>寿司卷</w:t>
      </w:r>
      <w:r>
        <w:t xml:space="preserve"> </w:t>
      </w:r>
      <w:r>
        <w:t>）和板状（</w:t>
      </w:r>
      <w:r>
        <w:t xml:space="preserve"> </w:t>
      </w:r>
      <w:r>
        <w:t>马卡龙</w:t>
      </w:r>
      <w:r>
        <w:t xml:space="preserve"> </w:t>
      </w:r>
      <w:r>
        <w:t>）形态。壳特定的 NP 配置和成分是通过在每个壳内可寻址和差异化的 NP 放置来实现的，并通过小角 X 射线散射和横截面扫描透射电子显微镜进行了验证。我们进一步证明了可寻址的NP释放和reve</w:t>
      </w:r>
    </w:p>
    <w:p>
      <w:pPr>
        <w:spacing w:before="0" w:after="200" w:lineRule="auto" w:line="276"/>
      </w:pPr>
      <w:r>
        <w:rPr>
          <w:b/>
        </w:rPr>
        <w:t xml:space="preserve">Abstract (EN): </w:t>
      </w:r>
      <w:r>
        <w:t>Nature builds hierarchically ordered materials, such as seashells, wood, and bones, through spatially and temporally regulated growth. Mimicking such a level of control in synthetic systems remains challenging, particularly in achieving multiscale organizations with prescribed nanoscale arrangements and desired material morphologies. In this study, we introduce a DNA‐based self‐assembly strategy for constructing diverse multi‐shell mesoscale morphologies from nanoscale lattices, enabling prescribed structural, and compositional 3D material patterns. Using DNA origami frames as modular monomers, we direct anisotropic epitaxial growth through addressable DNA frame binding motifs and encapsulate nanoparticles (NPs) in desired 3D patterns. Sequential monomer addition under thermodynamically favorable conditions enables shell growth through heterogeneous nucleation while minimizing unwanted homogeneous nucleation. We demonstrate that DNA‐encoded addressability enables epitaxial shell growth along specific lattice directions, yielding crystals with multilayered mesoscale organization, including tube‐like (</w:t>
      </w:r>
      <w:r>
        <w:t xml:space="preserve"> </w:t>
      </w:r>
      <w:r>
        <w:t>sushi roll</w:t>
      </w:r>
      <w:r>
        <w:t xml:space="preserve"> </w:t>
      </w:r>
      <w:r>
        <w:t>) and plate‐like (</w:t>
      </w:r>
      <w:r>
        <w:t xml:space="preserve"> </w:t>
      </w:r>
      <w:r>
        <w:t>macaron</w:t>
      </w:r>
      <w:r>
        <w:t xml:space="preserve"> </w:t>
      </w:r>
      <w:r>
        <w:t>) morphologies. Shell‐specific NP configurations and compositions are achieved through addressable and differentiated placement of NPs within each shell, as validated by small‐angle x‐ray scattering and cross‐sectional scanning transmission electron microscopy. We further demonstrate addressable NP release and reveal that shells modulate release kinetics. Together, these findings establish a platform for fabricating DNA origami crystals with programmable mesoscale morphologies, nanoscale structure, composition, and transport properties.</w:t>
      </w:r>
    </w:p>
    <w:p>
      <w:pPr>
        <w:spacing w:before="120" w:after="120"/>
      </w:pPr>
      <w:r>
        <w:rPr>
          <w:sz w:val="18"/>
        </w:rPr>
        <w:t>——————————————————————————————————————————————————————————————————————</w:t>
      </w:r>
    </w:p>
    <w:p>
      <w:pPr>
        <w:spacing w:before="160" w:after="40" w:line="240" w:lineRule="auto"/>
      </w:pPr>
      <w:r>
        <w:rPr>
          <w:b/>
        </w:rPr>
        <w:t xml:space="preserve">[217] </w:t>
      </w:r>
      <w:hyperlink r:id="rId942">
        <w:r>
          <w:rPr>
            <w:color w:val="1155CC"/>
            <w:u w:val="single"/>
          </w:rPr>
          <w:t>用于癌症治疗的细胞选择性 STING 激活多糖免疫调节剂</w:t>
        </w:r>
      </w:hyperlink>
    </w:p>
    <w:p>
      <w:pPr>
        <w:spacing w:before="0" w:after="80"/>
      </w:pPr>
      <w:r>
        <w:rPr>
          <w:i/>
          <w:sz w:val="20"/>
        </w:rPr>
        <w:t>EN: Cell Selective STING‐Activating Polysaccharide Immunomodulators for Cancer Therapy</w:t>
      </w:r>
    </w:p>
    <w:p>
      <w:pPr>
        <w:spacing w:before="0" w:after="120"/>
      </w:pPr>
      <w:r>
        <w:rPr>
          <w:b/>
        </w:rPr>
        <w:t xml:space="preserve">Source: </w:t>
      </w:r>
      <w:r>
        <w:t>Wiley: Advanced Materials: Table of Contents</w:t>
      </w:r>
      <w:r>
        <w:t xml:space="preserve">    </w:t>
      </w:r>
      <w:r>
        <w:rPr>
          <w:b/>
        </w:rPr>
        <w:t xml:space="preserve">Pub date: </w:t>
      </w:r>
      <w:r>
        <w:t>2026-07-18 12:07:16+00:00</w:t>
      </w:r>
      <w:r>
        <w:t xml:space="preserve">    </w:t>
      </w:r>
      <w:r>
        <w:rPr>
          <w:b/>
        </w:rPr>
        <w:t xml:space="preserve">DOI: </w:t>
      </w:r>
      <w:hyperlink r:id="rId943">
        <w:r>
          <w:rPr>
            <w:color w:val="1155CC"/>
            <w:u w:val="single"/>
          </w:rPr>
          <w:t>10.1002/adma.74178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干扰素基因刺激物 (STING) 信号通路的激活代表了一种逆转肿瘤免疫抑制微环境 (TIME) 的癌症治疗的强有力策略。然而，选择性 STING 激活及其跨异质细胞群的定量比较仍然是一个巨大的挑战。在此，我们设计了一种选择性 STING 激活多糖免疫调节剂 (SSAPI)，在肿瘤细胞、巨噬细胞和树突细胞 (DC) 中具有定量 STING 激活效率。右旋糖酐作为免疫细胞靶向纳米载体，用于改善巨噬细胞和树突状细胞的药物递送，并避免大分子自组装对药物释放动力学的影响。 STING 激动剂 (DMXAA) 通过确定的接头与葡聚糖缀合，以控制不同细胞群中 STING 激活的选择性。体外实验定量揭示了巨噬细胞中酯连接体 SSAPI (DESX) 的 STING 激活增强，而二硫键连接体 SSAPI (DSSX) 则促进肿瘤细胞和免疫细胞中的 STING 激活。在 B16F10 和 CT26 荷瘤小鼠模型中，DSSX 通过诱导不同细胞群的广泛免疫反应来重新编程 TIME，表现出优异的抗肿瘤功效，八分之六的肿瘤完全缓解。总的来说，这项工作强调了激活实体瘤细胞群中的 STING 信号通路对于癌症免疫治疗的重要性。</w:t>
      </w:r>
    </w:p>
    <w:p>
      <w:pPr>
        <w:spacing w:before="0" w:after="200" w:lineRule="auto" w:line="276"/>
      </w:pPr>
      <w:r>
        <w:rPr>
          <w:b/>
        </w:rPr>
        <w:t xml:space="preserve">Abstract (EN): </w:t>
      </w:r>
      <w:r>
        <w:t>Activation of the stimulator of interferon genes (STING) signaling pathway represents a robust strategy to reverse tumor immunosuppressive microenvironment (TIME) for cancer therapy. However, selective STING activation and its quantitative comparison across heterogeneous cell populations remain a tremendous challenge. Herein, we engineered a type of selective STING‐activating polysaccharide immunomodulators (SSAPIs) with quantitative STING activation efficiency across tumor cell, macrophage, and dendritic cell (DC). Dextran as an immune cell targeting nanocarrier was employed to improve drug delivery to macrophage and DC, and to avoid the impact of macromolecular self‐assembly on drug release kinetics. The STING agonist (DMXAA) was conjugated to dextran via defined linkers to control the selectivity of STING activation in different cell populations. In vitro experiments quantitively revealed the enhanced STING activation of the ester linker SSAPI (DESX) in macrophage, while the disulfide linker SSAPI (DSSX) prompted STING activation across tumor cell and immune cell. In B16F10 and CT26 tumor‐bearing mice models, DSSX exhibited much superior antitumor efficacy with six out of eight complete tumor remission by inducing broad immune responses across diverse cell populations to reprogram TIME. Collectively, this work highlights the significance of activating the STING signaling pathway across cell populations in solid tumor for cancer immunotherapy.</w:t>
      </w:r>
    </w:p>
    <w:p>
      <w:pPr>
        <w:spacing w:before="120" w:after="120"/>
      </w:pPr>
      <w:r>
        <w:rPr>
          <w:sz w:val="18"/>
        </w:rPr>
        <w:t>——————————————————————————————————————————————————————————————————————</w:t>
      </w:r>
    </w:p>
    <w:p>
      <w:pPr>
        <w:spacing w:before="160" w:after="40" w:line="240" w:lineRule="auto"/>
      </w:pPr>
      <w:r>
        <w:rPr>
          <w:b/>
        </w:rPr>
        <w:t xml:space="preserve">[218] </w:t>
      </w:r>
      <w:hyperlink r:id="rId944">
        <w:r>
          <w:rPr>
            <w:color w:val="1155CC"/>
            <w:u w:val="single"/>
          </w:rPr>
          <w:t>用于多功能光子学的 3R-MoS2 的巨大各向异性和高二阶非线性</w:t>
        </w:r>
      </w:hyperlink>
    </w:p>
    <w:p>
      <w:pPr>
        <w:spacing w:before="0" w:after="80"/>
      </w:pPr>
      <w:r>
        <w:rPr>
          <w:i/>
          <w:sz w:val="20"/>
        </w:rPr>
        <w:t>EN: Giant Anisotropy and High Second‐Order Nonlinearity of 3R‐MoS2 for Multifunctional Photonics</w:t>
      </w:r>
    </w:p>
    <w:p>
      <w:pPr>
        <w:spacing w:before="0" w:after="120"/>
      </w:pPr>
      <w:r>
        <w:rPr>
          <w:b/>
        </w:rPr>
        <w:t xml:space="preserve">Source: </w:t>
      </w:r>
      <w:r>
        <w:t>Wiley: Advanced Materials: Table of Contents</w:t>
      </w:r>
      <w:r>
        <w:t xml:space="preserve">    </w:t>
      </w:r>
      <w:r>
        <w:rPr>
          <w:b/>
        </w:rPr>
        <w:t xml:space="preserve">Pub date: </w:t>
      </w:r>
      <w:r>
        <w:t>2026-07-18 12:09:44+00:00</w:t>
      </w:r>
      <w:r>
        <w:t xml:space="preserve">    </w:t>
      </w:r>
      <w:r>
        <w:rPr>
          <w:b/>
        </w:rPr>
        <w:t xml:space="preserve">DOI: </w:t>
      </w:r>
      <w:hyperlink r:id="rId945">
        <w:r>
          <w:rPr>
            <w:color w:val="1155CC"/>
            <w:u w:val="single"/>
          </w:rPr>
          <w:t>10.1002/adma.74029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主动非线性频率转换与被动次衍射光导相结合的困难阻碍了光子电路的小型化。在这里，我们建立了 MoS2 的菱面体 3R 多型体</w:t>
      </w:r>
      <w:r>
        <w:rPr>
          <w:vertAlign w:val="subscript"/>
        </w:rPr>
        <w:t>2</w:t>
      </w:r>
      <w:r>
        <w:t>(3R-MoS2</w:t>
      </w:r>
      <w:r>
        <w:rPr>
          <w:vertAlign w:val="subscript"/>
        </w:rPr>
        <w:t>2</w:t>
      </w:r>
      <w:r>
        <w:t>）作为解决这一挑战的多功能平台。与中心对称的 2H 对应物不同，3R-MoS</w:t>
      </w:r>
      <w:r>
        <w:rPr>
          <w:vertAlign w:val="subscript"/>
        </w:rPr>
        <w:t>2</w:t>
      </w:r>
      <w:r>
        <w:t>整体上保留了破缺的反演对称性，从而实现了可扩展的二阶非线性。挑战多型体之间相同线性特性的假设，我们揭示了 3R-MoS2</w:t>
      </w:r>
      <w:r>
        <w:rPr>
          <w:vertAlign w:val="subscript"/>
        </w:rPr>
        <w:t>2</w:t>
      </w:r>
      <w:r>
        <w:t>不仅具有类似于2H的巨大光学各向异性，而且还超过2H。通过确定全介电张量，我们证明这种各向异性使得极端趋肤深度 (e-skid) 波导能够进行亚衍射光限制，实现模式尺寸比衍射极限低近 20%。此外，我们利用测量的巨大面内折射率和高光学非线性的组合来调谐法布里-珀罗 (FP) 谐振器并增强给定波长下的二次谐波 (SH) 生成，从而产生 1.2 nm/V 的有效非线性响应。这些发现弥合了主动和被动功能之间的差距，将 3R-MoS2 定位在</w:t>
      </w:r>
      <w:r>
        <w:rPr>
          <w:vertAlign w:val="subscript"/>
        </w:rPr>
        <w:t>2</w:t>
      </w:r>
      <w:r>
        <w:t>作为高密度多功能纳米光子集成的解决方案。</w:t>
      </w:r>
    </w:p>
    <w:p>
      <w:pPr>
        <w:spacing w:before="0" w:after="200" w:lineRule="auto" w:line="276"/>
      </w:pPr>
      <w:r>
        <w:rPr>
          <w:b/>
        </w:rPr>
        <w:t xml:space="preserve">Abstract (EN): </w:t>
      </w:r>
      <w:r>
        <w:t>The miniaturization of photonic circuits is impeded by the difficulty of combining active nonlinear frequency conversion with passive subdiffractional light guiding. Here, we establish a rhombohedral 3R‐polytype of MoS</w:t>
      </w:r>
      <w:r>
        <w:rPr>
          <w:vertAlign w:val="subscript"/>
        </w:rPr>
        <w:t>2</w:t>
      </w:r>
      <w:r>
        <w:t>(3R‐MoS</w:t>
      </w:r>
      <w:r>
        <w:rPr>
          <w:vertAlign w:val="subscript"/>
        </w:rPr>
        <w:t>2</w:t>
      </w:r>
      <w:r>
        <w:t>) as a multifunctional platform resolving this challenge. Unlike its centrosymmetric 2H counterpart, 3R‐MoS</w:t>
      </w:r>
      <w:r>
        <w:rPr>
          <w:vertAlign w:val="subscript"/>
        </w:rPr>
        <w:t>2</w:t>
      </w:r>
      <w:r>
        <w:t>preserves broken inversion symmetry in the bulk, enabling scalable second‐order nonlinearity. Challenging the assumption of identical linear properties between polytypes, we reveal that 3R‐MoS</w:t>
      </w:r>
      <w:r>
        <w:rPr>
          <w:vertAlign w:val="subscript"/>
        </w:rPr>
        <w:t>2</w:t>
      </w:r>
      <w:r>
        <w:t>not only possesses a giant optical anisotropy similar to 2H, but also exceeds it. By determining the full dielectric tensor, we demonstrate that this anisotropy enables extreme skin‐depth (e‐skid) waveguides capable of subdiffractional light confinement, achieving mode sizes nearly 20% below the diffraction limit. Furthermore, we harness the combination of our measured giant in‐plane refractive index and high optical nonlinearity to tune the Fabry–Pérot (FP) resonator and enhance second‐harmonic (SH) generation at a given wavelength, yielding an effective nonlinear response of 1.2 nm/V. These findings bridge the gap between active and passive functionalities, positioning 3R‐MoS</w:t>
      </w:r>
      <w:r>
        <w:rPr>
          <w:vertAlign w:val="subscript"/>
        </w:rPr>
        <w:t>2</w:t>
      </w:r>
      <w:r>
        <w:t>as a solution for high‐density multifunctional nanophotonic integration.</w:t>
      </w:r>
    </w:p>
    <w:p>
      <w:pPr>
        <w:spacing w:before="120" w:after="120"/>
      </w:pPr>
      <w:r>
        <w:rPr>
          <w:sz w:val="18"/>
        </w:rPr>
        <w:t>——————————————————————————————————————————————————————————————————————</w:t>
      </w:r>
    </w:p>
    <w:p>
      <w:pPr>
        <w:spacing w:before="160" w:after="40" w:line="240" w:lineRule="auto"/>
      </w:pPr>
      <w:r>
        <w:rPr>
          <w:b/>
        </w:rPr>
        <w:t xml:space="preserve">[219] </w:t>
      </w:r>
      <w:hyperlink r:id="rId946">
        <w:r>
          <w:rPr>
            <w:color w:val="1155CC"/>
            <w:u w:val="single"/>
          </w:rPr>
          <w:t>制造高强度农业纤维的生态高效且可持续的策略</w:t>
        </w:r>
      </w:hyperlink>
    </w:p>
    <w:p>
      <w:pPr>
        <w:spacing w:before="0" w:after="80"/>
      </w:pPr>
      <w:r>
        <w:rPr>
          <w:i/>
          <w:sz w:val="20"/>
        </w:rPr>
        <w:t>EN: An Eco‐Efficient and Sustainable Strategy for Fabricating High‐Strength Agricultural Fibers</w:t>
      </w:r>
    </w:p>
    <w:p>
      <w:pPr>
        <w:spacing w:before="0" w:after="120"/>
      </w:pPr>
      <w:r>
        <w:rPr>
          <w:b/>
        </w:rPr>
        <w:t xml:space="preserve">Source: </w:t>
      </w:r>
      <w:r>
        <w:t>Wiley: Advanced Materials: Table of Contents</w:t>
      </w:r>
      <w:r>
        <w:t xml:space="preserve">    </w:t>
      </w:r>
      <w:r>
        <w:rPr>
          <w:b/>
        </w:rPr>
        <w:t xml:space="preserve">Pub date: </w:t>
      </w:r>
      <w:r>
        <w:t>2026-07-18 12:11:18+00:00</w:t>
      </w:r>
      <w:r>
        <w:t xml:space="preserve">    </w:t>
      </w:r>
      <w:r>
        <w:rPr>
          <w:b/>
        </w:rPr>
        <w:t xml:space="preserve">DOI: </w:t>
      </w:r>
      <w:hyperlink r:id="rId947">
        <w:r>
          <w:rPr>
            <w:color w:val="1155CC"/>
            <w:u w:val="single"/>
          </w:rPr>
          <w:t>10.1002/adma.74131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再生生物质资源的高值化利用对于实现生态和社会的可持续发展具有重要意义。人们非常希望以绿色和可扩展的方式将农业残留物转化为高性能再生纤维素纤维。然而，由于农用纤维素固有的抗解聚结构和低聚合度，制备优质农用再生纤维的要求很高。在这里，我们展示了一种可回收且生态高效的工艺，能够使用新型酸性低共熔溶剂系统从农业残留物中选择性提取纤维素，并提出了拉伸诱导排列和空间限制策略，以实现高强度和高韧性再生纤维的可扩展制造。低共熔溶剂对农业残留物具有高效的脱木质素和剪裁能力，得到的纤维素纯度高达91.2%，结晶度为72.6%。所得纤维通过形成对齐的纳米原纤维结构和致密的氢键网络解决了农业纤维素的固有局限性，表现出 852 MPa 的拉伸强度和 110 MJ m 的韧性</w:t>
      </w:r>
      <w:r>
        <w:t xml:space="preserve"> </w:t>
      </w:r>
      <w:r>
        <w:t>−3</w:t>
      </w:r>
      <w:r>
        <w:t xml:space="preserve"> </w:t>
      </w:r>
      <w:r>
        <w:t>。这项工作为从农业残留物中生产高性能生物基纤维、推进可持续材料创新和循环生物经济发展奠定了基础途径。</w:t>
      </w:r>
    </w:p>
    <w:p>
      <w:pPr>
        <w:spacing w:before="0" w:after="200" w:lineRule="auto" w:line="276"/>
      </w:pPr>
      <w:r>
        <w:rPr>
          <w:b/>
        </w:rPr>
        <w:t xml:space="preserve">Abstract (EN): </w:t>
      </w:r>
      <w:r>
        <w:t>High‐value utilization of renewable biomass resources is of great significance for achieving ecological and societal sustainability. It remains highly desirable to convert agricultural residues into high‐performance regenerated cellulose fibers in a green and scalable manner. However, the fabrication of superior agricultural regenerated fibers is demanding due to the inherent anti‐depolymerization structure and low degree of polymerization of agricultural cellulose. Here, we demonstrated a recyclable and eco‐efficient process enabling the selective extraction of cellulose from agricultural residues using a novel acid deep eutectic solvent system, and proposed a stretch‐induced alignment and spatial confinement strategy to realize scalable fabrication of high‐strength and high‐toughness regenerated fibers. The deep eutectic solvent presented efficient delignification and tailoring capacity for agricultural residue, yielding cellulose with a high purity of 91.2% and a crystallinity of 72.6%. The resultant fibers addressed the intrinsic limitations of agricultural cellulose through the formation of aligned nanofibril structures and densified hydrogen‐bonding networks, exhibiting a tensile strength of 852 MPa and a toughness of 110 MJ m</w:t>
      </w:r>
      <w:r>
        <w:t xml:space="preserve"> </w:t>
      </w:r>
      <w:r>
        <w:t>−3</w:t>
      </w:r>
      <w:r>
        <w:t xml:space="preserve"> </w:t>
      </w:r>
      <w:r>
        <w:t>. This work establishes a foundational pathway for producing high‐performance bio‐based fibers derived from agricultural residues, advancing sustainable materials innovation and circular bioeconomy development.</w:t>
      </w:r>
    </w:p>
    <w:p>
      <w:pPr>
        <w:spacing w:before="120" w:after="120"/>
      </w:pPr>
      <w:r>
        <w:rPr>
          <w:sz w:val="18"/>
        </w:rPr>
        <w:t>——————————————————————————————————————————————————————————————————————</w:t>
      </w:r>
    </w:p>
    <w:p>
      <w:pPr>
        <w:spacing w:before="160" w:after="40" w:line="240" w:lineRule="auto"/>
      </w:pPr>
      <w:r>
        <w:rPr>
          <w:b/>
        </w:rPr>
        <w:t xml:space="preserve">[220] </w:t>
      </w:r>
      <w:hyperlink r:id="rId948">
        <w:r>
          <w:rPr>
            <w:color w:val="1155CC"/>
            <w:u w:val="single"/>
          </w:rPr>
          <w:t>基于扫描探针显微镜的功函数测量技术的比较分析</w:t>
        </w:r>
      </w:hyperlink>
    </w:p>
    <w:p>
      <w:pPr>
        <w:spacing w:before="0" w:after="80"/>
      </w:pPr>
      <w:r>
        <w:rPr>
          <w:i/>
          <w:sz w:val="20"/>
        </w:rPr>
        <w:t>EN: Comparative Analysis of Work Function Measurement Techniques Based on Scanning Probe Microscopy</w:t>
      </w:r>
    </w:p>
    <w:p>
      <w:pPr>
        <w:spacing w:before="0" w:after="120"/>
      </w:pPr>
      <w:r>
        <w:rPr>
          <w:b/>
        </w:rPr>
        <w:t xml:space="preserve">Source: </w:t>
      </w:r>
      <w:r>
        <w:t>Wiley: Advanced Materials: Table of Contents</w:t>
      </w:r>
      <w:r>
        <w:t xml:space="preserve">    </w:t>
      </w:r>
      <w:r>
        <w:rPr>
          <w:b/>
        </w:rPr>
        <w:t xml:space="preserve">Pub date: </w:t>
      </w:r>
      <w:r>
        <w:t>2026-07-18 12:15:02+00:00</w:t>
      </w:r>
      <w:r>
        <w:t xml:space="preserve">    </w:t>
      </w:r>
      <w:r>
        <w:rPr>
          <w:b/>
        </w:rPr>
        <w:t xml:space="preserve">DOI: </w:t>
      </w:r>
      <w:hyperlink r:id="rId949">
        <w:r>
          <w:rPr>
            <w:color w:val="1155CC"/>
            <w:u w:val="single"/>
          </w:rPr>
          <w:t>10.1002/adma.74141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在这项研究中，我们比较了三种扫描探针技术——光谱、场发射共振（FER）和开尔文探针力光谱（KPFS）——用于定量局部功函数测量。使用 Ag(111) 作为参考并将这些方法应用于 Ir(111) 和 Au(111)，我们发现了很强的方法依赖性。  由于广泛的数据分散，光谱显示出很大的不确定性，并且仅在平坦的表面上可靠。我们表明，三角势垒 FER 外推法缺乏鲁棒性，而基于图像势校正薛定谔模型的数值 FER 分析却得出一致的值。尖端校准后，KPFS 可提供最直接、最可靠的功函数测定。将这些方法应用于超导铌，我们提取了 (111) 和 (110) 表面的功函数及其独特的氧重构相。</w:t>
      </w:r>
    </w:p>
    <w:p>
      <w:pPr>
        <w:spacing w:before="0" w:after="200" w:lineRule="auto" w:line="276"/>
      </w:pPr>
      <w:r>
        <w:rPr>
          <w:b/>
        </w:rPr>
        <w:t xml:space="preserve">Abstract (EN): </w:t>
      </w:r>
      <w:r>
        <w:t>In this study, we compare three scanning probe techniques— spectroscopy, field‐emission resonances (FER), and Kelvin probe force spectroscopy (KPFS)—for quantitative local work function measurements. Using Ag(111) as a reference and applying the methods to Ir(111) and Au(111), we find a strong method dependence.  spectroscopy shows substantial uncertainty due to broad data dispersion and is reliable only on flat surfaces. We show that the triangular‐barrier FER extrapolation method lacks robustness, whereas numerical FER analysis based on an image potential‐corrected Schrödinger model yields consistent values. KPFS provides the most direct and reliable work function determination once the tip is calibrated. Applying these methods to superconducting Nb, we extract the work functions of (111) and (110) surfaces and its distinct oxygen‐reconstructed phases.</w:t>
      </w:r>
    </w:p>
    <w:p>
      <w:pPr>
        <w:spacing w:before="120" w:after="120"/>
      </w:pPr>
      <w:r>
        <w:rPr>
          <w:sz w:val="18"/>
        </w:rPr>
        <w:t>——————————————————————————————————————————————————————————————————————</w:t>
      </w:r>
    </w:p>
    <w:p>
      <w:pPr>
        <w:spacing w:before="160" w:after="40" w:line="240" w:lineRule="auto"/>
      </w:pPr>
      <w:r>
        <w:rPr>
          <w:b/>
        </w:rPr>
        <w:t xml:space="preserve">[221] </w:t>
      </w:r>
      <w:hyperlink r:id="rId950">
        <w:r>
          <w:rPr>
            <w:color w:val="1155CC"/>
            <w:u w:val="single"/>
          </w:rPr>
          <w:t>用于体内化学发光的氧驱动 [2 + 2] 光环加成</w:t>
        </w:r>
      </w:hyperlink>
    </w:p>
    <w:p>
      <w:pPr>
        <w:spacing w:before="0" w:after="80"/>
      </w:pPr>
      <w:r>
        <w:rPr>
          <w:i/>
          <w:sz w:val="20"/>
        </w:rPr>
        <w:t>EN: Oxygen-Driven [2 + 2] Photocycloaddition for In Vivo Chemiluminescence</w:t>
      </w:r>
    </w:p>
    <w:p>
      <w:pPr>
        <w:spacing w:before="0" w:after="120"/>
      </w:pPr>
      <w:r>
        <w:rPr>
          <w:b/>
        </w:rPr>
        <w:t xml:space="preserve">Source: </w:t>
      </w:r>
      <w:r>
        <w:t>Journal of the American Chemical Society: Latest Articles (ACS Publications)</w:t>
      </w:r>
      <w:r>
        <w:t xml:space="preserve">    </w:t>
      </w:r>
      <w:r>
        <w:rPr>
          <w:b/>
        </w:rPr>
        <w:t xml:space="preserve">Pub date: </w:t>
      </w:r>
      <w:r>
        <w:t>2026-07-19 00:00:00+00:00</w:t>
      </w:r>
      <w:r>
        <w:t xml:space="preserve">    </w:t>
      </w:r>
      <w:r>
        <w:rPr>
          <w:b/>
        </w:rPr>
        <w:t xml:space="preserve">DOI: </w:t>
      </w:r>
      <w:hyperlink r:id="rId951">
        <w:r>
          <w:rPr>
            <w:color w:val="1155CC"/>
            <w:u w:val="single"/>
          </w:rPr>
          <w:t>10.1021/jacs.6c07700</w:t>
        </w:r>
      </w:hyperlink>
    </w:p>
    <w:p>
      <w:pPr>
        <w:spacing w:before="0" w:after="120"/>
      </w:pPr>
      <w:r>
        <w:rPr>
          <w:b/>
        </w:rPr>
        <w:t xml:space="preserve">Notes: </w:t>
      </w:r>
      <w:r>
        <w:t>abstract_source=pubmed</w:t>
      </w:r>
    </w:p>
    <w:p>
      <w:pPr>
        <w:spacing w:before="0" w:after="80" w:lineRule="auto" w:line="276"/>
      </w:pPr>
      <w:r>
        <w:rPr>
          <w:b/>
        </w:rPr>
        <w:t xml:space="preserve">摘要（ZH）: </w:t>
      </w:r>
      <w:r>
        <w:t>化学发光是将化学能直接转化为光，为分子成像提供了异常灵敏的平台。然而，由于缺乏产生高张力环状过氧化物（光发射的能量核心）的生物相容性策略，其在体内的应用实际上受到阻碍。在此，我们提出了一种体内[2 + 2]分子间光环加成，利用分子氧作为直接反应物在生命系统内原位生成高能1,2-二氧杂环丁烷。合理设计的电子供体取代的烯烃提供了氧特异性加成位点，并通过生物限制催化表现出延长的中间寿命（25倍），如飞秒瞬态吸收光谱所证明的那样。我们从头设计的化学发光体（称为 Rubines）在体内发出亮红色的光，大大超过了传统的发光底物。红宝石能够在双脐螺和活体小鼠中直接可视化，特别是作为非放射性“化学发光核素”探针来实时监测血脑屏障（BBB）完整性的逐渐退化和自我修复。这项工作建立了适合超灵敏、非侵入性分子成像和诊断的下一代高亮度体内化学发光平台。</w:t>
      </w:r>
    </w:p>
    <w:p>
      <w:pPr>
        <w:spacing w:before="0" w:after="200" w:lineRule="auto" w:line="276"/>
      </w:pPr>
      <w:r>
        <w:rPr>
          <w:b/>
        </w:rPr>
        <w:t xml:space="preserve">Abstract (EN): </w:t>
      </w:r>
      <w:r>
        <w:t>Chemiluminescence, the direct conversion of chemical energy into light, offers an exceptionally sensitive platform for molecular imaging. However, its in vivo application is practically hindered by the lack of a biocompatible strategy for generating highly strained cyclic peroxides─the energetic cores of light emission. Herein, we present an in vivo [2 + 2] intermolecular photocycloaddition that harnesses molecular oxygen as a direct reactant to in situ generate high-energy 1,2-dioxetanes within living systems. Rationally designed electron donor-substituted olefins provide oxygen-specific addition sites and exhibit prolonged intermediate lifetimes (25-fold) via bioconfined catalysis, as demonstrated by femtosecond transient absorption spectroscopy. Our de novo designed chemiluminophores, termed as Rubines, emit bright red in vivo luminescence, greatly surpassing conventional luminescent substrates. Rubines enable direct visualization in Biomphalaria snails and living mice, and particularly function as nonradioactive "chemiluminescent nuclides" probes to monitor progressive degradation and self-repair of the blood-brain barrier (BBB) integrity in real time. This work establishes a next-generation, high-brightness in vivo chemiluminescence platform suited for ultrasensitive, noninvasive molecular imaging and diagnostics.</w:t>
      </w:r>
    </w:p>
    <w:p>
      <w:pPr>
        <w:spacing w:before="120" w:after="120"/>
      </w:pPr>
      <w:r>
        <w:rPr>
          <w:sz w:val="18"/>
        </w:rPr>
        <w:t>——————————————————————————————————————————————————————————————————————</w:t>
      </w:r>
    </w:p>
    <w:p>
      <w:pPr>
        <w:spacing w:before="160" w:after="40" w:line="240" w:lineRule="auto"/>
      </w:pPr>
      <w:r>
        <w:rPr>
          <w:b/>
        </w:rPr>
        <w:t xml:space="preserve">[222] </w:t>
      </w:r>
      <w:hyperlink r:id="rId952">
        <w:r>
          <w:rPr>
            <w:color w:val="1155CC"/>
            <w:u w:val="single"/>
          </w:rPr>
          <w:t>铜纳米团簇缺失结构演化的晶体学可视化</w:t>
        </w:r>
      </w:hyperlink>
    </w:p>
    <w:p>
      <w:pPr>
        <w:spacing w:before="0" w:after="80"/>
      </w:pPr>
      <w:r>
        <w:rPr>
          <w:i/>
          <w:sz w:val="20"/>
        </w:rPr>
        <w:t>EN: Crystallographic Visualization of the Missing Structural Evolution of Copper Nanoclusters</w:t>
      </w:r>
    </w:p>
    <w:p>
      <w:pPr>
        <w:spacing w:before="0" w:after="120"/>
      </w:pPr>
      <w:r>
        <w:rPr>
          <w:b/>
        </w:rPr>
        <w:t xml:space="preserve">Source: </w:t>
      </w:r>
      <w:r>
        <w:t>Journal of the American Chemical Society: Latest Articles (ACS Publications)</w:t>
      </w:r>
      <w:r>
        <w:t xml:space="preserve">    </w:t>
      </w:r>
      <w:r>
        <w:rPr>
          <w:b/>
        </w:rPr>
        <w:t xml:space="preserve">Pub date: </w:t>
      </w:r>
      <w:r>
        <w:t>2026-07-19 00:00:00+00:00</w:t>
      </w:r>
      <w:r>
        <w:t xml:space="preserve">    </w:t>
      </w:r>
      <w:r>
        <w:rPr>
          <w:b/>
        </w:rPr>
        <w:t xml:space="preserve">DOI: </w:t>
      </w:r>
      <w:hyperlink r:id="rId953">
        <w:r>
          <w:rPr>
            <w:color w:val="1155CC"/>
            <w:u w:val="single"/>
          </w:rPr>
          <w:t>10.1021/jacs.6c12181</w:t>
        </w:r>
      </w:hyperlink>
    </w:p>
    <w:p>
      <w:pPr>
        <w:spacing w:before="0" w:after="120"/>
      </w:pPr>
      <w:r>
        <w:rPr>
          <w:b/>
        </w:rPr>
        <w:t xml:space="preserve">Notes: </w:t>
      </w:r>
      <w:r>
        <w:t>abstract_source=pubmed</w:t>
      </w:r>
    </w:p>
    <w:p>
      <w:pPr>
        <w:spacing w:before="0" w:after="80" w:lineRule="auto" w:line="276"/>
      </w:pPr>
      <w:r>
        <w:rPr>
          <w:b/>
        </w:rPr>
        <w:t xml:space="preserve">摘要（ZH）: </w:t>
      </w:r>
      <w:r>
        <w:t>铜纳米团簇最近在化学和材料科学领域引起了极大的兴趣，但对结构演化的基本了解有限，阻碍了对其生长过程的精确控制。在这里，我们通过确定六个不同簇（Cu12、Cu23-a、Cu23-b、Cu25-a、Cu25-b 和 Cu61）的结构来解锁其结构演化的原子级见解，这些簇是采用二硫化物介导的保护策略从单个合成系统中分离出来的。通过精确调节反应温度和时间，我们严格控制该系统内的生长动力学。单晶 X 射线衍射揭示了六聚 Cu3S3 和八聚 Cu4S4 环作为多功能模块化图案，封装了明确的金属内核，以指导全硫醇保护的铜纳米团簇的结构演化。值得注意的是，在该簇系列中观察到结构异构化。通过提出来自一系列同源尺寸增量铜硫醇盐纳米团簇的第一个实验证据，这项工作提供了原子水平的见解，了解基本构建图案和表面配位化学如何协同指导功能性铜纳米团簇的靶向合成。</w:t>
      </w:r>
    </w:p>
    <w:p>
      <w:pPr>
        <w:spacing w:before="0" w:after="200" w:lineRule="auto" w:line="276"/>
      </w:pPr>
      <w:r>
        <w:rPr>
          <w:b/>
        </w:rPr>
        <w:t xml:space="preserve">Abstract (EN): </w:t>
      </w:r>
      <w:r>
        <w:t>Copper nanoclusters have recently garnered immense interest across chemistry and materials science, yet precise control over their growth processes is hindered by a limited fundamental understanding of structural evolution. Here, we unlock atomic-level insights into their structural evolution by determining the structures of six distinct clusters─Cu12, Cu23-a, Cu23-b, Cu25-a, Cu25-b, and Cu61─isolated from a single synthetic system employing a disulfide-mediated protection strategy. By precisely tuning the reaction temperature and time, we strictly control the growth kinetics within this system. Single-crystal X-ray diffraction uncovers that hexameric Cu3S3 and octameric Cu4S4 rings act as versatile modular motifs, which encapsulate well-defined metal kernels to direct the structural evolution of all-thiolate-protected copper nanoclusters. Notably, structural isomerization is observed within this cluster series. By presenting the first experimental evidence from a homologous series of size-incremental copper-thiolate nanoclusters, this work provides atomic-level insights into how fundamental building motifs and surface coordination chemistry cooperatively direct the targeted synthesis of functional copper nanoclusters.</w:t>
      </w:r>
    </w:p>
    <w:p>
      <w:pPr>
        <w:spacing w:before="120" w:after="120"/>
      </w:pPr>
      <w:r>
        <w:rPr>
          <w:sz w:val="18"/>
        </w:rPr>
        <w:t>——————————————————————————————————————————————————————————————————————</w:t>
      </w:r>
    </w:p>
    <w:p>
      <w:pPr>
        <w:spacing w:before="160" w:after="40" w:line="240" w:lineRule="auto"/>
      </w:pPr>
      <w:r>
        <w:rPr>
          <w:b/>
        </w:rPr>
        <w:t xml:space="preserve">[223] </w:t>
      </w:r>
      <w:hyperlink r:id="rId954">
        <w:r>
          <w:rPr>
            <w:color w:val="1155CC"/>
            <w:u w:val="single"/>
          </w:rPr>
          <w:t>通过客体介导的手性控制实现 Pt 6 L 4 配位胶囊中的可编程螺旋度和自旋极化</w:t>
        </w:r>
      </w:hyperlink>
    </w:p>
    <w:p>
      <w:pPr>
        <w:spacing w:before="0" w:after="80"/>
      </w:pPr>
      <w:r>
        <w:rPr>
          <w:i/>
          <w:sz w:val="20"/>
        </w:rPr>
        <w:t>EN: Programmable Helicity and Spin Polarization in Pt 6 L 4 Coordination Capsules through Guest-Mediated Chiral Control</w:t>
      </w:r>
    </w:p>
    <w:p>
      <w:pPr>
        <w:spacing w:before="0" w:after="120"/>
      </w:pPr>
      <w:r>
        <w:rPr>
          <w:b/>
        </w:rPr>
        <w:t xml:space="preserve">Source: </w:t>
      </w:r>
      <w:r>
        <w:t>Journal of the American Chemical Society: Latest Articles (ACS Publications)</w:t>
      </w:r>
      <w:r>
        <w:t xml:space="preserve">    </w:t>
      </w:r>
      <w:r>
        <w:rPr>
          <w:b/>
        </w:rPr>
        <w:t xml:space="preserve">Pub date: </w:t>
      </w:r>
      <w:r>
        <w:t>2026-07-19 00:00:00+00:00</w:t>
      </w:r>
      <w:r>
        <w:t xml:space="preserve">    </w:t>
      </w:r>
      <w:r>
        <w:rPr>
          <w:b/>
        </w:rPr>
        <w:t xml:space="preserve">DOI: </w:t>
      </w:r>
      <w:hyperlink r:id="rId955">
        <w:r>
          <w:rPr>
            <w:color w:val="1155CC"/>
            <w:u w:val="single"/>
          </w:rPr>
          <w:t>10.1021/jacs.6c06555</w:t>
        </w:r>
      </w:hyperlink>
    </w:p>
    <w:p>
      <w:pPr>
        <w:spacing w:before="0" w:after="120"/>
      </w:pPr>
      <w:r>
        <w:rPr>
          <w:b/>
        </w:rPr>
        <w:t xml:space="preserve">Notes: </w:t>
      </w:r>
      <w:r>
        <w:t>abstract_source=pubmed</w:t>
      </w:r>
    </w:p>
    <w:p>
      <w:pPr>
        <w:spacing w:before="0" w:after="80" w:lineRule="auto" w:line="276"/>
      </w:pPr>
      <w:r>
        <w:rPr>
          <w:b/>
        </w:rPr>
        <w:t xml:space="preserve">摘要（ZH）: </w:t>
      </w:r>
      <w:r>
        <w:t>自旋极化的可编程调节使得分子尺度的自旋过滤成为可能，但在超分子系统中对其符号的可逆控制仍然具有挑战性。在此，手性导向策略调节八面体胶囊的多个螺旋态，从而实现手性诱导自旋选择性（CISS）的可编程和可逆控制。该策略转移 (R)-1,1'-双-2-萘酚手性以诱导胶囊螺旋性，然后通过主客体相互作用引入 (R)-1,1'-联萘基-2,2'-二基磷酸氢盐后进行受控螺旋性反转。磁圆二色性 (MCD) 揭示了电子态中手性相关的变化，而磁导原子力显微镜 (mc-AFM) 则独立地展示了自旋选择性电荷传输。主客体电子耦合的系统调制能够实现自旋极化的可逆切换。这些结果表明，动态、手性匹配的主客体相互作用模拟了酶立体化学控制，为具有可编程自旋功能的手性配位结构提供了分子水平的洞察和一般设计原理。</w:t>
      </w:r>
    </w:p>
    <w:p>
      <w:pPr>
        <w:spacing w:before="0" w:after="200" w:lineRule="auto" w:line="276"/>
      </w:pPr>
      <w:r>
        <w:rPr>
          <w:b/>
        </w:rPr>
        <w:t xml:space="preserve">Abstract (EN): </w:t>
      </w:r>
      <w:r>
        <w:t>Programmable regulation of spin polarization enables molecular-scale spin filtering, yet reversible control of its sign in supramolecular systems remains challenging. Herein, a chiral-directing strategy modulates multiple helical states of octahedral capsules, enabling programmable and reversible control of chirality-induced spin selectivity (CISS). The strategy transfers (R)-1,1'-bi-2-naphthol chirality to induce capsule helicity, followed by controlled helicity inversion upon introduction of (R)-1,1'-binaphthyl-2,2'-diylhydrogen phosphate via host-guest interactions. Magnetic circular dichroism (MCD) reveals chirality-dependent changes in electronic states, while magnetic conductive atomic force microscopy (mc-AFM) independently demonstrates spin-selective charge transport. Systematic modulation of host-guest electronic coupling enables reversible switching of spin polarization. These results demonstrate that dynamic, chirality-matched host-guest interactions emulate enzymatic stereochemical control, offering molecular-level insight and a general design principle for chiral coordination architectures with programmable spin functions.</w:t>
      </w:r>
    </w:p>
    <w:p>
      <w:pPr>
        <w:spacing w:before="120" w:after="120"/>
      </w:pPr>
      <w:r>
        <w:rPr>
          <w:sz w:val="18"/>
        </w:rPr>
        <w:t>——————————————————————————————————————————————————————————————————————</w:t>
      </w:r>
    </w:p>
    <w:p>
      <w:pPr>
        <w:spacing w:before="160" w:after="40" w:line="240" w:lineRule="auto"/>
      </w:pPr>
      <w:r>
        <w:rPr>
          <w:b/>
        </w:rPr>
        <w:t xml:space="preserve">[224] </w:t>
      </w:r>
      <w:hyperlink r:id="rId956">
        <w:r>
          <w:rPr>
            <w:color w:val="1155CC"/>
            <w:u w:val="single"/>
          </w:rPr>
          <w:t>具有电荷排序的铁电可切换类交变磁体补偿亚铁磁体</w:t>
        </w:r>
      </w:hyperlink>
    </w:p>
    <w:p>
      <w:pPr>
        <w:spacing w:before="0" w:after="80"/>
      </w:pPr>
      <w:r>
        <w:rPr>
          <w:i/>
          <w:sz w:val="20"/>
        </w:rPr>
        <w:t>EN: Ferroelectric Switchable Altermagnetic-Like Compensated Ferrimagnets with Charge Ordering</w:t>
      </w:r>
    </w:p>
    <w:p>
      <w:pPr>
        <w:spacing w:before="0" w:after="120"/>
      </w:pPr>
      <w:r>
        <w:rPr>
          <w:b/>
        </w:rPr>
        <w:t xml:space="preserve">Source: </w:t>
      </w:r>
      <w:r>
        <w:t>Journal of the American Chemical Society: Latest Articles (ACS Publications)</w:t>
      </w:r>
      <w:r>
        <w:t xml:space="preserve">    </w:t>
      </w:r>
      <w:r>
        <w:rPr>
          <w:b/>
        </w:rPr>
        <w:t xml:space="preserve">Pub date: </w:t>
      </w:r>
      <w:r>
        <w:t>2026-07-19 00:00:00+00:00</w:t>
      </w:r>
      <w:r>
        <w:t xml:space="preserve">    </w:t>
      </w:r>
      <w:r>
        <w:rPr>
          <w:b/>
        </w:rPr>
        <w:t xml:space="preserve">DOI: </w:t>
      </w:r>
      <w:hyperlink r:id="rId957">
        <w:r>
          <w:rPr>
            <w:color w:val="1155CC"/>
            <w:u w:val="single"/>
          </w:rPr>
          <w:t>10.1021/jacs.6c08853</w:t>
        </w:r>
      </w:hyperlink>
    </w:p>
    <w:p>
      <w:pPr>
        <w:spacing w:before="0" w:after="120"/>
      </w:pPr>
      <w:r>
        <w:rPr>
          <w:b/>
        </w:rPr>
        <w:t xml:space="preserve">Notes: </w:t>
      </w:r>
      <w:r>
        <w:t>abstract_source=pubmed</w:t>
      </w:r>
    </w:p>
    <w:p>
      <w:pPr>
        <w:spacing w:before="0" w:after="80" w:lineRule="auto" w:line="276"/>
      </w:pPr>
      <w:r>
        <w:rPr>
          <w:b/>
        </w:rPr>
        <w:t xml:space="preserve">摘要（ZH）: </w:t>
      </w:r>
      <w:r>
        <w:t>磁化强度几乎为零但具有突出的非相对论性自旋分裂的非常规共线磁体，例如交替磁体，可以继承铁磁体和反铁磁体的优点。通过结合更多的自由度，例如铁电性和电荷排序，这些非常规磁体可以变得更加有趣和功能化。根据这一设计原理，Fe3O5 单层预计将表现出混合自旋分裂机制，具有类交变磁 k 路径交替分裂和类亚铁磁体塞曼分裂的叠加。受益于基于自旋电荷耦合的隐藏磁电，这种自旋分裂可以通过电场完全切换。其电导率是高度自旋极化的，极化率超过99%，可与半金属媲美，但磁化强度为零。</w:t>
      </w:r>
    </w:p>
    <w:p>
      <w:pPr>
        <w:spacing w:before="0" w:after="200" w:lineRule="auto" w:line="276"/>
      </w:pPr>
      <w:r>
        <w:rPr>
          <w:b/>
        </w:rPr>
        <w:t xml:space="preserve">Abstract (EN): </w:t>
      </w:r>
      <w:r>
        <w:t>Unconventional collinear magnets with almost zero magnetization but prominent nonrelativistic spin splitting, such as altermagnets, can inherit the advantages of both ferromagnets and antiferromagnets. By incorporating more degrees of freedom such as ferroelectricity and charge ordering, these unconventional magnets can be even more interesting and functionalized. With this design principle, the Fe3O5 monolayer is predicted to exhibit a hybrid spin-splitting mechanism, with the superposition of the altermagnetic-like k-path alternating splitting and ferrimagnet-like Zeeman splitting. Benefiting from the hidden magnetoelectricity based on spin-charge coupling, such spin splitting can be fully switched by an electric field. Its conductivity is highly spin-polarized, with a polarization ratio above 99%, comparable to half-metals but with zero magnetization.</w:t>
      </w:r>
    </w:p>
    <w:p>
      <w:pPr>
        <w:spacing w:before="120" w:after="120"/>
      </w:pPr>
      <w:r>
        <w:rPr>
          <w:sz w:val="18"/>
        </w:rPr>
        <w:t>——————————————————————————————————————————————————————————————————————</w:t>
      </w:r>
    </w:p>
    <w:p>
      <w:pPr>
        <w:spacing w:before="160" w:after="40" w:line="240" w:lineRule="auto"/>
      </w:pPr>
      <w:r>
        <w:rPr>
          <w:b/>
        </w:rPr>
        <w:t xml:space="preserve">[225] </w:t>
      </w:r>
      <w:hyperlink r:id="rId958">
        <w:r>
          <w:rPr>
            <w:color w:val="1155CC"/>
            <w:u w:val="single"/>
          </w:rPr>
          <w:t>Cs 2 AgBiBr 6 忆阻器中的低压电阻开关和突触可塑性</w:t>
        </w:r>
      </w:hyperlink>
    </w:p>
    <w:p>
      <w:pPr>
        <w:spacing w:before="0" w:after="80"/>
      </w:pPr>
      <w:r>
        <w:rPr>
          <w:i/>
          <w:sz w:val="20"/>
        </w:rPr>
        <w:t>EN: Low-Voltage Resistive Switching and Synaptic Plasticity in Cs 2 AgBiBr 6 Memristors</w:t>
      </w:r>
    </w:p>
    <w:p>
      <w:pPr>
        <w:spacing w:before="0" w:after="120"/>
      </w:pPr>
      <w:r>
        <w:rPr>
          <w:b/>
        </w:rPr>
        <w:t xml:space="preserve">Source: </w:t>
      </w:r>
      <w:r>
        <w:t>ACS Applied Materials &amp; Interfaces: Latest Articles (ACS Publications)</w:t>
      </w:r>
      <w:r>
        <w:t xml:space="preserve">    </w:t>
      </w:r>
      <w:r>
        <w:rPr>
          <w:b/>
        </w:rPr>
        <w:t xml:space="preserve">Pub date: </w:t>
      </w:r>
      <w:r>
        <w:t>2026-07-19 00:00:00+00:00</w:t>
      </w:r>
      <w:r>
        <w:t xml:space="preserve">    </w:t>
      </w:r>
      <w:r>
        <w:rPr>
          <w:b/>
        </w:rPr>
        <w:t xml:space="preserve">DOI: </w:t>
      </w:r>
      <w:hyperlink r:id="rId959">
        <w:r>
          <w:rPr>
            <w:color w:val="1155CC"/>
            <w:u w:val="single"/>
          </w:rPr>
          <w:t>10.1021/acsami.6c03660</w:t>
        </w:r>
      </w:hyperlink>
    </w:p>
    <w:p>
      <w:pPr>
        <w:spacing w:before="0" w:after="120"/>
      </w:pPr>
      <w:r>
        <w:rPr>
          <w:b/>
        </w:rPr>
        <w:t xml:space="preserve">Notes: </w:t>
      </w:r>
      <w:r>
        <w:t>abstract_source=pubmed</w:t>
      </w:r>
    </w:p>
    <w:p>
      <w:pPr>
        <w:spacing w:before="0" w:after="80" w:lineRule="auto" w:line="276"/>
      </w:pPr>
      <w:r>
        <w:rPr>
          <w:b/>
        </w:rPr>
        <w:t xml:space="preserve">摘要（ZH）: </w:t>
      </w:r>
      <w:r>
        <w:t>能够存储和处理数据的突触设备对于模仿人脑的运作至关重要。在这项工作中，在具有热蒸发Ag顶部电极的ITO/玻璃基板上制造了无铅双钙钛矿Cs2AgBiBr6忆阻器，并系统地研究了它们的电阻开关（RS）和神经形态功能。该器件具有稳定的低电压 (+0.239 ± 0.018 V) 易失性电阻开关以及良好的周期再现性。超过 105 的最大开/关比可维持 24 个周期，而高于 102 的值可维持 1100 个周期。电学分析表明，开关行为受离子迁移引起的细丝形成的控制，主要涉及移动的 Br- 离子、VBr+ 空位和从电极注入的 Ag+ 离子。基于空间电荷限制传导和离子感应电场屏蔽，提出了详细的传导模型。此外，不稳定的RS特性能够实现受生物启发的突触功能，包括尖峰幅度依赖性可塑性（SADP）、尖峰数量依赖性可塑性（SNDP）和最大促进指数为169%的配对脉冲促进（PPF），在钙钛矿忆阻突触中具有竞争力。基于实验提取的突触权重更新规则，人工神经网络模拟实现了 98% 的峰值识别准确率。</w:t>
      </w:r>
    </w:p>
    <w:p>
      <w:pPr>
        <w:spacing w:before="0" w:after="200" w:lineRule="auto" w:line="276"/>
      </w:pPr>
      <w:r>
        <w:rPr>
          <w:b/>
        </w:rPr>
        <w:t xml:space="preserve">Abstract (EN): </w:t>
      </w:r>
      <w:r>
        <w:t>Synaptic devices that can store and process data are imperative to mimic the operation of the human brain. In this work, lead-free double perovskite Cs2AgBiBr6 memristors were fabricated on ITO/glass substrates with thermally evaporated Ag top electrodes and systematically investigated for their resistive switching (RS) and neuromorphic functionalities. The devices exhibit stable, low-voltage (+0.239 ± 0.018 V) volatile resistive switching with good cycle-to-cycle reproducibility. A maximum ON/OFF ratio exceeding 105 is maintained for 24 cycles, while values above 102 persist for 1100 cycles. Electrical analysis reveals that the switching behavior is governed by ion migration-induced filament formation, primarily involving mobile Br- ions, VBr+ vacancies, and Ag+ ions injected from the electrode. A detailed conduction model is proposed based on space charge-limited conduction and ion-induced electric field screening. Furthermore, the volatile RS characteristics enable biologically inspired synaptic functions, including spike amplitude-dependent plasticity (SADP), spike number-dependent plasticity (SNDP), and paired-pulse facilitation (PPF) with a maximum facilitation index of 169%, benchmarking competitively among perovskite memristive synapses. Based on experimentally extracted synaptic weight-update rules, an artificial neural network simulation achieved a peak recognition accuracy of 98%.</w:t>
      </w:r>
    </w:p>
    <w:p>
      <w:pPr>
        <w:spacing w:before="120" w:after="120"/>
      </w:pPr>
      <w:r>
        <w:rPr>
          <w:sz w:val="18"/>
        </w:rPr>
        <w:t>——————————————————————————————————————————————————————————————————————</w:t>
      </w:r>
    </w:p>
    <w:p>
      <w:pPr>
        <w:spacing w:before="160" w:after="40" w:line="240" w:lineRule="auto"/>
      </w:pPr>
      <w:r>
        <w:rPr>
          <w:b/>
        </w:rPr>
        <w:t xml:space="preserve">[226] </w:t>
      </w:r>
      <w:hyperlink r:id="rId960">
        <w:r>
          <w:rPr>
            <w:color w:val="1155CC"/>
            <w:u w:val="single"/>
          </w:rPr>
          <w:t>双重共识联合电力市场协调，以实现互联能源社区之间的隐私保护和民主化交易</w:t>
        </w:r>
      </w:hyperlink>
    </w:p>
    <w:p>
      <w:pPr>
        <w:spacing w:before="0" w:after="80"/>
      </w:pPr>
      <w:r>
        <w:rPr>
          <w:i/>
          <w:sz w:val="20"/>
        </w:rPr>
        <w:t>EN: Dual-consensus federated electricity market coordination for privacy-preserving and democratisation-aware trading across interconnected energy communities</w:t>
      </w:r>
    </w:p>
    <w:p>
      <w:pPr>
        <w:spacing w:before="0" w:after="120"/>
      </w:pPr>
      <w:r>
        <w:rPr>
          <w:b/>
        </w:rPr>
        <w:t xml:space="preserve">Source: </w:t>
      </w:r>
      <w:r>
        <w:t>ScienceDirect Publication: Applied Energy</w:t>
      </w:r>
      <w:r>
        <w:t xml:space="preserve">    </w:t>
      </w:r>
      <w:r>
        <w:rPr>
          <w:b/>
        </w:rPr>
        <w:t xml:space="preserve">Pub date: </w:t>
      </w:r>
      <w:r>
        <w:t>2026-07-19 00:00:00+00:00</w:t>
      </w:r>
      <w:r>
        <w:t xml:space="preserve">    </w:t>
      </w:r>
      <w:r>
        <w:rPr>
          <w:b/>
        </w:rPr>
        <w:t xml:space="preserve">DOI: </w:t>
      </w:r>
      <w:hyperlink r:id="rId961">
        <w:r>
          <w:rPr>
            <w:color w:val="1155CC"/>
            <w:u w:val="single"/>
          </w:rPr>
          <w:t>10.1016/j.apenergy.2026.128466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[227] </w:t>
      </w:r>
      <w:hyperlink r:id="rId962">
        <w:r>
          <w:rPr>
            <w:color w:val="1155CC"/>
            <w:u w:val="single"/>
          </w:rPr>
          <w:t>具有由镧系元素 f-f 跃迁驱动的 NIR-III 磁光活性的手性 3d-4f 簇</w:t>
        </w:r>
      </w:hyperlink>
    </w:p>
    <w:p>
      <w:pPr>
        <w:spacing w:before="0" w:after="80"/>
      </w:pPr>
      <w:r>
        <w:rPr>
          <w:i/>
          <w:sz w:val="20"/>
        </w:rPr>
        <w:t>EN: Chiral 3d–4f Clusters with NIR-III Magneto-Optical Activity Driven by Lanthanide f–f Transition</w:t>
      </w:r>
    </w:p>
    <w:p>
      <w:pPr>
        <w:spacing w:before="0" w:after="120"/>
      </w:pPr>
      <w:r>
        <w:rPr>
          <w:b/>
        </w:rPr>
        <w:t xml:space="preserve">Source: </w:t>
      </w:r>
      <w:r>
        <w:t>Journal of the American Chemical Society: Latest Articles (ACS Publications)</w:t>
      </w:r>
      <w:r>
        <w:t xml:space="preserve">    </w:t>
      </w:r>
      <w:r>
        <w:rPr>
          <w:b/>
        </w:rPr>
        <w:t xml:space="preserve">Pub date: </w:t>
      </w:r>
      <w:r>
        <w:t>2026-07-19 00:00:00+00:00</w:t>
      </w:r>
      <w:r>
        <w:t xml:space="preserve">    </w:t>
      </w:r>
      <w:r>
        <w:rPr>
          <w:b/>
        </w:rPr>
        <w:t xml:space="preserve">DOI: </w:t>
      </w:r>
      <w:hyperlink r:id="rId963">
        <w:r>
          <w:rPr>
            <w:color w:val="1155CC"/>
            <w:u w:val="single"/>
          </w:rPr>
          <w:t>10.1021/jacs.6c09349</w:t>
        </w:r>
      </w:hyperlink>
    </w:p>
    <w:p>
      <w:pPr>
        <w:spacing w:before="0" w:after="120"/>
      </w:pPr>
      <w:r>
        <w:rPr>
          <w:b/>
        </w:rPr>
        <w:t xml:space="preserve">Notes: </w:t>
      </w:r>
      <w:r>
        <w:t>abstract_source=pubmed</w:t>
      </w:r>
    </w:p>
    <w:p>
      <w:pPr>
        <w:spacing w:before="0" w:after="80" w:lineRule="auto" w:line="276"/>
      </w:pPr>
      <w:r>
        <w:rPr>
          <w:b/>
        </w:rPr>
        <w:t xml:space="preserve">摘要（ZH）: </w:t>
      </w:r>
      <w:r>
        <w:t>在近红外 III（NIR-III，1600-2500 nm）区域具有强磁光响应的手性分子材料对于光子学、生物医学和先进光学材料的应用具有吸引力，但该光谱窗口中的分子磁光现象在很大程度上仍未得到探索。在这里，我们报告了六对手性3d-4f分子簇R/S-Ln3Mn4和R/S-Ln12Mn12（Ln = HoIII、TbIII和YIII），并系统地研究了它们在NIR-III区域的手性光学和磁光特性。圆二色性 (CD) 和磁圆二色性 (MCD) 光谱表明，R/S-Ho3Mn4 和 R/S-Ho12Mn12 团簇在 NIR-III 区域中由于长波长 HoIII f-f 跃迁表现出明显的 CD 和 MCD 响应，而 R/S-Tb3Mn4 和 R/S-Tb12Mn12 显示出强烈的 MCD 响应，但没有解析的 CD 信号。这些发现确定长波长镧系元素 f-f 跃迁是 NIR-III 手性光学和磁光活动的起源。值得注意的是，R/S-Ln12Mn12 系列比相应的 R/S-Ln3Mn4 类似物表现出更大的 gMCD 值和更强的 NIR-III MCD 响应。这种增强可能源于局部 LnIII 配位几何结构从 Ln3Mn4 中的 D4d 到 Ln12Mn12 中的 D2d 的变化，这有利于更强的塞曼扰动 MCD 响应，以及 Ln12Mn12 中协同的 LnIII-MnII 弱磁相互作用。这项工作提供了第一个跨越 NIR-III 窗口的 f-f-跃迁驱动的手性光和磁光活性的分子例子，并建立了手性 3d-4f 簇作为 tun 的结构定义平台。</w:t>
      </w:r>
    </w:p>
    <w:p>
      <w:pPr>
        <w:spacing w:before="0" w:after="200" w:lineRule="auto" w:line="276"/>
      </w:pPr>
      <w:r>
        <w:rPr>
          <w:b/>
        </w:rPr>
        <w:t xml:space="preserve">Abstract (EN): </w:t>
      </w:r>
      <w:r>
        <w:t>Chiral molecular materials with strong magneto-optical responses in the near-infrared III (NIR-III, 1600-2500 nm) region are attractive for applications in photonics, biomedicine, and advanced optical materials, but molecular magneto-optical phenomena in this spectral window remain largely unexplored. Here, we report six pairs of chiral 3d-4f molecular clusters, R/S-Ln3Mn4 and R/S-Ln12Mn12 (Ln = HoIII, TbIII, and YIII), and systematically investigate their chiroptical and magneto-optical properties in the NIR-III region. Circular dichroism (CD) and magnetic circular dichroism (MCD) spectroscopy reveal that R/S-Ho3Mn4 and R/S-Ho12Mn12 clusters exhibit pronounced CD and MCD responses in the NIR-III region arising from long-wavelength HoIII f-f transitions, whereas R/S-Tb3Mn4 and R/S-Tb12Mn12 show strong MCD responses but no resolved CD signals. These findings identify long-wavelength lanthanide f-f transitions as the origin of the NIR-III chiroptical and magneto-optical activity. Notably, the R/S-Ln12Mn12 series exhibits larger gMCD values and stronger NIR-III MCD responses than the corresponding R/S-Ln3Mn4 analogues. This enhancement may arise from the change in local LnIII coordination geometry from D4d in Ln3Mn4 to D2d in Ln12Mn12, which favors a stronger Zeeman-perturbed MCD response, along with cooperative LnIII-MnII weak magnetic interactions in Ln12Mn12. This work provides the first molecular example of f-f-transition-driven chiroptical and magneto-optical activity across the NIR-III window and establishes chiral 3d-4f clusters as structurally defined platforms for tuning long-wavelength magneto-optical responses.</w:t>
      </w:r>
    </w:p>
    <w:p>
      <w:pPr>
        <w:spacing w:before="120" w:after="120"/>
      </w:pPr>
      <w:r>
        <w:rPr>
          <w:sz w:val="18"/>
        </w:rPr>
        <w:t>——————————————————————————————————————————————————————————————————————</w:t>
      </w:r>
    </w:p>
    <w:p>
      <w:pPr>
        <w:spacing w:before="160" w:after="40" w:line="240" w:lineRule="auto"/>
      </w:pPr>
      <w:r>
        <w:rPr>
          <w:b/>
        </w:rPr>
        <w:t xml:space="preserve">[228] </w:t>
      </w:r>
      <w:hyperlink r:id="rId964">
        <w:r>
          <w:rPr>
            <w:color w:val="1155CC"/>
            <w:u w:val="single"/>
          </w:rPr>
          <w:t>使用聚合物电解质膜印模对银微结构进行全固态、无掩模电沉积</w:t>
        </w:r>
      </w:hyperlink>
    </w:p>
    <w:p>
      <w:pPr>
        <w:spacing w:before="0" w:after="80"/>
      </w:pPr>
      <w:r>
        <w:rPr>
          <w:i/>
          <w:sz w:val="20"/>
        </w:rPr>
        <w:t>EN: All-Solid-State, Maskless Electrodeposition of Ag Microstructures Using a Polymer Electrolyte Membrane Stamp</w:t>
      </w:r>
    </w:p>
    <w:p>
      <w:pPr>
        <w:spacing w:before="0" w:after="120"/>
      </w:pPr>
      <w:r>
        <w:rPr>
          <w:b/>
        </w:rPr>
        <w:t xml:space="preserve">Source: </w:t>
      </w:r>
      <w:r>
        <w:t>ACS Applied Materials &amp; Interfaces: Latest Articles (ACS Publications)</w:t>
      </w:r>
      <w:r>
        <w:t xml:space="preserve">    </w:t>
      </w:r>
      <w:r>
        <w:rPr>
          <w:b/>
        </w:rPr>
        <w:t xml:space="preserve">Pub date: </w:t>
      </w:r>
      <w:r>
        <w:t>2026-07-19 00:00:00+00:00</w:t>
      </w:r>
      <w:r>
        <w:t xml:space="preserve">    </w:t>
      </w:r>
      <w:r>
        <w:rPr>
          <w:b/>
        </w:rPr>
        <w:t xml:space="preserve">DOI: </w:t>
      </w:r>
      <w:hyperlink r:id="rId965">
        <w:r>
          <w:rPr>
            <w:color w:val="1155CC"/>
            <w:u w:val="single"/>
          </w:rPr>
          <w:t>10.1021/acsami.6c07788</w:t>
        </w:r>
      </w:hyperlink>
    </w:p>
    <w:p>
      <w:pPr>
        <w:spacing w:before="0" w:after="120"/>
      </w:pPr>
      <w:r>
        <w:rPr>
          <w:b/>
        </w:rPr>
        <w:t xml:space="preserve">Notes: </w:t>
      </w:r>
      <w:r>
        <w:t>abstract_source=pubmed</w:t>
      </w:r>
    </w:p>
    <w:p>
      <w:pPr>
        <w:spacing w:before="0" w:after="80" w:lineRule="auto" w:line="276"/>
      </w:pPr>
      <w:r>
        <w:rPr>
          <w:b/>
        </w:rPr>
        <w:t xml:space="preserve">摘要（ZH）: </w:t>
      </w:r>
      <w:r>
        <w:t>银微米和纳米结构表面在光电器件和生物/化学传感中发挥着重要作用，特别是在需要机械灵活性的应用中。传统的图案化方法依赖于自上而下的工艺，涉及复杂的光刻步骤，导致高材料消耗和环境负担。自下而上的方法可以直接形成金属图案，但受到图案分辨率不足的限制。在此，我们报告了一种采用聚合物电解质膜（PEM）印模的全固态电沉积工艺，用于在柔性基板上直接制造多尺度银图案。由银阳极/PEM 界面处的阳极溶解提供的银离子通过 PEM 中的纳米级水通道传输，无需液体电解质即可实现电沉积。电化学测量阐明了 PEM 和电极之间的界面反应。电子和 X 射线分析证实了阴极-PEM 界面处形成了金属银薄膜。环境湿度控制图案的形成：低湿度条件通过接触区域沉积产生正图案，而高湿度条件通过非接触区域的水辅助Ag+传输产生负图案。在优化的条件下，获得了特征尺寸从数百纳米到亚毫米级的银图案。沉积的银薄膜表现出导电性、机械稳定性和增强的拉曼信号，证明了其柔性的概念验证实用性</w:t>
      </w:r>
    </w:p>
    <w:p>
      <w:pPr>
        <w:spacing w:before="0" w:after="200" w:lineRule="auto" w:line="276"/>
      </w:pPr>
      <w:r>
        <w:rPr>
          <w:b/>
        </w:rPr>
        <w:t xml:space="preserve">Abstract (EN): </w:t>
      </w:r>
      <w:r>
        <w:t>Ag micro- and nanostructured surfaces play an important role in optoelectronic devices and bio/chemical sensing, particularly in applications that require mechanical flexibility. Conventional patterning methods rely on top-down processes that involve complex lithographic steps, resulting in high material consumption and environmental burden. Bottom-up approaches enable the direct formation of metallic patterns but are limited by insufficient patterning resolution. Herein, we report an all-solid-state electrodeposition process employing a polymer electrolyte membrane (PEM) stamp for the direct fabrication of multiscale Ag patterns on flexible substrates. Ag ions supplied by anodic dissolution at the Ag anode/PEM interface are transported through nanoscale water channels in the PEM, enabling electrodeposition without liquid electrolytes. Electrochemical measurements clarified the interfacial reactions between the PEM and the electrodes. Electron and X-ray analyses confirmed the formation of metallic Ag films at the cathode-PEM interface. Ambient humidity governs pattern formation: low-humidity conditions yield positive patterns via contact-region deposition, whereas high-humidity conditions produce negative patterns through water-assisted Ag+ transport in noncontact regions. Under optimized conditions, Ag patterns with feature sizes ranging from several hundred nanometers to the submillimeter scale were achieved. The deposited Ag films exhibited electrical conductivity, mechanical stability, and enhanced Raman signals, demonstrating their proof-of-concept utility as flexible conductive structures and plasmonic sensing substrates.</w:t>
      </w:r>
    </w:p>
    <w:p>
      <w:pPr>
        <w:spacing w:before="120" w:after="120"/>
      </w:pPr>
      <w:r>
        <w:rPr>
          <w:sz w:val="18"/>
        </w:rPr>
        <w:t>——————————————————————————————————————————————————————————————————————</w:t>
      </w:r>
    </w:p>
    <w:p>
      <w:pPr>
        <w:spacing w:before="160" w:after="40" w:line="240" w:lineRule="auto"/>
      </w:pPr>
      <w:r>
        <w:rPr>
          <w:b/>
        </w:rPr>
        <w:t xml:space="preserve">[229] </w:t>
      </w:r>
      <w:hyperlink r:id="rId966">
        <w:r>
          <w:rPr>
            <w:color w:val="1155CC"/>
            <w:u w:val="single"/>
          </w:rPr>
          <w:t>对“用于胰腺癌铜垂免疫治疗的半导体聚合物纳米反应器的声诺触发级联乳酸消耗”的更正</w:t>
        </w:r>
      </w:hyperlink>
    </w:p>
    <w:p>
      <w:pPr>
        <w:spacing w:before="0" w:after="80"/>
      </w:pPr>
      <w:r>
        <w:rPr>
          <w:i/>
          <w:sz w:val="20"/>
        </w:rPr>
        <w:t>EN: Correction to “Sono‐Triggered Cascade Lactate Depletion by Semiconducting Polymer Nanoreactors for Cuproptosis‐Immunotherapy of Pancreatic Cancer”</w:t>
      </w:r>
    </w:p>
    <w:p>
      <w:pPr>
        <w:spacing w:before="0" w:after="120"/>
      </w:pPr>
      <w:r>
        <w:rPr>
          <w:b/>
        </w:rPr>
        <w:t xml:space="preserve">Source: </w:t>
      </w:r>
      <w:r>
        <w:t>Wiley: Angewandte Chemie International Edition: Table of Contents</w:t>
      </w:r>
      <w:r>
        <w:t xml:space="preserve">    </w:t>
      </w:r>
      <w:r>
        <w:rPr>
          <w:b/>
        </w:rPr>
        <w:t xml:space="preserve">Pub date: </w:t>
      </w:r>
      <w:r>
        <w:t>2026-07-19 10:26:10+00:00</w:t>
      </w:r>
      <w:r>
        <w:t xml:space="preserve">    </w:t>
      </w:r>
      <w:r>
        <w:rPr>
          <w:b/>
        </w:rPr>
        <w:t xml:space="preserve">DOI: </w:t>
      </w:r>
      <w:hyperlink r:id="rId967">
        <w:r>
          <w:rPr>
            <w:color w:val="1155CC"/>
            <w:u w:val="single"/>
          </w:rPr>
          <w:t>10.1002/anie.2536622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[230] </w:t>
      </w:r>
      <w:hyperlink r:id="rId968">
        <w:r>
          <w:rPr>
            <w:color w:val="1155CC"/>
            <w:u w:val="single"/>
          </w:rPr>
          <w:t>认识海洋热浪对人类健康的影响</w:t>
        </w:r>
      </w:hyperlink>
    </w:p>
    <w:p>
      <w:pPr>
        <w:spacing w:before="0" w:after="80"/>
      </w:pPr>
      <w:r>
        <w:rPr>
          <w:i/>
          <w:sz w:val="20"/>
        </w:rPr>
        <w:t>EN: Recognizing the human health impacts of marine heatwaves</w:t>
      </w:r>
    </w:p>
    <w:p>
      <w:pPr>
        <w:spacing w:before="0" w:after="120"/>
      </w:pPr>
      <w:r>
        <w:rPr>
          <w:b/>
        </w:rPr>
        <w:t xml:space="preserve">Source: </w:t>
      </w:r>
      <w:r>
        <w:t>Nature Sustainability</w:t>
      </w:r>
      <w:r>
        <w:t xml:space="preserve">    </w:t>
      </w:r>
      <w:r>
        <w:rPr>
          <w:b/>
        </w:rPr>
        <w:t xml:space="preserve">Pub date: </w:t>
      </w:r>
      <w:r>
        <w:t>2026-07-20 00:00:00+00:00</w:t>
      </w:r>
      <w:r>
        <w:t xml:space="preserve">    </w:t>
      </w:r>
      <w:r>
        <w:rPr>
          <w:b/>
        </w:rPr>
        <w:t xml:space="preserve">DOI: </w:t>
      </w:r>
      <w:hyperlink r:id="rId969">
        <w:r>
          <w:rPr>
            <w:color w:val="1155CC"/>
            <w:u w:val="single"/>
          </w:rPr>
          <w:t>10.1038/s41893-026-01892-x</w:t>
        </w:r>
      </w:hyperlink>
    </w:p>
    <w:p>
      <w:pPr>
        <w:spacing w:before="0" w:after="120"/>
      </w:pPr>
      <w:r>
        <w:rPr>
          <w:b/>
        </w:rPr>
        <w:t xml:space="preserve">Notes: </w:t>
      </w:r>
      <w:r>
        <w:t>abstract_source=rss_nature</w:t>
      </w:r>
    </w:p>
    <w:p>
      <w:pPr>
        <w:spacing w:before="0" w:after="80" w:lineRule="auto" w:line="276"/>
      </w:pPr>
      <w:r>
        <w:rPr>
          <w:b/>
        </w:rPr>
        <w:t xml:space="preserve">摘要（ZH）: </w:t>
      </w:r>
      <w:r>
        <w:t>尽管海洋热浪的物理和生态影响已广为人知，但其对人类健康的连锁后果仍知之甚少。我们认为，海洋热浪造成的身心健康风险日益增加，必须将其视为一个独特的核心气候问题，需要采取预防性行动。</w:t>
      </w:r>
    </w:p>
    <w:p>
      <w:pPr>
        <w:spacing w:before="0" w:after="200" w:lineRule="auto" w:line="276"/>
      </w:pPr>
      <w:r>
        <w:rPr>
          <w:b/>
        </w:rPr>
        <w:t xml:space="preserve">Abstract (EN): </w:t>
      </w:r>
      <w:r>
        <w:t>Although the physical and ecological impacts of marine heatwaves are well recognized, their cascading consequences for human health remain poorly understood. We argue that marine heatwaves pose growing physical and mental health risks that must be treated as a distinct, core climate concern requiring anticipatory action.</w:t>
      </w:r>
    </w:p>
    <w:p>
      <w:pPr>
        <w:spacing w:before="120" w:after="120"/>
      </w:pPr>
      <w:r>
        <w:rPr>
          <w:sz w:val="18"/>
        </w:rPr>
        <w:t>——————————————————————————————————————————————————————————————————————</w:t>
      </w:r>
    </w:p>
    <w:p>
      <w:pPr>
        <w:spacing w:before="160" w:after="40" w:line="240" w:lineRule="auto"/>
      </w:pPr>
      <w:r>
        <w:rPr>
          <w:b/>
        </w:rPr>
        <w:t xml:space="preserve">[231] </w:t>
      </w:r>
      <w:hyperlink r:id="rId970">
        <w:r>
          <w:rPr>
            <w:color w:val="1155CC"/>
            <w:u w:val="single"/>
          </w:rPr>
          <w:t>超越贵金属</w:t>
        </w:r>
      </w:hyperlink>
    </w:p>
    <w:p>
      <w:pPr>
        <w:spacing w:before="0" w:after="80"/>
      </w:pPr>
      <w:r>
        <w:rPr>
          <w:i/>
          <w:sz w:val="20"/>
        </w:rPr>
        <w:t>EN: Beyond noble metals</w:t>
      </w:r>
    </w:p>
    <w:p>
      <w:pPr>
        <w:spacing w:before="0" w:after="120"/>
      </w:pPr>
      <w:r>
        <w:rPr>
          <w:b/>
        </w:rPr>
        <w:t xml:space="preserve">Source: </w:t>
      </w:r>
      <w:r>
        <w:t>Nature Chemical Engineering</w:t>
      </w:r>
      <w:r>
        <w:t xml:space="preserve">    </w:t>
      </w:r>
      <w:r>
        <w:rPr>
          <w:b/>
        </w:rPr>
        <w:t xml:space="preserve">Pub date: </w:t>
      </w:r>
      <w:r>
        <w:t>2026-07-20 00:00:00+00:00</w:t>
      </w:r>
      <w:r>
        <w:t xml:space="preserve">    </w:t>
      </w:r>
      <w:r>
        <w:rPr>
          <w:b/>
        </w:rPr>
        <w:t xml:space="preserve">DOI: </w:t>
      </w:r>
      <w:hyperlink r:id="rId971">
        <w:r>
          <w:rPr>
            <w:color w:val="1155CC"/>
            <w:u w:val="single"/>
          </w:rPr>
          <w:t>10.1038/s44286-026-00421-z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[232] </w:t>
      </w:r>
      <w:hyperlink r:id="rId972">
        <w:r>
          <w:rPr>
            <w:color w:val="1155CC"/>
            <w:u w:val="single"/>
          </w:rPr>
          <w:t>按 Feed 过滤</w:t>
        </w:r>
      </w:hyperlink>
    </w:p>
    <w:p>
      <w:pPr>
        <w:spacing w:before="0" w:after="80"/>
      </w:pPr>
      <w:r>
        <w:rPr>
          <w:i/>
          <w:sz w:val="20"/>
        </w:rPr>
        <w:t>EN: Filtered by the feed</w:t>
      </w:r>
    </w:p>
    <w:p>
      <w:pPr>
        <w:spacing w:before="0" w:after="120"/>
      </w:pPr>
      <w:r>
        <w:rPr>
          <w:b/>
        </w:rPr>
        <w:t xml:space="preserve">Source: </w:t>
      </w:r>
      <w:r>
        <w:t>Nature Chemical Engineering</w:t>
      </w:r>
      <w:r>
        <w:t xml:space="preserve">    </w:t>
      </w:r>
      <w:r>
        <w:rPr>
          <w:b/>
        </w:rPr>
        <w:t xml:space="preserve">Pub date: </w:t>
      </w:r>
      <w:r>
        <w:t>2026-07-20 00:00:00+00:00</w:t>
      </w:r>
      <w:r>
        <w:t xml:space="preserve">    </w:t>
      </w:r>
      <w:r>
        <w:rPr>
          <w:b/>
        </w:rPr>
        <w:t xml:space="preserve">DOI: </w:t>
      </w:r>
      <w:hyperlink r:id="rId973">
        <w:r>
          <w:rPr>
            <w:color w:val="1155CC"/>
            <w:u w:val="single"/>
          </w:rPr>
          <w:t>10.1038/s44286-026-00422-y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[233] </w:t>
      </w:r>
      <w:hyperlink r:id="rId974">
        <w:r>
          <w:rPr>
            <w:color w:val="1155CC"/>
            <w:u w:val="single"/>
          </w:rPr>
          <w:t>欧洲湿地的详细地图揭示了被忽视的生态系统斑块</w:t>
        </w:r>
      </w:hyperlink>
    </w:p>
    <w:p>
      <w:pPr>
        <w:spacing w:before="0" w:after="80"/>
      </w:pPr>
      <w:r>
        <w:rPr>
          <w:i/>
          <w:sz w:val="20"/>
        </w:rPr>
        <w:t>EN: Detailed maps of European wetlands reveal overlooked patches of ecosystems</w:t>
      </w:r>
    </w:p>
    <w:p>
      <w:pPr>
        <w:spacing w:before="0" w:after="120"/>
      </w:pPr>
      <w:r>
        <w:rPr>
          <w:b/>
        </w:rPr>
        <w:t xml:space="preserve">Source: </w:t>
      </w:r>
      <w:r>
        <w:t>Nature</w:t>
      </w:r>
      <w:r>
        <w:t xml:space="preserve">    </w:t>
      </w:r>
      <w:r>
        <w:rPr>
          <w:b/>
        </w:rPr>
        <w:t xml:space="preserve">Pub date: </w:t>
      </w:r>
      <w:r>
        <w:t>2026-07-20 00:00:00+00:00</w:t>
      </w:r>
      <w:r>
        <w:t xml:space="preserve">    </w:t>
      </w:r>
      <w:r>
        <w:rPr>
          <w:b/>
        </w:rPr>
        <w:t xml:space="preserve">DOI: </w:t>
      </w:r>
      <w:hyperlink r:id="rId975">
        <w:r>
          <w:rPr>
            <w:color w:val="1155CC"/>
            <w:u w:val="single"/>
          </w:rPr>
          <w:t>10.1038/d41586-026-02211-2</w:t>
        </w:r>
      </w:hyperlink>
    </w:p>
    <w:p>
      <w:pPr>
        <w:spacing w:before="0" w:after="120"/>
      </w:pPr>
      <w:r>
        <w:rPr>
          <w:b/>
        </w:rPr>
        <w:t xml:space="preserve">Notes: </w:t>
      </w:r>
      <w:r>
        <w:t>abstract_source=rss_nature</w:t>
      </w:r>
    </w:p>
    <w:p>
      <w:pPr>
        <w:spacing w:before="0" w:after="80" w:lineRule="auto" w:line="276"/>
      </w:pPr>
      <w:r>
        <w:rPr>
          <w:b/>
        </w:rPr>
        <w:t xml:space="preserve">摘要（ZH）: </w:t>
      </w:r>
      <w:r>
        <w:t>卫星图像已通过机器学习算法进行分析，以生成湿地环境的高分辨率地图，这对保护工作来说是一个福音。</w:t>
      </w:r>
    </w:p>
    <w:p>
      <w:pPr>
        <w:spacing w:before="0" w:after="200" w:lineRule="auto" w:line="276"/>
      </w:pPr>
      <w:r>
        <w:rPr>
          <w:b/>
        </w:rPr>
        <w:t xml:space="preserve">Abstract (EN): </w:t>
      </w:r>
      <w:r>
        <w:t>Satellite images have been analysed by a machine-learning algorithm to produce high-resolution maps of wetland environments — a boon for conservation efforts.</w:t>
      </w:r>
    </w:p>
    <w:p>
      <w:pPr>
        <w:spacing w:before="120" w:after="120"/>
      </w:pPr>
      <w:r>
        <w:rPr>
          <w:sz w:val="18"/>
        </w:rPr>
        <w:t>——————————————————————————————————————————————————————————————————————</w:t>
      </w:r>
    </w:p>
    <w:p>
      <w:pPr>
        <w:spacing w:before="160" w:after="40" w:line="240" w:lineRule="auto"/>
      </w:pPr>
      <w:r>
        <w:rPr>
          <w:b/>
        </w:rPr>
        <w:t xml:space="preserve">[234] </w:t>
      </w:r>
      <w:hyperlink r:id="rId976">
        <w:r>
          <w:rPr>
            <w:color w:val="1155CC"/>
            <w:u w:val="single"/>
          </w:rPr>
          <w:t>美国国立卫生研究院病毒学家走私指控引发政治轩然大波</w:t>
        </w:r>
      </w:hyperlink>
    </w:p>
    <w:p>
      <w:pPr>
        <w:spacing w:before="0" w:after="80"/>
      </w:pPr>
      <w:r>
        <w:rPr>
          <w:i/>
          <w:sz w:val="20"/>
        </w:rPr>
        <w:t>EN: Smuggling charges against NIH virologists trigger political uproar</w:t>
      </w:r>
    </w:p>
    <w:p>
      <w:pPr>
        <w:spacing w:before="0" w:after="120"/>
      </w:pPr>
      <w:r>
        <w:rPr>
          <w:b/>
        </w:rPr>
        <w:t xml:space="preserve">Source: </w:t>
      </w:r>
      <w:r>
        <w:t>Nature</w:t>
      </w:r>
      <w:r>
        <w:t xml:space="preserve">    </w:t>
      </w:r>
      <w:r>
        <w:rPr>
          <w:b/>
        </w:rPr>
        <w:t xml:space="preserve">Pub date: </w:t>
      </w:r>
      <w:r>
        <w:t>2026-07-20 00:00:00+00:00</w:t>
      </w:r>
      <w:r>
        <w:t xml:space="preserve">    </w:t>
      </w:r>
      <w:r>
        <w:rPr>
          <w:b/>
        </w:rPr>
        <w:t xml:space="preserve">DOI: </w:t>
      </w:r>
      <w:hyperlink r:id="rId977">
        <w:r>
          <w:rPr>
            <w:color w:val="1155CC"/>
            <w:u w:val="single"/>
          </w:rPr>
          <w:t>10.1038/d41586-026-01995-7</w:t>
        </w:r>
      </w:hyperlink>
    </w:p>
    <w:p>
      <w:pPr>
        <w:spacing w:before="0" w:after="120"/>
      </w:pPr>
      <w:r>
        <w:rPr>
          <w:b/>
        </w:rPr>
        <w:t xml:space="preserve">Notes: </w:t>
      </w:r>
      <w:r>
        <w:t>abstract_source=rss_nature</w:t>
      </w:r>
    </w:p>
    <w:p>
      <w:pPr>
        <w:spacing w:before="0" w:after="80" w:lineRule="auto" w:line="276"/>
      </w:pPr>
      <w:r>
        <w:rPr>
          <w:b/>
        </w:rPr>
        <w:t xml:space="preserve">摘要（ZH）: </w:t>
      </w:r>
      <w:r>
        <w:t>其他研究人员表示，行李中的非传染性病毒样本不会构成风险，但可能违反了进口规定。</w:t>
      </w:r>
    </w:p>
    <w:p>
      <w:pPr>
        <w:spacing w:before="0" w:after="200" w:lineRule="auto" w:line="276"/>
      </w:pPr>
      <w:r>
        <w:rPr>
          <w:b/>
        </w:rPr>
        <w:t xml:space="preserve">Abstract (EN): </w:t>
      </w:r>
      <w:r>
        <w:t>Other researchers say that non-infectious viral samples in luggage posed no risk, but might have violated import rules.</w:t>
      </w:r>
    </w:p>
    <w:p>
      <w:pPr>
        <w:spacing w:before="120" w:after="120"/>
      </w:pPr>
      <w:r>
        <w:rPr>
          <w:sz w:val="18"/>
        </w:rPr>
        <w:t>——————————————————————————————————————————————————————————————————————</w:t>
      </w:r>
    </w:p>
    <w:p>
      <w:pPr>
        <w:spacing w:before="160" w:after="40" w:line="240" w:lineRule="auto"/>
      </w:pPr>
      <w:r>
        <w:rPr>
          <w:b/>
        </w:rPr>
        <w:t xml:space="preserve">[235] </w:t>
      </w:r>
      <w:hyperlink r:id="rId978">
        <w:r>
          <w:rPr>
            <w:color w:val="1155CC"/>
            <w:u w:val="single"/>
          </w:rPr>
          <w:t>预见科学：如何让您的研究面向未来</w:t>
        </w:r>
      </w:hyperlink>
    </w:p>
    <w:p>
      <w:pPr>
        <w:spacing w:before="0" w:after="80"/>
      </w:pPr>
      <w:r>
        <w:rPr>
          <w:i/>
          <w:sz w:val="20"/>
        </w:rPr>
        <w:t>EN: The science of foresight: how to future-proof your research</w:t>
      </w:r>
    </w:p>
    <w:p>
      <w:pPr>
        <w:spacing w:before="0" w:after="120"/>
      </w:pPr>
      <w:r>
        <w:rPr>
          <w:b/>
        </w:rPr>
        <w:t xml:space="preserve">Source: </w:t>
      </w:r>
      <w:r>
        <w:t>Nature</w:t>
      </w:r>
      <w:r>
        <w:t xml:space="preserve">    </w:t>
      </w:r>
      <w:r>
        <w:rPr>
          <w:b/>
        </w:rPr>
        <w:t xml:space="preserve">Pub date: </w:t>
      </w:r>
      <w:r>
        <w:t>2026-07-20 00:00:00+00:00</w:t>
      </w:r>
      <w:r>
        <w:t xml:space="preserve">    </w:t>
      </w:r>
      <w:r>
        <w:rPr>
          <w:b/>
        </w:rPr>
        <w:t xml:space="preserve">DOI: </w:t>
      </w:r>
      <w:hyperlink r:id="rId979">
        <w:r>
          <w:rPr>
            <w:color w:val="1155CC"/>
            <w:u w:val="single"/>
          </w:rPr>
          <w:t>10.1038/d41586-026-02231-y</w:t>
        </w:r>
      </w:hyperlink>
    </w:p>
    <w:p>
      <w:pPr>
        <w:spacing w:before="0" w:after="120"/>
      </w:pPr>
      <w:r>
        <w:rPr>
          <w:b/>
        </w:rPr>
        <w:t xml:space="preserve">Notes: </w:t>
      </w:r>
      <w:r>
        <w:t>abstract_source=rss_nature</w:t>
      </w:r>
    </w:p>
    <w:p>
      <w:pPr>
        <w:spacing w:before="0" w:after="80" w:lineRule="auto" w:line="276"/>
      </w:pPr>
      <w:r>
        <w:rPr>
          <w:b/>
        </w:rPr>
        <w:t xml:space="preserve">摘要（ZH）: </w:t>
      </w:r>
      <w:r>
        <w:t>从一开始就预测研究项目可能成功或失败的各种方式可以避免以后出现问题。以下是具体操作方法。</w:t>
      </w:r>
    </w:p>
    <w:p>
      <w:pPr>
        <w:spacing w:before="0" w:after="200" w:lineRule="auto" w:line="276"/>
      </w:pPr>
      <w:r>
        <w:rPr>
          <w:b/>
        </w:rPr>
        <w:t xml:space="preserve">Abstract (EN): </w:t>
      </w:r>
      <w:r>
        <w:t>Anticipating from the start the various ways a research programme can succeed or fail can avoid problems later. Here’s how to do it.</w:t>
      </w:r>
    </w:p>
    <w:p>
      <w:pPr>
        <w:spacing w:before="120" w:after="120"/>
      </w:pPr>
      <w:r>
        <w:rPr>
          <w:sz w:val="18"/>
        </w:rPr>
        <w:t>——————————————————————————————————————————————————————————————————————</w:t>
      </w:r>
    </w:p>
    <w:p>
      <w:pPr>
        <w:spacing w:before="160" w:after="40" w:line="240" w:lineRule="auto"/>
      </w:pPr>
      <w:r>
        <w:rPr>
          <w:b/>
        </w:rPr>
        <w:t xml:space="preserve">[236] </w:t>
      </w:r>
      <w:hyperlink r:id="rId980">
        <w:r>
          <w:rPr>
            <w:color w:val="1155CC"/>
            <w:u w:val="single"/>
          </w:rPr>
          <w:t>大规模研究首次发现边缘型人格障碍的遗传线索</w:t>
        </w:r>
      </w:hyperlink>
    </w:p>
    <w:p>
      <w:pPr>
        <w:spacing w:before="0" w:after="80"/>
      </w:pPr>
      <w:r>
        <w:rPr>
          <w:i/>
          <w:sz w:val="20"/>
        </w:rPr>
        <w:t>EN: Huge study finds first genetic clues for borderline personality disorder</w:t>
      </w:r>
    </w:p>
    <w:p>
      <w:pPr>
        <w:spacing w:before="0" w:after="120"/>
      </w:pPr>
      <w:r>
        <w:rPr>
          <w:b/>
        </w:rPr>
        <w:t xml:space="preserve">Source: </w:t>
      </w:r>
      <w:r>
        <w:t>Nature</w:t>
      </w:r>
      <w:r>
        <w:t xml:space="preserve">    </w:t>
      </w:r>
      <w:r>
        <w:rPr>
          <w:b/>
        </w:rPr>
        <w:t xml:space="preserve">Pub date: </w:t>
      </w:r>
      <w:r>
        <w:t>2026-07-20 00:00:00+00:00</w:t>
      </w:r>
      <w:r>
        <w:t xml:space="preserve">    </w:t>
      </w:r>
      <w:r>
        <w:rPr>
          <w:b/>
        </w:rPr>
        <w:t xml:space="preserve">DOI: </w:t>
      </w:r>
      <w:hyperlink r:id="rId981">
        <w:r>
          <w:rPr>
            <w:color w:val="1155CC"/>
            <w:u w:val="single"/>
          </w:rPr>
          <w:t>10.1038/d41586-026-02220-1</w:t>
        </w:r>
      </w:hyperlink>
    </w:p>
    <w:p>
      <w:pPr>
        <w:spacing w:before="0" w:after="120"/>
      </w:pPr>
      <w:r>
        <w:rPr>
          <w:b/>
        </w:rPr>
        <w:t xml:space="preserve">Notes: </w:t>
      </w:r>
      <w:r>
        <w:t>abstract_source=rss_nature</w:t>
      </w:r>
    </w:p>
    <w:p>
      <w:pPr>
        <w:spacing w:before="0" w:after="80" w:lineRule="auto" w:line="276"/>
      </w:pPr>
      <w:r>
        <w:rPr>
          <w:b/>
        </w:rPr>
        <w:t xml:space="preserve">摘要（ZH）: </w:t>
      </w:r>
      <w:r>
        <w:t>迄今为止对这种疾病进行的最大规模的遗传分析发现了人类基因组中的 11 个相关位置。</w:t>
      </w:r>
    </w:p>
    <w:p>
      <w:pPr>
        <w:spacing w:before="0" w:after="200" w:lineRule="auto" w:line="276"/>
      </w:pPr>
      <w:r>
        <w:rPr>
          <w:b/>
        </w:rPr>
        <w:t xml:space="preserve">Abstract (EN): </w:t>
      </w:r>
      <w:r>
        <w:t>Largest genetic analysis of the condition so far finds 11 linked locations in the human genome.</w:t>
      </w:r>
    </w:p>
    <w:p>
      <w:pPr>
        <w:spacing w:before="120" w:after="120"/>
      </w:pPr>
      <w:r>
        <w:rPr>
          <w:sz w:val="18"/>
        </w:rPr>
        <w:t>——————————————————————————————————————————————————————————————————————</w:t>
      </w:r>
    </w:p>
    <w:p>
      <w:pPr>
        <w:spacing w:before="160" w:after="40" w:line="240" w:lineRule="auto"/>
      </w:pPr>
      <w:r>
        <w:rPr>
          <w:b/>
        </w:rPr>
        <w:t xml:space="preserve">[237] </w:t>
      </w:r>
      <w:hyperlink r:id="rId982">
        <w:r>
          <w:rPr>
            <w:color w:val="1155CC"/>
            <w:u w:val="single"/>
          </w:rPr>
          <w:t>我的行业职位面试毫无进展。我如何让自己脱颖而出？</w:t>
        </w:r>
      </w:hyperlink>
    </w:p>
    <w:p>
      <w:pPr>
        <w:spacing w:before="0" w:after="80"/>
      </w:pPr>
      <w:r>
        <w:rPr>
          <w:i/>
          <w:sz w:val="20"/>
        </w:rPr>
        <w:t>EN: My job interviews for industry positions are going nowhere. How do I make myself stand out?</w:t>
      </w:r>
    </w:p>
    <w:p>
      <w:pPr>
        <w:spacing w:before="0" w:after="120"/>
      </w:pPr>
      <w:r>
        <w:rPr>
          <w:b/>
        </w:rPr>
        <w:t xml:space="preserve">Source: </w:t>
      </w:r>
      <w:r>
        <w:t>Nature</w:t>
      </w:r>
      <w:r>
        <w:t xml:space="preserve">    </w:t>
      </w:r>
      <w:r>
        <w:rPr>
          <w:b/>
        </w:rPr>
        <w:t xml:space="preserve">Pub date: </w:t>
      </w:r>
      <w:r>
        <w:t>2026-07-20 00:00:00+00:00</w:t>
      </w:r>
      <w:r>
        <w:t xml:space="preserve">    </w:t>
      </w:r>
      <w:r>
        <w:rPr>
          <w:b/>
        </w:rPr>
        <w:t xml:space="preserve">DOI: </w:t>
      </w:r>
      <w:hyperlink r:id="rId983">
        <w:r>
          <w:rPr>
            <w:color w:val="1155CC"/>
            <w:u w:val="single"/>
          </w:rPr>
          <w:t>10.1038/d41586-026-02234-9</w:t>
        </w:r>
      </w:hyperlink>
    </w:p>
    <w:p>
      <w:pPr>
        <w:spacing w:before="0" w:after="120"/>
      </w:pPr>
      <w:r>
        <w:rPr>
          <w:b/>
        </w:rPr>
        <w:t xml:space="preserve">Notes: </w:t>
      </w:r>
      <w:r>
        <w:t>abstract_source=rss_nature</w:t>
      </w:r>
    </w:p>
    <w:p>
      <w:pPr>
        <w:spacing w:before="0" w:after="80" w:lineRule="auto" w:line="276"/>
      </w:pPr>
      <w:r>
        <w:rPr>
          <w:b/>
        </w:rPr>
        <w:t xml:space="preserve">摘要（ZH）: </w:t>
      </w:r>
      <w:r>
        <w:t>一名试图进入行业职位的博士后研究员希望获得帮助来获得吸引力并通过第一个面试阶段。</w:t>
      </w:r>
    </w:p>
    <w:p>
      <w:pPr>
        <w:spacing w:before="0" w:after="200" w:lineRule="auto" w:line="276"/>
      </w:pPr>
      <w:r>
        <w:rPr>
          <w:b/>
        </w:rPr>
        <w:t xml:space="preserve">Abstract (EN): </w:t>
      </w:r>
      <w:r>
        <w:t>A postdoc researcher trying to move into an industry role wants help gaining traction and making it past the first interview stage.</w:t>
      </w:r>
    </w:p>
    <w:p>
      <w:pPr>
        <w:spacing w:before="120" w:after="120"/>
      </w:pPr>
      <w:r>
        <w:rPr>
          <w:sz w:val="18"/>
        </w:rPr>
        <w:t>——————————————————————————————————————————————————————————————————————</w:t>
      </w:r>
    </w:p>
    <w:p>
      <w:pPr>
        <w:spacing w:before="160" w:after="40" w:line="240" w:lineRule="auto"/>
      </w:pPr>
      <w:r>
        <w:rPr>
          <w:b/>
        </w:rPr>
        <w:t xml:space="preserve">[238] </w:t>
      </w:r>
      <w:hyperlink r:id="rId984">
        <w:r>
          <w:rPr>
            <w:color w:val="1155CC"/>
            <w:u w:val="single"/>
          </w:rPr>
          <w:t>卫星测绘揭示了全球 145 个国家湖泊水质的不平等</w:t>
        </w:r>
      </w:hyperlink>
    </w:p>
    <w:p>
      <w:pPr>
        <w:spacing w:before="0" w:after="80"/>
      </w:pPr>
      <w:r>
        <w:rPr>
          <w:i/>
          <w:sz w:val="20"/>
        </w:rPr>
        <w:t>EN: Satellite mapping exposes global inequities in lake water quality across 145 countries</w:t>
      </w:r>
    </w:p>
    <w:p>
      <w:pPr>
        <w:spacing w:before="0" w:after="120"/>
      </w:pPr>
      <w:r>
        <w:rPr>
          <w:b/>
        </w:rPr>
        <w:t xml:space="preserve">Source: </w:t>
      </w:r>
      <w:r>
        <w:t>National Science Review Advance Access</w:t>
      </w:r>
      <w:r>
        <w:t xml:space="preserve">    </w:t>
      </w:r>
      <w:r>
        <w:rPr>
          <w:b/>
        </w:rPr>
        <w:t xml:space="preserve">Pub date: </w:t>
      </w:r>
      <w:r>
        <w:t>2026-07-20 00:00:00+00:00</w:t>
      </w:r>
      <w:r>
        <w:t xml:space="preserve">    </w:t>
      </w:r>
      <w:r>
        <w:rPr>
          <w:b/>
        </w:rPr>
        <w:t xml:space="preserve">DOI: </w:t>
      </w:r>
      <w:hyperlink r:id="rId985">
        <w:r>
          <w:rPr>
            <w:color w:val="1155CC"/>
            <w:u w:val="single"/>
          </w:rPr>
          <w:t>10.1093/nsr/nwag445</w:t>
        </w:r>
      </w:hyperlink>
    </w:p>
    <w:p>
      <w:pPr>
        <w:spacing w:before="0" w:after="120"/>
      </w:pPr>
      <w:r>
        <w:rPr>
          <w:b/>
        </w:rPr>
        <w:t xml:space="preserve">Notes: </w:t>
      </w:r>
      <w:r>
        <w:t>abstract_source=crossref</w:t>
      </w:r>
    </w:p>
    <w:p>
      <w:pPr>
        <w:spacing w:before="0" w:after="80" w:lineRule="auto" w:line="276"/>
      </w:pPr>
      <w:r>
        <w:rPr>
          <w:b/>
        </w:rPr>
        <w:t xml:space="preserve">摘要（ZH）: </w:t>
      </w:r>
      <w:r>
        <w:t>首次可以对各国的全球湖泊水质进行一致评估。对 145 个国家 16,409 个湖泊的卫星机器学习评估显示，只有三分之二的湖泊达到可持续发展目标水质标准，暴露了影响数十亿人的淡水安全方面的严重不平等。</w:t>
      </w:r>
    </w:p>
    <w:p>
      <w:pPr>
        <w:spacing w:before="0" w:after="200" w:lineRule="auto" w:line="276"/>
      </w:pPr>
      <w:r>
        <w:rPr>
          <w:b/>
        </w:rPr>
        <w:t xml:space="preserve">Abstract (EN): </w:t>
      </w:r>
      <w:r>
        <w:t>For the first time, global lake water quality can be assessed consistently across countries. Satellite-machine learning assessment of 16,409 lakes across 145 countries reveals that only two out of every three lakes meet SDG water quality standards, exposing profound inequalities in freshwater security that affect billions of people.</w:t>
      </w:r>
    </w:p>
    <w:p>
      <w:pPr>
        <w:spacing w:before="120" w:after="120"/>
      </w:pPr>
      <w:r>
        <w:rPr>
          <w:sz w:val="18"/>
        </w:rPr>
        <w:t>——————————————————————————————————————————————————————————————————————</w:t>
      </w:r>
    </w:p>
    <w:p>
      <w:pPr>
        <w:spacing w:before="160" w:after="40" w:line="240" w:lineRule="auto"/>
      </w:pPr>
      <w:r>
        <w:rPr>
          <w:b/>
        </w:rPr>
        <w:t xml:space="preserve">[239] </w:t>
      </w:r>
      <w:hyperlink r:id="rId986">
        <w:r>
          <w:rPr>
            <w:color w:val="1155CC"/>
            <w:u w:val="single"/>
          </w:rPr>
          <w:t>逐步协调的聚合物纳米平台可实现无痕胞质蛋白递送和自噬阻断，从而增强肿瘤治疗</w:t>
        </w:r>
      </w:hyperlink>
    </w:p>
    <w:p>
      <w:pPr>
        <w:spacing w:before="0" w:after="80"/>
      </w:pPr>
      <w:r>
        <w:rPr>
          <w:i/>
          <w:sz w:val="20"/>
        </w:rPr>
        <w:t>EN: Stepwise-coordinated polymeric nanoplatform enables traceless cytosolic protein delivery and autophagy blockade for enhanced tumor therapy</w:t>
      </w:r>
    </w:p>
    <w:p>
      <w:pPr>
        <w:spacing w:before="0" w:after="120"/>
      </w:pPr>
      <w:r>
        <w:rPr>
          <w:b/>
        </w:rPr>
        <w:t xml:space="preserve">Source: </w:t>
      </w:r>
      <w:r>
        <w:t>National Science Review Advance Access</w:t>
      </w:r>
      <w:r>
        <w:t xml:space="preserve">    </w:t>
      </w:r>
      <w:r>
        <w:rPr>
          <w:b/>
        </w:rPr>
        <w:t xml:space="preserve">Pub date: </w:t>
      </w:r>
      <w:r>
        <w:t>2026-07-20 00:00:00+00:00</w:t>
      </w:r>
      <w:r>
        <w:t xml:space="preserve">    </w:t>
      </w:r>
      <w:r>
        <w:rPr>
          <w:b/>
        </w:rPr>
        <w:t xml:space="preserve">DOI: </w:t>
      </w:r>
      <w:hyperlink r:id="rId987">
        <w:r>
          <w:rPr>
            <w:color w:val="1155CC"/>
            <w:u w:val="single"/>
          </w:rPr>
          <w:t>10.1093/nsr/nwag446</w:t>
        </w:r>
      </w:hyperlink>
    </w:p>
    <w:p>
      <w:pPr>
        <w:spacing w:before="0" w:after="120"/>
      </w:pPr>
      <w:r>
        <w:rPr>
          <w:b/>
        </w:rPr>
        <w:t xml:space="preserve">Notes: </w:t>
      </w:r>
      <w:r>
        <w:t>abstract_source=rss_oup</w:t>
      </w:r>
    </w:p>
    <w:p>
      <w:pPr>
        <w:spacing w:before="0" w:after="80" w:lineRule="auto" w:line="276"/>
      </w:pPr>
      <w:r>
        <w:rPr>
          <w:b/>
        </w:rPr>
        <w:t xml:space="preserve">摘要（ZH）: </w:t>
      </w:r>
      <w:r>
        <w:t>细胞内化和内体逃逸后蛋白质的自噬降解对细胞内蛋白质递送提出了重大但尚未充分研究的挑战。这凸显了对能够同时实现胞质递送和自噬抑制的递送载体的需求。在这里，我们报告了一种基于定制的两亲性三嵌段共聚物（mPEG-b</w:t>
      </w:r>
    </w:p>
    <w:p>
      <w:pPr>
        <w:spacing w:before="0" w:after="200" w:lineRule="auto" w:line="276"/>
      </w:pPr>
      <w:r>
        <w:rPr>
          <w:b/>
        </w:rPr>
        <w:t xml:space="preserve">Abstract (EN): </w:t>
      </w:r>
      <w:r>
        <w:t>Autophagic degradation of proteins following cellular internalization and endosomal escape presents a significant, yet underexplored, challenge in intracellular protein delivery. This highlights the need for delivery carriers capable of concurrently achieving cytosolic delivery and autophagy inhibition. Here, we report a stepwise-coordinated polymeric nanoplatform based on a tailor-made amphiphilic triblock copolymer (mPEG-b</w:t>
      </w:r>
    </w:p>
    <w:p>
      <w:pPr>
        <w:spacing w:before="120" w:after="120"/>
      </w:pPr>
      <w:r>
        <w:rPr>
          <w:sz w:val="18"/>
        </w:rPr>
        <w:t>——————————————————————————————————————————————————————————————————————</w:t>
      </w:r>
    </w:p>
    <w:p>
      <w:pPr>
        <w:spacing w:before="160" w:after="40" w:line="240" w:lineRule="auto"/>
      </w:pPr>
      <w:r>
        <w:rPr>
          <w:b/>
        </w:rPr>
        <w:t xml:space="preserve">[240] </w:t>
      </w:r>
      <w:hyperlink r:id="rId988">
        <w:r>
          <w:rPr>
            <w:color w:val="1155CC"/>
            <w:u w:val="single"/>
          </w:rPr>
          <w:t>蛋白质纳米孔的从头设计：从最小肽到人工智能驱动的设计</w:t>
        </w:r>
      </w:hyperlink>
    </w:p>
    <w:p>
      <w:pPr>
        <w:spacing w:before="0" w:after="80"/>
      </w:pPr>
      <w:r>
        <w:rPr>
          <w:i/>
          <w:sz w:val="20"/>
        </w:rPr>
        <w:t>EN: De Novo Design of Protein Nanopores: From Minimal Peptides to AI-Driven Design</w:t>
      </w:r>
    </w:p>
    <w:p>
      <w:pPr>
        <w:spacing w:before="0" w:after="120"/>
      </w:pPr>
      <w:r>
        <w:rPr>
          <w:b/>
        </w:rPr>
        <w:t xml:space="preserve">Source: </w:t>
      </w:r>
      <w:r>
        <w:t>Chemical Reviews: Latest Articles (ACS Publications)</w:t>
      </w:r>
      <w:r>
        <w:t xml:space="preserve">    </w:t>
      </w:r>
      <w:r>
        <w:rPr>
          <w:b/>
        </w:rPr>
        <w:t xml:space="preserve">Pub date: </w:t>
      </w:r>
      <w:r>
        <w:t>2026-07-20 00:00:00+00:00</w:t>
      </w:r>
      <w:r>
        <w:t xml:space="preserve">    </w:t>
      </w:r>
      <w:r>
        <w:rPr>
          <w:b/>
        </w:rPr>
        <w:t xml:space="preserve">DOI: </w:t>
      </w:r>
      <w:hyperlink r:id="rId989">
        <w:r>
          <w:rPr>
            <w:color w:val="1155CC"/>
            <w:u w:val="single"/>
          </w:rPr>
          <w:t>10.1021/acs.chemrev.5c00990</w:t>
        </w:r>
      </w:hyperlink>
    </w:p>
    <w:p>
      <w:pPr>
        <w:spacing w:before="0" w:after="120"/>
      </w:pPr>
      <w:r>
        <w:rPr>
          <w:b/>
        </w:rPr>
        <w:t xml:space="preserve">Notes: </w:t>
      </w:r>
      <w:r>
        <w:t>abstract_source=pubmed</w:t>
      </w:r>
    </w:p>
    <w:p>
      <w:pPr>
        <w:spacing w:before="0" w:after="80" w:lineRule="auto" w:line="276"/>
      </w:pPr>
      <w:r>
        <w:rPr>
          <w:b/>
        </w:rPr>
        <w:t xml:space="preserve">摘要（ZH）: </w:t>
      </w:r>
      <w:r>
        <w:t>蛋白质纳米孔通过直接将化学性质转换为信息丰富的单分子电读数，为分析应用提供了强大的平台。然而，由于可用支架的数量有限以及其几何形状和化学性质的进化限制，设计用于传感的天然纳米孔仍然具有挑战性。人工智能和数据驱动的蛋白质设计的最新进展使日益复杂的膜蛋白质结构成为可能，为设计具有定制折叠和功能的合成纳米孔开辟了新的可能性。这篇综述调查了从头纳米孔设计的演变，从最小序列到人工智能支持的方法，强调了新兴策略，并概述了为实现下一代传感技术的稳健、可编程纳米孔而必须解决的关键挑战，包括数据稀缺、膜建模和实验表征。</w:t>
      </w:r>
    </w:p>
    <w:p>
      <w:pPr>
        <w:spacing w:before="0" w:after="200" w:lineRule="auto" w:line="276"/>
      </w:pPr>
      <w:r>
        <w:rPr>
          <w:b/>
        </w:rPr>
        <w:t xml:space="preserve">Abstract (EN): </w:t>
      </w:r>
      <w:r>
        <w:t>Protein nanopores offer a powerful platform for analytical applications by directly converting chemical properties into information-rich, single-molecule electrical readouts. However, engineering natural nanopores for sensing remains challenging due to the limited number of available scaffolds and evolutionary constraints on their geometries and chemistries. Recent advances in AI- and data-driven protein design are enabling increasingly complex membrane protein architectures, opening new possibilities for designing synthetic nanopores with tailored folds and functions. This review surveys the evolution of de novo nanopore design, from minimal sequences to AI-supported approaches, highlights emerging strategies, and outlines key challenges─including data scarcity, membrane modeling, and experimental characterization─that must be addressed to realize robust, programmable nanopores for next-generation sensing technologies.</w:t>
      </w:r>
    </w:p>
    <w:p>
      <w:pPr>
        <w:spacing w:before="120" w:after="120"/>
      </w:pPr>
      <w:r>
        <w:rPr>
          <w:sz w:val="18"/>
        </w:rPr>
        <w:t>——————————————————————————————————————————————————————————————————————</w:t>
      </w:r>
    </w:p>
    <w:p>
      <w:pPr>
        <w:spacing w:before="160" w:after="40" w:line="240" w:lineRule="auto"/>
      </w:pPr>
      <w:r>
        <w:rPr>
          <w:b/>
        </w:rPr>
        <w:t xml:space="preserve">[241] </w:t>
      </w:r>
      <w:hyperlink r:id="rId990">
        <w:r>
          <w:rPr>
            <w:color w:val="1155CC"/>
            <w:u w:val="single"/>
          </w:rPr>
          <w:t>固态核磁共振观察 LaAlO 3 钙钛矿纳米粒子的表面终止</w:t>
        </w:r>
      </w:hyperlink>
    </w:p>
    <w:p>
      <w:pPr>
        <w:spacing w:before="0" w:after="80"/>
      </w:pPr>
      <w:r>
        <w:rPr>
          <w:i/>
          <w:sz w:val="20"/>
        </w:rPr>
        <w:t>EN: Surface Terminations of LaAlO 3 Perovskite Nanoparticles as Viewed by Solid-State Nuclear Magnetic Resonance</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991">
        <w:r>
          <w:rPr>
            <w:color w:val="1155CC"/>
            <w:u w:val="single"/>
          </w:rPr>
          <w:t>10.1021/jacs.6c03759</w:t>
        </w:r>
      </w:hyperlink>
    </w:p>
    <w:p>
      <w:pPr>
        <w:spacing w:before="0" w:after="120"/>
      </w:pPr>
      <w:r>
        <w:rPr>
          <w:b/>
        </w:rPr>
        <w:t xml:space="preserve">Notes: </w:t>
      </w:r>
      <w:r>
        <w:t>abstract_source=pubmed</w:t>
      </w:r>
    </w:p>
    <w:p>
      <w:pPr>
        <w:spacing w:before="0" w:after="80" w:lineRule="auto" w:line="276"/>
      </w:pPr>
      <w:r>
        <w:rPr>
          <w:b/>
        </w:rPr>
        <w:t xml:space="preserve">摘要（ZH）: </w:t>
      </w:r>
      <w:r>
        <w:t>纳米晶体表面通常会经历重建，通常以非平凡的方式将其与块体结构区分开来。了解这些终止对于不同领域至关重要，从多相催化到拓扑态的形成和半导体纳米材料的合成。确定表面结构目前是一项跨学科任务，通常涉及高分辨率电子显微镜和表面电子衍射。然而，这些方法并没有提供样本中存在的结构整体的全局视图。在这里，我们展示了表面敏感固态核磁共振（SSNMR）光谱方法如何弥补这一差距。在此背景下，我们研究了铝酸镧（LaAlO3）钙钛矿纳米粒子的表面结构。之前已经观察到这种材料的四个不同的表面终端，但它们的相对丰度未知。使用一系列双共振和三共振 SSNMR 方法探测表面 1H、27Al、17O 和 139La 核的相对接近度，我们得出结论，表面大部分由 AlOx 终止（80%），并具有大量（20%）LaOx 终止区域。</w:t>
      </w:r>
    </w:p>
    <w:p>
      <w:pPr>
        <w:spacing w:before="0" w:after="200" w:lineRule="auto" w:line="276"/>
      </w:pPr>
      <w:r>
        <w:rPr>
          <w:b/>
        </w:rPr>
        <w:t xml:space="preserve">Abstract (EN): </w:t>
      </w:r>
      <w:r>
        <w:t>Nanocrystal surfaces generally undergo reconstructions that differentiate them from the bulk structures, often in nontrivial ways. Understanding these terminations is critical across diverse fields, from heterogeneous catalysis to the formation of topological states and the synthesis of semiconductor nanomaterials. Determining surface structures is currently an interdisciplinary task, most often involving high-resolution electron microscopy and surface electron diffraction. These methods, however, do not provide a global view of the ensemble of structures present in a sample. Here, we show how surface-sensitive solid-state nuclear magnetic resonance (SSNMR) spectroscopy methods can bridge this gap. In this context, we investigated the surface structure of lanthanum aluminate (LaAlO3) perovskite nanoparticles. Four distinct surface terminations have previously been observed for this material, but their relative abundances were unknown. Using an array of double- and triple-resonance SSNMR methods probing the relative proximities of surface 1H, 27Al, 17O, and 139La nuclei, we conclude the surface to be majority terminated (80%) by AlOx with substantial (20%) LaOx terminated regions.</w:t>
      </w:r>
    </w:p>
    <w:p>
      <w:pPr>
        <w:spacing w:before="120" w:after="120"/>
      </w:pPr>
      <w:r>
        <w:rPr>
          <w:sz w:val="18"/>
        </w:rPr>
        <w:t>——————————————————————————————————————————————————————————————————————</w:t>
      </w:r>
    </w:p>
    <w:p>
      <w:pPr>
        <w:spacing w:before="160" w:after="40" w:line="240" w:lineRule="auto"/>
      </w:pPr>
      <w:r>
        <w:rPr>
          <w:b/>
        </w:rPr>
        <w:t xml:space="preserve">[242] </w:t>
      </w:r>
      <w:hyperlink r:id="rId992">
        <w:r>
          <w:rPr>
            <w:color w:val="1155CC"/>
            <w:u w:val="single"/>
          </w:rPr>
          <w:t>可持续反应的催化剂设计：知识驱动创新入门</w:t>
        </w:r>
      </w:hyperlink>
    </w:p>
    <w:p>
      <w:pPr>
        <w:spacing w:before="0" w:after="80"/>
      </w:pPr>
      <w:r>
        <w:rPr>
          <w:i/>
          <w:sz w:val="20"/>
        </w:rPr>
        <w:t>EN: Catalyst Design for Sustainable Reactions: A Primer toward Knowledge-Driven Innovation</w:t>
      </w:r>
    </w:p>
    <w:p>
      <w:pPr>
        <w:spacing w:before="0" w:after="120"/>
      </w:pPr>
      <w:r>
        <w:rPr>
          <w:b/>
        </w:rPr>
        <w:t xml:space="preserve">Source: </w:t>
      </w:r>
      <w:r>
        <w:t>Chemical Reviews: Latest Articles (ACS Publications)</w:t>
      </w:r>
      <w:r>
        <w:t xml:space="preserve">    </w:t>
      </w:r>
      <w:r>
        <w:rPr>
          <w:b/>
        </w:rPr>
        <w:t xml:space="preserve">Pub date: </w:t>
      </w:r>
      <w:r>
        <w:t>2026-07-20 00:00:00+00:00</w:t>
      </w:r>
      <w:r>
        <w:t xml:space="preserve">    </w:t>
      </w:r>
      <w:r>
        <w:rPr>
          <w:b/>
        </w:rPr>
        <w:t xml:space="preserve">DOI: </w:t>
      </w:r>
      <w:hyperlink r:id="rId993">
        <w:r>
          <w:rPr>
            <w:color w:val="1155CC"/>
            <w:u w:val="single"/>
          </w:rPr>
          <w:t>10.1021/acs.chemrev.5c01041</w:t>
        </w:r>
      </w:hyperlink>
    </w:p>
    <w:p>
      <w:pPr>
        <w:spacing w:before="0" w:after="120"/>
      </w:pPr>
      <w:r>
        <w:rPr>
          <w:b/>
        </w:rPr>
        <w:t xml:space="preserve">Notes: </w:t>
      </w:r>
      <w:r>
        <w:t>abstract_source=pubmed</w:t>
      </w:r>
    </w:p>
    <w:p>
      <w:pPr>
        <w:spacing w:before="0" w:after="80" w:lineRule="auto" w:line="276"/>
      </w:pPr>
      <w:r>
        <w:rPr>
          <w:b/>
        </w:rPr>
        <w:t xml:space="preserve">摘要（ZH）: </w:t>
      </w:r>
      <w:r>
        <w:t>当旨在为现有或新型（可持续）反应设计高性能催化剂时，可以采用多种方法，将催化剂设计本身变成一门科学。然而，缺乏应用这些催化剂创新方法的基础知识和明确的指导方针，阻碍了真正有效和充分的催化剂设计，而偶然性仍然发挥着非常重要的作用。本综述通过系统地分类和回顾最相关的方法并提供其基础知识来填补这一空白。尽管从数字实验室系统收集的数据有很大好处，但主要的共同缺点仍然是如何设计真正“开箱即用”的催化剂？虽然各种方法可以达到更简单的目的（例如微调催化剂组成），但真正创新的催化剂设计只能通过知识驱动的方法来实现，并得到动力学模型与合适的催化信息学工具相结合的大力支持。</w:t>
      </w:r>
    </w:p>
    <w:p>
      <w:pPr>
        <w:spacing w:before="0" w:after="200" w:lineRule="auto" w:line="276"/>
      </w:pPr>
      <w:r>
        <w:rPr>
          <w:b/>
        </w:rPr>
        <w:t xml:space="preserve">Abstract (EN): </w:t>
      </w:r>
      <w:r>
        <w:t>When aiming at designing performant catalysts for existing or novel (sustainable) reactions, a wide variety of methodologies can be adopted, turning catalyst design into a science on its own. However, fundamental knowledge and clear guidelines for the application of these methodologies for catalyst innovation are lacking, impeding truly efficient and adequate catalyst design, with serendipity still playing too important a role. This review fills this gap by systematically categorizing and reviewing the most relevant methodologies and providing their fundamentals. Despite the strong benefit from systematically collected data incoming from digital laboratories, the main common drawback remains how to design catalysts truly "out of the box"? While various methodologies can serve more humble purposes (e.g., fine-tuning catalyst compositions), truly innovative catalyst design can only be achieved via a knowledge-driven approach, strongly supported by kinetic models in combination with suitable catalysis informatics tools.</w:t>
      </w:r>
    </w:p>
    <w:p>
      <w:pPr>
        <w:spacing w:before="120" w:after="120"/>
      </w:pPr>
      <w:r>
        <w:rPr>
          <w:sz w:val="18"/>
        </w:rPr>
        <w:t>——————————————————————————————————————————————————————————————————————</w:t>
      </w:r>
    </w:p>
    <w:p>
      <w:pPr>
        <w:spacing w:before="160" w:after="40" w:line="240" w:lineRule="auto"/>
      </w:pPr>
      <w:r>
        <w:rPr>
          <w:b/>
        </w:rPr>
        <w:t xml:space="preserve">[243] </w:t>
      </w:r>
      <w:hyperlink r:id="rId994">
        <w:r>
          <w:rPr>
            <w:color w:val="1155CC"/>
            <w:u w:val="single"/>
          </w:rPr>
          <w:t>用于预载适应背面压力传感的裂纹互锁金属/弹性体接口</w:t>
        </w:r>
      </w:hyperlink>
    </w:p>
    <w:p>
      <w:pPr>
        <w:spacing w:before="0" w:after="80"/>
      </w:pPr>
      <w:r>
        <w:rPr>
          <w:i/>
          <w:sz w:val="20"/>
        </w:rPr>
        <w:t>EN: Crack-Interlocked Metal/Elastomer Interfaces for Preload-Adapted Backside Pressure Sensing</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995">
        <w:r>
          <w:rPr>
            <w:color w:val="1155CC"/>
            <w:u w:val="single"/>
          </w:rPr>
          <w:t>10.1021/acsami.6c08499</w:t>
        </w:r>
      </w:hyperlink>
    </w:p>
    <w:p>
      <w:pPr>
        <w:spacing w:before="0" w:after="120"/>
      </w:pPr>
      <w:r>
        <w:rPr>
          <w:b/>
        </w:rPr>
        <w:t xml:space="preserve">Notes: </w:t>
      </w:r>
      <w:r>
        <w:t>abstract_source=pubmed</w:t>
      </w:r>
    </w:p>
    <w:p>
      <w:pPr>
        <w:spacing w:before="0" w:after="80" w:lineRule="auto" w:line="276"/>
      </w:pPr>
      <w:r>
        <w:rPr>
          <w:b/>
        </w:rPr>
        <w:t xml:space="preserve">摘要（ZH）: </w:t>
      </w:r>
      <w:r>
        <w:t>能够解决大静态负载下的小压力变化的柔性压力传感器对于嵌入式和背面安装的监控来说是理想的，因为传感层不能直接暴露于接触表面。然而，大多数高灵敏度压力传感器都针对低压操作进行了优化，并且它们的灵敏度在预载下会降低。在这里，我们报告了一种由两个相对的 PDMS 微脊阵列和薄 Pt 导电层组成的裂纹互锁脊结构。互锁结构将垂直压缩转化为 Pt/弹性体界面处的局部拉伸变形，在设计预紧力附近产生可重复的裂纹介导的阻力转变。由此产生的传感器在转换窗口内表现出 2582.8 kPa-1 的最大局部灵敏度，并在 1000 个加载-卸载循环中保持可重复响应。通过改变夹层厚度，主动传感窗口可以在 50-700 kPa 范围内移动，从而在机械偏置配置中实现预载自适应压力变化检测。作为概念验证，该传感器在背面安装配置中检测施加在重物上的少量额外负载。这种裂纹互锁接口设计提供了一种对嵌入式监测应用的柔性电阻传感器的压力窗口进行机械编程的策略。</w:t>
      </w:r>
    </w:p>
    <w:p>
      <w:pPr>
        <w:spacing w:before="0" w:after="200" w:lineRule="auto" w:line="276"/>
      </w:pPr>
      <w:r>
        <w:rPr>
          <w:b/>
        </w:rPr>
        <w:t xml:space="preserve">Abstract (EN): </w:t>
      </w:r>
      <w:r>
        <w:t>Flexible pressure sensors capable of resolving small pressure variations under large static loads are desirable for embedded and backside-mounted monitoring, where the sensing layer cannot be directly exposed to the contact surface. However, most highly sensitive pressure sensors are optimized for low-pressure operation, and their sensitivity decreases under preloads. Here, we report a crack-interlocked ridge structure composed of two facing PDMS micro-ridge arrays and a thin Pt conductive layer. The interlocked architecture converts vertical compression into localized tensile deformation at the Pt/elastomer interface, producing a reproducible crack-mediated resistance transition near a designed preload. The resulting sensor exhibits a maximum local sensitivity of 2582.8 kPa-1 within the transition window and maintains repeatable responses over 1000 loading-unloading cycles. By varying the interlayer thickness, the active sensing window can be shifted across 50-700 kPa, enabling preload-adapted pressure-change detection in mechanically biased configurations. As a proof of concept, the sensor detects a small additional load placed on a heavy object in a backside-mounted configuration. This crack-interlocked interface design provides a strategy for mechanically programming the pressure window of flexible resistive sensors for embedded monitoring applications.</w:t>
      </w:r>
    </w:p>
    <w:p>
      <w:pPr>
        <w:spacing w:before="120" w:after="120"/>
      </w:pPr>
      <w:r>
        <w:rPr>
          <w:sz w:val="18"/>
        </w:rPr>
        <w:t>——————————————————————————————————————————————————————————————————————</w:t>
      </w:r>
    </w:p>
    <w:p>
      <w:pPr>
        <w:spacing w:before="160" w:after="40" w:line="240" w:lineRule="auto"/>
      </w:pPr>
      <w:r>
        <w:rPr>
          <w:b/>
        </w:rPr>
        <w:t xml:space="preserve">[244] </w:t>
      </w:r>
      <w:hyperlink r:id="rId996">
        <w:r>
          <w:rPr>
            <w:color w:val="1155CC"/>
            <w:u w:val="single"/>
          </w:rPr>
          <w:t>使用超精细分辨旋转光谱检测 Synthon 架构</w:t>
        </w:r>
      </w:hyperlink>
    </w:p>
    <w:p>
      <w:pPr>
        <w:spacing w:before="0" w:after="80"/>
      </w:pPr>
      <w:r>
        <w:rPr>
          <w:i/>
          <w:sz w:val="20"/>
        </w:rPr>
        <w:t>EN: Sensing Synthon Architectures with Hyperfine-Resolved Rotational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997">
        <w:r>
          <w:rPr>
            <w:color w:val="1155CC"/>
            <w:u w:val="single"/>
          </w:rPr>
          <w:t>10.1021/jacs.6c06316</w:t>
        </w:r>
      </w:hyperlink>
    </w:p>
    <w:p>
      <w:pPr>
        <w:spacing w:before="0" w:after="120"/>
      </w:pPr>
      <w:r>
        <w:rPr>
          <w:b/>
        </w:rPr>
        <w:t xml:space="preserve">Notes: </w:t>
      </w:r>
      <w:r>
        <w:t>abstract_source=pubmed</w:t>
      </w:r>
    </w:p>
    <w:p>
      <w:pPr>
        <w:spacing w:before="0" w:after="80" w:lineRule="auto" w:line="276"/>
      </w:pPr>
      <w:r>
        <w:rPr>
          <w:b/>
        </w:rPr>
        <w:t xml:space="preserve">摘要（ZH）: </w:t>
      </w:r>
      <w:r>
        <w:t>参与非共价碳键合的超分子合成子为可编程分子结构提供了有希望的途径，但能够明确解析其对接几何形状的实验策略仍然有限。在这里，我们证明氮原子核的电场梯度（通过核四极分裂获得）提供了超分子拓扑的独特灵敏探针。我们利用超音速射流膨胀中的超精细分辨宽带旋转光谱与量子化学计算相结合，研究了四氰基环丙烷（TCCP），这是一种具有四个氰基的合成子，可充当电子环境的本地传感器。在射流膨胀中观察到 TCCP 衍生物和四氢呋喃之间形成的复合物，并显示通过 sp3 杂化碳中心和四氢呋喃的氧孤对对之间的 tetrel 键对接。虽然仅靠旋转常数很难区分候选对接几何形状，但氮核四极耦合常数通过其电场梯度编码复合物的方向指纹。通过利用四个氮位点之间的对称关系并实施定制的光谱拟合策略来解开密集的超精细流形，我们提取了精确的旋转参数，这些参数唯一地定义了具有不同对称性的两个 TCCP 衍生物的对接排列。这些结果证明氮电场梯度是非共价相互作用的强大结构传感器</w:t>
      </w:r>
    </w:p>
    <w:p>
      <w:pPr>
        <w:spacing w:before="0" w:after="200" w:lineRule="auto" w:line="276"/>
      </w:pPr>
      <w:r>
        <w:rPr>
          <w:b/>
        </w:rPr>
        <w:t xml:space="preserve">Abstract (EN): </w:t>
      </w:r>
      <w:r>
        <w:t>Supramolecular synthons that engage in noncovalent carbon bonding offer promising routes toward programmable molecular architectures, yet experimental strategies capable of unambiguously resolving their docking geometries remain limited. Here, we show that electric field gradients at nitrogen nuclei─accessed through nuclear quadrupole splittings─provide a uniquely sensitive probe of supramolecular topology. Using hyperfine-resolved broadband rotational spectroscopy in a supersonic jet expansion combined with quantum-chemical calculations, we investigate tetracyanocyclopropane (TCCP), a synthetically accessible synthon bearing four cyano groups that act as local sensors of the electronic environment. Complexes formed between TCCP derivatives and tetrahydrofuran are observed in the jet expansion and shown to dock through a tetrel bond between an sp3-hybridized carbon center and the oxygen lone pair of tetrahydrofuran. While the rotational constants alone struggle to discriminate between candidate docking geometries, the nitrogen nuclear quadrupole coupling constants encode the orientational fingerprint of the complex through their electric field gradients. By exploiting symmetry relationships among the four nitrogen sites and implementing a tailored spectral fitting strategy to disentangle the dense hyperfine manifold, we extract precise rotational parameters that uniquely define the docking arrangements of two TCCP derivatives with different symmetries. These results demonstrate nitrogen electric field gradients as powerful structural sensors of noncovalent interactions and position hyperfine-resolved rotational spectroscopy as a configuration-sensitive approach for identifying supramolecular synthon motifs and guiding the design of nitrogen-rich supramolecular materials.</w:t>
      </w:r>
    </w:p>
    <w:p>
      <w:pPr>
        <w:spacing w:before="120" w:after="120"/>
      </w:pPr>
      <w:r>
        <w:rPr>
          <w:sz w:val="18"/>
        </w:rPr>
        <w:t>——————————————————————————————————————————————————————————————————————</w:t>
      </w:r>
    </w:p>
    <w:p>
      <w:pPr>
        <w:spacing w:before="160" w:after="40" w:line="240" w:lineRule="auto"/>
      </w:pPr>
      <w:r>
        <w:rPr>
          <w:b/>
        </w:rPr>
        <w:t xml:space="preserve">[245] </w:t>
      </w:r>
      <w:hyperlink r:id="rId998">
        <w:r>
          <w:rPr>
            <w:color w:val="1155CC"/>
            <w:u w:val="single"/>
          </w:rPr>
          <w:t>受控自由基聚合的超分子调控</w:t>
        </w:r>
      </w:hyperlink>
    </w:p>
    <w:p>
      <w:pPr>
        <w:spacing w:before="0" w:after="80"/>
      </w:pPr>
      <w:r>
        <w:rPr>
          <w:i/>
          <w:sz w:val="20"/>
        </w:rPr>
        <w:t>EN: Supramolecular Modulation of Controlled Radical 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999">
        <w:r>
          <w:rPr>
            <w:color w:val="1155CC"/>
            <w:u w:val="single"/>
          </w:rPr>
          <w:t>10.1021/jacs.6c05797</w:t>
        </w:r>
      </w:hyperlink>
    </w:p>
    <w:p>
      <w:pPr>
        <w:spacing w:before="0" w:after="120"/>
      </w:pPr>
      <w:r>
        <w:rPr>
          <w:b/>
        </w:rPr>
        <w:t xml:space="preserve">Notes: </w:t>
      </w:r>
      <w:r>
        <w:t>abstract_source=pubmed</w:t>
      </w:r>
    </w:p>
    <w:p>
      <w:pPr>
        <w:spacing w:before="0" w:after="80" w:lineRule="auto" w:line="276"/>
      </w:pPr>
      <w:r>
        <w:rPr>
          <w:b/>
        </w:rPr>
        <w:t xml:space="preserve">摘要（ZH）: </w:t>
      </w:r>
      <w:r>
        <w:t>受控自由基聚合从根本上改变了聚合物科学，使得能够合成具有精确定制的结构和可预测的分子量的材料。然而，在保持良好控制的同时实现快速聚合仍然是受控自由基聚合中的巨大挑战。在此，我们报告了一种超分子策略，通过阳离子硫代羰基硫基试剂和葫芦[7]脲（CB[7]）之间的主客体络合来缓解水性光引发转移剂和可逆加成断裂链转移（RAFT）聚合中的这一问题。这种封装导致 CTA 的链转移系数和光解效率显着增加。光谱和计算分析表明，大环主体通过增强的自旋轨道耦合促进三重态布居，同时降低碎片势垒并促进可逆失活。这种机械协同作用能够合成超高分子量聚合物（Mn 高达 2,190 kg mol-1），并快速构建具有优异端基保真度和高引发剂效率的明确的 20 嵌段共聚物。这种超分子策略在水介质中产生加速但高度受控的聚合，为使用二硫代氨基甲酸酯基链转移剂平衡速率和控制提供了一种有前景的方法。</w:t>
      </w:r>
    </w:p>
    <w:p>
      <w:pPr>
        <w:spacing w:before="0" w:after="200" w:lineRule="auto" w:line="276"/>
      </w:pPr>
      <w:r>
        <w:rPr>
          <w:b/>
        </w:rPr>
        <w:t xml:space="preserve">Abstract (EN): </w:t>
      </w:r>
      <w:r>
        <w:t>Controlled radical polymerization has fundamentally transformed polymer science, enabling the synthesis of materials with precisely tailored architectures and predictable molecular weights. However, achieving rapid polymerization while maintaining good control remains a great challenge in controlled radical polymerization. Herein, we report a supramolecular strategy to alleviate this problem in aqueous photoiniferter and reversible addition-fragmentation chain transfer (RAFT) polymerizations through host-guest complexation between cationic thiocarbonylthio-based agents and cucurbit[7]uril (CB[7]). Such encapsulation induces a significant increase in the chain transfer coefficient and photolysis efficiency of the CTA. Spectroscopic and computational analyses reveal that the macrocyclic host promotes triplet-state population via enhanced spin-orbit coupling, while simultaneously lowering fragmentation barriers and facilitating reversible deactivation. This mechanistic synergy enables the synthesis of ultrahigh-molecular-weight polymers (Mn up to 2,190 kg mol-1) and the rapid construction of well-defined 20-block copolymers with excellent end-group fidelity and high initiator efficiency. This supramolecular strategy yields accelerated yet highly controlled polymerizations in aqueous media, providing a promising approach to balancing rate and control using dithiocarbamate-based chain transfer agents.</w:t>
      </w:r>
    </w:p>
    <w:p>
      <w:pPr>
        <w:spacing w:before="120" w:after="120"/>
      </w:pPr>
      <w:r>
        <w:rPr>
          <w:sz w:val="18"/>
        </w:rPr>
        <w:t>——————————————————————————————————————————————————————————————————————</w:t>
      </w:r>
    </w:p>
    <w:p>
      <w:pPr>
        <w:spacing w:before="160" w:after="40" w:line="240" w:lineRule="auto"/>
      </w:pPr>
      <w:r>
        <w:rPr>
          <w:b/>
        </w:rPr>
        <w:t xml:space="preserve">[246] </w:t>
      </w:r>
      <w:hyperlink r:id="rId1000">
        <w:r>
          <w:rPr>
            <w:color w:val="1155CC"/>
            <w:u w:val="single"/>
          </w:rPr>
          <w:t>金属有机框架玻璃的改良触感</w:t>
        </w:r>
      </w:hyperlink>
    </w:p>
    <w:p>
      <w:pPr>
        <w:spacing w:before="0" w:after="80"/>
      </w:pPr>
      <w:r>
        <w:rPr>
          <w:i/>
          <w:sz w:val="20"/>
        </w:rPr>
        <w:t>EN: A modifying touch for metal–organic framework glasses</w:t>
      </w:r>
    </w:p>
    <w:p>
      <w:pPr>
        <w:spacing w:before="0" w:after="120"/>
      </w:pPr>
      <w:r>
        <w:rPr>
          <w:b/>
        </w:rPr>
        <w:t xml:space="preserve">Source: </w:t>
      </w:r>
      <w:r>
        <w:t>Nature Chemistry</w:t>
      </w:r>
      <w:r>
        <w:t xml:space="preserve">    </w:t>
      </w:r>
      <w:r>
        <w:rPr>
          <w:b/>
        </w:rPr>
        <w:t xml:space="preserve">Pub date: </w:t>
      </w:r>
      <w:r>
        <w:t>2026-07-20 00:00:00+00:00</w:t>
      </w:r>
      <w:r>
        <w:t xml:space="preserve">    </w:t>
      </w:r>
      <w:r>
        <w:rPr>
          <w:b/>
        </w:rPr>
        <w:t xml:space="preserve">DOI: </w:t>
      </w:r>
      <w:hyperlink r:id="rId1001">
        <w:r>
          <w:rPr>
            <w:color w:val="1155CC"/>
            <w:u w:val="single"/>
          </w:rPr>
          <w:t>10.1038/s41557-026-02207-5</w:t>
        </w:r>
      </w:hyperlink>
    </w:p>
    <w:p>
      <w:pPr>
        <w:spacing w:before="0" w:after="120"/>
      </w:pPr>
      <w:r>
        <w:rPr>
          <w:b/>
        </w:rPr>
        <w:t xml:space="preserve">Notes: </w:t>
      </w:r>
      <w:r>
        <w:t>abstract_source=rss_nature</w:t>
      </w:r>
    </w:p>
    <w:p>
      <w:pPr>
        <w:spacing w:before="0" w:after="80" w:lineRule="auto" w:line="276"/>
      </w:pPr>
      <w:r>
        <w:rPr>
          <w:b/>
        </w:rPr>
        <w:t xml:space="preserve">摘要（ZH）: </w:t>
      </w:r>
      <w:r>
        <w:t>无机玻璃的结构和性能可以使用简单的化学添加剂来调节，这有助于其广泛使用。现在，金属有机框架玻璃已通过添加碱性苯并咪唑盐进行改性，从而能够调节其性能。</w:t>
      </w:r>
    </w:p>
    <w:p>
      <w:pPr>
        <w:spacing w:before="0" w:after="200" w:lineRule="auto" w:line="276"/>
      </w:pPr>
      <w:r>
        <w:rPr>
          <w:b/>
        </w:rPr>
        <w:t xml:space="preserve">Abstract (EN): </w:t>
      </w:r>
      <w:r>
        <w:t>The structure and properties of inorganic glasses can be tuned using simple chemical additives, which has contributed to their widespread use. Now, metal–organic framework glasses have been modified through addition of alkali benzimidazolate salts, enabling the modulation of their properties.</w:t>
      </w:r>
    </w:p>
    <w:p>
      <w:pPr>
        <w:spacing w:before="120" w:after="120"/>
      </w:pPr>
      <w:r>
        <w:rPr>
          <w:sz w:val="18"/>
        </w:rPr>
        <w:t>——————————————————————————————————————————————————————————————————————</w:t>
      </w:r>
    </w:p>
    <w:p>
      <w:pPr>
        <w:spacing w:before="160" w:after="40" w:line="240" w:lineRule="auto"/>
      </w:pPr>
      <w:r>
        <w:rPr>
          <w:b/>
        </w:rPr>
        <w:t xml:space="preserve">[247] </w:t>
      </w:r>
      <w:hyperlink r:id="rId1002">
        <w:r>
          <w:rPr>
            <w:color w:val="1155CC"/>
            <w:u w:val="single"/>
          </w:rPr>
          <w:t>每日简报：如何进行行业采访</w:t>
        </w:r>
      </w:hyperlink>
    </w:p>
    <w:p>
      <w:pPr>
        <w:spacing w:before="0" w:after="80"/>
      </w:pPr>
      <w:r>
        <w:rPr>
          <w:i/>
          <w:sz w:val="20"/>
        </w:rPr>
        <w:t>EN: Daily briefing: How to nail an industry interview</w:t>
      </w:r>
    </w:p>
    <w:p>
      <w:pPr>
        <w:spacing w:before="0" w:after="120"/>
      </w:pPr>
      <w:r>
        <w:rPr>
          <w:b/>
        </w:rPr>
        <w:t xml:space="preserve">Source: </w:t>
      </w:r>
      <w:r>
        <w:t>Nature</w:t>
      </w:r>
      <w:r>
        <w:t xml:space="preserve">    </w:t>
      </w:r>
      <w:r>
        <w:rPr>
          <w:b/>
        </w:rPr>
        <w:t xml:space="preserve">Pub date: </w:t>
      </w:r>
      <w:r>
        <w:t>2026-07-20 00:00:00+00:00</w:t>
      </w:r>
      <w:r>
        <w:t xml:space="preserve">    </w:t>
      </w:r>
      <w:r>
        <w:rPr>
          <w:b/>
        </w:rPr>
        <w:t xml:space="preserve">DOI: </w:t>
      </w:r>
      <w:hyperlink r:id="rId1003">
        <w:r>
          <w:rPr>
            <w:color w:val="1155CC"/>
            <w:u w:val="single"/>
          </w:rPr>
          <w:t>10.1038/d41586-026-02285-y</w:t>
        </w:r>
      </w:hyperlink>
    </w:p>
    <w:p>
      <w:pPr>
        <w:spacing w:before="0" w:after="120"/>
      </w:pPr>
      <w:r>
        <w:rPr>
          <w:b/>
        </w:rPr>
        <w:t xml:space="preserve">Notes: </w:t>
      </w:r>
      <w:r>
        <w:t>abstract_source=rss_nature</w:t>
      </w:r>
    </w:p>
    <w:p>
      <w:pPr>
        <w:spacing w:before="0" w:after="80" w:lineRule="auto" w:line="276"/>
      </w:pPr>
      <w:r>
        <w:rPr>
          <w:b/>
        </w:rPr>
        <w:t xml:space="preserve">摘要（ZH）: </w:t>
      </w:r>
      <w:r>
        <w:t>职业教练对行业职位的多阶段面试进行了一些阐述。此外，睾丸组织移植和“建筑环境疾病”造成的致命损失已经恢复了男性产生精子的能力。</w:t>
      </w:r>
    </w:p>
    <w:p>
      <w:pPr>
        <w:spacing w:before="0" w:after="200" w:lineRule="auto" w:line="276"/>
      </w:pPr>
      <w:r>
        <w:rPr>
          <w:b/>
        </w:rPr>
        <w:t xml:space="preserve">Abstract (EN): </w:t>
      </w:r>
      <w:r>
        <w:t>Careers coaches shed some light on multi-stage interviews for roles in industry. Plus, a man’s ability to make sperm has been restored by a testicular-tissue transplant and the deadly toll of a ‘disease of the built environment’.</w:t>
      </w:r>
    </w:p>
    <w:p>
      <w:pPr>
        <w:spacing w:before="120" w:after="120"/>
      </w:pPr>
      <w:r>
        <w:rPr>
          <w:sz w:val="18"/>
        </w:rPr>
        <w:t>——————————————————————————————————————————————————————————————————————</w:t>
      </w:r>
    </w:p>
    <w:p>
      <w:pPr>
        <w:spacing w:before="160" w:after="40" w:line="240" w:lineRule="auto"/>
      </w:pPr>
      <w:r>
        <w:rPr>
          <w:b/>
        </w:rPr>
        <w:t xml:space="preserve">[248] </w:t>
      </w:r>
      <w:hyperlink r:id="rId1004">
        <w:r>
          <w:rPr>
            <w:color w:val="1155CC"/>
            <w:u w:val="single"/>
          </w:rPr>
          <w:t>通过自旋重定向的 Kagome 铁磁体中局部力矩的显着降低实现巨大的负热膨胀</w:t>
        </w:r>
      </w:hyperlink>
    </w:p>
    <w:p>
      <w:pPr>
        <w:spacing w:before="0" w:after="80"/>
      </w:pPr>
      <w:r>
        <w:rPr>
          <w:i/>
          <w:sz w:val="20"/>
        </w:rPr>
        <w:t>EN: Realization of Giant Negative Thermal Expansion via a Significantly Decreased Local Moment in a Kagome Ferromagnet with Spin Reorientation</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05">
        <w:r>
          <w:rPr>
            <w:color w:val="1155CC"/>
            <w:u w:val="single"/>
          </w:rPr>
          <w:t>10.1021/jacs.6c07617</w:t>
        </w:r>
      </w:hyperlink>
    </w:p>
    <w:p>
      <w:pPr>
        <w:spacing w:before="0" w:after="120"/>
      </w:pPr>
      <w:r>
        <w:rPr>
          <w:b/>
        </w:rPr>
        <w:t xml:space="preserve">Notes: </w:t>
      </w:r>
      <w:r>
        <w:t>abstract_source=pubmed</w:t>
      </w:r>
    </w:p>
    <w:p>
      <w:pPr>
        <w:spacing w:before="0" w:after="80" w:lineRule="auto" w:line="276"/>
      </w:pPr>
      <w:r>
        <w:rPr>
          <w:b/>
        </w:rPr>
        <w:t xml:space="preserve">摘要（ZH）: </w:t>
      </w:r>
      <w:r>
        <w:t>负热膨胀 (NTE) 材料对于各种现代先进应用具有重要意义，但发现新的 NTE 材料并了解潜在的自旋晶格相互作用仍然具有挑战性。在这里，我们报告了在 Fe 过量的 kagome (Sc,Ti)Fe2 中具有明显的体积 NTE，其热膨胀系数为 αV = -32.4 × 10-6 K-1 (100-200 K)。中子衍射、穆斯堡尔谱和理论研究表明，钪的含量影响在 6h 晶格位置包含 Fe 的 kagome 层的反铁磁耦合，并且过量 Fe 产生的额外磁交换相互作用稳定了铁磁磁序。因此，加热时 Fe 亚晶格的磁矩会急剧减小，并产生 NTE。有趣的是，kagome层的铁磁和反铁磁堆叠之间的转变伴随着Fe从面内方向到面外方向的自旋重新取向。这种磁重新取向可能是不同亚晶格上 Fe 单点各向异性强烈竞争的结果，因此被认为是受挫 Fe 亚晶格上高自旋态/低自旋态转变的标志。这项工作提供了进一步的见解，即同一材料中的不同磁序可以承载 NTE 和正常的热膨胀行为。</w:t>
      </w:r>
    </w:p>
    <w:p>
      <w:pPr>
        <w:spacing w:before="0" w:after="200" w:lineRule="auto" w:line="276"/>
      </w:pPr>
      <w:r>
        <w:rPr>
          <w:b/>
        </w:rPr>
        <w:t xml:space="preserve">Abstract (EN): </w:t>
      </w:r>
      <w:r>
        <w:t>Negative thermal expansion (NTE) materials are significant for a variety of modern advanced applications, yet discovering new NTE materials and understanding the underlying spin-lattice interactions remain challenging. Here, we report a pronounced volumetric NTE with a coefficient of thermal expansion, αV = -32.4 × 10-6 K-1 (100-200 K), in kagome (Sc,Ti)Fe2 with Fe-excess. Neutron diffraction, Mössbauer spectroscopy, and theoretical investigations indicate that the content of scandium affects the antiferromagnetic coupling of kagome layers hosting Fe in 6h lattice position and additional magnetic exchange interaction arising from the excess Fe stabilizes the ferromagnetic magnetic order. A sharp reduction of the magnetic moment of the Fe sublattice thus emerges on heating and yields the NTE. Intriguingly, the transition between ferromagnetic and antiferromagnetic stacking of the kagome layers is accompanied by a spin reorientation of Fe from the in-plane direction to the out-of-plane direction. This magnetic reorientation could be the result of a strong competition of the Fe single-site anisotropies on different sublattices and is thus regarded as a hallmark of the high-spin state/low-spin state transition on the frustrated Fe sublattice. This work provides further insight that different magnetic orders in the same material can host NTE and normal thermal expansion behavior.</w:t>
      </w:r>
    </w:p>
    <w:p>
      <w:pPr>
        <w:spacing w:before="120" w:after="120"/>
      </w:pPr>
      <w:r>
        <w:rPr>
          <w:sz w:val="18"/>
        </w:rPr>
        <w:t>——————————————————————————————————————————————————————————————————————</w:t>
      </w:r>
    </w:p>
    <w:p>
      <w:pPr>
        <w:spacing w:before="160" w:after="40" w:line="240" w:lineRule="auto"/>
      </w:pPr>
      <w:r>
        <w:rPr>
          <w:b/>
        </w:rPr>
        <w:t xml:space="preserve">[249] </w:t>
      </w:r>
      <w:hyperlink r:id="rId1006">
        <w:r>
          <w:rPr>
            <w:color w:val="1155CC"/>
            <w:u w:val="single"/>
          </w:rPr>
          <w:t>通过形态发生设计实现强大水下吸声的极弹性超材料</w:t>
        </w:r>
      </w:hyperlink>
    </w:p>
    <w:p>
      <w:pPr>
        <w:spacing w:before="0" w:after="80"/>
      </w:pPr>
      <w:r>
        <w:rPr>
          <w:i/>
          <w:sz w:val="20"/>
        </w:rPr>
        <w:t>EN: Extremal elastic metamaterials for robust underwater sound absorption via morphogenesis design</w:t>
      </w:r>
    </w:p>
    <w:p>
      <w:pPr>
        <w:spacing w:before="0" w:after="120"/>
      </w:pPr>
      <w:r>
        <w:rPr>
          <w:b/>
        </w:rPr>
        <w:t xml:space="preserve">Source: </w:t>
      </w:r>
      <w:r>
        <w:t>Matter</w:t>
      </w:r>
      <w:r>
        <w:t xml:space="preserve">    </w:t>
      </w:r>
      <w:r>
        <w:rPr>
          <w:b/>
        </w:rPr>
        <w:t xml:space="preserve">Pub date: </w:t>
      </w:r>
      <w:r>
        <w:t>2026-07-20 00:00:00+00:00</w:t>
      </w:r>
      <w:r>
        <w:t xml:space="preserve">    </w:t>
      </w:r>
      <w:r>
        <w:rPr>
          <w:b/>
        </w:rPr>
        <w:t xml:space="preserve">DOI: </w:t>
      </w:r>
      <w:hyperlink r:id="rId1007">
        <w:r>
          <w:rPr>
            <w:color w:val="1155CC"/>
            <w:u w:val="single"/>
          </w:rPr>
          <w:t>10.1016/j.matt.2026.102923</w:t>
        </w:r>
      </w:hyperlink>
    </w:p>
    <w:p>
      <w:pPr>
        <w:spacing w:before="0" w:after="120"/>
      </w:pPr>
      <w:r>
        <w:rPr>
          <w:b/>
        </w:rPr>
        <w:t xml:space="preserve">Notes: </w:t>
      </w:r>
      <w:r>
        <w:t>abstract_source=rss_cell</w:t>
      </w:r>
    </w:p>
    <w:p>
      <w:pPr>
        <w:spacing w:before="0" w:after="80" w:lineRule="auto" w:line="276"/>
      </w:pPr>
      <w:r>
        <w:rPr>
          <w:b/>
        </w:rPr>
        <w:t xml:space="preserve">摘要（ZH）: </w:t>
      </w:r>
      <w:r>
        <w:t>固体的静态模量与弹性波速度的平方成正比，限制了既需要高刚度又需要慢速传播的水下吸声器。通过形态发生设计，我们开发了一种具有弱耦合各向同性-等容本征模式的弹性超材料，可将模量与波速解耦，实现了各向同性极限的 6.8 倍增强。该复合材料与橡胶集成，可在高达 4.5 MPa 的三个八度低频段提供压力不变的吸收（平均系数 &gt;0.9）。</w:t>
      </w:r>
    </w:p>
    <w:p>
      <w:pPr>
        <w:spacing w:before="0" w:after="200" w:lineRule="auto" w:line="276"/>
      </w:pPr>
      <w:r>
        <w:rPr>
          <w:b/>
        </w:rPr>
        <w:t xml:space="preserve">Abstract (EN): </w:t>
      </w:r>
      <w:r>
        <w:t>The static modulus of solids scales with the square of elastic wave speed, constraining underwater sound absorbers that require both high stiffness and slow propagation. Through morphogenesis design, we developed an elastic metamaterial with weakly coupled isotropic-isochoric eigenmodes that decouples modulus from wave speed, achieving a 6.8-fold enhancement over isotropic limits. Integrated with rubber, the composite delivers pressure-invariant absorption (&gt;0.9 average coefficient) across a three-octave low-frequency band up to 4.5 MPa.</w:t>
      </w:r>
    </w:p>
    <w:p>
      <w:pPr>
        <w:spacing w:before="120" w:after="120"/>
      </w:pPr>
      <w:r>
        <w:rPr>
          <w:sz w:val="18"/>
        </w:rPr>
        <w:t>——————————————————————————————————————————————————————————————————————</w:t>
      </w:r>
    </w:p>
    <w:p>
      <w:pPr>
        <w:spacing w:before="160" w:after="40" w:line="240" w:lineRule="auto"/>
      </w:pPr>
      <w:r>
        <w:rPr>
          <w:b/>
        </w:rPr>
        <w:t xml:space="preserve">[250] </w:t>
      </w:r>
      <w:hyperlink r:id="rId1008">
        <w:r>
          <w:rPr>
            <w:color w:val="1155CC"/>
            <w:u w:val="single"/>
          </w:rPr>
          <w:t>冷冻态电化学为确定性原子构建提供质子选择性反应环境</w:t>
        </w:r>
      </w:hyperlink>
    </w:p>
    <w:p>
      <w:pPr>
        <w:spacing w:before="0" w:after="80"/>
      </w:pPr>
      <w:r>
        <w:rPr>
          <w:i/>
          <w:sz w:val="20"/>
        </w:rPr>
        <w:t>EN: Frozen-State Electrochemistry Enables Proton-Selective Reaction Environments for Deterministic Atomic Construction</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09">
        <w:r>
          <w:rPr>
            <w:color w:val="1155CC"/>
            <w:u w:val="single"/>
          </w:rPr>
          <w:t>10.1021/jacs.6c07224</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电化学反应通常局限于液体电解质，其中电荷传输和质量迁移本质上耦合，定义了反应动力学和结构演化。在这里，我们证明冷冻酸性电解质可以作为电化学单原子结构的质子传导、质量传输限制的介质。在规定的零度以下温度范围内，冷冻的水性电解质支持通过氢键冰晶格的质子选择性电荷传输，同时抑制较重离子物质的长程迁移。这种传输不对称性使得隔离金属位点的电荷可编程、聚集抑制构造成为可能。所得的原子构型在电化学操作下保持稳定。这种冷冻态的质子选择性反应环境普遍存在于多种金属和载体中，为单原子催化剂的构建提供了低温电化学策略。 ACS 出版物 © 2026 美国化学会</w:t>
      </w:r>
    </w:p>
    <w:p>
      <w:pPr>
        <w:spacing w:before="0" w:after="200" w:lineRule="auto" w:line="276"/>
      </w:pPr>
      <w:r>
        <w:rPr>
          <w:b/>
        </w:rPr>
        <w:t xml:space="preserve">Abstract (EN): </w:t>
      </w:r>
      <w:r>
        <w:t>Click to copy section link Section link copied! Electrochemical reactions are conventionally confined to liquid electrolytes, where charge transport and mass migration are intrinsically coupled, defining both the reaction kinetics and structural evolution. Here, we show that frozen acidic electrolytes can serve as proton-conductive, mass-transport-restricted media for electrochemical single-atom construction. Within a defined subzero temperature window, frozen aqueous electrolytes support proton-selective charge transport through hydrogen-bonded ice lattices while suppressing the long-range migration of heavier ionic species. This transport asymmetry enables the charge-programmable, aggregation-suppressed construction of isolated metal sites. The resulting atomic configurations remained stable under electrochemical operation. This frozen-state, proton-selective reaction environment is general across diverse metals and supports, providing a low-temperature electrochemical strategy for single-atom-catalyst construction. ACS Publications © 2026 American Chemical Society</w:t>
      </w:r>
    </w:p>
    <w:p>
      <w:pPr>
        <w:spacing w:before="120" w:after="120"/>
      </w:pPr>
      <w:r>
        <w:rPr>
          <w:sz w:val="18"/>
        </w:rPr>
        <w:t>——————————————————————————————————————————————————————————————————————</w:t>
      </w:r>
    </w:p>
    <w:p>
      <w:pPr>
        <w:spacing w:before="160" w:after="40" w:line="240" w:lineRule="auto"/>
      </w:pPr>
      <w:r>
        <w:rPr>
          <w:b/>
        </w:rPr>
        <w:t xml:space="preserve">[251] </w:t>
      </w:r>
      <w:hyperlink r:id="rId1010">
        <w:r>
          <w:rPr>
            <w:color w:val="1155CC"/>
            <w:u w:val="single"/>
          </w:rPr>
          <w:t>用于动态和竞争性转录控制的基于 DNA 的可编程二聚化网络</w:t>
        </w:r>
      </w:hyperlink>
    </w:p>
    <w:p>
      <w:pPr>
        <w:spacing w:before="0" w:after="80"/>
      </w:pPr>
      <w:r>
        <w:rPr>
          <w:i/>
          <w:sz w:val="20"/>
        </w:rPr>
        <w:t>EN: Programmable DNA-Based Dimerization Networks for Dynamic and Competitive Control of Transcription</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11">
        <w:r>
          <w:rPr>
            <w:color w:val="1155CC"/>
            <w:u w:val="single"/>
          </w:rPr>
          <w:t>10.1021/jacs.6c02173</w:t>
        </w:r>
      </w:hyperlink>
    </w:p>
    <w:p>
      <w:pPr>
        <w:spacing w:before="0" w:after="120"/>
      </w:pPr>
      <w:r>
        <w:rPr>
          <w:b/>
        </w:rPr>
        <w:t xml:space="preserve">Notes: </w:t>
      </w:r>
      <w:r>
        <w:t>abstract_source=pubmed</w:t>
      </w:r>
    </w:p>
    <w:p>
      <w:pPr>
        <w:spacing w:before="0" w:after="80" w:lineRule="auto" w:line="276"/>
      </w:pPr>
      <w:r>
        <w:rPr>
          <w:b/>
        </w:rPr>
        <w:t xml:space="preserve">摘要（ZH）: </w:t>
      </w:r>
      <w:r>
        <w:t>在这里，我们引入了一种最小的、经过实验验证的 DNA 编码的多对多蛋白质二聚化网络类似物，以实现无细胞转录的可编程控制。为此，我们合理设计了带有正交叠氮化物或 DBCO 手柄的 DNA 单体，这些单体通过 SPAAC 化学组装成共价二聚体组合文库，其中只有单个二聚体完成原本不活跃的启动子并激活发光 RNA 适体的转录。通过将网络从 2 个单体扩展到 22 个单体，我们表明 RNA 产量可以在一个数量级以上进行微调，与简单的组合模型定量一致，在该模型中激活剂二聚体分数随着网络大小的函数而减少。我们还设计了序列定义的输入，选择性地隔离单体以减小网络大小并上调所选的二聚体激活剂，从而实现来自共享单体池的同一解决方案中不同模板的多重正交激活。将二聚化层与 CRISPR-Cas12a 旁路切割模块耦合，我们进一步表明竞争性 DNA 二聚化转录逻辑可以与下游酶反应连接，将输入集转换为放大的切割活性。总之，这些结果建立了竞争性共价 DNA 二聚化网络作为模块化和定量可预测的平台，用于实施竞争性多对多二聚化逻辑来控制无细胞转录输出。</w:t>
      </w:r>
    </w:p>
    <w:p>
      <w:pPr>
        <w:spacing w:before="0" w:after="200" w:lineRule="auto" w:line="276"/>
      </w:pPr>
      <w:r>
        <w:rPr>
          <w:b/>
        </w:rPr>
        <w:t xml:space="preserve">Abstract (EN): </w:t>
      </w:r>
      <w:r>
        <w:t>Here, we introduce a minimal, experimentally validated DNA-encoded analogue of many-to-many protein dimerization networks to achieve programmable control of cell-free transcription. To do so, we rationally designed DNA monomers bearing orthogonal azide or DBCO handles that assemble via SPAAC chemistry into a combinatorial library of covalent dimers where only a single dimer completes an otherwise inactive promoter and activates transcription of a light-up RNA aptamer. By expanding the network from 2 to 22 monomers, we show that the RNA yield can be finely tuned over more than an order of magnitude, in quantitative agreement with a simple combinatorial model in which the activator dimer fraction decreases as a function of network size. We also designed sequence-defined inputs that selectively sequester monomers to reduce network size and upregulate chosen dimer activators, enabling multiplexed, orthogonal activation of different templates in the same solution from a shared monomer pool. Coupling the dimerization layer to a CRISPR-Cas12a collateral cleavage module, we further show that competitive DNA dimerization transcription logic can be interfaced with downstream enzymatic reactions to convert input sets into amplified cleavage activity. Together, these results establish competitive covalent DNA dimerization networks as a modular and quantitatively predictable platform for implementing competitive many-to-many dimerization logic for controlling cell-free transcription outputs.</w:t>
      </w:r>
    </w:p>
    <w:p>
      <w:pPr>
        <w:spacing w:before="120" w:after="120"/>
      </w:pPr>
      <w:r>
        <w:rPr>
          <w:sz w:val="18"/>
        </w:rPr>
        <w:t>——————————————————————————————————————————————————————————————————————</w:t>
      </w:r>
    </w:p>
    <w:p>
      <w:pPr>
        <w:spacing w:before="160" w:after="40" w:line="240" w:lineRule="auto"/>
      </w:pPr>
      <w:r>
        <w:rPr>
          <w:b/>
        </w:rPr>
        <w:t xml:space="preserve">[252] </w:t>
      </w:r>
      <w:hyperlink r:id="rId1012">
        <w:r>
          <w:rPr>
            <w:color w:val="1155CC"/>
            <w:u w:val="single"/>
          </w:rPr>
          <w:t>在毫开尔文温度下工作的数模转换器</w:t>
        </w:r>
      </w:hyperlink>
    </w:p>
    <w:p>
      <w:pPr>
        <w:spacing w:before="0" w:after="80"/>
      </w:pPr>
      <w:r>
        <w:rPr>
          <w:i/>
          <w:sz w:val="20"/>
        </w:rPr>
        <w:t>EN: A digital-to-analogue converter that works at millikelvin temperatures</w:t>
      </w:r>
    </w:p>
    <w:p>
      <w:pPr>
        <w:spacing w:before="0" w:after="120"/>
      </w:pPr>
      <w:r>
        <w:rPr>
          <w:b/>
        </w:rPr>
        <w:t xml:space="preserve">Source: </w:t>
      </w:r>
      <w:r>
        <w:t>Nature Electronics</w:t>
      </w:r>
      <w:r>
        <w:t xml:space="preserve">    </w:t>
      </w:r>
      <w:r>
        <w:rPr>
          <w:b/>
        </w:rPr>
        <w:t xml:space="preserve">Pub date: </w:t>
      </w:r>
      <w:r>
        <w:t>2026-07-20 00:00:00+00:00</w:t>
      </w:r>
      <w:r>
        <w:t xml:space="preserve">    </w:t>
      </w:r>
      <w:r>
        <w:rPr>
          <w:b/>
        </w:rPr>
        <w:t xml:space="preserve">DOI: </w:t>
      </w:r>
      <w:hyperlink r:id="rId1013">
        <w:r>
          <w:rPr>
            <w:color w:val="1155CC"/>
            <w:u w:val="single"/>
          </w:rPr>
          <w:t>10.1038/s41928-026-01677-2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[253] </w:t>
      </w:r>
      <w:hyperlink r:id="rId1014">
        <w:r>
          <w:rPr>
            <w:color w:val="1155CC"/>
            <w:u w:val="single"/>
          </w:rPr>
          <w:t>用于睡眠调制的入耳式片上系统</w:t>
        </w:r>
      </w:hyperlink>
    </w:p>
    <w:p>
      <w:pPr>
        <w:spacing w:before="0" w:after="80"/>
      </w:pPr>
      <w:r>
        <w:rPr>
          <w:i/>
          <w:sz w:val="20"/>
        </w:rPr>
        <w:t>EN: An in-ear system-on-chip for sleep modulation</w:t>
      </w:r>
    </w:p>
    <w:p>
      <w:pPr>
        <w:spacing w:before="0" w:after="120"/>
      </w:pPr>
      <w:r>
        <w:rPr>
          <w:b/>
        </w:rPr>
        <w:t xml:space="preserve">Source: </w:t>
      </w:r>
      <w:r>
        <w:t>Nature Electronics</w:t>
      </w:r>
      <w:r>
        <w:t xml:space="preserve">    </w:t>
      </w:r>
      <w:r>
        <w:rPr>
          <w:b/>
        </w:rPr>
        <w:t xml:space="preserve">Pub date: </w:t>
      </w:r>
      <w:r>
        <w:t>2026-07-20 00:00:00+00:00</w:t>
      </w:r>
      <w:r>
        <w:t xml:space="preserve">    </w:t>
      </w:r>
      <w:r>
        <w:rPr>
          <w:b/>
        </w:rPr>
        <w:t xml:space="preserve">DOI: </w:t>
      </w:r>
      <w:hyperlink r:id="rId1015">
        <w:r>
          <w:rPr>
            <w:color w:val="1155CC"/>
            <w:u w:val="single"/>
          </w:rPr>
          <w:t>10.1038/s41928-026-01675-4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1016">
        <w:r>
          <w:rPr>
            <w:color w:val="1155CC"/>
            <w:u w:val="single"/>
          </w:rPr>
          <w:t>比较代谢组学揭示人类肠道细菌硫酸化代谢物的产生</w:t>
        </w:r>
      </w:hyperlink>
    </w:p>
    <w:p>
      <w:pPr>
        <w:spacing w:before="0" w:after="80"/>
      </w:pPr>
      <w:r>
        <w:rPr>
          <w:i/>
          <w:sz w:val="20"/>
        </w:rPr>
        <w:t>EN: Comparative Metabolomics Reveals the Production of Sulfated Metabolites by Human Gut Bacteria</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17">
        <w:r>
          <w:rPr>
            <w:color w:val="1155CC"/>
            <w:u w:val="single"/>
          </w:rPr>
          <w:t>10.1021/jacs.6c02487</w:t>
        </w:r>
      </w:hyperlink>
    </w:p>
    <w:p>
      <w:pPr>
        <w:spacing w:before="0" w:after="120"/>
      </w:pPr>
      <w:r>
        <w:rPr>
          <w:b/>
        </w:rPr>
        <w:t xml:space="preserve">Notes: </w:t>
      </w:r>
      <w:r>
        <w:t>abstract_source=pubmed</w:t>
      </w:r>
    </w:p>
    <w:p>
      <w:pPr>
        <w:spacing w:before="0" w:after="80" w:lineRule="auto" w:line="276"/>
      </w:pPr>
      <w:r>
        <w:rPr>
          <w:b/>
        </w:rPr>
        <w:t xml:space="preserve">摘要（ZH）: </w:t>
      </w:r>
      <w:r>
        <w:t>硫酸化代谢组（含硫酸盐代谢物的集合）是结构独特的生物活性化合物的新兴来源，可影响新陈代谢、免疫反应和神经功能。最近的研究表明，除了宿主酶之外，肠道细菌还编码可产生硫酸化代谢物的磺基转移酶（SULT）。然而，特征性肠道细菌 SULT 的底物范围仍然狭窄，并且由于缺乏检测和分配复杂样品中硫酸化代谢物的方法，综合发现受到限制。在这里，我们开发了一个比较代谢组学工作流程，利用通用 SULT 辅因子 3'-磷酸腺苷-5'-磷酸硫酸盐 (PAPS) 将重 (34S) 或轻 (32S) 硫掺入硫酸化代谢物中，从而能够发现微生物组依赖性硫酸化化合物。通过将这种方法应用于“自下而上”的细菌培养和“自上而下”的体内研究，我们发现肠道细菌磺化羟基脂肪酸。我们鉴定出一种肠道共生微生物，即能进行这种转化的真杆菌，以及这种细菌中进行这种磺化作用的酶，ErSULT。宏基因组分析表明，ErSULT 在不同的人类肠道微生物组中普遍存在。总之，该工作流程及其应用表明，肠道细菌产生的硫酸化代谢物比以前认识的更为广泛，并为未来研究微生物组衍生的硫酸化小分子的生物合成和生物功能提供了一个平台。</w:t>
      </w:r>
    </w:p>
    <w:p>
      <w:pPr>
        <w:spacing w:before="0" w:after="200" w:lineRule="auto" w:line="276"/>
      </w:pPr>
      <w:r>
        <w:rPr>
          <w:b/>
        </w:rPr>
        <w:t xml:space="preserve">Abstract (EN): </w:t>
      </w:r>
      <w:r>
        <w:t>The sulfated metabolome─the collection of sulfate-containing metabolites─is an emerging source of structurally unique bioactive compounds that influence metabolism, immune responses, and neurological function. Recent studies have shown that, in addition to host enzymes, gut bacteria also encode sulfotransferase enzymes (SULTs) that generate sulfated metabolites. However, the substrate scope of characterized gut bacterial SULTs remains narrow, and comprehensive discovery is limited by a lack of methods to detect and assign sulfated metabolites in complex samples. Here, we develop a comparative metabolomics workflow that leverages the universal SULT cofactor 3'-phosphoadenosine-5'-phosphosulfate (PAPS) to incorporate heavy (34S) or light (32S) sulfur into sulfated metabolites, enabling discovery of microbiome-dependent sulfated compounds. By applying this approach in both "bottom-up" bacterial culture and "top-down" in vivo studies, we find that gut bacteria sulfonate hydroxy fatty acids. We identify a gut commensal microbe, Eubacterium ramulus, that performs this transformation, as well as an enzyme in this bacterium that performs this sulfonation, ErSULT. Metagenomic analyses reveal that ErSULT is prevalent across diverse human gut microbiomes. Together, this workflow and its application demonstrate that sulfated metabolite production by gut bacteria is more widespread than previously appreciated and provide a platform for future studies investigating the biosynthesis and biological functions of microbiome-derived sulfated small molecules.</w:t>
      </w:r>
    </w:p>
    <w:p>
      <w:pPr>
        <w:spacing w:before="120" w:after="120"/>
      </w:pPr>
      <w:r>
        <w:rPr>
          <w:sz w:val="18"/>
        </w:rPr>
        <w:t>——————————————————————————————————————————————————————————————————————</w:t>
      </w:r>
    </w:p>
    <w:p>
      <w:pPr>
        <w:spacing w:before="160" w:after="40" w:line="240" w:lineRule="auto"/>
      </w:pPr>
      <w:r>
        <w:rPr>
          <w:b/>
        </w:rPr>
        <w:t xml:space="preserve">[255] </w:t>
      </w:r>
      <w:hyperlink r:id="rId1018">
        <w:r>
          <w:rPr>
            <w:color w:val="1155CC"/>
            <w:u w:val="single"/>
          </w:rPr>
          <w:t>液滴增强的不对称催化：用于对映选择性加成反应的方酰胺衍生的伪肽</w:t>
        </w:r>
      </w:hyperlink>
    </w:p>
    <w:p>
      <w:pPr>
        <w:spacing w:before="0" w:after="80"/>
      </w:pPr>
      <w:r>
        <w:rPr>
          <w:i/>
          <w:sz w:val="20"/>
        </w:rPr>
        <w:t>EN: Droplet-Enhanced Asymmetric Catalysis: Squaramide-Derived Pseudopeptide for Enantioselective Addition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19">
        <w:r>
          <w:rPr>
            <w:color w:val="1155CC"/>
            <w:u w:val="single"/>
          </w:rPr>
          <w:t>10.1021/jacs.6c11520</w:t>
        </w:r>
      </w:hyperlink>
    </w:p>
    <w:p>
      <w:pPr>
        <w:spacing w:before="0" w:after="120"/>
      </w:pPr>
      <w:r>
        <w:rPr>
          <w:b/>
        </w:rPr>
        <w:t xml:space="preserve">Notes: </w:t>
      </w:r>
      <w:r>
        <w:t>abstract_source=pubmed</w:t>
      </w:r>
    </w:p>
    <w:p>
      <w:pPr>
        <w:spacing w:before="0" w:after="80" w:lineRule="auto" w:line="276"/>
      </w:pPr>
      <w:r>
        <w:rPr>
          <w:b/>
        </w:rPr>
        <w:t xml:space="preserve">摘要（ZH）: </w:t>
      </w:r>
      <w:r>
        <w:t>通过相分离形成的液滴代表了一种增强酶模拟催化的新兴策略，在催化科学中展示了巨大的潜力。然而，由于缺乏精确设计液滴内手性微环境的系统方法，它们在不对称催化中的应用在很大程度上仍未得到探索。为了应对这一挑战，我们将 L-苯丙氨酸整合到 L-叔亮氨酸衍生的方酰胺中，以设计方酰胺衍生的伪肽液滴。该催化体系在α-硝基砜与丙烯酸酯和烯酮的对映选择性共轭加成以及乙酰丙酮与β-硝基烯烃的迈克尔加成中表现出显着增强的催化性能。机理研究表明，局部底物浓度的增加显着增强了反应活性，而工程化的有利手性微环境则提高了对映选择性。这项研究建立了一个方法框架来阐明液滴内的差异化催化行为，从而推进基于液滴的不对称催化系统的设计和应用。</w:t>
      </w:r>
    </w:p>
    <w:p>
      <w:pPr>
        <w:spacing w:before="0" w:after="200" w:lineRule="auto" w:line="276"/>
      </w:pPr>
      <w:r>
        <w:rPr>
          <w:b/>
        </w:rPr>
        <w:t xml:space="preserve">Abstract (EN): </w:t>
      </w:r>
      <w:r>
        <w:t>Droplets formed through phase separation represent an emerging strategy to enhance enzyme-mimetic catalysis, demonstrating significant potential in catalytic science. However, due to the lack of systematic methodologies for precise engineering of chiral microenvironments within droplets, their application to asymmetric catalysis remains largely unexplored. To address this challenge, we integrate l-phenylalanine into an L-tert-leucine-derived squaramide to design the squaramide-derived pseudopeptide droplets. This catalytic system demonstrates remarkably enhanced catalytic performance in the enantioselective conjugate addition of α-nitrosulfone to acrylates and enones, as well as Michael addition of acetylacetone to β-nitroalkenes. Mechanistic investigations reveal that the increased local substrate concentration significantly enhances reactivity, while the engineered favorable chiral microenvironment boosts enantioselectivity. This study establishes a methodological framework for elucidating differentiated catalytic behaviors within the droplets, thereby advancing the design and application of droplet-based asymmetric catalytic systems.</w:t>
      </w:r>
    </w:p>
    <w:p>
      <w:pPr>
        <w:spacing w:before="120" w:after="120"/>
      </w:pPr>
      <w:r>
        <w:rPr>
          <w:sz w:val="18"/>
        </w:rPr>
        <w:t>——————————————————————————————————————————————————————————————————————</w:t>
      </w:r>
    </w:p>
    <w:p>
      <w:pPr>
        <w:spacing w:before="160" w:after="40" w:line="240" w:lineRule="auto"/>
      </w:pPr>
      <w:r>
        <w:rPr>
          <w:b/>
        </w:rPr>
        <w:t xml:space="preserve">[256] </w:t>
      </w:r>
      <w:hyperlink r:id="rId1020">
        <w:r>
          <w:rPr>
            <w:color w:val="1155CC"/>
            <w:u w:val="single"/>
          </w:rPr>
          <w:t>用于构建多孔莫尔超结构的坚固六方二维 COF 单晶</w:t>
        </w:r>
      </w:hyperlink>
    </w:p>
    <w:p>
      <w:pPr>
        <w:spacing w:before="0" w:after="80"/>
      </w:pPr>
      <w:r>
        <w:rPr>
          <w:i/>
          <w:sz w:val="20"/>
        </w:rPr>
        <w:t>EN: Robust Hexagonal 2D COF Single Crystals for the Construction of Porous Moiré Superstructures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21">
        <w:r>
          <w:rPr>
            <w:color w:val="1155CC"/>
            <w:u w:val="single"/>
          </w:rPr>
          <w:t>10.1021/jacs.6c07191</w:t>
        </w:r>
      </w:hyperlink>
    </w:p>
    <w:p>
      <w:pPr>
        <w:spacing w:before="0" w:after="120"/>
      </w:pPr>
      <w:r>
        <w:rPr>
          <w:b/>
        </w:rPr>
        <w:t xml:space="preserve">Notes: </w:t>
      </w:r>
      <w:r>
        <w:t>abstract_source=pubmed</w:t>
      </w:r>
    </w:p>
    <w:p>
      <w:pPr>
        <w:spacing w:before="0" w:after="80" w:lineRule="auto" w:line="276"/>
      </w:pPr>
      <w:r>
        <w:rPr>
          <w:b/>
        </w:rPr>
        <w:t xml:space="preserve">摘要（ZH）: </w:t>
      </w:r>
      <w:r>
        <w:t>我们报告了一系列具有六角形孔的二维（2D）共价有机骨架（COF）单晶及其剥离成单晶薄膜，用于构建多孔莫尔超结构。这些二维 COF 单晶 COF-600、COF-660 和 COF-666 尺寸高达 120 μm，通过单晶 X 射线衍射 (SCXRD) 和电子衍射 (ED) 测定，分辨率高达 0.9 Å，在 P65 空间群下呈现出等网状结构。二维框架节点处的高密度弱相互作用是剥离后保持结构完整性和孔隙率的关键，从而可以将无机簇捕获在孔隙内。剥离膜的厚度从 50 nm 系统调整到 1.5 μm。使用透射电子显微镜 (TEM) 揭示了剥离薄膜的多孔结构和相应的莫尔超结构，分辨率高达 1.72 Å。观察到扭曲角覆盖2.1°至30°范围，其中扭曲角为30°的扭曲角给出了具有12重对称性的准周期莫尔图案。使用坚固的多孔 2D COF 单晶来构建莫尔超结构，指出了一种创建具有分层顺序的 2D 多孔材料的新方法。这种多孔的上层结构可能会引发新的物理和化学性质的出现。</w:t>
      </w:r>
    </w:p>
    <w:p>
      <w:pPr>
        <w:spacing w:before="0" w:after="200" w:lineRule="auto" w:line="276"/>
      </w:pPr>
      <w:r>
        <w:rPr>
          <w:b/>
        </w:rPr>
        <w:t xml:space="preserve">Abstract (EN): </w:t>
      </w:r>
      <w:r>
        <w:t>We report a series of two-dimensional (2D) covalent organic framework (COF) single crystals with hexagonal pores and their exfoliation into single-crystalline thin films for the construction of porous Moiré superstructures. These 2D COF single crystals, COF-600, COF-660, and COF-666, with sizes up to 120 μm, exhibited isoreticular structure under the P65 space group, as determined by single-crystal X-ray diffraction (SCXRD) and electron diffraction (ED) with a resolution of up to 0.9 Å. A high density of weak interactions at the nodes of the 2D framework was key to maintain the structural integrity and porosity after exfoliation, allowing for the trapping of inorganic clusters within the pores. The thickness of the exfoliated films was tuned systematically from 50 nm to 1.5 μm. A transmission electron microscope (TEM) was used to unveil the porous structures of both the exfoliated films and the corresponding Moiré superstructures, with a resolution of up to 1.72 Å. Twisted angles covering the range from 2.1° to 30° were observed, among which the one with a twist angle of 30° gave a quasiperiodic Moiré pattern with 12-fold symmetry. The use of robust porous 2D COF single crystals for the construction of Moiré superstructures points to a new way to create 2D porous materials with hierarchical order. Such porous superstructures are likely to trigger the emergence of new physical and chemical properties.</w:t>
      </w:r>
    </w:p>
    <w:p>
      <w:pPr>
        <w:spacing w:before="120" w:after="120"/>
      </w:pPr>
      <w:r>
        <w:rPr>
          <w:sz w:val="18"/>
        </w:rPr>
        <w:t>——————————————————————————————————————————————————————————————————————</w:t>
      </w:r>
    </w:p>
    <w:p>
      <w:pPr>
        <w:spacing w:before="160" w:after="40" w:line="240" w:lineRule="auto"/>
      </w:pPr>
      <w:r>
        <w:rPr>
          <w:b/>
        </w:rPr>
        <w:t xml:space="preserve">[257] </w:t>
      </w:r>
      <w:hyperlink r:id="rId1022">
        <w:r>
          <w:rPr>
            <w:color w:val="1155CC"/>
            <w:u w:val="single"/>
          </w:rPr>
          <w:t>芳香族化合物的构象引导远程 C-H 官能化</w:t>
        </w:r>
      </w:hyperlink>
    </w:p>
    <w:p>
      <w:pPr>
        <w:spacing w:before="0" w:after="80"/>
      </w:pPr>
      <w:r>
        <w:rPr>
          <w:i/>
          <w:sz w:val="20"/>
        </w:rPr>
        <w:t>EN: Conformation-Guided Remote C–H Functionalization of Aromatic Compounds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23">
        <w:r>
          <w:rPr>
            <w:color w:val="1155CC"/>
            <w:u w:val="single"/>
          </w:rPr>
          <w:t>10.1021/jacs.6c05911</w:t>
        </w:r>
      </w:hyperlink>
    </w:p>
    <w:p>
      <w:pPr>
        <w:spacing w:before="0" w:after="120"/>
      </w:pPr>
      <w:r>
        <w:rPr>
          <w:b/>
        </w:rPr>
        <w:t xml:space="preserve">Notes: </w:t>
      </w:r>
      <w:r>
        <w:t>abstract_source=pubmed</w:t>
      </w:r>
    </w:p>
    <w:p>
      <w:pPr>
        <w:spacing w:before="0" w:after="80" w:lineRule="auto" w:line="276"/>
      </w:pPr>
      <w:r>
        <w:rPr>
          <w:b/>
        </w:rPr>
        <w:t xml:space="preserve">摘要（ZH）: </w:t>
      </w:r>
      <w:r>
        <w:t>在芳香环的远程、无偏位置实现位点选择性 C-H 官能化仍然是该领域的主要挑战。我们报告了一种构象控制策略，该策略能够通过芳烃与 Cr(CO)3 的 π 络合，实现单取代和 1,2-二取代（多）芳烃的远程元选择性 C-H 硼化。铬三脚架采用优选的构象，暴露间位-C-H键，而带有2-氨基菲咯啉配体的定制铱催化剂增强了这种效应并克服了固有的底物偏差。在聚芳烃中，铬三脚架既充当构象导向器又充当电子调制器，实现了位点选择性和环选择性，这是现有非定向方法无法实现的。最先进的 DFT 理论水平的计算研究支持芳烃 π 络合和催化剂之间相互作用产生的选择性的合作起源。</w:t>
      </w:r>
    </w:p>
    <w:p>
      <w:pPr>
        <w:spacing w:before="0" w:after="200" w:lineRule="auto" w:line="276"/>
      </w:pPr>
      <w:r>
        <w:rPr>
          <w:b/>
        </w:rPr>
        <w:t xml:space="preserve">Abstract (EN): </w:t>
      </w:r>
      <w:r>
        <w:t>Achieving site-selective C-H functionalization at remote, unbiased positions of the aromatic ring remains a major challenge in the field. We report a conformational control strategy that enables remote meta-selective C-H borylation of mono- and 1,2-disubstituted (poly)arenes via arene π-complexation with Cr(CO)3. The chromium tripod adopts a preferred conformation, exposing the meta-C-H bond, while a tailored iridium catalyst bearing 2-aminophenanthroline ligands reinforces this effect and overrides intrinsic substrate bias. In polyaromatics, the chromium tripod acts as both a conformational director and an electronic modulator, enabling site- and ring-selectivity, which is inaccessible with existing nondirected methods. Computational studies at a state-of-the-art DFT theoretical level support a cooperative origin of selectivity arising from the interplay between arene π-complexation and the catalyst.</w:t>
      </w:r>
    </w:p>
    <w:p>
      <w:pPr>
        <w:spacing w:before="120" w:after="120"/>
      </w:pPr>
      <w:r>
        <w:rPr>
          <w:sz w:val="18"/>
        </w:rPr>
        <w:t>——————————————————————————————————————————————————————————————————————</w:t>
      </w:r>
    </w:p>
    <w:p>
      <w:pPr>
        <w:spacing w:before="160" w:after="40" w:line="240" w:lineRule="auto"/>
      </w:pPr>
      <w:r>
        <w:rPr>
          <w:b/>
        </w:rPr>
        <w:t xml:space="preserve">[258] </w:t>
      </w:r>
      <w:hyperlink r:id="rId1024">
        <w:r>
          <w:rPr>
            <w:color w:val="1155CC"/>
            <w:u w:val="single"/>
          </w:rPr>
          <w:t>适合大众的梯形分子</w:t>
        </w:r>
      </w:hyperlink>
    </w:p>
    <w:p>
      <w:pPr>
        <w:spacing w:before="0" w:after="80"/>
      </w:pPr>
      <w:r>
        <w:rPr>
          <w:i/>
          <w:sz w:val="20"/>
        </w:rPr>
        <w:t>EN: Ladder-shaped molecules for the masses</w:t>
      </w:r>
    </w:p>
    <w:p>
      <w:pPr>
        <w:spacing w:before="0" w:after="120"/>
      </w:pPr>
      <w:r>
        <w:rPr>
          <w:b/>
        </w:rPr>
        <w:t xml:space="preserve">Source: </w:t>
      </w:r>
      <w:r>
        <w:t>Nature Chemistry</w:t>
      </w:r>
      <w:r>
        <w:t xml:space="preserve">    </w:t>
      </w:r>
      <w:r>
        <w:rPr>
          <w:b/>
        </w:rPr>
        <w:t xml:space="preserve">Pub date: </w:t>
      </w:r>
      <w:r>
        <w:t>2026-07-20 00:00:00+00:00</w:t>
      </w:r>
      <w:r>
        <w:t xml:space="preserve">    </w:t>
      </w:r>
      <w:r>
        <w:rPr>
          <w:b/>
        </w:rPr>
        <w:t xml:space="preserve">DOI: </w:t>
      </w:r>
      <w:hyperlink r:id="rId1025">
        <w:r>
          <w:rPr>
            <w:color w:val="1155CC"/>
            <w:u w:val="single"/>
          </w:rPr>
          <w:t>10.1038/s41557-026-02211-9</w:t>
        </w:r>
      </w:hyperlink>
    </w:p>
    <w:p>
      <w:pPr>
        <w:spacing w:before="0" w:after="120"/>
      </w:pPr>
      <w:r>
        <w:rPr>
          <w:b/>
        </w:rPr>
        <w:t xml:space="preserve">Notes: </w:t>
      </w:r>
      <w:r>
        <w:t>abstract_source=rss_nature</w:t>
      </w:r>
    </w:p>
    <w:p>
      <w:pPr>
        <w:spacing w:before="0" w:after="80" w:lineRule="auto" w:line="276"/>
      </w:pPr>
      <w:r>
        <w:rPr>
          <w:b/>
        </w:rPr>
        <w:t xml:space="preserve">摘要（ZH）: </w:t>
      </w:r>
      <w:r>
        <w:t>双环（2.2.0）己烷（“梯烷”）的应变释放转化尚未得到充分研究，因为它们难以合成。现在，一种方法可以更容易地获得此类分子，并证明它们在环加成反应中的实用性，以产生药物化学有用的结构。</w:t>
      </w:r>
    </w:p>
    <w:p>
      <w:pPr>
        <w:spacing w:before="0" w:after="200" w:lineRule="auto" w:line="276"/>
      </w:pPr>
      <w:r>
        <w:rPr>
          <w:b/>
        </w:rPr>
        <w:t xml:space="preserve">Abstract (EN): </w:t>
      </w:r>
      <w:r>
        <w:t>Strain-releasing transformations of bicyclo(2.2.0)hexanes (‘ladderanes’) are underexplored because of their difficult synthetic accessibility. Now, a method provides easier access to this class of molecules and demonstrates their utility in cycloaddition reactions to produce useful structures for medicinal chemistry.</w:t>
      </w:r>
    </w:p>
    <w:p>
      <w:pPr>
        <w:spacing w:before="120" w:after="120"/>
      </w:pPr>
      <w:r>
        <w:rPr>
          <w:sz w:val="18"/>
        </w:rPr>
        <w:t>——————————————————————————————————————————————————————————————————————</w:t>
      </w:r>
    </w:p>
    <w:p>
      <w:pPr>
        <w:spacing w:before="160" w:after="40" w:line="240" w:lineRule="auto"/>
      </w:pPr>
      <w:r>
        <w:rPr>
          <w:b/>
        </w:rPr>
        <w:t xml:space="preserve">[259] </w:t>
      </w:r>
      <w:hyperlink r:id="rId1026">
        <w:r>
          <w:rPr>
            <w:color w:val="1155CC"/>
            <w:u w:val="single"/>
          </w:rPr>
          <w:t>自限性阳离子交换精密合成 I-III-VI 三元半导体纳米团簇</w:t>
        </w:r>
      </w:hyperlink>
    </w:p>
    <w:p>
      <w:pPr>
        <w:spacing w:before="0" w:after="80"/>
      </w:pPr>
      <w:r>
        <w:rPr>
          <w:i/>
          <w:sz w:val="20"/>
        </w:rPr>
        <w:t>EN: Precision Synthesis of I–III–VI Ternary Semiconductor Nanoclusters via Self-Limiting Cation Exchange</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27">
        <w:r>
          <w:rPr>
            <w:color w:val="1155CC"/>
            <w:u w:val="single"/>
          </w:rPr>
          <w:t>10.1021/jacs.6c05694</w:t>
        </w:r>
      </w:hyperlink>
    </w:p>
    <w:p>
      <w:pPr>
        <w:spacing w:before="0" w:after="120"/>
      </w:pPr>
      <w:r>
        <w:rPr>
          <w:b/>
        </w:rPr>
        <w:t xml:space="preserve">Notes: </w:t>
      </w:r>
      <w:r>
        <w:t>abstract_source=pubmed</w:t>
      </w:r>
    </w:p>
    <w:p>
      <w:pPr>
        <w:spacing w:before="0" w:after="80" w:lineRule="auto" w:line="276"/>
      </w:pPr>
      <w:r>
        <w:rPr>
          <w:b/>
        </w:rPr>
        <w:t xml:space="preserve">摘要（ZH）: </w:t>
      </w:r>
      <w:r>
        <w:t>三元 I-III-VI 半导体因其环境兼容性和广泛的可调性而成为重要材料。然而，实现多元半导体材料的原子级控制仍然是一个重大挑战。在这里，我们报告了通过自限制阳离子交换精确合成具有原子定义的化学计量、结构和表面的三元纳米团簇。具体来说，Cu26Se13(PR3)14 模板簇和 InCl3-PR'3 络合物之间的反应产生部分交换的 Cu6In8Se13Cl4(PR'3)12 簇，纯度高且产率接近一致。三元簇保留了二十面体Se13阴离子框架，In3+和Cu+阳离子自组装成假核/壳异质结构。所有膦均与外边缘 Cu+ 结合，而所有氯化物则与内面 In3+ 配位。该反应进一步推广到 Ga3+，产生类似的 Cu6Ga8Se13Cl4(PR3)12 簇。这种自限制性阳离子交换以及多元阳离子和配体的精确组装可归因于电荷、配位、空间和对称因素。理论计算表明，Cu+ 和 In3+/Ga3+ 分别对占据和未占据的前沿轨道有显着贡献，从而产生具有电荷转移特性的宽吸收带。这些团簇可以烧结形成具有良好控制的化学计量的块状半导体，这证明了它们作为多元半导体溶液加工的精确前体的潜力。我们预计原子定义的阳离子交换反应将为精确的阳离子交换反应提供机会。</w:t>
      </w:r>
    </w:p>
    <w:p>
      <w:pPr>
        <w:spacing w:before="0" w:after="200" w:lineRule="auto" w:line="276"/>
      </w:pPr>
      <w:r>
        <w:rPr>
          <w:b/>
        </w:rPr>
        <w:t xml:space="preserve">Abstract (EN): </w:t>
      </w:r>
      <w:r>
        <w:t>Ternary I-III-VI semiconductors are important materials because of their environmental compatibility and broad tunability. However, achieving atomic-level control of multinary semiconductor materials remains a major challenge. Here, we report the precision synthesis of ternary nanoclusters with atomically defined stoichiometry, structure, and surface via self-limiting cation exchange. Specifically, the reaction between a Cu26Se13(PR3)14 template cluster and an InCl3-PR'3 complex produces a partially exchanged Cu6In8Se13Cl4(PR'3)12 cluster in high purity and near-unity yield. The ternary cluster retains the icosahedral Se13 anion framework, with In3+ and Cu+ cations self-assembled into a pseudo-core/shell heterostructure. All the phosphines bind to the outer-edge Cu+, while all the chlorides coordinate to the inner-facet In3+. The reaction is further generalized to Ga3+, producing an analogous Cu6Ga8Se13Cl4(PR3)12 cluster. Such self-limiting cation exchange and precise assembly of multinary cations and ligands can be attributed to charge, coordination, steric, and symmetry factors. Theoretical calculations reveal that Cu+ and In3+/Ga3+ contribute significantly to the occupied and unoccupied frontier orbitals, respectively, leading to a broad absorption band with charge-transfer character. The clusters can be sintered to form bulk semiconductors with well-controlled stoichiometry, demonstrating their potential as precise precursors for solution processing of multinary semiconductors. We expect that atomically defined cation-exchange reactions will open opportunities for precision engineering of complex multinary semiconductor materials.</w:t>
      </w:r>
    </w:p>
    <w:p>
      <w:pPr>
        <w:spacing w:before="120" w:after="120"/>
      </w:pPr>
      <w:r>
        <w:rPr>
          <w:sz w:val="18"/>
        </w:rPr>
        <w:t>——————————————————————————————————————————————————————————————————————</w:t>
      </w:r>
    </w:p>
    <w:p>
      <w:pPr>
        <w:spacing w:before="160" w:after="40" w:line="240" w:lineRule="auto"/>
      </w:pPr>
      <w:r>
        <w:rPr>
          <w:b/>
        </w:rPr>
        <w:t xml:space="preserve">[260] </w:t>
      </w:r>
      <w:hyperlink r:id="rId1028">
        <w:r>
          <w:rPr>
            <w:color w:val="1155CC"/>
            <w:u w:val="single"/>
          </w:rPr>
          <w:t>催化不对称阳离子香叶基环化</w:t>
        </w:r>
      </w:hyperlink>
    </w:p>
    <w:p>
      <w:pPr>
        <w:spacing w:before="0" w:after="80"/>
      </w:pPr>
      <w:r>
        <w:rPr>
          <w:i/>
          <w:sz w:val="20"/>
        </w:rPr>
        <w:t>EN: Catalytic Asymmetric Cationic Geranyl Cyclizations</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29">
        <w:r>
          <w:rPr>
            <w:color w:val="1155CC"/>
            <w:u w:val="single"/>
          </w:rPr>
          <w:t>10.1021/jacs.6c08353</w:t>
        </w:r>
      </w:hyperlink>
    </w:p>
    <w:p>
      <w:pPr>
        <w:spacing w:before="0" w:after="120"/>
      </w:pPr>
      <w:r>
        <w:rPr>
          <w:b/>
        </w:rPr>
        <w:t xml:space="preserve">Notes: </w:t>
      </w:r>
      <w:r>
        <w:t>abstract_source=pubmed</w:t>
      </w:r>
    </w:p>
    <w:p>
      <w:pPr>
        <w:spacing w:before="0" w:after="80" w:lineRule="auto" w:line="276"/>
      </w:pPr>
      <w:r>
        <w:rPr>
          <w:b/>
        </w:rPr>
        <w:t xml:space="preserve">摘要（ZH）: </w:t>
      </w:r>
      <w:r>
        <w:t>环香叶基基序在天然产物和萜烯合成中很重要，但从无环二烯中不对称形成环香叶基基序仍然具有挑战性。在这里，我们报告了使用受限手性亚胺二磷酸亚胺酯（IDPi）布朗斯台德酸对香叶基衍生物进行一般催化不对称环化。与氟化醇添加剂结合，反应在温和的条件下进行，具有高效率和优异的区域选择性和对映选择性。该方法适用于多种底物，能够获得与香料相关的支架、视网膜前体、复杂的多环萜烯，甚至选择性角鲨烯环化。机理研究支持协同催化剂添加剂氢键网络和受限手性环境内的异步协同、类酶过渡态。这项工作为不对称香叶基环化提供了通用的解决方案，并扩展了限域布朗斯台德酸催化在仿生萜烯合成中的应用。</w:t>
      </w:r>
    </w:p>
    <w:p>
      <w:pPr>
        <w:spacing w:before="0" w:after="200" w:lineRule="auto" w:line="276"/>
      </w:pPr>
      <w:r>
        <w:rPr>
          <w:b/>
        </w:rPr>
        <w:t xml:space="preserve">Abstract (EN): </w:t>
      </w:r>
      <w:r>
        <w:t>Cyclogeranyl motifs are important in natural products and terpene synthesis, yet their asymmetric formation from acyclic dienes remains challenging. Here, we report a general catalytic asymmetric cyclization of geranyl derivatives using confined chiral imidodiphosphorimidate (IDPi) Brønsted acids. In combination with fluorinated alcohol additives, the reaction proceeds under mild conditions with high efficiency and excellent regio- and enantioselectivity. The method accommodates diverse substrates, enabling access to fragrance-relevant scaffolds, retinal precursors, complex polycyclic terpenes, and even selective squalene cyclization. Mechanistic studies support a cooperative catalyst-additive hydrogen-bonding network and an asynchronous concerted, enzyme-like transition state within a confined chiral environment. This work provides a general solution for asymmetric geranyl cyclizations and expands the utility of confined Brønsted acid catalysis in biomimetic terpene synthesis.</w:t>
      </w:r>
    </w:p>
    <w:p>
      <w:pPr>
        <w:spacing w:before="120" w:after="120"/>
      </w:pPr>
      <w:r>
        <w:rPr>
          <w:sz w:val="18"/>
        </w:rPr>
        <w:t>——————————————————————————————————————————————————————————————————————</w:t>
      </w:r>
    </w:p>
    <w:p>
      <w:pPr>
        <w:spacing w:before="160" w:after="40" w:line="240" w:lineRule="auto"/>
      </w:pPr>
      <w:r>
        <w:rPr>
          <w:b/>
        </w:rPr>
        <w:t xml:space="preserve">[261] </w:t>
      </w:r>
      <w:hyperlink r:id="rId1030">
        <w:r>
          <w:rPr>
            <w:color w:val="1155CC"/>
            <w:u w:val="single"/>
          </w:rPr>
          <w:t>通过 S-Apphire 界面工程直径控制合成水平排列碳纳米管阵列</w:t>
        </w:r>
      </w:hyperlink>
    </w:p>
    <w:p>
      <w:pPr>
        <w:spacing w:before="0" w:after="80"/>
      </w:pPr>
      <w:r>
        <w:rPr>
          <w:i/>
          <w:sz w:val="20"/>
        </w:rPr>
        <w:t>EN: Diameter-Controlled Synthesis of Horizontally Aligned Carbon Nanotube Arrays via S-Apphire Interface Engineering</w:t>
      </w:r>
    </w:p>
    <w:p>
      <w:pPr>
        <w:spacing w:before="0" w:after="120"/>
      </w:pPr>
      <w:r>
        <w:rPr>
          <w:b/>
        </w:rPr>
        <w:t xml:space="preserve">Source: </w:t>
      </w:r>
      <w:r>
        <w:t>Journal of the American Chemical Society: Latest Articles (ACS Publications)</w:t>
      </w:r>
      <w:r>
        <w:t xml:space="preserve">    </w:t>
      </w:r>
      <w:r>
        <w:rPr>
          <w:b/>
        </w:rPr>
        <w:t xml:space="preserve">Pub date: </w:t>
      </w:r>
      <w:r>
        <w:t>2026-07-20 00:00:00+00:00</w:t>
      </w:r>
      <w:r>
        <w:t xml:space="preserve">    </w:t>
      </w:r>
      <w:r>
        <w:rPr>
          <w:b/>
        </w:rPr>
        <w:t xml:space="preserve">DOI: </w:t>
      </w:r>
      <w:hyperlink r:id="rId1031">
        <w:r>
          <w:rPr>
            <w:color w:val="1155CC"/>
            <w:u w:val="single"/>
          </w:rPr>
          <w:t>10.1021/jacs.6c08950</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精确控制负载金属纳米颗粒的尺寸和分散度是多相催化中的一个基本问题，控制着反应活性和选择性。然而，由于热力学驱动的烧结，特别是在高温条件下，调节这些参数仍然具有挑战性。这一挑战在水平排列碳纳米管 (HACNT) 阵列的生长中得到了尖锐的体现，其中催化剂尺寸决定了 CNT 直径，从而决定了集成电路应用的电子特性。在这里，我们报告了一种确定性的硫改性蓝宝石（S-apphire）界面工程策略来调节催化剂分散和所得的碳纳米管直径。我们将内聚能 (E coh) 作为金属-金属与金属-载体相互作用的定量描述符，并表明硫改性选择性地调节 E coh 以可预测地控制纳米颗粒尺寸。该策略使用Ti催化剂实现了直径减小至~1.26 nm，满足CNT集成电路3 nm技术节点的要求，同时保持高阵列密度和良好的对准。在这些阵列上制造的顶栅场效应晶体管表现出接近 10 7 的开/关电流比，优于具有不受控制直径的器件。除了碳纳米管电子学之外，这项工作还提供了一个通用的热力学框架，用于通过界面工程设计稳定、尺寸可控的金属纳米结构。 ACS 出版物 © 2026 美国化学会</w:t>
      </w:r>
    </w:p>
    <w:p>
      <w:pPr>
        <w:spacing w:before="0" w:after="200" w:lineRule="auto" w:line="276"/>
      </w:pPr>
      <w:r>
        <w:rPr>
          <w:b/>
        </w:rPr>
        <w:t xml:space="preserve">Abstract (EN): </w:t>
      </w:r>
      <w:r>
        <w:t>Click to copy section link Section link copied! Precise control over the size and dispersion of supported metal nanoparticles is a fundamental issue in heterogeneous catalysis, governing both reaction activity and selectivity. However, regulating these parameters remains challenging due to thermodynamically driven sintering, particularly under high-temperature conditions. This challenge is acutely exemplified in the growth of horizontally aligned carbon nanotube (HACNT) arrays, where the catalyst size dictates the CNT diameter, and consequently the electronic properties for integrated circuit applications. Here, we report a deterministic sulfur-modified sapphire (S-apphire) interface engineering strategy to regulate catalyst dispersion and the resulting CNT diameter. We establish cohesive energy ( E coh) as a quantitative descriptor of metal–metal versus metal–support interactions and show that sulfur modification selectively tunes E coh to control nanoparticle size predictably. This strategy achieves a diameter reduction to ∼1.26 nm using Ti catalysts, meeting the requirements for the 3 nm technology node of CNT integrated circuits, while preserving high array density and good alignment. Top-gated field-effect transistors fabricated on these arrays exhibit on/off current ratios approaching 10 7, superior to devices with uncontrolled diameters. Beyond CNT electronics, this work offers a generalizable thermodynamic framework for designing stable, size-controlled metal nanostructures via interface engineering. ACS Publications © 2026 American Chemical Society</w:t>
      </w:r>
    </w:p>
    <w:p>
      <w:pPr>
        <w:spacing w:before="120" w:after="120"/>
      </w:pPr>
      <w:r>
        <w:rPr>
          <w:sz w:val="18"/>
        </w:rPr>
        <w:t>——————————————————————————————————————————————————————————————————————</w:t>
      </w:r>
    </w:p>
    <w:p>
      <w:pPr>
        <w:spacing w:before="160" w:after="40" w:line="240" w:lineRule="auto"/>
      </w:pPr>
      <w:r>
        <w:rPr>
          <w:b/>
        </w:rPr>
        <w:t xml:space="preserve">[262] </w:t>
      </w:r>
      <w:hyperlink r:id="rId1032">
        <w:r>
          <w:rPr>
            <w:color w:val="1155CC"/>
            <w:u w:val="single"/>
          </w:rPr>
          <w:t>跨神经系统的软液态金属接口监测时间干扰刺激的神经动力学</w:t>
        </w:r>
      </w:hyperlink>
    </w:p>
    <w:p>
      <w:pPr>
        <w:spacing w:before="0" w:after="80"/>
      </w:pPr>
      <w:r>
        <w:rPr>
          <w:i/>
          <w:sz w:val="20"/>
        </w:rPr>
        <w:t>EN: Neural dynamics of temporal interference stimulation monitoring by soft liquid metal interfaces across neural systems</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神经调节被广泛用于增强神经活动和恢复受损的电路，但目前的方法存在侵入性、深度有限或空间分辨率差的问题。时间干扰刺激（TIS）已成为一种非侵入性方法，通过高频电场的干扰来调节大脑深部区域，从而实现空间选择性。尽管它具有潜力，但其生理效应仍未被探索。在这里，我们提出了一种定制的基于液态金属的神经接口，用于记录从大脑类器官到小鼠大脑等不同神经组织对 TIS 的电生理反应。界面的柔软性最大限度地减少了侵入性，同时确保稳定地进入深层神经区域。电生理学分析揭示了 TIS 诱导的神经发育和功能连接动力学。此外，我们研究了潜在的神经动力学，呈现群体水平的神经活动，以比较不同复杂性和成熟度的模型的反应。通过将软神经接口与多尺度分析相结合，这项研究揭示了神经调节如何塑造神经动力学并支持未来治疗策略的发展。</w:t>
      </w:r>
    </w:p>
    <w:p>
      <w:pPr>
        <w:spacing w:before="0" w:after="200" w:lineRule="auto" w:line="276"/>
      </w:pPr>
      <w:r>
        <w:rPr>
          <w:b/>
        </w:rPr>
        <w:t xml:space="preserve">Abstract (EN): </w:t>
      </w:r>
      <w:r>
        <w:t>Neuromodulation is widely employed to enhance neural activity and restore impaired circuitry, yet current methods suffer from invasiveness, limited depth, or poor spatial resolution. Temporal interference stimulation (TIS) has emerged as a non-invasive approach to modulate deep brain regions via interference of high-frequency electric fields, achieving spatial selectivity. Despite its potential, the physiological effects remain unexplored. Here, we present a customized liquid metal-based neural interface to record electrophysiological responses to TIS across diverse neural tissues, from brain organoids to mouse brains. The softness of the interface minimizes invasiveness while ensuring stable access to deep neural regions. Electrophysiological analyses reveal TIS-induced dynamics in neurodevelopment and functional connectivity. Furthermore, we investigated latent neural dynamics, presenting population-level neural activity, to compare responses across models of differing complexity and maturity. By combining soft neural interfaces with multi-scale analyses, this study uncovers how neuromodulation shapes neural dynamics and supports the development of future therapeutic strategies.</w:t>
      </w:r>
    </w:p>
    <w:p>
      <w:pPr>
        <w:spacing w:before="120" w:after="120"/>
      </w:pPr>
      <w:r>
        <w:rPr>
          <w:sz w:val="18"/>
        </w:rPr>
        <w:t>——————————————————————————————————————————————————————————————————————</w:t>
      </w:r>
    </w:p>
    <w:p>
      <w:pPr>
        <w:spacing w:before="160" w:after="40" w:line="240" w:lineRule="auto"/>
      </w:pPr>
      <w:r>
        <w:rPr>
          <w:b/>
        </w:rPr>
        <w:t xml:space="preserve">[263] </w:t>
      </w:r>
      <w:hyperlink r:id="rId1033">
        <w:r>
          <w:rPr>
            <w:color w:val="1155CC"/>
            <w:u w:val="single"/>
          </w:rPr>
          <w:t>病毒合胞体进化以抵抗干扰素</w:t>
        </w:r>
      </w:hyperlink>
    </w:p>
    <w:p>
      <w:pPr>
        <w:spacing w:before="0" w:after="80"/>
      </w:pPr>
      <w:r>
        <w:rPr>
          <w:i/>
          <w:sz w:val="20"/>
        </w:rPr>
        <w:t>EN: Viral syncytia evolve to resist interferon</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与许多病毒一样，SARS-CoV-2 会产生合胞体，但合胞体形成在病毒进化中的作用仍不清楚。使用 SARS-CoV-2 和 SARS-CoV-2 Spike (S) 替代性水泡性口炎 (VSV)，我们发现 S 介导的合胞体会损害培养细胞、人肺细胞培养物和 hACE2 转基因小鼠中干扰素的抗病毒作用。调节 Delta 和 Omicron 编码的 S 中合胞体形成的氨基酸取代对病毒干扰素抗性具有平行作用。 S介导的合胞体损害培养细胞中抗体介导的病毒中和作用。我们概括了 VSV、流感病毒和季节性冠状病毒 OC43 感染中正呼肠孤病毒 p14 融合相关小跨膜 (FAST) 蛋白产生的合胞体中的干扰素和中和抗体抗性。这些发现解释了人类中 SARS-CoV-2 融合变异的选择，以及更普遍的解释了由适应性和先天免疫驱动的融合病毒的进化。</w:t>
      </w:r>
    </w:p>
    <w:p>
      <w:pPr>
        <w:spacing w:before="0" w:after="200" w:lineRule="auto" w:line="276"/>
      </w:pPr>
      <w:r>
        <w:rPr>
          <w:b/>
        </w:rPr>
        <w:t xml:space="preserve">Abstract (EN): </w:t>
      </w:r>
      <w:r>
        <w:t>SARS-CoV-2, like many viruses, generates syncytia but the role of syncytia formation in viral evolution remains unknown. Using SARS-CoV-2 and SARS-CoV-2 Spike (S) replacement vesicular stomatitis (VSV), we show that S-mediated syncytia impair the antiviral effects of interferons in cultured cells, human lung cell cultures, and hACE2 transgenic mice. Amino acid substitutions that modulate syncytia formation in Delta- and Omicron-encoded S have parallel effects on viral interferon resistance. S-mediated syncytia compromise antibody-mediated virus neutralization in cultured cells. We recapitulate interferon and neutralizing antibody resistance in syncytia generated by the orthoreovirus p14 fusion-associated small transmembrane (FAST) protein in VSV, influenza virus, and seasonal coronavirus OC43 infections. These findings explain selection of SARS-CoV-2 fusogenic variants in humans and, more generally, the evolution of fusogenic viruses driven by adaptive and innate immunity.</w:t>
      </w:r>
    </w:p>
    <w:p>
      <w:pPr>
        <w:spacing w:before="120" w:after="120"/>
      </w:pPr>
      <w:r>
        <w:rPr>
          <w:sz w:val="18"/>
        </w:rPr>
        <w:t>——————————————————————————————————————————————————————————————————————</w:t>
      </w:r>
    </w:p>
    <w:p>
      <w:pPr>
        <w:spacing w:before="160" w:after="40" w:line="240" w:lineRule="auto"/>
      </w:pPr>
      <w:r>
        <w:rPr>
          <w:b/>
        </w:rPr>
        <w:t xml:space="preserve">[264] </w:t>
      </w:r>
      <w:hyperlink r:id="rId1034">
        <w:r>
          <w:rPr>
            <w:color w:val="1155CC"/>
            <w:u w:val="single"/>
          </w:rPr>
          <w:t>用于间质液零偏差纵向监测的无线光门控光电化学微针可穿戴设备</w:t>
        </w:r>
      </w:hyperlink>
    </w:p>
    <w:p>
      <w:pPr>
        <w:spacing w:before="0" w:after="80"/>
      </w:pPr>
      <w:r>
        <w:rPr>
          <w:i/>
          <w:sz w:val="20"/>
        </w:rPr>
        <w:t>EN: Wireless light-gated photoelectrochemical microneedle wearables for zero-bias longitudinal monitoring in interstitial fluid</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可穿戴化学传感器可以实现持续的健康监测，但间质液的长期测量受到功耗、电化学干扰和穿戴期间信号漂移的限制。在这里，我们展示了一种可穿戴的光控光电化学微针，用于皮下间质液中的零偏差化学监测。该装置结合了耐膨胀的导电水凝胶微针阵列、等离子体增强光电极和用于光激发、电流记录和蓝牙传输的小型化模块。可见光无需施加偏压即可驱动氧介导的氧化还原化学反应，从而减少电化学反应的干扰和电力需求。该可穿戴设备使用尿酸作为代表性分析物，在水合和机械变形下提供无线读数。在雄性大鼠和小鼠中进行了体内疾病模型验证，其中该设备跟踪慢性肾病、糖尿病高尿酸血症和细菌治疗中的尿酸动态，其趋势与血液测量值相关。这种光控微针架构为组织间液化学的纵向监测提供了模块化途径。</w:t>
      </w:r>
    </w:p>
    <w:p>
      <w:pPr>
        <w:spacing w:before="0" w:after="200" w:lineRule="auto" w:line="276"/>
      </w:pPr>
      <w:r>
        <w:rPr>
          <w:b/>
        </w:rPr>
        <w:t xml:space="preserve">Abstract (EN): </w:t>
      </w:r>
      <w:r>
        <w:t>Wearable chemical sensors could enable continuous health monitoring, but long-term measurements in interstitial fluid are limited by power consumption, electrochemical interference and signal drift during wear. Here we show a light-gated photoelectrochemical microneedle wearable for zero-bias chemical monitoring in subcutaneous interstitial fluid. The device combines a swelling-tolerant conductive hydrogel microneedle array, a plasmon-enhanced photoelectrode and a miniaturized module for light excitation, current recording and Bluetooth transmission. Visible light drives oxygen-mediated redox chemistry without an applied bias, reducing interfering electrochemical reactions and power demand. Using uric acid as a representative analyte, the wearable provides wireless readout under hydration and mechanical deformation. In vivo disease-model validation was performed in male rats and mice, where the device tracked uric acid dynamics in chronic kidney disease, diabetic hyperuricemia and bacterial treatment, with trends correlating with blood measurements. This light-gated microneedle architecture offers a modular route for longitudinal monitoring of interstitial-fluid chemistry.</w:t>
      </w:r>
    </w:p>
    <w:p>
      <w:pPr>
        <w:spacing w:before="120" w:after="120"/>
      </w:pPr>
      <w:r>
        <w:rPr>
          <w:sz w:val="18"/>
        </w:rPr>
        <w:t>——————————————————————————————————————————————————————————————————————</w:t>
      </w:r>
    </w:p>
    <w:p>
      <w:pPr>
        <w:spacing w:before="160" w:after="40" w:line="240" w:lineRule="auto"/>
      </w:pPr>
      <w:r>
        <w:rPr>
          <w:b/>
        </w:rPr>
        <w:t xml:space="preserve">[265] </w:t>
      </w:r>
      <w:hyperlink r:id="rId1035">
        <w:r>
          <w:rPr>
            <w:color w:val="1155CC"/>
            <w:u w:val="single"/>
          </w:rPr>
          <w:t>PLPP3介导的磷酸脂去磷酸化的结构基础及其在黑色素瘤中的作用</w:t>
        </w:r>
      </w:hyperlink>
    </w:p>
    <w:p>
      <w:pPr>
        <w:spacing w:before="0" w:after="80"/>
      </w:pPr>
      <w:r>
        <w:rPr>
          <w:i/>
          <w:sz w:val="20"/>
        </w:rPr>
        <w:t>EN: Structural basis of PLPP3-mediated lipid phosphate dephosphorylation and its role in melanoma</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磷酸脂作为信号分子参与多种细胞过程，如细胞增殖、迁移、血管生成、炎症、免疫和癌症进展。磷脂磷酸酶 (PLPP) 通过催化脂质磷酸盐的去磷酸化来调节这些信号。在这里，我们报告了 PLPP3 的冷冻电镜结构，揭示了四聚体组装。 PLPP3 包含六个跨膜螺旋 (TM) 和一个包含两个细胞外环的细胞外结构域。 TM 1-4 形成一个疏水裂缝，用于固定磷脂的尾部，而胞外结构域则形成一个带正电荷的口袋，以容纳极性头基。该口袋中的两个保守的催化组氨酸残基与先前鉴定为 PLPP3 抑制剂的推定锌离子相配。体细胞突变的结构图谱与功能分析表明 PLPP3 在黑色素瘤中充当肿瘤抑制因子。总之，我们的研究结果为 PLPP3 的结构、底物参与、抑制机制和癌症相关功能提供了重要的见解。</w:t>
      </w:r>
    </w:p>
    <w:p>
      <w:pPr>
        <w:spacing w:before="0" w:after="200" w:lineRule="auto" w:line="276"/>
      </w:pPr>
      <w:r>
        <w:rPr>
          <w:b/>
        </w:rPr>
        <w:t xml:space="preserve">Abstract (EN): </w:t>
      </w:r>
      <w:r>
        <w:t>Lipid phosphates serve as signaling molecules involved in diverse cellular processes such as cell proliferation, migration, angiogenesis, inflammation, immunity and cancer progression. Phospholipid phosphatases (PLPPs) modulate these signals by catalyzing the dephosphorylation of lipid phosphates. Here, we report the cryo-EM structure of PLPP3, revealing a tetrameric assembly. PLPP3 contains six transmembrane helices (TMs) and an extracellular domain that contains two extracellular loops. TMs 1–4 create a hydrophobic cleft that holds the tails of a phospholipid while the extracellular domain forms a positively charged pocket to accommodate the polar head group. Two conserved catalytic histidine residues in this pocket coordinate a putative zinc ion previously identified as a PLPP3 inhibitor. Structural mapping of somatic mutations with functional analysis reveals that PLPP3 acts as a tumor suppressor in melanoma. Together, our findings provide critical insights into the structure, substrate engagement, inhibitory mechanism, and cancer-related function of PLPP3.</w:t>
      </w:r>
    </w:p>
    <w:p>
      <w:pPr>
        <w:spacing w:before="120" w:after="120"/>
      </w:pPr>
      <w:r>
        <w:rPr>
          <w:sz w:val="18"/>
        </w:rPr>
        <w:t>——————————————————————————————————————————————————————————————————————</w:t>
      </w:r>
    </w:p>
    <w:p>
      <w:pPr>
        <w:spacing w:before="160" w:after="40" w:line="240" w:lineRule="auto"/>
      </w:pPr>
      <w:r>
        <w:rPr>
          <w:b/>
        </w:rPr>
        <w:t xml:space="preserve">[266] </w:t>
      </w:r>
      <w:hyperlink r:id="rId1036">
        <w:r>
          <w:rPr>
            <w:color w:val="1155CC"/>
            <w:u w:val="single"/>
          </w:rPr>
          <w:t>使用 UNIChro-seq 对目标位点进行准确、灵敏且高效的染色质可及性定量</w:t>
        </w:r>
      </w:hyperlink>
    </w:p>
    <w:p>
      <w:pPr>
        <w:spacing w:before="0" w:after="80"/>
      </w:pPr>
      <w:r>
        <w:rPr>
          <w:i/>
          <w:sz w:val="20"/>
        </w:rPr>
        <w:t>EN: Accurate, sensitive, and efficient chromatin accessibility quantification at target loci using UNIChro-seq</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疾病风险变异的统计和实验精细绘图的最新进展促使我们关注特定目标位点进行功能研究。然而，当前的遗传学受到目标基因座分析工具箱有限的阻碍。为了解决这个问题，我们提出了 UNIChro-seq，一种对目标位点上可访问的染色质分子进行数字计数的方法。与传统方法相比，UNIChro-seq 可以准确、灵敏且高效地量化等位基因效应。使用 UNIChro-seq，我们研究了 57 个自身免疫风险等位基因对染色质可及性的影响，并估计了通过基因组编辑生成的 20 个人工变异的因果影响。需要注意的是，编辑的等位基因的一个不可忽略的部分对染色质可及性表现出错误的积极影响，可以通过双向基因组编辑将其与真正的因果效应有效地区分开来。最后，对 LEF1 基因座的精细定位风险变异的功能剖析阐明了其与类风湿性关节炎中 T 细胞失调的相关性。总之，这些发现强调了将 UNIChro-seq 与基因组编辑技术相结合的实用性，可以对疾病相关位点进行精确且可扩展的功能分析。</w:t>
      </w:r>
    </w:p>
    <w:p>
      <w:pPr>
        <w:spacing w:before="0" w:after="200" w:lineRule="auto" w:line="276"/>
      </w:pPr>
      <w:r>
        <w:rPr>
          <w:b/>
        </w:rPr>
        <w:t xml:space="preserve">Abstract (EN): </w:t>
      </w:r>
      <w:r>
        <w:t>Recent progress in statistical and experimental fine mapping of disease risk variants prompts us to focus on specific target loci for functional investigation. However, current genetics is hindered by a limited toolbox for target-loci analysis. To address this, we present UNIChro-seq, a method that digitally counts accessible chromatin molecules at target loci. UNIChro-seq allows for accurate, sensitive, and efficient quantification of allelic effects compared to conventional methods. Using UNIChro-seq, we investigate the effects of 57 autoimmunity risk alleles on chromatin accessibility and estimate the causal effects of 20 artificial variants generated through genome editing. As a caveat, a non-negligible fraction of the edited alleles exhibits a falsely positive effect on chromatin accessibility, which can be effectively distinguished from the true causal effect through bi-directional genome editing. Finally, functional dissection of a fine-mapped risk variant at the LEF1 locus illuminates its relevance to T cell dysregulation in rheumatoid arthritis. Together, these findings underscore the utility of combining UNIChro-seq with genome editing technology to enable precise and scalable functional analysis of disease-associated loci.</w:t>
      </w:r>
    </w:p>
    <w:p>
      <w:pPr>
        <w:spacing w:before="120" w:after="120"/>
      </w:pPr>
      <w:r>
        <w:rPr>
          <w:sz w:val="18"/>
        </w:rPr>
        <w:t>——————————————————————————————————————————————————————————————————————</w:t>
      </w:r>
    </w:p>
    <w:p>
      <w:pPr>
        <w:spacing w:before="160" w:after="40" w:line="240" w:lineRule="auto"/>
      </w:pPr>
      <w:r>
        <w:rPr>
          <w:b/>
        </w:rPr>
        <w:t xml:space="preserve">[267] </w:t>
      </w:r>
      <w:hyperlink r:id="rId1037">
        <w:r>
          <w:rPr>
            <w:color w:val="1155CC"/>
            <w:u w:val="single"/>
          </w:rPr>
          <w:t>通过集成学习和迭代优化，大力提高作物基因组预测的准确性</w:t>
        </w:r>
      </w:hyperlink>
    </w:p>
    <w:p>
      <w:pPr>
        <w:spacing w:before="0" w:after="80"/>
      </w:pPr>
      <w:r>
        <w:rPr>
          <w:i/>
          <w:sz w:val="20"/>
        </w:rPr>
        <w:t>EN: Robustly enhancing crop genomic prediction accuracy through ensemble learning and iterative optimization</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随着气候变化和全球人口增长，加快优质作物品种的培育对于粮食安全至关重要。基因组预测利用全基因组遗传标记来预测作物性状，在作物智能育种中发挥着重要作用。然而，现有方法往往缺乏跨作物和性状的稳定和准确的性能。在这里，我们提出了GEG2P，一种基于遗传算法的基因型到表型预测的集成学习方法，集成了20个基础学习器，通过迭代优化策略动态选择它们的组合，并使用遗传算法优化它们的权重。与表现最佳的单基学习器相比，GEG2P 对玉米、小麦、水稻、鹰嘴豆和大豆的预测准确率平均提高了 4.02%。我们使用SHAP来量化SNP对表型预测的贡献，发现不同基础学习器捕获的具有较大影响的SNP在功能上是互补的。这项研究为作物育种提供了一种稳健且准确的基因组预测方法。</w:t>
      </w:r>
    </w:p>
    <w:p>
      <w:pPr>
        <w:spacing w:before="0" w:after="200" w:lineRule="auto" w:line="276"/>
      </w:pPr>
      <w:r>
        <w:rPr>
          <w:b/>
        </w:rPr>
        <w:t xml:space="preserve">Abstract (EN): </w:t>
      </w:r>
      <w:r>
        <w:t>With climate change and global population growth, accelerating the breeding of superior crop varieties is essential for food security. Genomic prediction, which uses genome-wide genetic markers to predict crop traits, plays an important role in intelligent crop breeding. However, existing methods often lack stable and accurate performance across crops and traits. Here, we propose GEG2P, a genetic algorithm-based ensemble learning method for genotype-to-phenotype prediction, integrates 20 base learners, dynamically selects their combinations through an iterative optimization strategy, and optimizes their weights using the genetic algorithm. Compared with the best-performing single base learners, GEG2P improves prediction accuracy by 4.02% on average across maize, wheat, rice, chickpea, and soybean. We use SHAP to quantify the contribution of SNPs to phenotype prediction and find that SNPs with large effects captured by different base learners are functionally complementary. This study provides a robust and accurate genomic prediction method for crop breeding.</w:t>
      </w:r>
    </w:p>
    <w:p>
      <w:pPr>
        <w:spacing w:before="120" w:after="120"/>
      </w:pPr>
      <w:r>
        <w:rPr>
          <w:sz w:val="18"/>
        </w:rPr>
        <w:t>——————————————————————————————————————————————————————————————————————</w:t>
      </w:r>
    </w:p>
    <w:p>
      <w:pPr>
        <w:spacing w:before="160" w:after="40" w:line="240" w:lineRule="auto"/>
      </w:pPr>
      <w:r>
        <w:rPr>
          <w:b/>
        </w:rPr>
        <w:t xml:space="preserve">[268] </w:t>
      </w:r>
      <w:hyperlink r:id="rId1038">
        <w:r>
          <w:rPr>
            <w:color w:val="1155CC"/>
            <w:u w:val="single"/>
          </w:rPr>
          <w:t>冗余的前额半球使存储策略适应工作记忆需求</w:t>
        </w:r>
      </w:hyperlink>
    </w:p>
    <w:p>
      <w:pPr>
        <w:spacing w:before="0" w:after="80"/>
      </w:pPr>
      <w:r>
        <w:rPr>
          <w:i/>
          <w:sz w:val="20"/>
        </w:rPr>
        <w:t>EN: Redundant prefrontal hemispheres adapt storage strategy to working memory demands</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前额半球必须动态协调以维持视觉空间的统一表示。最近，提出了两种使用不同存储策略的相反理论：一种高容量专用架构，其中每个半球控制对侧行为；另一种是故障安全冗余理论，其中两个半球共同引导整个视觉空间的行为。在这里，我们分析了三只执行视觉空间工作记忆任务的雄性猕猴的同时双侧前额皮质记录。两个半球同样预测了行为不精确性，解码错误在半球之间的相关性较弱，并且序列依赖性在半球内仍然是局部的，这表明存在冗余、弱耦合的组织。吸引子网络模拟表明，当任务需求低于内存容量时，冗余可以提高精度，而弱半球间耦合通过允许半球专门化来提高要求更高的任务的容量。这些预测模式在人类和猴子数据中得到了验证，与之前的发现相一致，并揭示了一种适应不同认知需求的多功能半球间结构。</w:t>
      </w:r>
    </w:p>
    <w:p>
      <w:pPr>
        <w:spacing w:before="0" w:after="200" w:lineRule="auto" w:line="276"/>
      </w:pPr>
      <w:r>
        <w:rPr>
          <w:b/>
        </w:rPr>
        <w:t xml:space="preserve">Abstract (EN): </w:t>
      </w:r>
      <w:r>
        <w:t>The prefrontal hemispheres must coordinate dynamically to maintain a unified representation of visual space. Recently, two opposing theories using distinct storage strategies have been proposed: A high-capacity specialized architecture, where each hemisphere governs contralateral behavior, and a fail-safe redundant one, where both hemispheres jointly guide behavior across the visual space. Here, we analyzed simultaneous bilateral prefrontal cortex recordings from three male macaque monkeys performing a visuo-spatial working memory task. Both hemispheres equally predicted behavioral imprecision, decoding errors were weakly correlated between hemispheres, and serial dependence remained local within hemispheres, suggesting a redundant, weakly coupled organization. Attractor network simulations showed that redundancy improved precision when task demands were below memory capacity, while weak interhemispheric coupling increased capacity in more demanding tasks by allowing hemispheric specialization. These predicted patterns were validated in human and monkey data, reconciling previous findings and revealing a versatile interhemispheric architecture that adapts to varying cognitive demands.</w:t>
      </w:r>
    </w:p>
    <w:p>
      <w:pPr>
        <w:spacing w:before="120" w:after="120"/>
      </w:pPr>
      <w:r>
        <w:rPr>
          <w:sz w:val="18"/>
        </w:rPr>
        <w:t>——————————————————————————————————————————————————————————————————————</w:t>
      </w:r>
    </w:p>
    <w:p>
      <w:pPr>
        <w:spacing w:before="160" w:after="40" w:line="240" w:lineRule="auto"/>
      </w:pPr>
      <w:r>
        <w:rPr>
          <w:b/>
        </w:rPr>
        <w:t xml:space="preserve">[269] </w:t>
      </w:r>
      <w:hyperlink r:id="rId1039">
        <w:r>
          <w:rPr>
            <w:color w:val="1155CC"/>
            <w:u w:val="single"/>
          </w:rPr>
          <w:t>结合人工智能优化的锌指蛋白可提高微型碱基编辑器的效率和靶向范围</w:t>
        </w:r>
      </w:hyperlink>
    </w:p>
    <w:p>
      <w:pPr>
        <w:spacing w:before="0" w:after="80"/>
      </w:pPr>
      <w:r>
        <w:rPr>
          <w:i/>
          <w:sz w:val="20"/>
        </w:rPr>
        <w:t>EN: Incorporating AI-optimized zinc finger proteins enhances the efficiencies and targeting ranges of miniature base editors</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碱基编辑器的治疗应用因其尺寸较大而受到限制，超出了腺相关病毒（AAV）载体的包装能力。尽管最近已鉴定出许多紧凑的 CRISPR 蛋白，但由此产生的微型碱基编辑器通常表现出活性降低和靶向范围有限。在这里，我们介绍了一种锌指蛋白 (ZFP) 增强型微型碱基编辑器 (zmBE)，它集成了可编程 ZFP，以提高微型碱基编辑器的效率和目标范围，包括基于 Un1Cas12f1 和 OgeuIscB 的微型碱基编辑器。利用蛋白质语言模型来优化模块化组装设计的ZFP，进一步简化了zmBE的开发。利用这些方法，我们设计了一种 zmBE，它可以有效诱导 SMN2 外显子 7 T:A(6) &gt; C:G 转换，恢复外显子 7 包含，并在通过单个 AAV 载体递送后改善小鼠模型中的脊髓性肌萎缩症。我们的研究为开发用于体内治疗应用的微型碱基编辑器提供了一个多功能平台。</w:t>
      </w:r>
    </w:p>
    <w:p>
      <w:pPr>
        <w:spacing w:before="0" w:after="200" w:lineRule="auto" w:line="276"/>
      </w:pPr>
      <w:r>
        <w:rPr>
          <w:b/>
        </w:rPr>
        <w:t xml:space="preserve">Abstract (EN): </w:t>
      </w:r>
      <w:r>
        <w:t>The therapeutic application of base editors is limited by their large sizes, which are beyond the packaging capabilities of adeno-associated viral (AAV) vectors. Despite recent progress that has identified many compact CRISPR proteins, the resulting miniature base editors often exhibit reduced activities and limited targeting scope. Here, we introduce a zinc finger protein (ZFP)-enhanced miniature base editor (zmBE), which integrates programmable ZFPs to improve efficiencies and targeting scopes of miniature base editors, including those based on Un1Cas12f1 and OgeuIscB. Utilizing protein language models to optimize ZFPs designed by modular assembly further simplifies the development of zmBEs. Leveraging these methodologies, we engineer a zmBE that effectively induces the SMN2 exon 7 T:A(6) &gt; C:G conversion, restores the exon 7 inclusion, and improves spinal muscular atrophy in a murine model after being delivered via a single AAV vector. Our study provides a versatile platform for developing miniature base editors for in vivo therapeutic applications.</w:t>
      </w:r>
    </w:p>
    <w:p>
      <w:pPr>
        <w:spacing w:before="120" w:after="120"/>
      </w:pPr>
      <w:r>
        <w:rPr>
          <w:sz w:val="18"/>
        </w:rPr>
        <w:t>——————————————————————————————————————————————————————————————————————</w:t>
      </w:r>
    </w:p>
    <w:p>
      <w:pPr>
        <w:spacing w:before="160" w:after="40" w:line="240" w:lineRule="auto"/>
      </w:pPr>
      <w:r>
        <w:rPr>
          <w:b/>
        </w:rPr>
        <w:t xml:space="preserve">[270] </w:t>
      </w:r>
      <w:hyperlink r:id="rId1040">
        <w:r>
          <w:rPr>
            <w:color w:val="1155CC"/>
            <w:u w:val="single"/>
          </w:rPr>
          <w:t>微生物硫氧化途径的进化轨迹概括了地球的氧化历史</w:t>
        </w:r>
      </w:hyperlink>
    </w:p>
    <w:p>
      <w:pPr>
        <w:spacing w:before="0" w:after="80"/>
      </w:pPr>
      <w:r>
        <w:rPr>
          <w:i/>
          <w:sz w:val="20"/>
        </w:rPr>
        <w:t>EN: Evolutionary trajectory of microbial sulfur oxidation pathways recapitulates Earth’s oxygenation history</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由微生物硫氧化（Sox）多酶复合物介导的异化硫氧化在地球的氧化硫循环中发挥着核心作用。然而，导致其当前复杂性的进化轨迹仍然知之甚少。在这里，我们将扩展的基因组记录与地球化学证据相结合，以沿着地质时间线重建 Sox 系统的自然历史。我们的分析追踪了大氧化事件 (GOE) 之前截断的 Sox 系统 (SoxABXYZ) 的起源。这种早期形式后来与逆异化亚硫酸盐还原酶（rDsr）组装在一起，促进了缺氧太古宙期间硫酸盐形成的原始途径。随着 GOE 后大气中氧气的上升，截短的系统纳入了 SoxCD 组件，与 rDsr 耦合替代方案相比，演变成一种更微调、更适应氧气的途径。这些 Sox 途径变体随后的传播受到原核宿主的氧气需求和系统发育背景的限制，塑造了微生物硫氧化的现代生态景观。辅助 Sox 成分的病毒招募标志着最新的进化事件，使得能够在数百年至数千年的时间尺度上直接操纵硫循环。总的来说，重建的分子时间线为全球氧化硫循环的进化动力学及其与地球不断变化的环境数十亿年的相互作用提供了更深入的见解。</w:t>
      </w:r>
    </w:p>
    <w:p>
      <w:pPr>
        <w:spacing w:before="0" w:after="200" w:lineRule="auto" w:line="276"/>
      </w:pPr>
      <w:r>
        <w:rPr>
          <w:b/>
        </w:rPr>
        <w:t xml:space="preserve">Abstract (EN): </w:t>
      </w:r>
      <w:r>
        <w:t>Dissimilatory sulfur oxidation mediated by the microbial sulfur-oxidizing (Sox) multienzyme complex has played a central role in Earth’s oxidative sulfur cycle. However, the evolutionary trajectory leading to its current complexity remains poorly understood. Here, we integrated expanded genomic records with geochemical evidence to reconstruct the natural history of the Sox system along a geological timeline. Our analyses traced the origin of the truncated Sox system (SoxABXYZ) prior to the Great Oxidation Event (GOE). This early form was later assembled with reverse dissimilatory sulfite reductases (rDsr), facilitating a primitive pathway for sulfate formation during the anoxic Archean eon. Following the post-GOE atmospheric oxygen rise, the truncated system incorporated SoxCD components, evolving into a more fine-tuned, oxygen-adapted pathway compared to the rDsr-coupled alternative. The subsequent spread of these Sox pathway variants was constrained by the oxygen requirements and phylogenetic backgrounds of their prokaryotic hosts, shaping the modern ecological landscape of microbial sulfur oxidation. The viral recruitment of auxiliary Sox components marked the latest evolutionary events, enabling direct manipulation of sulfur cycling over centuries-to-millennia timescales. Collectively, the reconstructed molecular timeline offers deeper insights into the evolutionary dynamics of the global oxidative sulfur cycle and its billion-year interplay with Earth’s changing environments.</w:t>
      </w:r>
    </w:p>
    <w:p>
      <w:pPr>
        <w:spacing w:before="120" w:after="120"/>
      </w:pPr>
      <w:r>
        <w:rPr>
          <w:sz w:val="18"/>
        </w:rPr>
        <w:t>——————————————————————————————————————————————————————————————————————</w:t>
      </w:r>
    </w:p>
    <w:p>
      <w:pPr>
        <w:spacing w:before="160" w:after="40" w:line="240" w:lineRule="auto"/>
      </w:pPr>
      <w:r>
        <w:rPr>
          <w:b/>
        </w:rPr>
        <w:t xml:space="preserve">[271] </w:t>
      </w:r>
      <w:hyperlink r:id="rId1041">
        <w:r>
          <w:rPr>
            <w:color w:val="1155CC"/>
            <w:u w:val="single"/>
          </w:rPr>
          <w:t>植物氮获取策略的全球变化及其对氮可用性下降的反应</w:t>
        </w:r>
      </w:hyperlink>
    </w:p>
    <w:p>
      <w:pPr>
        <w:spacing w:before="0" w:after="80"/>
      </w:pPr>
      <w:r>
        <w:rPr>
          <w:i/>
          <w:sz w:val="20"/>
        </w:rPr>
        <w:t>EN: Global variation of plant nitrogen acquisition strategies and their responses to decreasing nitrogen availability</w:t>
      </w:r>
    </w:p>
    <w:p>
      <w:pPr>
        <w:spacing w:before="0" w:after="120"/>
      </w:pPr>
      <w:r>
        <w:rPr>
          <w:b/>
        </w:rPr>
        <w:t xml:space="preserve">Source: </w:t>
      </w:r>
      <w:r>
        <w:t>Earth and environmental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植物采用三种氮获取策略来支持生产力：根部从土壤中吸收、共生固定以及衰老叶子的再吸收。然而，它们的全球变化和协调仍然知之甚少。在这里，我们汇总了 3,193 个现场观察结果，并使用机器学习来绘制这三种策略并量化它们的相对贡献。我们估计全球氮吸收、固定和再吸收分别为 559.2 ± 56.5（平均值 ± 标准差）、125.5 ± 7.2 和 279.3 ± 5.0 Tg N yr−1，分别占植物总氮获取的 58%、13% 和 29%。它们的全球变化主要由温度和水条件决定。氮吸收在全球范围内占主导地位，特别是在温暖、潮湿的低纬度地区，而吸收在干旱和寒冷的环境中更为普遍。相比之下，固定的贡献相对较小，一些热点地区位于热带地区和北部高纬度地区。值得注意的是，我们发现氮获取策略发生了显着变化——从吸收到固定和再吸收——沿着氮可用性下降的梯度。这些结果表明植物氮获取策略在空间上协调调整以响应不断变化的氮条件，并为协调氮策略如何塑造陆地氮循环及其与碳汇的耦合提供了见解。</w:t>
      </w:r>
    </w:p>
    <w:p>
      <w:pPr>
        <w:spacing w:before="0" w:after="200" w:lineRule="auto" w:line="276"/>
      </w:pPr>
      <w:r>
        <w:rPr>
          <w:b/>
        </w:rPr>
        <w:t xml:space="preserve">Abstract (EN): </w:t>
      </w:r>
      <w:r>
        <w:t>Plants employ three N acquisition strategies to support productivity: root uptake from soils, symbiotic fixation, and resorption from senescing leaves. However, their global variation and coordination remain poorly understood. Here, we compile 3,193 field observations and use machine learning to map the three strategies and quantify their relative contributions. We estimate that global nitrogen uptake, fixation, and resorption amount to 559.2 ± 56.5 (mean ± standard deviation), 125.5 ± 7.2, and 279.3 ± 5.0 Tg N yr−1, respectively, representing 58%, 13%, and 29% of total plant N acquisition. Their global variations are primarily determined by temperature and water conditions. Nitrogen uptake dominates globally, especially in warm, humid low–latitude regions, while resorption is more prevalent in arid and cold environments. In contrast, fixation contributes relatively little, with some hotspots in tropical regions and northern high latitudes. Notably, we find significant shifts in N acquisition strategies—from uptake to fixation and resorption—along gradients of decreasing nitrogen availability. These results suggest a spatially coordinated adjustment of plant nitrogen acquisition strategies in response to changing N conditions and offer insights into how coordinated nitrogen strategies shape terrestrial nitrogen cycling and its coupling with the carbon sink.</w:t>
      </w:r>
    </w:p>
    <w:p>
      <w:pPr>
        <w:spacing w:before="120" w:after="120"/>
      </w:pPr>
      <w:r>
        <w:rPr>
          <w:sz w:val="18"/>
        </w:rPr>
        <w:t>——————————————————————————————————————————————————————————————————————</w:t>
      </w:r>
    </w:p>
    <w:p>
      <w:pPr>
        <w:spacing w:before="160" w:after="40" w:line="240" w:lineRule="auto"/>
      </w:pPr>
      <w:r>
        <w:rPr>
          <w:b/>
        </w:rPr>
        <w:t xml:space="preserve">[272] </w:t>
      </w:r>
      <w:hyperlink r:id="rId1042">
        <w:r>
          <w:rPr>
            <w:color w:val="1155CC"/>
            <w:u w:val="single"/>
          </w:rPr>
          <w:t>胺连接的异孔共价有机框架用于协同抗感染治疗创伤后骨髓炎</w:t>
        </w:r>
      </w:hyperlink>
    </w:p>
    <w:p>
      <w:pPr>
        <w:spacing w:before="0" w:after="80"/>
      </w:pPr>
      <w:r>
        <w:rPr>
          <w:i/>
          <w:sz w:val="20"/>
        </w:rPr>
        <w:t>EN: Amine-linked heteroporous covalent organic framework for synergistic anti-infective therapy of post-traumatic osteomyelitis</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酸性病变中的细菌生物膜和药物输送系统的破坏阻碍了创伤后骨髓炎（PTO）的治疗。在这里，我们使用还原胺化策略开发了一种耐酸胺连接的异孔共价有机框架（ARCOF）。这种方法克服了传统COF由于高键合强度和结晶可逆性之间的权衡而导致的化学稳定性和药物输送能力不足的问题。 ARCOF 预先设计的异环境通道能够协同加载万古霉素和抗生物膜剂非洛地平。当与磷酸钙骨水泥结合时，两种药物在炎症条件下均表现出持续释放超过 240 小时。在大鼠 PTO 模型中评估治疗效果，其中共传递系统通过破坏生物膜完整性来显着增强抗菌功效，同时调节局部炎症微环境以支持骨组织恢复。该策略提供了一种综合的局部递送方法，以克服骨髓炎治疗中的药代动力学障碍和生物膜耐药性。</w:t>
      </w:r>
    </w:p>
    <w:p>
      <w:pPr>
        <w:spacing w:before="0" w:after="200" w:lineRule="auto" w:line="276"/>
      </w:pPr>
      <w:r>
        <w:rPr>
          <w:b/>
        </w:rPr>
        <w:t xml:space="preserve">Abstract (EN): </w:t>
      </w:r>
      <w:r>
        <w:t>The treatment of post-traumatic osteomyelitis (PTO) is impeded by bacterial biofilms and disruption of drug delivery systems in acidic lesions. Here, we develop an acid-resistant amine-linked heteroporous covalent organic framework (ARCOF) using a reductive amination strategy. This approach overcomes the insufficient chemical stability and drug delivery capacity of conventional COFs arising from the trade-off between high bond strength and crystalline reversibility. The pre-designed hetero-environmental channels of ARCOF enable synergistic loading of vancomycin and the anti-biofilm agent felodipine. When combined with calcium phosphate cement, both drugs exhibit sustained release over 240 h under inflammatory conditions. The therapeutic efficacy is evaluated in a rat PTO model, where the co-delivery system significantly enhances antibacterial efficacy by disrupting biofilm integrity and concurrently modulates the local inflammatory microenvironment to support bone tissue recovery. This strategy provides an integrated local delivery approach to overcome pharmacokinetic barriers and biofilm resistance in osteomyelitis treatment.</w:t>
      </w:r>
    </w:p>
    <w:p>
      <w:pPr>
        <w:spacing w:before="120" w:after="120"/>
      </w:pPr>
      <w:r>
        <w:rPr>
          <w:sz w:val="18"/>
        </w:rPr>
        <w:t>——————————————————————————————————————————————————————————————————————</w:t>
      </w:r>
    </w:p>
    <w:p>
      <w:pPr>
        <w:spacing w:before="160" w:after="40" w:line="240" w:lineRule="auto"/>
      </w:pPr>
      <w:r>
        <w:rPr>
          <w:b/>
        </w:rPr>
        <w:t xml:space="preserve">[273] </w:t>
      </w:r>
      <w:hyperlink r:id="rId1043">
        <w:r>
          <w:rPr>
            <w:color w:val="1155CC"/>
            <w:u w:val="single"/>
          </w:rPr>
          <w:t>脊髓再生采用细胞类型特异性发育和非发育策略来恢复神经元多样性</w:t>
        </w:r>
      </w:hyperlink>
    </w:p>
    <w:p>
      <w:pPr>
        <w:spacing w:before="0" w:after="80"/>
      </w:pPr>
      <w:r>
        <w:rPr>
          <w:i/>
          <w:sz w:val="20"/>
        </w:rPr>
        <w:t>EN: Spinal cord regeneration deploys cell-type specific developmental and non-developmental strategies to restore neuron diversity</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脊髓损伤研究的一个主要目标是开发内源性再生的途径。这种方法深受自然再生动物模型的启发。一个未解决的问题是这些模型是否仅通过访问神经元分化的发育机制来重建脊髓。为了解决这个问题，我们将条件再生青蛙热带爪蟾再生过程中的单细胞基因表达与阶段匹配的对照进行了对比。我们生成了神经元多样性的扩展图集，注释了几个先前未识别的神经元类别。从该图谱中，我们发现发育中和再生中的脊髓的神经元组成不同。所采用的策略也是如此，这些策略有利于细胞类型特异性神经突投射和引导，然后在再生过程中促进增殖性神经发生。然后，早期神经发生的低水平通过有丝分裂后神经元的运动来补偿。我们的工作强调了不同的发育路径与再生路径对损伤后愈合的贡献。</w:t>
      </w:r>
    </w:p>
    <w:p>
      <w:pPr>
        <w:spacing w:before="0" w:after="200" w:lineRule="auto" w:line="276"/>
      </w:pPr>
      <w:r>
        <w:rPr>
          <w:b/>
        </w:rPr>
        <w:t xml:space="preserve">Abstract (EN): </w:t>
      </w:r>
      <w:r>
        <w:t>A major goal of spinal cord injury research is to develop a path to endogenous regeneration. This approach has been heavily informed by animal models of natural regeneration. An unresolved question is whether these models rebuild the spinal cord exclusively by accessing developmental mechanisms of neuron differentiation. To address this question, we contrasted single-cell gene expression during regeneration with stage-matched controls in the conditionally regenerative frog Xenopus tropicalis. We generated an expanded atlas of neuronal diversity, annotating several previously unidentified neuron classes. From this atlas, we found that the neuron composition of the developing and regenerating spinal cord differ. So do the strategies employed, which favor waves of cell-type specific neurite projection and guidance then proliferative neurogenesis during regeneration. Low levels of early neurogenesis are then compensated by movement of post-mitotic neurons. Our work highlights the contributions of distinct developmental versus regenerative paths to heal post-injury.</w:t>
      </w:r>
    </w:p>
    <w:p>
      <w:pPr>
        <w:spacing w:before="120" w:after="120"/>
      </w:pPr>
      <w:r>
        <w:rPr>
          <w:sz w:val="18"/>
        </w:rPr>
        <w:t>——————————————————————————————————————————————————————————————————————</w:t>
      </w:r>
    </w:p>
    <w:p>
      <w:pPr>
        <w:spacing w:before="160" w:after="40" w:line="240" w:lineRule="auto"/>
      </w:pPr>
      <w:r>
        <w:rPr>
          <w:b/>
        </w:rPr>
        <w:t xml:space="preserve">[274] </w:t>
      </w:r>
      <w:hyperlink r:id="rId1044">
        <w:r>
          <w:rPr>
            <w:color w:val="1155CC"/>
            <w:u w:val="single"/>
          </w:rPr>
          <w:t>酯酶响应自组装 Torkinib 前药纳米颗粒通过巨噬细胞 mTOR 抑制减轻动脉粥样硬化</w:t>
        </w:r>
      </w:hyperlink>
    </w:p>
    <w:p>
      <w:pPr>
        <w:spacing w:before="0" w:after="80"/>
      </w:pPr>
      <w:r>
        <w:rPr>
          <w:i/>
          <w:sz w:val="20"/>
        </w:rPr>
        <w:t>EN: Esterase-Responsive Self-Assembled Torkinib Prodrug Nanoparticles Alleviate Atherosclerosis via Macrophage mTOR Inhibition</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45">
        <w:r>
          <w:rPr>
            <w:color w:val="1155CC"/>
            <w:u w:val="single"/>
          </w:rPr>
          <w:t>10.1021/acsami.6c10454</w:t>
        </w:r>
      </w:hyperlink>
    </w:p>
    <w:p>
      <w:pPr>
        <w:spacing w:before="0" w:after="120"/>
      </w:pPr>
      <w:r>
        <w:rPr>
          <w:b/>
        </w:rPr>
        <w:t xml:space="preserve">Notes: </w:t>
      </w:r>
      <w:r>
        <w:t>abstract_source=pubmed</w:t>
      </w:r>
    </w:p>
    <w:p>
      <w:pPr>
        <w:spacing w:before="0" w:after="80" w:lineRule="auto" w:line="276"/>
      </w:pPr>
      <w:r>
        <w:rPr>
          <w:b/>
        </w:rPr>
        <w:t xml:space="preserve">摘要（ZH）: </w:t>
      </w:r>
      <w:r>
        <w:t>由于未解决的斑块炎症和巨噬细胞功能障碍，动脉粥样硬化仍然是对人类健康的主要威胁。尽管刺激响应纳米载体（例如 pH 或 ROS 敏感系统）已被用于靶向药物输送，但它们在动脉粥样硬化病变中存在信号梯度适中、空间异质性或不可预测的释放等问题。在此，我们报道了一种酯酶响应、无载体自组装前药纳米平台（LPNP），该平台利用动脉粥样硬化斑块独特的病理微环境来靶向抑制病变巨噬细胞中的 mTOR。 mTORC1/2 双重抑制剂 Torkinib (PP242) 通过不稳定的酯键与亚油酸 (LA) 共价结合，无需外源载体即可自发形成纳米颗粒。这种酯键在体循环期间保持稳定，但可以被细胞内酯酶有效裂解（在巨噬细胞衍生的泡沫细胞中高度活跃），从而实现病变特异性药物释放。在体外，LPNP很容易被巨噬细胞内化，抑制S6K磷酸化，激活自噬，降低ROS水平，上调ABCA1/ABCG1介导的胆固醇流出，从而减少脂滴积累并促进M1到M2复极化。在 ApoE-/- 小鼠模型中，LPNP 给药可显着减少斑块负荷、增加胶原蛋白沉积并增强斑块稳定性，而不会改变全身脂质分布或引起明显的毒性。总的来说，这种酯酶响应性前药策略将无载体自组装与巨噬细胞关联结合起来</w:t>
      </w:r>
    </w:p>
    <w:p>
      <w:pPr>
        <w:spacing w:before="0" w:after="200" w:lineRule="auto" w:line="276"/>
      </w:pPr>
      <w:r>
        <w:rPr>
          <w:b/>
        </w:rPr>
        <w:t xml:space="preserve">Abstract (EN): </w:t>
      </w:r>
      <w:r>
        <w:t>Atherosclerosis remains a major threat to human health due to unresolved plaque inflammation and macrophage dysfunction. Although stimuli-responsive nanocarriers (e.g., pH- or ROS-sensitive systems) have been exploited for targeted drug delivery, they suffer from modest signal gradients, spatial heterogeneity, or unpredictable release in atherosclerotic lesions. Herein, we report an esterase-responsive, carrier-free self-assembling prodrug nano-platform (LPNP) that exploits the unique pathological microenvironment of atherosclerotic plaques for targeted mTOR inhibition in lesional macrophages. The dual mTORC1/2 inhibitor Torkinib (PP242) was covalently conjugated to linoleic acid (LA) via a labile ester bond, enabling spontaneous nanoparticle formation without exogenous carriers. This ester bond remains stable during systemic circulation but is efficiently cleaved by intracellular esterases-highly active in macrophage-derived foam cells-enabling lesion-specific drug release. In vitro, LPNPs were readily internalized by macrophages, where they suppressed S6K phosphorylation, activated autophagy, reduced ROS levels, and upregulated ABCA1/ABCG1-mediated cholesterol efflux, thereby reducing lipid droplet accumulation and promoting M1-to-M2 repolarization. In an ApoE-/- mouse model, LPNP administration significantly reduced plaque burden, increased collagen deposition, and enhanced plaque stability without altering systemic lipid profiles or causing overt toxicity. Collectively, this esterase-responsive prodrug strategy couples carrier-free self-assembly with macrophage-associated intracellular activation, providing a promising approach to enhance lesional macrophage mTOR inhibition for atherosclerosis treatment.</w:t>
      </w:r>
    </w:p>
    <w:p>
      <w:pPr>
        <w:spacing w:before="120" w:after="120"/>
      </w:pPr>
      <w:r>
        <w:rPr>
          <w:sz w:val="18"/>
        </w:rPr>
        <w:t>——————————————————————————————————————————————————————————————————————</w:t>
      </w:r>
    </w:p>
    <w:p>
      <w:pPr>
        <w:spacing w:before="160" w:after="40" w:line="240" w:lineRule="auto"/>
      </w:pPr>
      <w:r>
        <w:rPr>
          <w:b/>
        </w:rPr>
        <w:t xml:space="preserve">[275] </w:t>
      </w:r>
      <w:hyperlink r:id="rId1046">
        <w:r>
          <w:rPr>
            <w:color w:val="1155CC"/>
            <w:u w:val="single"/>
          </w:rPr>
          <w:t>WS 2 –V/MAC 凝胶混合系统中由钒驱动的超光滑滑动接触界面可增强真空润滑</w:t>
        </w:r>
      </w:hyperlink>
    </w:p>
    <w:p>
      <w:pPr>
        <w:spacing w:before="0" w:after="80"/>
      </w:pPr>
      <w:r>
        <w:rPr>
          <w:i/>
          <w:sz w:val="20"/>
        </w:rPr>
        <w:t>EN: Ultrasmooth Sliding Contact Interfaces Driven by Vanadium in WS 2 –V/MAC Gel Hybrid Systems toward Enhanced Vacuum Lubrication</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47">
        <w:r>
          <w:rPr>
            <w:color w:val="1155CC"/>
            <w:u w:val="single"/>
          </w:rPr>
          <w:t>10.1021/acsami.6c02729</w:t>
        </w:r>
      </w:hyperlink>
    </w:p>
    <w:p>
      <w:pPr>
        <w:spacing w:before="0" w:after="120"/>
      </w:pPr>
      <w:r>
        <w:rPr>
          <w:b/>
        </w:rPr>
        <w:t xml:space="preserve">Notes: </w:t>
      </w:r>
      <w:r>
        <w:t>abstract_source=pubmed</w:t>
      </w:r>
    </w:p>
    <w:p>
      <w:pPr>
        <w:spacing w:before="0" w:after="80" w:lineRule="auto" w:line="276"/>
      </w:pPr>
      <w:r>
        <w:rPr>
          <w:b/>
        </w:rPr>
        <w:t xml:space="preserve">摘要（ZH）: </w:t>
      </w:r>
      <w:r>
        <w:t>接触界面通过其固有的物理和化学特性从根本上控制摩擦系统的摩擦行为和磨损机制。这项工作提出了一种界面工程策略，通过将掺钒二硫化钨（WS2-V）薄膜与多烷基环戊烷（MAC）凝胶协同结合，构建超光滑和自适应滑动接触界面。我们证明，钒掺杂不仅可以作为微观结构改性剂，而且可以作为创建化学活性和机械鲁棒界面的关键驱动因素。最佳 V 掺杂 (∼10 at.%) 将 WS2 薄膜从多孔柱状结构转变为致密的纳米复合材料，同时引入 V-S 物质以增强界面相容性。这种 V 改性 WS2 表面对 MAC 油分子和胶凝剂具有出色的吸附和保留能力。在真空条件下，该动态界面表现出自平滑能力，有效修复表面粗糙度并保持超低剪切面，面积算术平均粗糙度 (Sa) 低至 2.0 nm。最佳混合系统（WS2-10%V/MACs凝胶）实现了0.051的稳定摩擦系数，并将磨损率降低至1.1×10-8 mm3/（N·m）。这项工作为主动设计固体凝胶接触界面建立了掺杂剂介导的范例，为空间机构中的下一代润滑提供了基础设计原理。</w:t>
      </w:r>
    </w:p>
    <w:p>
      <w:pPr>
        <w:spacing w:before="0" w:after="200" w:lineRule="auto" w:line="276"/>
      </w:pPr>
      <w:r>
        <w:rPr>
          <w:b/>
        </w:rPr>
        <w:t xml:space="preserve">Abstract (EN): </w:t>
      </w:r>
      <w:r>
        <w:t>Contact interfaces fundamentally govern the friction behavior and wear mechanisms of tribological systems through their inherent physical and chemical characteristics. This work presents an interfacial engineering strategy that constructs an ultrasmooth and adaptive sliding contact interface by synergistically combining vanadium-doped tungsten disulfide (WS2-V) films with a multialkylated cyclopentanes (MACs) gel. We demonstrate that vanadium doping acts not merely as a microstructural modifier but as a crucial driver for creating a chemically active and mechanically robust interface. Optimal V doping (∼10 at. %) transforms the WS2 film from a porous, columnar architecture into a dense nanocomposite, while simultaneously introducing V-S species that enhance interfacial compatibility. This V-modified WS2 surface exhibits exceptional adsorption and retention of the MACs oil molecules and gelator. Under vacuum conditions, this dynamic interface exhibits self-smoothing capabilities, effectively healing surface asperities and maintaining an ultralow shear plane with an areal arithmetic mean roughness (Sa) as low as 2.0 nm. The optimal hybrid system (WS2-10%V/MACs gel) achieves a stable friction coefficient of 0.051 and reduces the wear rate to 1.1 × 10-8 mm3/(N·m). This work establishes a dopant-mediated paradigm for actively engineering solid-gel contact interfaces, providing a foundational design principle for next-generation lubrication in space mechanisms.</w:t>
      </w:r>
    </w:p>
    <w:p>
      <w:pPr>
        <w:spacing w:before="120" w:after="120"/>
      </w:pPr>
      <w:r>
        <w:rPr>
          <w:sz w:val="18"/>
        </w:rPr>
        <w:t>——————————————————————————————————————————————————————————————————————</w:t>
      </w:r>
    </w:p>
    <w:p>
      <w:pPr>
        <w:spacing w:before="160" w:after="40" w:line="240" w:lineRule="auto"/>
      </w:pPr>
      <w:r>
        <w:rPr>
          <w:b/>
        </w:rPr>
        <w:t xml:space="preserve">[276] </w:t>
      </w:r>
      <w:hyperlink r:id="rId1048">
        <w:r>
          <w:rPr>
            <w:color w:val="1155CC"/>
            <w:u w:val="single"/>
          </w:rPr>
          <w:t>高灵敏度、宽检测范围 MXene/PDMS 柔性压阻传感器，带微圆顶阵列，用于颈椎姿势识别</w:t>
        </w:r>
      </w:hyperlink>
    </w:p>
    <w:p>
      <w:pPr>
        <w:spacing w:before="0" w:after="80"/>
      </w:pPr>
      <w:r>
        <w:rPr>
          <w:i/>
          <w:sz w:val="20"/>
        </w:rPr>
        <w:t>EN: High Sensitivity and Wide Detection Range MXene/PDMS Flexible Piezoresistive Sensor with Microdome Array for Cervical Posture Recognition</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49">
        <w:r>
          <w:rPr>
            <w:color w:val="1155CC"/>
            <w:u w:val="single"/>
          </w:rPr>
          <w:t>10.1021/acsami.6c11575</w:t>
        </w:r>
      </w:hyperlink>
    </w:p>
    <w:p>
      <w:pPr>
        <w:spacing w:before="0" w:after="120"/>
      </w:pPr>
      <w:r>
        <w:rPr>
          <w:b/>
        </w:rPr>
        <w:t xml:space="preserve">Notes: </w:t>
      </w:r>
      <w:r>
        <w:t>abstract_source=pubmed</w:t>
      </w:r>
    </w:p>
    <w:p>
      <w:pPr>
        <w:spacing w:before="0" w:after="80" w:lineRule="auto" w:line="276"/>
      </w:pPr>
      <w:r>
        <w:rPr>
          <w:b/>
        </w:rPr>
        <w:t xml:space="preserve">摘要（ZH）: </w:t>
      </w:r>
      <w:r>
        <w:t>同时提供高灵敏度和宽检测范围的柔性压力传感器对于可穿戴电子产品来说是非常理想的，但仍然受到固有的权衡的限制。在这里，我们提出了一种采用微圆顶结构 MXene/PDMS 复合材料的高性能柔性压阻式压力传感器。通过原位光学显微镜结合有限元分析阐明了传感机制，直接可视化压缩下微圆顶变形过程中界面接触面积的逐渐演变。这种渐进式接触调制有效缓解了灵敏度范围瓶颈。因此，该传感器在低压状态下实现了 314 kPa-1 的卓越灵敏度，同时在扩展的工作范围（高达 390 kPa）内保持稳健的传感性能。此外，它还具有快速响应和恢复时间 (31/34 ms) 以及超过 3000 个加载-卸载循环的卓越长期耐用性。这种出色的机电性能可实现全面的多尺度生理监测，能够捕获低至 1 kPa 的微小压力变化，包括呼吸模式和动脉搏动，以及关节屈曲和步态监测等高负荷场景。基于这些功能，实时颈椎姿势识别系统被实现作为智能健康管理的代表性范例。通过集成逻辑回归机器学习分类器，系统在测试集上获得了 98.5% 的分类准确率。这项工作提出了一个</w:t>
      </w:r>
    </w:p>
    <w:p>
      <w:pPr>
        <w:spacing w:before="0" w:after="200" w:lineRule="auto" w:line="276"/>
      </w:pPr>
      <w:r>
        <w:rPr>
          <w:b/>
        </w:rPr>
        <w:t xml:space="preserve">Abstract (EN): </w:t>
      </w:r>
      <w:r>
        <w:t>Flexible pressure sensors that simultaneously deliver high sensitivity and a broad detection range are highly desirable for wearable electronics but remain constrained by inherent trade-offs. Here, we present a high-performance flexible piezoresistive pressure sensor with microdome-structured MXene/PDMS composites. The sensing mechanism is elucidated through in-situ optical microscopy combined with finite element analysis, which directly visualizes the progressive evolution of the interfacial contact area during microdome deformation under compression. This progressive contact modulation effectively alleviates the sensitivity-range bottleneck. Consequently, the sensor achieves an exceptional sensitivity of 314 kPa-1 in the low-pressure regime while maintaining robust sensing performance across an extended working range (up to 390 kPa). Furthermore, it exhibits fast response and recovery times (31/34 ms) and superior long-term durability over 3000 loading-unloading cycles. This outstanding electromechanical performance enables comprehensive multiscale physiological monitoring, capable of capturing small pressure variations down to 1 kPa including respiratory patterns and arterial pulses, as well as high-load scenarios such as joint flexion and gait monitoring. Building upon these capabilities, a real-time cervical posture recognition system was implemented as a representative paradigm of intelligent health management. By integrating a logistic regression machine learning classifier, the system attained a classification accuracy of 98.5% on the test set. This work proposes a rational structural engineering strategy, providing a versatile and dependable sensing platform for next-generation intelligent health monitoring and human-machine interfaces.</w:t>
      </w:r>
    </w:p>
    <w:p>
      <w:pPr>
        <w:spacing w:before="120" w:after="120"/>
      </w:pPr>
      <w:r>
        <w:rPr>
          <w:sz w:val="18"/>
        </w:rPr>
        <w:t>——————————————————————————————————————————————————————————————————————</w:t>
      </w:r>
    </w:p>
    <w:p>
      <w:pPr>
        <w:spacing w:before="160" w:after="40" w:line="240" w:lineRule="auto"/>
      </w:pPr>
      <w:r>
        <w:rPr>
          <w:b/>
        </w:rPr>
        <w:t xml:space="preserve">[277] </w:t>
      </w:r>
      <w:hyperlink r:id="rId1050">
        <w:r>
          <w:rPr>
            <w:color w:val="1155CC"/>
            <w:u w:val="single"/>
          </w:rPr>
          <w:t>用于可重构逻辑、加密和紫外成像的偏置可调谐等离子 Ga 2 O 3 /GaN 光电探测器</w:t>
        </w:r>
      </w:hyperlink>
    </w:p>
    <w:p>
      <w:pPr>
        <w:spacing w:before="0" w:after="80"/>
      </w:pPr>
      <w:r>
        <w:rPr>
          <w:i/>
          <w:sz w:val="20"/>
        </w:rPr>
        <w:t>EN: Bias-Tunable Plasmonic Ga 2 O 3 /GaN Photodetectors for Reconfigurable Logic, Encryption, and Ultraviolet Imaging</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51">
        <w:r>
          <w:rPr>
            <w:color w:val="1155CC"/>
            <w:u w:val="single"/>
          </w:rPr>
          <w:t>10.1021/acsami.6c07065</w:t>
        </w:r>
      </w:hyperlink>
    </w:p>
    <w:p>
      <w:pPr>
        <w:spacing w:before="0" w:after="120"/>
      </w:pPr>
      <w:r>
        <w:rPr>
          <w:b/>
        </w:rPr>
        <w:t xml:space="preserve">Notes: </w:t>
      </w:r>
      <w:r>
        <w:t>abstract_source=pubmed</w:t>
      </w:r>
    </w:p>
    <w:p>
      <w:pPr>
        <w:spacing w:before="0" w:after="80" w:lineRule="auto" w:line="276"/>
      </w:pPr>
      <w:r>
        <w:rPr>
          <w:b/>
        </w:rPr>
        <w:t xml:space="preserve">摘要（ZH）: </w:t>
      </w:r>
      <w:r>
        <w:t>热氧化 Ga2O3/GaN 异质结为紫外 (UV) 检测提供了一种经济有效的途径。然而，由于顶部宽带隙层的透明度，它们的应用常常受到有效近紫外（365 nm）响应所需的高驱动电压的阻碍。在此，提出了一种通过将银纳米粒子（Ag NPs）修饰到原位热氧化的Ga2O3/GaN异质结上而制造的高性能双波段紫外光电探测器。通过固态去湿过程引入的银纳米颗粒会引发局域表面等离子共振 (LSPR) 效应，从而产生双增益机制。具体来说，它通过局部场放大增强日盲 (254 nm) 响应度，并通过热电子注入路径在低偏置下实现灵敏的 365 nm 检测。利用这种独特的偏置可调光谱响应，可重构光电逻辑门（OR、NOR和XNOR）成功地在单个器件中构建，克服了传统单功能逻辑单元的刚性。此外，成功实现了基于XNOR逻辑和高对比度单像素双色紫外成像的基本硬件光学加密方案。这项工作不仅提出了低功耗、高性能紫外线检测的策略，而且为开发智能、安全和传感器内计算光电系统铺平了道路。</w:t>
      </w:r>
    </w:p>
    <w:p>
      <w:pPr>
        <w:spacing w:before="0" w:after="200" w:lineRule="auto" w:line="276"/>
      </w:pPr>
      <w:r>
        <w:rPr>
          <w:b/>
        </w:rPr>
        <w:t xml:space="preserve">Abstract (EN): </w:t>
      </w:r>
      <w:r>
        <w:t>Thermally oxidized Ga2O3/GaN heterojunctions offer a cost-effective route for ultraviolet (UV) detection. However, their application is often hindered by the high driving voltage required for effective near-UV (365 nm) response due to the transparency of the top wide-bandgap layer. Herein, a high-performance dual-band UV photodetector fabricated by decorating Ag nanoparticles (Ag NPs) onto an in situ thermally oxidized Ga2O3/GaN heterojunction is proposed. The Ag NPs, introduced via a solid-state dewetting process, induce a localized surface plasmon resonance (LSPR) effect that yields a dual-gain mechanism. Specifically, it enhances solar-blind (254 nm) responsivity through local field amplification and enables sensitive 365 nm detection at low bias via a hot-electron injection pathway. Leveraging this unique bias-tunable spectral response, reconfigurable optoelectronic logic gates (OR, NOR, and XNOR) are successfully constructed within a single device, overcoming the rigidity of traditional single-function logic units. Furthermore, a basic hardware-based optical encryption scheme based on XNOR logic and high-contrast single-pixel dual-color UV imaging are successfully realized. This work not only presents a strategy for low-power, high-performance UV detection but also paves the way for developing intelligent, secure, and in-sensor computing optoelectronic systems.</w:t>
      </w:r>
    </w:p>
    <w:p>
      <w:pPr>
        <w:spacing w:before="120" w:after="120"/>
      </w:pPr>
      <w:r>
        <w:rPr>
          <w:sz w:val="18"/>
        </w:rPr>
        <w:t>——————————————————————————————————————————————————————————————————————</w:t>
      </w:r>
    </w:p>
    <w:p>
      <w:pPr>
        <w:spacing w:before="160" w:after="40" w:line="240" w:lineRule="auto"/>
      </w:pPr>
      <w:r>
        <w:rPr>
          <w:b/>
        </w:rPr>
        <w:t xml:space="preserve">[278] </w:t>
      </w:r>
      <w:hyperlink r:id="rId1052">
        <w:r>
          <w:rPr>
            <w:color w:val="1155CC"/>
            <w:u w:val="single"/>
          </w:rPr>
          <w:t>基于氧化锌和氧化钒的具有非易失性光电行为的双波段光电忆阻器</w:t>
        </w:r>
      </w:hyperlink>
    </w:p>
    <w:p>
      <w:pPr>
        <w:spacing w:before="0" w:after="80"/>
      </w:pPr>
      <w:r>
        <w:rPr>
          <w:i/>
          <w:sz w:val="20"/>
        </w:rPr>
        <w:t>EN: Dual-Band Photoelectric Memristor Based on Zinc Oxide and Vanadium Oxide with Non-Volatile Optoelectronic Behavior</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53">
        <w:r>
          <w:rPr>
            <w:color w:val="1155CC"/>
            <w:u w:val="single"/>
          </w:rPr>
          <w:t>10.1021/acsami.6c06201</w:t>
        </w:r>
      </w:hyperlink>
    </w:p>
    <w:p>
      <w:pPr>
        <w:spacing w:before="0" w:after="120"/>
      </w:pPr>
      <w:r>
        <w:rPr>
          <w:b/>
        </w:rPr>
        <w:t xml:space="preserve">Notes: </w:t>
      </w:r>
      <w:r>
        <w:t>abstract_source=pubmed</w:t>
      </w:r>
    </w:p>
    <w:p>
      <w:pPr>
        <w:spacing w:before="0" w:after="80" w:lineRule="auto" w:line="276"/>
      </w:pPr>
      <w:r>
        <w:rPr>
          <w:b/>
        </w:rPr>
        <w:t xml:space="preserve">摘要（ZH）: </w:t>
      </w:r>
      <w:r>
        <w:t>将光学传感和存储器集成在单一半导体架构中对于规避冯·诺依曼瓶颈至关重要。尽管传统的光子忆阻器提供了一种有前途的解决方案，但它们经常受到窄光谱响应和易失性存储器的限制。在此，我们报告了一种结合了多波长传感和非易失性电阻开关双重功能的 ZnO/VO2 忆阻器。 ZnO (3.2 eV) 和 VO2 (0.6 eV) 之间的带隙差异赋予该器件响应紫外 (UV) 和近红外 (NIR) 光的能力。 ZnO 和 VO2 中的离子可以通过电场调节和重新分布。光生载流子可以加强电荷积累，形成导电细丝，光激发后细丝的增量可以部分保留，形成非易失性电阻。在 1 V 偏置和双波段（365 nm UV/760 nm NIR，每个 0.01 mW/cm2）下，该器件实现了稳健的非易失性（&gt;2 h）和 ~103 的开关比，比单层同类产品高出一个数量级。这项工作为推进光电忆阻器的应用提供了强有力的策略。</w:t>
      </w:r>
    </w:p>
    <w:p>
      <w:pPr>
        <w:spacing w:before="0" w:after="200" w:lineRule="auto" w:line="276"/>
      </w:pPr>
      <w:r>
        <w:rPr>
          <w:b/>
        </w:rPr>
        <w:t xml:space="preserve">Abstract (EN): </w:t>
      </w:r>
      <w:r>
        <w:t>Integrating optical sensing and memory within a unitary semiconductor architecture is pivotal for circumventing the von Neumann bottleneck. Although conventional photonic memristors offer a promising solution, they are frequently constrained by a narrow spectral response and volatile memory. Herein, we report a ZnO/VO2 memristor that combines multi-wavelength sensing with non-volatile resistive switching dual functions. The bandgap difference between ZnO (3.2 eV) and VO2 (0.6 eV) endows the device with the ability to respond to ultraviolet (UV) and near-infrared (NIR) light. Ions in ZnO and VO2 can be regulated and redistributed by an electric field. Photogenerated carriers can reinforce charge accumulation, forming conductive filaments, and the increment of filaments can be partially retained after light excitation, forming non-volatile resistance. Under a 1 V bias and dual-band (365 nm UV/760 nm NIR, each 0.01 mW/cm2), the device achieves robust non-volatility (&gt;2 h) and a switching ratio of ∼103, which is an order of magnitude superior to single-layer counterparts. This work offers a robust strategy for advancing the application of photoelectric memristors.</w:t>
      </w:r>
    </w:p>
    <w:p>
      <w:pPr>
        <w:spacing w:before="120" w:after="120"/>
      </w:pPr>
      <w:r>
        <w:rPr>
          <w:sz w:val="18"/>
        </w:rPr>
        <w:t>——————————————————————————————————————————————————————————————————————</w:t>
      </w:r>
    </w:p>
    <w:p>
      <w:pPr>
        <w:spacing w:before="160" w:after="40" w:line="240" w:lineRule="auto"/>
      </w:pPr>
      <w:r>
        <w:rPr>
          <w:b/>
        </w:rPr>
        <w:t xml:space="preserve">[279] </w:t>
      </w:r>
      <w:hyperlink r:id="rId1054">
        <w:r>
          <w:rPr>
            <w:color w:val="1155CC"/>
            <w:u w:val="single"/>
          </w:rPr>
          <w:t>冻融调节聚丙烯酸/羟丙基纤维素水凝胶的高强度、可调热响应、生物相容性和高灵敏传感特性</w:t>
        </w:r>
      </w:hyperlink>
    </w:p>
    <w:p>
      <w:pPr>
        <w:spacing w:before="0" w:after="80"/>
      </w:pPr>
      <w:r>
        <w:rPr>
          <w:i/>
          <w:sz w:val="20"/>
        </w:rPr>
        <w:t>EN: High-Strength, Tunable Thermoresponsive, Biocompatible, and Highly Sensitive Sensing Properties of Freeze-Thaw-Regulated Poly(acrylic acid)/Hydroxypropyl Cellulose Hydrogels</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55">
        <w:r>
          <w:rPr>
            <w:color w:val="1155CC"/>
            <w:u w:val="single"/>
          </w:rPr>
          <w:t>10.1021/acsami.6c06534</w:t>
        </w:r>
      </w:hyperlink>
    </w:p>
    <w:p>
      <w:pPr>
        <w:spacing w:before="0" w:after="120"/>
      </w:pPr>
      <w:r>
        <w:rPr>
          <w:b/>
        </w:rPr>
        <w:t xml:space="preserve">Notes: </w:t>
      </w:r>
      <w:r>
        <w:t>abstract_source=pubmed</w:t>
      </w:r>
    </w:p>
    <w:p>
      <w:pPr>
        <w:spacing w:before="0" w:after="80" w:lineRule="auto" w:line="276"/>
      </w:pPr>
      <w:r>
        <w:rPr>
          <w:b/>
        </w:rPr>
        <w:t xml:space="preserve">摘要（ZH）: </w:t>
      </w:r>
      <w:r>
        <w:t>开发了一种基于聚丙烯酸/羟丙基纤维素/氯化铝 (PAA/HPC/AlCl3) 的物理交联多功能水凝胶，用于灵活的传感应用。该网络仅通过氢键和Al3+配位键构建，具有拉伸性、粘合性和可逆热致变色性。冻融循环作为调节性能的绿色物理策略：处理后，拉伸强度从0.11增加到3.60 MPa，滞后应变从35%下降到9.5%，耗散能从7.839增加到53.699 MJ·m-3。低场核磁共振表明，冻融会促进水的重新分布和链聚集，从而在不引入化学交联剂的情况下加强非共价相互作用。通过调整 Al3+ 含量和冻融循环，可以在 15 至 54 °C 之间协同调节上临界溶液温度 (UCST)，从而实现可逆热致变色。冻融前，水凝胶表现出优异的粘附性、高应变灵敏度（GF = 5.4，3-500%）、高温灵敏度（TCR = -0.019/°C，检测限0.1°C）和机电自修复能力，可实现从人体运动到莫尔斯电码的精确检测。冻融后，水凝胶结合了高强度和稳定的热响应特性。体外溶血和 CCK-8 测定证实了水凝胶的血液相容性和细胞相容性。对大鼠进行的初步体内伤口接触测试显示，只有轻微的、完全可逆的刺激，没有持续性损伤。这项工作实现了差异化的绩效监管</w:t>
      </w:r>
    </w:p>
    <w:p>
      <w:pPr>
        <w:spacing w:before="0" w:after="200" w:lineRule="auto" w:line="276"/>
      </w:pPr>
      <w:r>
        <w:rPr>
          <w:b/>
        </w:rPr>
        <w:t xml:space="preserve">Abstract (EN): </w:t>
      </w:r>
      <w:r>
        <w:t>A physically crosslinked multifunctional hydrogel based on poly(acrylic acid)/hydroxypropyl cellulose/aluminum chloride (PAA/HPC/AlCl3) was developed for flexible sensing applications. The network, constructed solely through hydrogen bonds and Al3+ coordination bonds, exhibits stretchability, adhesiveness, and reversible thermochromism. Freeze-thaw cycling serves as a green physical strategy to regulate performance: after treatment, tensile strength increased from 0.11 to 3.60 MPa, hysteresis strain decreased from 35 to 9.5%, and dissipated energy rose from 7.839 to 53.699 MJ·m-3. Low-field NMR reveals that freeze-thaw promotes water redistribution and chain aggregation, strengthening non-covalent interactions without introducing chemical crosslinkers. By adjusting Al3+ content and freeze-thaw cycles, the upper critical solution temperature (UCST) can be synergistically tuned between 15 and 54 °C, enabling reversible thermochromism. Before freeze-thaw, the hydrogel exhibits excellent adhesion, high strain sensitivity (GF = 5.4, 3-500%), high temperature sensitivity (TCR = -0.019/°C, detection limit 0.1 °C), and electromechanical self-healing, allowing accurate detection from human motion to Morse code. Post freeze-thaw, hydrogels combine high strength with stable thermoresponsive properties. In vitro hemolysis and CCK-8 assays confirmed the hydrogel's hemocompatibility and cytocompatibility. A preliminary in vivo wound contact test on rats revealed only mild, fully reversible irritation with no persistent damage. This work achieves differentiated performance regulation in a single system through a simple and environmentally friendly processing method, offering a sustainable design approach for flexible sensors.</w:t>
      </w:r>
    </w:p>
    <w:p>
      <w:pPr>
        <w:spacing w:before="120" w:after="120"/>
      </w:pPr>
      <w:r>
        <w:rPr>
          <w:sz w:val="18"/>
        </w:rPr>
        <w:t>——————————————————————————————————————————————————————————————————————</w:t>
      </w:r>
    </w:p>
    <w:p>
      <w:pPr>
        <w:spacing w:before="160" w:after="40" w:line="240" w:lineRule="auto"/>
      </w:pPr>
      <w:r>
        <w:rPr>
          <w:b/>
        </w:rPr>
        <w:t xml:space="preserve">[280] </w:t>
      </w:r>
      <w:hyperlink r:id="rId1056">
        <w:r>
          <w:rPr>
            <w:color w:val="1155CC"/>
            <w:u w:val="single"/>
          </w:rPr>
          <w:t>含有 miRNA-497 的口服纳米疗法可治疗炎症性肠病</w:t>
        </w:r>
      </w:hyperlink>
    </w:p>
    <w:p>
      <w:pPr>
        <w:spacing w:before="0" w:after="80"/>
      </w:pPr>
      <w:r>
        <w:rPr>
          <w:i/>
          <w:sz w:val="20"/>
        </w:rPr>
        <w:t>EN: Orally Delivered Nanotherapeutics with miRNA-497 Supplying for Inflammatory Bowel Disease</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57">
        <w:r>
          <w:rPr>
            <w:color w:val="1155CC"/>
            <w:u w:val="single"/>
          </w:rPr>
          <w:t>10.1021/acsami.6c11703</w:t>
        </w:r>
      </w:hyperlink>
    </w:p>
    <w:p>
      <w:pPr>
        <w:spacing w:before="0" w:after="120"/>
      </w:pPr>
      <w:r>
        <w:rPr>
          <w:b/>
        </w:rPr>
        <w:t xml:space="preserve">Notes: </w:t>
      </w:r>
      <w:r>
        <w:t>abstract_source=pubmed</w:t>
      </w:r>
    </w:p>
    <w:p>
      <w:pPr>
        <w:spacing w:before="0" w:after="80" w:lineRule="auto" w:line="276"/>
      </w:pPr>
      <w:r>
        <w:rPr>
          <w:b/>
        </w:rPr>
        <w:t xml:space="preserve">摘要（ZH）: </w:t>
      </w:r>
      <w:r>
        <w:t>活性氧（ROS）的过度产生会导致炎症性肠病（IBD）的炎症过程，而ROS清除疗法可以促进组织修复，已成为治疗IBD和其他炎症性疾病的一种有前途的治疗策略。尽管ROS清除疗法对于IBD的治疗具有显着的治疗潜力，但全身性脱靶效应仍然是一个主要限制。最近的研究发现 microRNA-497 (miR-497) 是 IBD 有前景的治疗靶点，因为它可以将促炎性 M1 巨噬细胞极化为组织修复表型，促进 ROS 的清除，并有可能减轻 IBD 的症状。尽管具有治疗潜力，但 miR-497 的稳定性差和细胞摄取有限，对其临床应用构成了重大障碍。为了解决这些局限性，开发了一种基于标记有 miR-497 的锰掺杂金属有机框架 (Mn-MOF) 纳米粒子 (Mn-MOF@miR-497) 的递送策略，以有效抑制促炎细胞因子的产生并恢复被促炎刺激破坏的肠细胞的免疫耐受性。 Mn-MOF@miR-497 的局部给药在葡聚糖硫酸钠 (DSS) 诱导的 IBD 小鼠模型中表现出显着的治疗效果，且没有任何可观察到的毒性。这种创新的纳米治疗策略显示出作为 IBD 靶向治疗方法的巨大潜力，有望探索 IBD 管理的创新治疗方案。</w:t>
      </w:r>
    </w:p>
    <w:p>
      <w:pPr>
        <w:spacing w:before="0" w:after="200" w:lineRule="auto" w:line="276"/>
      </w:pPr>
      <w:r>
        <w:rPr>
          <w:b/>
        </w:rPr>
        <w:t xml:space="preserve">Abstract (EN): </w:t>
      </w:r>
      <w:r>
        <w:t>The excessive generation of reactive oxygen species (ROS) contributes to the inflammatory process in inflammatory bowel disease (IBD), and ROS-scavenging therapy, which can promote tissue repair, has emerged as a promising therapeutic strategy for managing IBD and other inflammatory diseases. Although ROS-scavenging therapy holds significant therapeutic potential for the management of IBD, systemic off-target effects remain a major limitation. Recent studies have identified microRNA-497 (miR-497) as a promising therapeutic target for IBD as it can polarize proinflammatory M1 macrophages to a tissue-repair phenotype, promoting the clearance of ROS and potentially alleviating the symptoms of IBD. Despite its therapeutic potential, the poor stability and limited cellular uptake of miR-497 pose significant barriers to its clinical use. To address these limitations, a delivery strategy based on manganese-doped metal-organic framework (Mn-MOF) nanoparticles labeled with miR-497 (Mn-MOF@miR-497) was developed to effectively inhibit the production of proinflammatory cytokines and restore immunological tolerance in enterocytes disrupted by proinflammatory stimuli. The topical administration of Mn-MOF@miR-497 exhibited significant therapeutic efficacy in a murine model of IBD induced by dextran sulfate sodium (DSS) without any observable toxicity. This innovative nanotherapeutic strategy demonstrates remarkable potential as a targeted treatment approach for IBD, holding promise for exploring innovative therapeutic regimens for IBD management.</w:t>
      </w:r>
    </w:p>
    <w:p>
      <w:pPr>
        <w:spacing w:before="120" w:after="120"/>
      </w:pPr>
      <w:r>
        <w:rPr>
          <w:sz w:val="18"/>
        </w:rPr>
        <w:t>——————————————————————————————————————————————————————————————————————</w:t>
      </w:r>
    </w:p>
    <w:p>
      <w:pPr>
        <w:spacing w:before="160" w:after="40" w:line="240" w:lineRule="auto"/>
      </w:pPr>
      <w:r>
        <w:rPr>
          <w:b/>
        </w:rPr>
        <w:t xml:space="preserve">[281] </w:t>
      </w:r>
      <w:hyperlink r:id="rId1058">
        <w:r>
          <w:rPr>
            <w:color w:val="1155CC"/>
            <w:u w:val="single"/>
          </w:rPr>
          <w:t>巨大次生团块巨星周围的系外行星揭示了 B 型主星</w:t>
        </w:r>
      </w:hyperlink>
    </w:p>
    <w:p>
      <w:pPr>
        <w:spacing w:before="0" w:after="80"/>
      </w:pPr>
      <w:r>
        <w:rPr>
          <w:i/>
          <w:sz w:val="20"/>
        </w:rPr>
        <w:t>EN: B-type host stars revealed by exoplanets around massive secondary-clump giant stars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围绕大质量年轻恒星（包括热光谱级 B（B 型）恒星）的系外行星很少见，但对于了解行星如何形成和生存非常重要。大多数已知的例子要么是通过直接成像发现的非常遥远的伴星，要么是通过凌日巡天发现的非常接近的行星，而处于中等轨道距离的行星基本上未被探索过。在这里，我们表明可以通过演化的恒星来揭示这个缺失的种群。利用基于太空的恒星振荡和恒星演化模型，我们确定了四颗已知的行星目录恒星：HD 2952、HD 120084、HIP 65891 和 HIP 67537（亨利·德雷珀和依巴谷星表标识符），它们是大质量的氦燃烧巨星。我们重建了它们的诞生特性，发现这四颗恒星最初都是 B 型恒星，在中等轨道距离上拥有巨行星。轨道演化计算表明，当前的系统可以在主序带之后主星的膨胀中幸存下来。这些系统揭示了 B 型恒星周围隐藏的行星群，并将行星形成和生存的测试扩展到以前无法到达的区域。</w:t>
      </w:r>
    </w:p>
    <w:p>
      <w:pPr>
        <w:spacing w:before="0" w:after="200" w:lineRule="auto" w:line="276"/>
      </w:pPr>
      <w:r>
        <w:rPr>
          <w:b/>
        </w:rPr>
        <w:t xml:space="preserve">Abstract (EN): </w:t>
      </w:r>
      <w:r>
        <w:t>Exoplanets around massive young stars, including hot spectral-class B (B-type) stars, are rare but important for understanding how planets form and survive. Most known examples are either very distant companions found by direct imaging or extremely close-in planets found by transit surveys, leaving planets at intermediate orbital distances largely unexplored. Here, we show that this missing population can be revealed through evolved stars. Using space-based stellar oscillations and stellar-evolution models, we identify four known planet-hosting catalogue stars, HD 2952, HD 120084, HIP 65891, and HIP 67537 (Henry Draper and Hipparcos catalogue identifiers), as massive helium-burning giant stars. We reconstruct their birth properties and find that all four were originally B-type stars hosting giant planets at intermediate orbital distances. Orbital-evolution calculations show that the present systems can survive the expansion of their host stars after the main sequence. These systems uncover a hidden population of planets around B-type stars and extend tests of planet formation and survival into a previously inaccessible regime.</w:t>
      </w:r>
    </w:p>
    <w:p>
      <w:pPr>
        <w:spacing w:before="120" w:after="120"/>
      </w:pPr>
      <w:r>
        <w:rPr>
          <w:sz w:val="18"/>
        </w:rPr>
        <w:t>——————————————————————————————————————————————————————————————————————</w:t>
      </w:r>
    </w:p>
    <w:p>
      <w:pPr>
        <w:spacing w:before="160" w:after="40" w:line="240" w:lineRule="auto"/>
      </w:pPr>
      <w:r>
        <w:rPr>
          <w:b/>
        </w:rPr>
        <w:t xml:space="preserve">[282] </w:t>
      </w:r>
      <w:hyperlink r:id="rId1059">
        <w:r>
          <w:rPr>
            <w:color w:val="1155CC"/>
            <w:u w:val="single"/>
          </w:rPr>
          <w:t>俄罗斯入侵乌克兰后的地缘政治分裂、能源脆弱性和国家 ESG 轨迹</w:t>
        </w:r>
      </w:hyperlink>
    </w:p>
    <w:p>
      <w:pPr>
        <w:spacing w:before="0" w:after="80"/>
      </w:pPr>
      <w:r>
        <w:rPr>
          <w:i/>
          <w:sz w:val="20"/>
        </w:rPr>
        <w:t>EN: Geopolitical fragmentation, energy vulnerability, and national ESG trajectories after Russia's invasion of Ukraine</w:t>
      </w:r>
    </w:p>
    <w:p>
      <w:pPr>
        <w:spacing w:before="0" w:after="120"/>
      </w:pPr>
      <w:r>
        <w:rPr>
          <w:b/>
        </w:rPr>
        <w:t xml:space="preserve">Source: </w:t>
      </w:r>
      <w:r>
        <w:t>ScienceDirect Publication: Energy Policy</w:t>
      </w:r>
      <w:r>
        <w:t xml:space="preserve">    </w:t>
      </w:r>
      <w:r>
        <w:rPr>
          <w:b/>
        </w:rPr>
        <w:t xml:space="preserve">Pub date: </w:t>
      </w:r>
      <w:r>
        <w:t>2026-07-20 00:00:00+00:00</w:t>
      </w:r>
      <w:r>
        <w:t xml:space="preserve">    </w:t>
      </w:r>
      <w:r>
        <w:rPr>
          <w:b/>
        </w:rPr>
        <w:t xml:space="preserve">DOI: </w:t>
      </w:r>
      <w:hyperlink r:id="rId1060">
        <w:r>
          <w:rPr>
            <w:color w:val="1155CC"/>
            <w:u w:val="single"/>
          </w:rPr>
          <w:t>10.1016/j.enpol.2026.115489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1061">
        <w:r>
          <w:rPr>
            <w:color w:val="1155CC"/>
            <w:u w:val="single"/>
          </w:rPr>
          <w:t>在学习复杂运动任务期间到达终点会触发小脑活动</w:t>
        </w:r>
      </w:hyperlink>
    </w:p>
    <w:p>
      <w:pPr>
        <w:spacing w:before="0" w:after="80"/>
      </w:pPr>
      <w:r>
        <w:rPr>
          <w:i/>
          <w:sz w:val="20"/>
        </w:rPr>
        <w:t>EN: Cerebellar activity is triggered by reach endpoint during learning of a complex locomotor task</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复杂环境中的运动需要精确的计时和控制爪子的运动，以适应步伐和协调四肢。小脑被认为支持对这些运动的即时预测和校正，但在需要特定步骤调整的运动过程中，其皮质神经元如何编码爪子动力学仍不清楚。我们开发了 LocoReach，这是一项让老鼠在有梯级的跑步机上行走的任务，要求每走一步才能到达下一个梯级。通过训练，小鼠的表现得到提高，失误更少，步幅更大，摆动速度更快。小脑活动的光遗传学破坏缩短了摆动持续时间，突出了单纯小叶的在线贡献。电生理记录显示，分子层中间神经元和浦肯野细胞在摆动姿势转换时表现出活动变化，主要针对同侧爪子，但也适用于多个爪子。值得注意的是，中间神经元在通过学习获得的较长步幅中表现出更大的反应。这些发现表明小脑活动与步进周期事件精确对齐，支持适应性运动控制。</w:t>
      </w:r>
    </w:p>
    <w:p>
      <w:pPr>
        <w:spacing w:before="0" w:after="200" w:lineRule="auto" w:line="276"/>
      </w:pPr>
      <w:r>
        <w:rPr>
          <w:b/>
        </w:rPr>
        <w:t xml:space="preserve">Abstract (EN): </w:t>
      </w:r>
      <w:r>
        <w:t>Locomotion in complex environments requires precise timing and control of paw movements to adapt steps and coordinate limbs. The cerebellum is thought to support moment-to-moment prediction and correction of these movements, but how its cortical neurons encode paw dynamics during locomotion requiring step-specific adjustments remains unclear. We developed LocoReach, a task in which mice walk on a runged treadmill, requiring each step to reach for the next rung. With training, mice improved performance, showing fewer missteps, longer strides, and faster swings. Optogenetic disruption of cerebellar activity shortened swing duration, highlighting the online contribution of lobule simplex. Electrophysiological recordings revealed that molecular layer interneurons and Purkinje cells exhibited activity changes around swing-stance transitions, primarily for the ipsilateral paw but also across multiple paws. Notably, interneurons showed larger responses during longer strides acquired through learning. These findings indicate that cerebellar activity is precisely aligned to step-cycle events, supporting adaptive locomotor control.</w:t>
      </w:r>
    </w:p>
    <w:p>
      <w:pPr>
        <w:spacing w:before="120" w:after="120"/>
      </w:pPr>
      <w:r>
        <w:rPr>
          <w:sz w:val="18"/>
        </w:rPr>
        <w:t>——————————————————————————————————————————————————————————————————————</w:t>
      </w:r>
    </w:p>
    <w:p>
      <w:pPr>
        <w:spacing w:before="160" w:after="40" w:line="240" w:lineRule="auto"/>
      </w:pPr>
      <w:r>
        <w:rPr>
          <w:b/>
        </w:rPr>
        <w:t xml:space="preserve">[284] </w:t>
      </w:r>
      <w:hyperlink r:id="rId1062">
        <w:r>
          <w:rPr>
            <w:color w:val="1155CC"/>
            <w:u w:val="single"/>
          </w:rPr>
          <w:t>粘膜粘附抗氧化剂纳米佐剂增强鼻内流感疫苗的免疫原性</w:t>
        </w:r>
      </w:hyperlink>
    </w:p>
    <w:p>
      <w:pPr>
        <w:spacing w:before="0" w:after="80"/>
      </w:pPr>
      <w:r>
        <w:rPr>
          <w:i/>
          <w:sz w:val="20"/>
        </w:rPr>
        <w:t>EN: Mucoadhesive Antioxidant Nanoadjuvant Delivers Enhanced Intranasal Influenza Vaccine Immunogenicity</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63">
        <w:r>
          <w:rPr>
            <w:color w:val="1155CC"/>
            <w:u w:val="single"/>
          </w:rPr>
          <w:t>10.1021/acsami.6c07805</w:t>
        </w:r>
      </w:hyperlink>
    </w:p>
    <w:p>
      <w:pPr>
        <w:spacing w:before="0" w:after="120"/>
      </w:pPr>
      <w:r>
        <w:rPr>
          <w:b/>
        </w:rPr>
        <w:t xml:space="preserve">Notes: </w:t>
      </w:r>
      <w:r>
        <w:t>abstract_source=pubmed</w:t>
      </w:r>
    </w:p>
    <w:p>
      <w:pPr>
        <w:spacing w:before="0" w:after="80" w:lineRule="auto" w:line="276"/>
      </w:pPr>
      <w:r>
        <w:rPr>
          <w:b/>
        </w:rPr>
        <w:t xml:space="preserve">摘要（ZH）: </w:t>
      </w:r>
      <w:r>
        <w:t>流感病毒仍然对全球公共卫生构成持续而重大的威胁。然而，目前可用的全灭活病毒（WIV）疫苗无法引发强大的粘膜免疫反应，削弱了抵抗呼吸道病毒感染的第一道防线。鼻内疫苗接种是实现针对流感的粘膜和全身免疫的一种有前途的策略，但需要安全且高度免疫刺激的佐剂才能获得良好的疗效。在这里，我们开发了一种多功能纳米复合佐剂GO-IONPs-PEI（GIP），旨在增强免疫原性、调节炎症反应和维持局部氧化还原稳态。与流感抗原鼻内共同给药后，GIP纳米颗粒表现出优异的生物相容性，并可能通过主动调节粘膜免疫微环境有效促进树突状细胞成熟。在体内，GIP 显着增强全身和粘膜免疫反应，包括强烈诱导保护性粘膜 IgA 反应。总的来说，这些发现表明 GIP 可能成为下一代鼻内流感疫苗的有前途的佐剂平台。此外，结果强调粘膜微环境的多功能调节是提高 WIV 疫苗性能的有效策略。</w:t>
      </w:r>
    </w:p>
    <w:p>
      <w:pPr>
        <w:spacing w:before="0" w:after="200" w:lineRule="auto" w:line="276"/>
      </w:pPr>
      <w:r>
        <w:rPr>
          <w:b/>
        </w:rPr>
        <w:t xml:space="preserve">Abstract (EN): </w:t>
      </w:r>
      <w:r>
        <w:t>Influenza viruses remain a persistent and significant threat to global public health. However, currently available whole inactivated virus (WIV) vaccines fail to elicit robust mucosal immune responses, weakening the first line of defense against respiratory viral infection. Intranasal vaccination represents a promising strategy for achieving both mucosal and systemic immunity against influenza, but safe and highly immunostimulatory adjuvants are required for good efficacy. Here, we developed a multifunctional nanocomposite adjuvant, GO-IONPs-PEI (GIP), which was designed to enhance immunogenicity, regulate inflammatory responses, and maintain local redox homeostasis. Following intranasal coadministration with the influenza antigen, GIP nanoparticles exhibited excellent biocompatibility and effectively promoted dendritic cell maturation, likely via the active modulation of the mucosal immune microenvironment. In vivo, GIP markedly enhanced both systemic and mucosal immune responses, including the robust induction of protective mucosal IgA responses. Collectively, these findings reveal that GIP could be a promising adjuvant platform for next-generation intranasal influenza vaccines. Furthermore, the results highlight that the multifunctional modulation of the mucosal microenvironment is an effective strategy for improving the performance of WIV vaccines.</w:t>
      </w:r>
    </w:p>
    <w:p>
      <w:pPr>
        <w:spacing w:before="120" w:after="120"/>
      </w:pPr>
      <w:r>
        <w:rPr>
          <w:sz w:val="18"/>
        </w:rPr>
        <w:t>——————————————————————————————————————————————————————————————————————</w:t>
      </w:r>
    </w:p>
    <w:p>
      <w:pPr>
        <w:spacing w:before="160" w:after="40" w:line="240" w:lineRule="auto"/>
      </w:pPr>
      <w:r>
        <w:rPr>
          <w:b/>
        </w:rPr>
        <w:t xml:space="preserve">[285] </w:t>
      </w:r>
      <w:hyperlink r:id="rId1064">
        <w:r>
          <w:rPr>
            <w:color w:val="1155CC"/>
            <w:u w:val="single"/>
          </w:rPr>
          <w:t>leiomodin 延长肌动蛋白细丝尖端的机制</w:t>
        </w:r>
      </w:hyperlink>
    </w:p>
    <w:p>
      <w:pPr>
        <w:spacing w:before="0" w:after="80"/>
      </w:pPr>
      <w:r>
        <w:rPr>
          <w:i/>
          <w:sz w:val="20"/>
        </w:rPr>
        <w:t>EN: Mechanism of actin thin filament pointed-end elongation by leiomodin</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在非肌肉细胞中，肌动蛋白丝表现出可变的长度和快速的周转，亚基主要在有刺的末端添加。横纹肌肌节的情况截然不同，尽管周转速度很快，但肌动蛋白细丝表现出均匀的长度，并且主要在尖端交换亚基。这种丝长度均匀性受到多种蛋白质的严格调节，包括骨骼肌中的分子标尺星云蛋白以及骨骼肌和心肌中的倒刺和尖头帽蛋白 CapZ 和原调节蛋白 (Tmod)。最近的细胞和动物模型研究已确定 leiomodin-2 (Lmod2) 作为一种额外的调节剂，旨在促进尖端伸长以维持细丝长度。这种活性将使莱碘莫丁成为唯一已知的驱动尖端延伸的真核因子，但其分子机制仍未解决。在这里，我们提出了一系列冷冻电子显微镜结构，支持逐步伸长机制，其中两个 Lmod2 分子在尖端交替，同时募集肌动蛋白单体。这些发现确立了肌肉肌节尖端伸长的分子基础，并为理解导致扩张型心肌病的 Lmod2 突变提供了框架。</w:t>
      </w:r>
    </w:p>
    <w:p>
      <w:pPr>
        <w:spacing w:before="0" w:after="200" w:lineRule="auto" w:line="276"/>
      </w:pPr>
      <w:r>
        <w:rPr>
          <w:b/>
        </w:rPr>
        <w:t xml:space="preserve">Abstract (EN): </w:t>
      </w:r>
      <w:r>
        <w:t>In non-muscle cells, actin filaments exhibit variable lengths and rapid turnover, with subunits adding primarily at the barbed end. The situation is strikingly different in striated muscle sarcomeres, where despite rapid turnover, actin thin filaments exhibit uniform length and exchange subunits primarily at the pointed end. This filament length uniformity is tightly regulated by several proteins, including the molecular ruler nebulin in skeletal muscle and the barbed- and pointed-end capping proteins CapZ and tropomodulin (Tmod) in both skeletal and cardiac muscles. Recent studies in cells and animal models have identified leiomodin-2 (Lmod2) as an additional regulator proposed to promote pointed-end elongation to maintain thin filament length. This activity would make leiomodin the only known eukaryotic factor to drive pointed-end elongation, yet its molecular mechanism remains unresolved. Here, we present a series of cryo-electron microscopy structures that support a stepwise elongation mechanism in which two Lmod2 molecules alternate at the pointed end while recruiting actin monomers. These findings establish the molecular basis of pointed-end elongation in muscle sarcomeres and provide a framework for understanding mutations in Lmod2 that cause dilated cardiomyopathy.</w:t>
      </w:r>
    </w:p>
    <w:p>
      <w:pPr>
        <w:spacing w:before="120" w:after="120"/>
      </w:pPr>
      <w:r>
        <w:rPr>
          <w:sz w:val="18"/>
        </w:rPr>
        <w:t>——————————————————————————————————————————————————————————————————————</w:t>
      </w:r>
    </w:p>
    <w:p>
      <w:pPr>
        <w:spacing w:before="160" w:after="40" w:line="240" w:lineRule="auto"/>
      </w:pPr>
      <w:r>
        <w:rPr>
          <w:b/>
        </w:rPr>
        <w:t xml:space="preserve">[286] </w:t>
      </w:r>
      <w:hyperlink r:id="rId1065">
        <w:r>
          <w:rPr>
            <w:color w:val="1155CC"/>
            <w:u w:val="single"/>
          </w:rPr>
          <w:t>纳米粒子组装体中 DNA 编程的电奥斯特瓦尔德成熟</w:t>
        </w:r>
      </w:hyperlink>
    </w:p>
    <w:p>
      <w:pPr>
        <w:spacing w:before="0" w:after="80"/>
      </w:pPr>
      <w:r>
        <w:rPr>
          <w:i/>
          <w:sz w:val="20"/>
        </w:rPr>
        <w:t>EN: DNA-programmed galvanic Ostwald ripening in nanoparticle assemblies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纳米颗粒的奥斯特瓦尔德熟化，即较大颗粒的生长以较小颗粒为代价，通常是一个难以控制的热力学驱动过程。在这里，我们报告了接触依赖性、局部电奥斯特瓦尔德熟化，这种机制可以利用纳米颗粒的奥斯特瓦尔德熟化作为纳米制造的可编程工具。使用 DNA 折纸精确控制颗粒间距离，我们发现银在金种子上均匀生长，直到纳米颗粒电接触在尺寸依赖性电化学势的驱动下触发不对称成熟。通过对纳米粒子接触的时间和地点进行编程，我们指导成熟途径，以创建具有增强等离子体特性的设计师异质纳米粒子结构。在这项工作中，我们阐明了纳米粒子簇中异质银生长的起源，并建立了具有预定形态的工程不对称纳米结构的设计原则，推进了基础胶体纳米科学和等离子体器件制造。</w:t>
      </w:r>
    </w:p>
    <w:p>
      <w:pPr>
        <w:spacing w:before="0" w:after="200" w:lineRule="auto" w:line="276"/>
      </w:pPr>
      <w:r>
        <w:rPr>
          <w:b/>
        </w:rPr>
        <w:t xml:space="preserve">Abstract (EN): </w:t>
      </w:r>
      <w:r>
        <w:t>Ostwald ripening of nanoparticles, where larger particles grow at the expense of smaller ones, is typically a thermodynamically driven process that is difficult to control. Here, we report contact-dependent, localized galvanic Ostwald ripening, a mechanism that can harness Ostwald ripening of nanoparticles as a programmable tool for nanofabrication. Using DNA origami to precisely control interparticle distances, we show that silver grows homogeneously on gold seeds until nanoparticle electrical contact triggers asymmetric ripening, driven by size-dependent electrochemical potentials. By programming when and where nanoparticles touch, we direct ripening pathways to create designer heterogeneous nanoparticle structures with enhanced plasmonic properties. In this work, we elucidate the origin of heterogeneous silver growth in nanoparticle clusters and establish design principles for engineering asymmetric nanostructures with predetermined morphologies, advancing both fundamental colloidal nanoscience and plasmonic device fabrication.</w:t>
      </w:r>
    </w:p>
    <w:p>
      <w:pPr>
        <w:spacing w:before="120" w:after="120"/>
      </w:pPr>
      <w:r>
        <w:rPr>
          <w:sz w:val="18"/>
        </w:rPr>
        <w:t>——————————————————————————————————————————————————————————————————————</w:t>
      </w:r>
    </w:p>
    <w:p>
      <w:pPr>
        <w:spacing w:before="160" w:after="40" w:line="240" w:lineRule="auto"/>
      </w:pPr>
      <w:r>
        <w:rPr>
          <w:b/>
        </w:rPr>
        <w:t xml:space="preserve">[287] </w:t>
      </w:r>
      <w:hyperlink r:id="rId1066">
        <w:r>
          <w:rPr>
            <w:color w:val="1155CC"/>
            <w:u w:val="single"/>
          </w:rPr>
          <w:t>描述多重耐药细菌定植新生儿的危险因素、感染来源和临床结果：NeoCol 研究</w:t>
        </w:r>
      </w:hyperlink>
    </w:p>
    <w:p>
      <w:pPr>
        <w:spacing w:before="0" w:after="80"/>
      </w:pPr>
      <w:r>
        <w:rPr>
          <w:i/>
          <w:sz w:val="20"/>
        </w:rPr>
        <w:t>EN: Delineating the risk factors, sources of acquisition and clinical outcomes in neonates colonised with multidrug-resistant bacteria: the NeoCol study</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抗生素耐药性导致全球新生儿死亡率。为了减轻这种负担，有必要描绘导致新生儿多重耐药 (MDR) 细菌定植的传播途径。我们对 189 名母婴进行了一项前瞻性队列研究，以确定与 MDR 细菌传播相关的危险因素，结果表明，母体在分娩时 MDR 细菌定植率很高（63%，120/189），新生儿出院时 MDR 细菌定植率很高（61%，115/189）。然而，母体耐碳青霉烯类肠杆菌 (CRE) 的定植率较低（3%，6/189），而住院新生儿中 CRE 的获得发生在中位时间点 13 天（26%，50/189），表明 CRE 的水平传播占主导地位。与未定植的新生儿相比，那些定植有 MDR 细菌的新生儿更有可能在定植前接触过抗生素（63% vs 24%，p</w:t>
      </w:r>
    </w:p>
    <w:p>
      <w:pPr>
        <w:spacing w:before="0" w:after="200" w:lineRule="auto" w:line="276"/>
      </w:pPr>
      <w:r>
        <w:rPr>
          <w:b/>
        </w:rPr>
        <w:t xml:space="preserve">Abstract (EN): </w:t>
      </w:r>
      <w:r>
        <w:t>Antimicrobial resistance contributes to neonatal mortality globally. Delineating transmission pathways resulting in neonatal colonisation with multidrug-resistant (MDR) bacteria is necessary to reduce this burden. We conducted a prospective cohort study of 189 mother-infant dyads to identify the risk factors associated with transmission of MDR bacteria, revealing a high prevalence of maternal colonisation with MDR bacteria at delivery (63%, 120/189), and in neonates by hospital discharge (61%, 115/189). However, maternal colonisation with carbapenem-resistant Enterobacterales (CRE) was low (3%, 6/189) whereas CRE acquisition occurred at a median time point of 13 days in hospitalised neonates (26%, 50/189), suggesting horizontal transmission of CRE predominates. Compared to non-colonised neonates, those colonised with MDR bacteria were more likely to have been exposed to antibiotics prior to colonisation (63%, vs 24%, p</w:t>
      </w:r>
    </w:p>
    <w:p>
      <w:pPr>
        <w:spacing w:before="120" w:after="120"/>
      </w:pPr>
      <w:r>
        <w:rPr>
          <w:sz w:val="18"/>
        </w:rPr>
        <w:t>——————————————————————————————————————————————————————————————————————</w:t>
      </w:r>
    </w:p>
    <w:p>
      <w:pPr>
        <w:spacing w:before="160" w:after="40" w:line="240" w:lineRule="auto"/>
      </w:pPr>
      <w:r>
        <w:rPr>
          <w:b/>
        </w:rPr>
        <w:t xml:space="preserve">[288] </w:t>
      </w:r>
      <w:hyperlink r:id="rId1067">
        <w:r>
          <w:rPr>
            <w:color w:val="1155CC"/>
            <w:u w:val="single"/>
          </w:rPr>
          <w:t>可交换质子化学位移的定量预测</w:t>
        </w:r>
      </w:hyperlink>
    </w:p>
    <w:p>
      <w:pPr>
        <w:spacing w:before="0" w:after="80"/>
      </w:pPr>
      <w:r>
        <w:rPr>
          <w:i/>
          <w:sz w:val="20"/>
        </w:rPr>
        <w:t>EN: Quantitative Prediction of Exchangeable Proton Chemical Shifts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由于溶质-溶剂相互作用和分子动力学的综合影响，准确预测溶液中可交换质子的核磁共振化学位移仍然具有挑战性。我们引入了一个将机器学习分子动力学 (ML-MD) 与 ShiftML3 机器学习屏蔽模型集成的框架，用于快速准确地预测溶剂化分子中的 NMR 谱。虽然 ShiftML3 最初是为固体开发的，但它可以有效地捕获溶液中分子间对屏蔽的贡献。我们在一系列化学多样化的系统中验证了该方法，包括有机溶剂中的水、溶剂化醇、氢键核碱基、葡萄糖端基异构体和烷基化乙酰胺。 ML-MD + ShiftML3 框架以接近定量的精度再现了实验观察到的可交换质子的化学位移，解决了隐式溶剂 DFT 无法捕获的微妙氢键和构象效应。这些结果确立了 ML-MD + ShiftML3 作为一种可转移且计算高效的方法，将溶剂化和动力学纳入 NMR 光谱中，从而能够对灵活、氢键和复杂的分子系统进行现实的化学位移预测。</w:t>
      </w:r>
    </w:p>
    <w:p>
      <w:pPr>
        <w:spacing w:before="0" w:after="200" w:lineRule="auto" w:line="276"/>
      </w:pPr>
      <w:r>
        <w:rPr>
          <w:b/>
        </w:rPr>
        <w:t xml:space="preserve">Abstract (EN): </w:t>
      </w:r>
      <w:r>
        <w:t>Accurately predicting NMR chemical shifts of exchangeable protons in solution remains challenging because of the combined influence of solute–solvent interactions and molecular dynamics. We introduce a framework that integrates machine-learning molecular dynamics (ML-MD) with the ShiftML3 machine-learning shielding model for rapid and accurate prediction of NMR spectra in solvated molecules. Although originally developed for solids, ShiftML3 effectively captures intermolecular contributions to shielding in solution. We validate the method across a range of chemically diverse systems, including water in organic solvents, solvated alcohols, hydrogen-bonded nucleobases, glucose anomers, and alkylated acetamides. The ML-MD + ShiftML3 framework reproduces experimentally observed chemical shifts of exchangeable protons with near-quantitative accuracy, resolving subtle hydrogen-bonding and conformational effects that implicit-solvent DFT fails to capture. These results establish ML-MD + ShiftML3 as a transferable and computationally efficient way of incorporating solvation and dynamics into NMR spectroscopy, enabling realistic chemical shift predictions for flexible, hydrogen-bonded, and complex molecular systems.</w:t>
      </w:r>
    </w:p>
    <w:p>
      <w:pPr>
        <w:spacing w:before="120" w:after="120"/>
      </w:pPr>
      <w:r>
        <w:rPr>
          <w:sz w:val="18"/>
        </w:rPr>
        <w:t>——————————————————————————————————————————————————————————————————————</w:t>
      </w:r>
    </w:p>
    <w:p>
      <w:pPr>
        <w:spacing w:before="160" w:after="40" w:line="240" w:lineRule="auto"/>
      </w:pPr>
      <w:r>
        <w:rPr>
          <w:b/>
        </w:rPr>
        <w:t xml:space="preserve">[289] </w:t>
      </w:r>
      <w:hyperlink r:id="rId1068">
        <w:r>
          <w:rPr>
            <w:color w:val="1155CC"/>
            <w:u w:val="single"/>
          </w:rPr>
          <w:t>横向容错分布式量子计算操作</w:t>
        </w:r>
      </w:hyperlink>
    </w:p>
    <w:p>
      <w:pPr>
        <w:spacing w:before="0" w:after="80"/>
      </w:pPr>
      <w:r>
        <w:rPr>
          <w:i/>
          <w:sz w:val="20"/>
        </w:rPr>
        <w:t>EN: Transversal fault tolerant distributed quantum computing operations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分布式架构是可扩展量子计算的一种途径，但跨嘈杂的模块间链路的容错操作的性能仍然缺乏表征。我们提出了两个关键分布式原语的电路级仿真：横向非局部 CNOT 和使用表面和双变量自行车代码的逻辑隐形传态。然后，我们在常见量子算法的主要子例程中模拟这些分布式原语的使用。由我们的可扩展库横向多代码块模拟器支持的结果表明，在适当的设备上，分布式 qLDPC 横向操作可以优于表面代码格手术，并能够以较低的贝尔对消耗实现高效的并行计算。值得注意的是，我们发现在相同的代码距离和噪声水平下，非局部 CNOT 的逻辑错误率比隐形传态低一个数量级。我们进一步表明，在物理错误率 p ~ 10−4 时，代码距离 d ≈ 11，在 p ~ 10−3 时，代码距离 d ≈ 29，pebit = 10p，足以实现低于 10−12 的逻辑错误率，从而实现大规模算法。这些结果为分布式量子计算中的架构和代码选择提供了关键指导。</w:t>
      </w:r>
    </w:p>
    <w:p>
      <w:pPr>
        <w:spacing w:before="0" w:after="200" w:lineRule="auto" w:line="276"/>
      </w:pPr>
      <w:r>
        <w:rPr>
          <w:b/>
        </w:rPr>
        <w:t xml:space="preserve">Abstract (EN): </w:t>
      </w:r>
      <w:r>
        <w:t>Distributed architectures are a route to scalable quantum computing, but the performance of fault-tolerant operations across noisy inter-module links remains poorly characterized. We present circuit-level simulations of two key distributed primitives: transversal non-local CNOT and logical teleportation using surface and bivariate-bicycle codes. We then simulate the use of these distributed primitives in a major subroutine of common quantum algorithms. The results, enabled by our scalable library Transversal Multiple Code Block Simulator, demonstrate that on appropriate devices distributed qLDPC transversal operations can outperform surface code lattice surgery and enable efficient parallel computation with lower Bell pair consumption. Notably, we find that the non-local CNOT achieves up to an order of magnitude lower logical error rates than teleportation at the same code distance and noise levels. We further show that code distances of d ≈ 11 at physical error rate p ~ 10−4 and d ≈ 29 at p ~ 10−3, with pebit = 10p, are sufficient to achieve logical error rates below 10−12, enabling large-scale algorithms. These results provide critical guidance for architecture and code selection in distributed quantum computing.</w:t>
      </w:r>
    </w:p>
    <w:p>
      <w:pPr>
        <w:spacing w:before="120" w:after="120"/>
      </w:pPr>
      <w:r>
        <w:rPr>
          <w:sz w:val="18"/>
        </w:rPr>
        <w:t>——————————————————————————————————————————————————————————————————————</w:t>
      </w:r>
    </w:p>
    <w:p>
      <w:pPr>
        <w:spacing w:before="160" w:after="40" w:line="240" w:lineRule="auto"/>
      </w:pPr>
      <w:r>
        <w:rPr>
          <w:b/>
        </w:rPr>
        <w:t xml:space="preserve">[290] </w:t>
      </w:r>
      <w:hyperlink r:id="rId1069">
        <w:r>
          <w:rPr>
            <w:color w:val="1155CC"/>
            <w:u w:val="single"/>
          </w:rPr>
          <w:t>炔烃迁移插入实现了未活化外消旋联芳基的动态动力学不对称脱芳构化</w:t>
        </w:r>
      </w:hyperlink>
    </w:p>
    <w:p>
      <w:pPr>
        <w:spacing w:before="0" w:after="80"/>
      </w:pPr>
      <w:r>
        <w:rPr>
          <w:i/>
          <w:sz w:val="20"/>
        </w:rPr>
        <w:t>EN: Alkyne Migratory Insertion Enabled Dynamic Kinetic Asymmetric Dearomatization of Unactivated Racemic Biaryls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催化不对称脱芳构化已成为将平面芳香族化合物转化为有价值的三维手性结构的有效方法。在此，我们报道了通过炔迁移插入非活化萘衍生物的钯催化对映会聚脱芳构化。与将外消旋联芳基底物转化为对映体纯化合物的现有方法不同，这项工作代表了外消旋未活化联芳基系统的动态动力学不对称脱芳构化的罕见策略。定制设计的不对称多氟亚磷酰胺配体可实现高反应性和立体控制。机理研究证实了对映体收敛途径，将构型不稳定的联芳基底物转化为对映体富集的螺骨架。产物和配体对映纯度之间的线性相关性支持活性催化物质中 Pd/配体的比例为 1:1，密度泛函理论计算提供了进一步的机理见解。通过放大反应和下游衍生化，包括中心到轴的手性转移过程，进一步证明了合成效用。</w:t>
      </w:r>
    </w:p>
    <w:p>
      <w:pPr>
        <w:spacing w:before="0" w:after="200" w:lineRule="auto" w:line="276"/>
      </w:pPr>
      <w:r>
        <w:rPr>
          <w:b/>
        </w:rPr>
        <w:t xml:space="preserve">Abstract (EN): </w:t>
      </w:r>
      <w:r>
        <w:t>Catalytic asymmetric dearomatization has emerged as an effective approach for transforming planar aromatic compounds into valuable three-dimensional chiral architectures. Herein, we report a palladium-catalyzed enantioconvergent dearomatization of non-activated naphthalene derivatives via alkyne migratory insertion. Unlike existing methods that convert racemic biaryl substrates into enantiopure compounds, this work represents a rare strategy for dynamic kinetic asymmetric dearomatization of racemic unactivated biaryl systems. A custom-designed asymmetric polyfluorinated phosphoramidite ligand enables high reactivity and stereocontrol. Mechanistic studies confirmed an enantioconvergent pathway, converting configurationally labile biaryl substrates into enantioenriched spiro frameworks. A linear correlation between product and ligand enantiopurity supports a 1:1 Pd/ligand ratio in the active catalytic species, with density functional theory calculations offering further mechanistic insight. The synthetic utility was further demonstrated through scale-up reactions and downstream derivatizations, including a central-to-axial chirality transfer process.</w:t>
      </w:r>
    </w:p>
    <w:p>
      <w:pPr>
        <w:spacing w:before="120" w:after="120"/>
      </w:pPr>
      <w:r>
        <w:rPr>
          <w:sz w:val="18"/>
        </w:rPr>
        <w:t>——————————————————————————————————————————————————————————————————————</w:t>
      </w:r>
    </w:p>
    <w:p>
      <w:pPr>
        <w:spacing w:before="160" w:after="40" w:line="240" w:lineRule="auto"/>
      </w:pPr>
      <w:r>
        <w:rPr>
          <w:b/>
        </w:rPr>
        <w:t xml:space="preserve">[291] </w:t>
      </w:r>
      <w:hyperlink r:id="rId1070">
        <w:r>
          <w:rPr>
            <w:color w:val="1155CC"/>
            <w:u w:val="single"/>
          </w:rPr>
          <w:t>配体中继催化可实现 N-杂芳烃的不对称迁移脱芳环化</w:t>
        </w:r>
      </w:hyperlink>
    </w:p>
    <w:p>
      <w:pPr>
        <w:spacing w:before="0" w:after="80"/>
      </w:pPr>
      <w:r>
        <w:rPr>
          <w:i/>
          <w:sz w:val="20"/>
        </w:rPr>
        <w:t>EN: Ligand relay catalysis enables asymmetric migratory dearomative annulation of N-heteroarenes</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手性 N-螺杂环是配体、功能材料和药物发现的独特但具有合成挑战性的支架。在这里，我们展示了钴催化的缺电子 N-杂芳烃的不对称迁移脱芳香环化反应的构建。这种转化的成功取决于动态配体中继催化策略，其中两个不同的配体协同工作：一个促进1,4-钴/氢化物转变，另一个控制对映选择性脱芳环化，以高效率和选择性传递手性N-螺杂环。</w:t>
      </w:r>
    </w:p>
    <w:p>
      <w:pPr>
        <w:spacing w:before="0" w:after="200" w:lineRule="auto" w:line="276"/>
      </w:pPr>
      <w:r>
        <w:rPr>
          <w:b/>
        </w:rPr>
        <w:t xml:space="preserve">Abstract (EN): </w:t>
      </w:r>
      <w:r>
        <w:t>Chiral N-spiroheterocycles are privileged yet synthetically challenging scaffolds for ligands, functional materials, and drug discovery. Here we show a cobalt-catalyzed asymmetric migratory dearomative annulation of electron-deficient N‑heteroarenes for their construction. The success of this transformation hinges on a dynamic ligand relay catalysis strategy, wherein two distinct ligands work in tandem: one facilitates a 1,4-cobalt/hydride shift, and the other governs the enantioselective dearomative annulation, delivering chiral N-spiroheterocycles with high efficiency and selectivity.</w:t>
      </w:r>
    </w:p>
    <w:p>
      <w:pPr>
        <w:spacing w:before="120" w:after="120"/>
      </w:pPr>
      <w:r>
        <w:rPr>
          <w:sz w:val="18"/>
        </w:rPr>
        <w:t>——————————————————————————————————————————————————————————————————————</w:t>
      </w:r>
    </w:p>
    <w:p>
      <w:pPr>
        <w:spacing w:before="160" w:after="40" w:line="240" w:lineRule="auto"/>
      </w:pPr>
      <w:r>
        <w:rPr>
          <w:b/>
        </w:rPr>
        <w:t xml:space="preserve">[292] </w:t>
      </w:r>
      <w:hyperlink r:id="rId1071">
        <w:r>
          <w:rPr>
            <w:color w:val="1155CC"/>
            <w:u w:val="single"/>
          </w:rPr>
          <w:t>同位旋对称性破坏的双层石墨烯中的巨大非线性霍尔效应</w:t>
        </w:r>
      </w:hyperlink>
    </w:p>
    <w:p>
      <w:pPr>
        <w:spacing w:before="0" w:after="80"/>
      </w:pPr>
      <w:r>
        <w:rPr>
          <w:i/>
          <w:sz w:val="20"/>
        </w:rPr>
        <w:t>EN: Giant nonlinear Hall effect in isospin symmetry broken bilayer graphene</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自发同位旋排序从根本上重塑了量子非线性输运，但强相关和对称破缺量子态中非线性响应的本质在很大程度上仍未被探索。在这项工作中，我们研究了一种机制，其中对称性破缺不是静态的，而是在强相关性的驱动下作为电子系统的可调特性动态出现的。使用高质量的双栅极 Bernal 双层石墨烯，我们观察到巨大的非线性霍尔电导率 (9.1 µm S V⁻1)，该电导率在场驱动的同位旋极化相中强烈显现。在这种相关状态下，非线性电导率随线性电导率呈指数缩放，这与传统非线性系统中预期的二次缩放形成鲜明对比。结合量子振荡测量和自洽理论模型，我们的结果表明这种巨大的响应与相互作用驱动的谷极化态密切相关。我们的研究结果表明，自发同位旋对称性破缺是实现巨型非线性量子输运的有效途径，其中相互作用增强的斜散射成为主要的输运机制。</w:t>
      </w:r>
    </w:p>
    <w:p>
      <w:pPr>
        <w:spacing w:before="0" w:after="200" w:lineRule="auto" w:line="276"/>
      </w:pPr>
      <w:r>
        <w:rPr>
          <w:b/>
        </w:rPr>
        <w:t xml:space="preserve">Abstract (EN): </w:t>
      </w:r>
      <w:r>
        <w:t>Spontaneous isospin ordering fundamentally reshapes quantum nonlinear transport, yet the nature of nonlinear responses in strongly correlated and symmetry-broken quantum states remain largely unexplored. In this work, we investigate a regime where symmetry breaking is not static but emerges dynamically as a tunable property of the electronic system, driven by strong correlations. Using high-quality, dual-gated Bernal bilayer graphene, we observe a giant nonlinear Hall conductivity (9.1 µm S V⁻¹) that manifests strongly in a field-driven isospin-polarized phase. In this correlated regime, the nonlinear conductivity scales exponentially with the linear conductivity, in stark contrast to the quadratic scaling expected in conventional nonlinear systems. Combined with quantum oscillation measurements and self-consistent theoretical modelling, our results indicate that this giant response is closely linked to an interaction-driven valley-polarized state. Our findings establish spontaneous isospin symmetry breaking as an effective route to giant nonlinear quantum transport, where interaction-enhanced skew scattering emerges as the dominant transport mechanism.</w:t>
      </w:r>
    </w:p>
    <w:p>
      <w:pPr>
        <w:spacing w:before="120" w:after="120"/>
      </w:pPr>
      <w:r>
        <w:rPr>
          <w:sz w:val="18"/>
        </w:rPr>
        <w:t>——————————————————————————————————————————————————————————————————————</w:t>
      </w:r>
    </w:p>
    <w:p>
      <w:pPr>
        <w:spacing w:before="160" w:after="40" w:line="240" w:lineRule="auto"/>
      </w:pPr>
      <w:r>
        <w:rPr>
          <w:b/>
        </w:rPr>
        <w:t xml:space="preserve">[293] </w:t>
      </w:r>
      <w:hyperlink r:id="rId1072">
        <w:r>
          <w:rPr>
            <w:color w:val="1155CC"/>
            <w:u w:val="single"/>
          </w:rPr>
          <w:t>精确控制手性 COF 中吡咯烷催化中心的数量以增强不对称催化</w:t>
        </w:r>
      </w:hyperlink>
    </w:p>
    <w:p>
      <w:pPr>
        <w:spacing w:before="0" w:after="80"/>
      </w:pPr>
      <w:r>
        <w:rPr>
          <w:i/>
          <w:sz w:val="20"/>
        </w:rPr>
        <w:t>EN: Precise Control over the Number of Pyrrolidine Catalytic Centers in Chiral COFs for Boosted Asymmetric Catalysis</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73">
        <w:r>
          <w:rPr>
            <w:color w:val="1155CC"/>
            <w:u w:val="single"/>
          </w:rPr>
          <w:t>10.1021/acsami.6c10610</w:t>
        </w:r>
      </w:hyperlink>
    </w:p>
    <w:p>
      <w:pPr>
        <w:spacing w:before="0" w:after="120"/>
      </w:pPr>
      <w:r>
        <w:rPr>
          <w:b/>
        </w:rPr>
        <w:t xml:space="preserve">Notes: </w:t>
      </w:r>
      <w:r>
        <w:t>abstract_source=pubmed</w:t>
      </w:r>
    </w:p>
    <w:p>
      <w:pPr>
        <w:spacing w:before="0" w:after="80" w:lineRule="auto" w:line="276"/>
      </w:pPr>
      <w:r>
        <w:rPr>
          <w:b/>
        </w:rPr>
        <w:t xml:space="preserve">摘要（ZH）: </w:t>
      </w:r>
      <w:r>
        <w:t>手性共价有机骨架（COF）在不对称催化领域具有巨大的潜力。然而，目前报道的手性COF催化剂通常含有有限的手性催化位点，导致反应时间延长和催化产物的对映体过量（ee）值较低。因此，精确调节手性COF框架中手性催化中心的数量以增强不对称催化性能仍然具有挑战性。本研究通过手性单体的对称性控制，精确构建了三种具有不同数量吡咯烷催化中心的手性COF，并研究了它们在多相不对称催化中的应用。值得注意的是，手性COF的不对称催化性能与孔内吡咯烷催化中心的数量密切相关。高密度的催化位点显着提高了催化反应的活性和对映选择性。值得注意的是，每个孔道含有6个吡咯烷催化中心的L-DATDP-Tz COF在环己酮和对硝基苯甲醛的反应中表现出优异的催化性能，仅一天内就实现了91%的产率和88%的ee。这一性能远远超过了每个孔道仅具有 3 或 4.5 个吡咯烷催化中心的对应物以及大多数其他报道的手性 COF。该研究为手性COF催化位点密度的精确调控提供了重要见解，为设计具有高效不对称催化性能的COF催化剂提供了新的视角。</w:t>
      </w:r>
    </w:p>
    <w:p>
      <w:pPr>
        <w:spacing w:before="0" w:after="200" w:lineRule="auto" w:line="276"/>
      </w:pPr>
      <w:r>
        <w:rPr>
          <w:b/>
        </w:rPr>
        <w:t xml:space="preserve">Abstract (EN): </w:t>
      </w:r>
      <w:r>
        <w:t>Chiral covalent organic frameworks (COFs) hold significant potential in the field of asymmetric catalysis. However, currently reported chiral COF catalysts often contain limited chiral catalytic sites, leading to prolonged reaction times and low enantiomeric excess (ee) values of the catalytic products. Therefore, precisely regulating the number of chiral catalytic centers in chiral COF frameworks to enhance asymmetric catalytic performance remains challenging. In this study, through symmetry control of chiral monomers, three chiral COFs with varying numbers of pyrrolidine catalytic centers were precisely constructed, and their applications in heterogeneous asymmetric catalysis were investigated. Notably, the asymmetric catalytic performance of the chiral COFs was closely related to the number of pyrrolidine catalytic centers within the pores. A high density of catalytic sites significantly improved both the activity and enantioselectivity of the catalytic reaction. Remarkably, L-DATDP-Tz COF, containing 6 pyrrolidine catalytic centers per pore channel, exhibited excellent catalytic performance in the reaction between cyclohexanone and p-nitrobenzaldehyde, achieving a 91% yield and 88% ee within only one day. This performance far surpassed that of the counterparts with only 3 or 4.5 pyrrolidine catalytic centers per pore channel, as well as most other reported chiral COFs. This study provides key insights into the precise regulation of catalytic site density in chiral COFs, offering a new perspective for designing COF catalysts with high-efficiency asymmetric catalytic performance.</w:t>
      </w:r>
    </w:p>
    <w:p>
      <w:pPr>
        <w:spacing w:before="120" w:after="120"/>
      </w:pPr>
      <w:r>
        <w:rPr>
          <w:sz w:val="18"/>
        </w:rPr>
        <w:t>——————————————————————————————————————————————————————————————————————</w:t>
      </w:r>
    </w:p>
    <w:p>
      <w:pPr>
        <w:spacing w:before="160" w:after="40" w:line="240" w:lineRule="auto"/>
      </w:pPr>
      <w:r>
        <w:rPr>
          <w:b/>
        </w:rPr>
        <w:t xml:space="preserve">[294] </w:t>
      </w:r>
      <w:hyperlink r:id="rId1074">
        <w:r>
          <w:rPr>
            <w:color w:val="1155CC"/>
            <w:u w:val="single"/>
          </w:rPr>
          <w:t>迈向高保真制造：通过解耦光聚合建模和投影微立体光刻仿真的细化策略</w:t>
        </w:r>
      </w:hyperlink>
    </w:p>
    <w:p>
      <w:pPr>
        <w:spacing w:before="0" w:after="80"/>
      </w:pPr>
      <w:r>
        <w:rPr>
          <w:i/>
          <w:sz w:val="20"/>
        </w:rPr>
        <w:t>EN: Toward High-Fidelity Fabrication: A Refinement Strategy via Decoupled Photopolymerization Modeling and Simulation for Projection Micro‑Stereolithography</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75">
        <w:r>
          <w:rPr>
            <w:color w:val="1155CC"/>
            <w:u w:val="single"/>
          </w:rPr>
          <w:t>10.1021/acsami.6c06120</w:t>
        </w:r>
      </w:hyperlink>
    </w:p>
    <w:p>
      <w:pPr>
        <w:spacing w:before="0" w:after="120"/>
      </w:pPr>
      <w:r>
        <w:rPr>
          <w:b/>
        </w:rPr>
        <w:t xml:space="preserve">Notes: </w:t>
      </w:r>
      <w:r>
        <w:t>abstract_source=pubmed</w:t>
      </w:r>
    </w:p>
    <w:p>
      <w:pPr>
        <w:spacing w:before="0" w:after="80" w:lineRule="auto" w:line="276"/>
      </w:pPr>
      <w:r>
        <w:rPr>
          <w:b/>
        </w:rPr>
        <w:t xml:space="preserve">摘要（ZH）: </w:t>
      </w:r>
      <w:r>
        <w:t>设计到制造的高度一致性对于微针 (MN) 阵列至关重要，因为几何保真度直接决定机械和药物输送性能。传统的过程控制依赖于雅各布斯工作曲线和互易定律等静态模型，无法充分捕捉非线性聚合动力学，从而导致翘曲和扭曲等缺陷。为了解决这个问题，我们开发了一种光聚合动力学框架，该框架将曝光强度与持续时间解耦，并通过自定义 UMAT 子程序将动态光衰减和聚合进程纳入多尺度有限元分析中。结果表明，极端的暴露时间或强度是有害的，因为前者会导致过度固化和收缩，而后者会导致异质聚合和翘曲。重要的是，模拟确定了一个关键的应力最小化状态，其中切片厚度 (30 μm) 与材料的光学穿透深度 (Dp ≈ 29.3 μm) 一致。在此模型的指导下，我们制造了尖端精度为 12.8 μm 的梯度 MN 阵列，接近光学衍射极限 (10 μm)，与传统方法相比精度提高了 68%。这项工作为复杂微结构的无缺陷制造提供了一种定量驱动的方法，将制造从经验迭代转变为模型引导的精度。</w:t>
      </w:r>
    </w:p>
    <w:p>
      <w:pPr>
        <w:spacing w:before="0" w:after="200" w:lineRule="auto" w:line="276"/>
      </w:pPr>
      <w:r>
        <w:rPr>
          <w:b/>
        </w:rPr>
        <w:t xml:space="preserve">Abstract (EN): </w:t>
      </w:r>
      <w:r>
        <w:t>High design-to-fabrication consistency is critical for microneedle (MN) arrays, as geometric fidelity directly governs mechanical and drug delivery performance. Traditional process control, relying on static models such as the Jacobs working curve and the reciprocity law, inadequately captures nonlinear polymerization kinetics, leading to defects like warping and distortion. To address this, we developed a photopolymerization kinetic framework that decouples exposure intensity from duration and incorporates dynamic light attenuation and polymerization progression into a multiscale finite element analysis via a custom UMAT subroutine. The results reveal that extreme exposure duration or intensity is deleterious, as the former induces over-curing and shrinkage, whereas the latter results in heterogeneous polymerization and warpage. Importantly, the simulation identifies a critical stress-minimization regime where slicing thickness (30 μm) aligns with the material's optical penetration depth (Dp ≈ 29.3 μm). Guided by this model, we fabricated gradient MN arrays with a tip precision of 12.8 μm, approaching the optical diffraction limit (10 μm) and representing a 68% accuracy improvement over conventional methods. This work provides a quantitatively driven methodology for defect-free manufacturing of complex microstructures, shifting fabrication from empirical iteration to model-guided precision.</w:t>
      </w:r>
    </w:p>
    <w:p>
      <w:pPr>
        <w:spacing w:before="120" w:after="120"/>
      </w:pPr>
      <w:r>
        <w:rPr>
          <w:sz w:val="18"/>
        </w:rPr>
        <w:t>——————————————————————————————————————————————————————————————————————</w:t>
      </w:r>
    </w:p>
    <w:p>
      <w:pPr>
        <w:spacing w:before="160" w:after="40" w:line="240" w:lineRule="auto"/>
      </w:pPr>
      <w:r>
        <w:rPr>
          <w:b/>
        </w:rPr>
        <w:t xml:space="preserve">[295] </w:t>
      </w:r>
      <w:hyperlink r:id="rId1076">
        <w:r>
          <w:rPr>
            <w:color w:val="1155CC"/>
            <w:u w:val="single"/>
          </w:rPr>
          <w:t>对“半胱氨酸衍生碳点水凝胶与可见光驱动光催化疗法用于感染伤口愈合”的更正</w:t>
        </w:r>
      </w:hyperlink>
    </w:p>
    <w:p>
      <w:pPr>
        <w:spacing w:before="0" w:after="80"/>
      </w:pPr>
      <w:r>
        <w:rPr>
          <w:i/>
          <w:sz w:val="20"/>
        </w:rPr>
        <w:t>EN: Correction to “Cysteine-Derived Carbon Dots Hydrogels with Visible-Light-Driven Photocatalytic Therapy for Infected Wound Healing”</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77">
        <w:r>
          <w:rPr>
            <w:color w:val="1155CC"/>
            <w:u w:val="single"/>
          </w:rPr>
          <w:t>10.1021/acsami.6c13798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[296] </w:t>
      </w:r>
      <w:hyperlink r:id="rId1078">
        <w:r>
          <w:rPr>
            <w:color w:val="1155CC"/>
            <w:u w:val="single"/>
          </w:rPr>
          <w:t>Leiomodin 2 是肌动蛋白丝的持续性尖端延长剂</w:t>
        </w:r>
      </w:hyperlink>
    </w:p>
    <w:p>
      <w:pPr>
        <w:spacing w:before="0" w:after="80"/>
      </w:pPr>
      <w:r>
        <w:rPr>
          <w:i/>
          <w:sz w:val="20"/>
        </w:rPr>
        <w:t>EN: Leiomodin 2 is a processive pointed-end elongator of actin filaments</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肌动蛋白细胞骨架驱动细胞迁移和肌肉收缩等重要过程。虽然倒刺端聚合已被广泛接受，但长期以来，尖端伸长被认为在体内是不可能的。在这里，我们证明了 Leiomodin 2 (Lmod2) 定位于横纹肌细胞中的细丝尖端，充当肌动蛋白聚合酶，用于尖端伸长。单分子和单丝成像显示，Lmod2 在体外仍然持续与尖端结合，即使在细胞质中存在高浓度的 profilin 的情况下也能实现伸长，否则会导致游离尖端解聚。动力学分析表明，Lmod2 介导的延伸通过相连的两步机制进行，其中单体添加之后在 Lmod2 结合的尖端处发生一级转变，这限制了高肌动蛋白浓度下的延伸。 Lmod2 的活性在原肌球蛋白存在的情况下也持续存在，强调了其生理相关性。 Lmod2 的持续合成能力和延伸率均取决于其 WH2 结构域。值得注意的是，人类扩张型心肌病相关的 Lmod2 突变大大降低了 Lmod2 的尖端伸长活性，为疾病进展提供了潜在机制，并支持 Lmod2 介导的聚合在肌肉肌节的形成和维持中的作用。</w:t>
      </w:r>
    </w:p>
    <w:p>
      <w:pPr>
        <w:spacing w:before="0" w:after="200" w:lineRule="auto" w:line="276"/>
      </w:pPr>
      <w:r>
        <w:rPr>
          <w:b/>
        </w:rPr>
        <w:t xml:space="preserve">Abstract (EN): </w:t>
      </w:r>
      <w:r>
        <w:t>The actin cytoskeleton drives essential processes like cell migration and muscle contraction. While barbed-end polymerization is well-established, pointed-end elongation was long considered impossible in vivo. Here, we demonstrate that Leiomodin 2 (Lmod2), which localizes to thin-filament pointed ends in striated muscle cells, functions as an actin polymerase for pointed-end elongation. Single-molecule and single-filament imaging reveal that Lmod2 remains processively bound to pointed ends in vitro, enabling elongation even in the presence of high profilin concentrations found in the cytoplasm that otherwise would cause depolymerization of free pointed ends. Kinetic analysis indicates that Lmod2-mediated elongation proceeds through a linked two-step mechanism, in which monomer addition is followed by a first-order transition at the Lmod2-bound pointed end that limits elongation at high actin concentrations. Lmod2’s activity also persists in the presence of tropomyosin, underscoring its physiological relevance. Both processivity and elongation rate of Lmod2 are dependent on its WH2 domain. Remarkably, human dilated cardiomyopathy-associated mutations in Lmod2 greatly reduce Lmod2’s pointed-end elongation activity, providing a potential mechanism for disease progression and supporting a role for Lmod2-mediated polymerization in the formation and maintenance of muscle sarcomeres.</w:t>
      </w:r>
    </w:p>
    <w:p>
      <w:pPr>
        <w:spacing w:before="120" w:after="120"/>
      </w:pPr>
      <w:r>
        <w:rPr>
          <w:sz w:val="18"/>
        </w:rPr>
        <w:t>——————————————————————————————————————————————————————————————————————</w:t>
      </w:r>
    </w:p>
    <w:p>
      <w:pPr>
        <w:spacing w:before="160" w:after="40" w:line="240" w:lineRule="auto"/>
      </w:pPr>
      <w:r>
        <w:rPr>
          <w:b/>
        </w:rPr>
        <w:t xml:space="preserve">[297] </w:t>
      </w:r>
      <w:hyperlink r:id="rId1079">
        <w:r>
          <w:rPr>
            <w:color w:val="1155CC"/>
            <w:u w:val="single"/>
          </w:rPr>
          <w:t>海马波纹启动皮层维度扩展以进行记忆检索</w:t>
        </w:r>
      </w:hyperlink>
    </w:p>
    <w:p>
      <w:pPr>
        <w:spacing w:before="0" w:after="80"/>
      </w:pPr>
      <w:r>
        <w:rPr>
          <w:i/>
          <w:sz w:val="20"/>
        </w:rPr>
        <w:t>EN: Hippocampal ripples initiate cortical dimensionality expansion for memory retrieval</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过去的经历是如何从记忆中重建的？人们认为学习将外部输入压缩为低维海马表征，随后在回忆过程中扩展到高维皮质活动。海马波纹，即与检索相关的短暂高频爆发，可能会引发这种扩张。通过分析耐药性癫痫患者在情景记忆任务中的颅内脑电图数据，我们发现在正确但不错误的检索过程中，皮质维数随着波纹事件而增加。这种扩展与更快的反应时间和目标关联的恢复相关。至关重要的是，海马θ和皮质伽马相位-幅度耦合出现在波纹之后但在皮质扩张之前，这表明波纹驱动的通信机制。波纹事件还标志着皮质状态空间中任务相关变量的分离，揭示了海马输出如何重塑记忆表征的几何形状以支持成功的回忆。</w:t>
      </w:r>
    </w:p>
    <w:p>
      <w:pPr>
        <w:spacing w:before="0" w:after="200" w:lineRule="auto" w:line="276"/>
      </w:pPr>
      <w:r>
        <w:rPr>
          <w:b/>
        </w:rPr>
        <w:t xml:space="preserve">Abstract (EN): </w:t>
      </w:r>
      <w:r>
        <w:t>How are past experiences reconstructed from memory? Learning is thought to compress external inputs into low-dimensional hippocampal representations, later expanded into high-dimensional cortical activity during recall. Hippocampal ripples, brief high-frequency bursts linked to retrieval, may initiate this expansion. Analysing intracranial EEG data from patients with pharmacoresistant epilepsy during an episodic memory task, we found that cortical dimensionality increased following ripple events during correct, but not incorrect, retrieval. This expansion correlated with faster reaction times and reinstatement of the target association. Crucially, hippocampal theta and cortical gamma phase-amplitude coupling emerged after ripples but before cortical expansion, suggesting a mechanism for ripple-driven communication. Ripple events also marked the separation of task-relevant variables in cortical state space, revealing how hippocampal output reshapes the geometry of memory representations to support successful recall.</w:t>
      </w:r>
    </w:p>
    <w:p>
      <w:pPr>
        <w:spacing w:before="120" w:after="120"/>
      </w:pPr>
      <w:r>
        <w:rPr>
          <w:sz w:val="18"/>
        </w:rPr>
        <w:t>——————————————————————————————————————————————————————————————————————</w:t>
      </w:r>
    </w:p>
    <w:p>
      <w:pPr>
        <w:spacing w:before="160" w:after="40" w:line="240" w:lineRule="auto"/>
      </w:pPr>
      <w:r>
        <w:rPr>
          <w:b/>
        </w:rPr>
        <w:t xml:space="preserve">[298] </w:t>
      </w:r>
      <w:hyperlink r:id="rId1080">
        <w:r>
          <w:rPr>
            <w:color w:val="1155CC"/>
            <w:u w:val="single"/>
          </w:rPr>
          <w:t>2025 年伊比利亚半岛停电导致死亡率过高</w:t>
        </w:r>
      </w:hyperlink>
    </w:p>
    <w:p>
      <w:pPr>
        <w:spacing w:before="0" w:after="80"/>
      </w:pPr>
      <w:r>
        <w:rPr>
          <w:i/>
          <w:sz w:val="20"/>
        </w:rPr>
        <w:t>EN: Excess mortality attributable to the 2025 Iberian Peninsula blackout</w:t>
      </w:r>
    </w:p>
    <w:p>
      <w:pPr>
        <w:spacing w:before="0" w:after="120"/>
      </w:pPr>
      <w:r>
        <w:rPr>
          <w:b/>
        </w:rPr>
        <w:t xml:space="preserve">Source: </w:t>
      </w:r>
      <w:r>
        <w:t>Scientific community and society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2025 年 4 月 28 日，葡萄牙大陆和西班牙发生大范围停电，影响持续约 10 个小时，造成重大破坏，据报道有 8 人死亡。停电对健康的影响包括医疗设备故障等直接影响和医疗保健中断等间接影响。在这里，我们表明 2025 年伊比利亚大停电与西班牙的死亡率增加有关，但与葡萄牙的死亡率增加无关。我们几乎没有发现事件发生当天死亡率过高的证据。然而，在西班牙，死亡率在接下来的两天内上升（+167 例死亡；95% 可信区间：+28 至 +300；+2.4% 相对增长），特别是在 85 岁以上的女性中。我们还观察到地区差异，但其驱动因素仍然不确定，可能包括中断严重程度、潜在漏洞或当地卫生系统和基础设施条件的差异。这些发现凸显了停电造成的健康负担被低估，以及在气候变化的情况下加强准备的必要性。</w:t>
      </w:r>
    </w:p>
    <w:p>
      <w:pPr>
        <w:spacing w:before="0" w:after="200" w:lineRule="auto" w:line="276"/>
      </w:pPr>
      <w:r>
        <w:rPr>
          <w:b/>
        </w:rPr>
        <w:t xml:space="preserve">Abstract (EN): </w:t>
      </w:r>
      <w:r>
        <w:t>On 28 April 2025, a widespread power outage affected mainland Portugal and Spain for around ten hours, causing major disruptions and eight reported deaths. Health impacts of blackouts range from direct effects, such as medical equipment failure, to indirect effects such as disrupted healthcare. Here we show that the 2025 Iberian blackout is associated with increased mortality in Spain, but not in Portugal. We find little evidence of excess mortality on the day of the event itself. In Spain, however, mortality rises over the next two days (+167 deaths; 95% credible interval: +28 to +300; +2.4% relative increase), particularly among women aged 85+. We also observe regional differences, but their drivers remain uncertain and may include variation in outage severity, underlying vulnerabilities, or local health-system and infrastructure conditions. These findings highlight the underestimated health burden of blackouts and the need for improved preparedness in a changing climate.</w:t>
      </w:r>
    </w:p>
    <w:p>
      <w:pPr>
        <w:spacing w:before="120" w:after="120"/>
      </w:pPr>
      <w:r>
        <w:rPr>
          <w:sz w:val="18"/>
        </w:rPr>
        <w:t>——————————————————————————————————————————————————————————————————————</w:t>
      </w:r>
    </w:p>
    <w:p>
      <w:pPr>
        <w:spacing w:before="160" w:after="40" w:line="240" w:lineRule="auto"/>
      </w:pPr>
      <w:r>
        <w:rPr>
          <w:b/>
        </w:rPr>
        <w:t xml:space="preserve">[299] </w:t>
      </w:r>
      <w:hyperlink r:id="rId1081">
        <w:r>
          <w:rPr>
            <w:color w:val="1155CC"/>
            <w:u w:val="single"/>
          </w:rPr>
          <w:t>全市范围的宏基因组学揭示了城市废水中的微生物群落和抗性组动态</w:t>
        </w:r>
      </w:hyperlink>
    </w:p>
    <w:p>
      <w:pPr>
        <w:spacing w:before="0" w:after="80"/>
      </w:pPr>
      <w:r>
        <w:rPr>
          <w:i/>
          <w:sz w:val="20"/>
        </w:rPr>
        <w:t>EN: Citywide metagenomics reveals microbial community and resistome dynamics in urban wastewater</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城市废水系统连接医院、住宅社区、交通枢纽和废水处理厂，为微生物和抗生素抗性基因（ARG）的传播创造了机会。在这里，我们对中国厦门的废水进行了为期三个月的全市范围宏基因组调查，包括来自 7 个医院场所 (n = 16)、27 个住宅场所 (n = 55)、16 个废水处理厂场所 (n = 159) 和个别国际航班 (n = 22) 的 252 个样本。基因组解析分析揭示了废水源中特定来源的微生物群落结构、抗性组谱、谱系共享模式以及 ARG 和移动遗传元件之间的关联。医院废水含有最多样化的耐药组，而国际航班废水则引入了当地废水网络中不存在的微生物类群和抗耐药基因。废水处理厂从多个上游来源积累 ARG，表现出频繁的谱系共享和潜在水平基因转移的信号。与环境内共享相比，跨环境谱系共享与较低的核苷酸多样性相关，这与可能的遗传瓶颈一致。在潜在的相关因素中，pH 值与微生物多样性和抗药性组成具有很强的非线性关联。这些发现表明，城市废水系统作为微生物和抗逆转录病毒传播的互连网络发挥着作用，并确定了有针对性的抗菌药物耐药性监测的潜在热点。</w:t>
      </w:r>
    </w:p>
    <w:p>
      <w:pPr>
        <w:spacing w:before="0" w:after="200" w:lineRule="auto" w:line="276"/>
      </w:pPr>
      <w:r>
        <w:rPr>
          <w:b/>
        </w:rPr>
        <w:t xml:space="preserve">Abstract (EN): </w:t>
      </w:r>
      <w:r>
        <w:t>Urban wastewater systems connect hospitals, residential communities, transport hubs, and wastewater treatment plants, creating opportunities for the dissemination of microorganisms and antibiotic resistance genes (ARGs). Here, we conduct a three-month, citywide metagenomic survey of wastewater in Xiamen, China, comprising 252 samples from seven hospital sites (n = 16), 27 residential sites (n = 55), 16 wastewater treatment plant sites (n = 159), and individual international flights (n = 22). Genome-resolved analyses reveal source-specific microbial community structures, resistome profiles, lineage-sharing patterns, and associations between ARGs and mobile genetic elements across wastewater sources. Hospital wastewater harbors the most diverse resistome, while international flight wastewater introduces microbial taxa and ARGs absent from local wastewater networks. Wastewater treatment plants accumulate ARGs from multiple upstream sources, exhibiting frequent lineage sharing and signals of potential horizontal gene transfer. Compared with within-environment sharing, cross-environment lineage sharing is associated with lower nucleotide diversity, consistent with possible genetic bottlenecks. Among potential correlates, pH shows strong non-linear associations with microbial diversity and resistome composition. These findings indicate that urban wastewater systems function as interconnected networks for microbial and ARG dissemination and identify potential hotspots for targeted antimicrobial resistance surveillance.</w:t>
      </w:r>
    </w:p>
    <w:p>
      <w:pPr>
        <w:spacing w:before="120" w:after="120"/>
      </w:pPr>
      <w:r>
        <w:rPr>
          <w:sz w:val="18"/>
        </w:rPr>
        <w:t>——————————————————————————————————————————————————————————————————————</w:t>
      </w:r>
    </w:p>
    <w:p>
      <w:pPr>
        <w:spacing w:before="160" w:after="40" w:line="240" w:lineRule="auto"/>
      </w:pPr>
      <w:r>
        <w:rPr>
          <w:b/>
        </w:rPr>
        <w:t xml:space="preserve">[300] </w:t>
      </w:r>
      <w:hyperlink r:id="rId1082">
        <w:r>
          <w:rPr>
            <w:color w:val="1155CC"/>
            <w:u w:val="single"/>
          </w:rPr>
          <w:t>组蛋白乙酰化差异调节 CTCF-CTCF 环和 TAD 内相互作用</w:t>
        </w:r>
      </w:hyperlink>
    </w:p>
    <w:p>
      <w:pPr>
        <w:spacing w:before="0" w:after="80"/>
      </w:pPr>
      <w:r>
        <w:rPr>
          <w:i/>
          <w:sz w:val="20"/>
        </w:rPr>
        <w:t>EN: Histone Acetylation Differentially Modulates CTCF-CTCF Loops and Intra-TAD Interactions</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粘连蛋白复合物通过挤压环和组织拓扑关联域（TAD）来构建人类细胞的间期基因组，但染色质状态如何调节粘连蛋白-染色质相互作用仍不清楚。在这里，我们发现曲古抑菌素 A (TSA) 诱导的组蛋白高度乙酰化选择性地破坏短程 TAD 内相互作用，同时在很大程度上保留 CTCF 锚定环。这些不同的反应定义了两个功能性粘连蛋白群：与动态环挤出相关的 TSA 敏感池，以及通过拓扑捕获维持的 CTCF 位点的 TSA 抗性池。使用具有 TEV 可裂解 RAD21 的半体外系统，我们证明超乙酰化增加了 CTCF 锚定环对粘连蛋白环裂解的敏感性，支持其稳定性的拓扑基础。我们进一步在 CTCF 位点鉴定了 TSA 敏感的粘连蛋白部分，表明存在短暂的、非环绕的中间体。总之，我们的结果表明，粘连蛋白以不同的生化状态存在，可以差异性地调节染色质环的稳定性和对表观基因组扰动的反应性。</w:t>
      </w:r>
    </w:p>
    <w:p>
      <w:pPr>
        <w:spacing w:before="0" w:after="200" w:lineRule="auto" w:line="276"/>
      </w:pPr>
      <w:r>
        <w:rPr>
          <w:b/>
        </w:rPr>
        <w:t xml:space="preserve">Abstract (EN): </w:t>
      </w:r>
      <w:r>
        <w:t>The cohesin complex structures the interphase genome of human cells by extruding loops and organizing topologically associating domains (TADs), yet how chromatin state regulates cohesin-chromatin interactions remains unclear. Here, we show that histone hyperacetylation induced by trichostatin A (TSA) selectively disrupts short-range intra-TAD interactions while largely preserving CTCF-anchored loops. These distinct responses define two functional cohesin populations: a TSA-sensitive pool associated with dynamic loop extrusion, and a TSA-resistant pool at CTCF sites maintained by topological entrapment. Using a semi-in vitro system with TEV-cleavable RAD21, we demonstrate that hyperacetylation increases the sensitivity of CTCF-anchored loops to cohesin ring cleavage, supporting a topological basis for their stability. We further identify a TSA-sensitive cohesin fraction at CTCF sites, suggesting transient, non-encircling intermediates. Together, our results reveal that cohesin exists in distinct biochemical states that differentially regulate chromatin loop stability and responsiveness to epigenomic perturbation.</w:t>
      </w:r>
    </w:p>
    <w:p>
      <w:pPr>
        <w:spacing w:before="120" w:after="120"/>
      </w:pPr>
      <w:r>
        <w:rPr>
          <w:sz w:val="18"/>
        </w:rPr>
        <w:t>——————————————————————————————————————————————————————————————————————</w:t>
      </w:r>
    </w:p>
    <w:p>
      <w:pPr>
        <w:spacing w:before="160" w:after="40" w:line="240" w:lineRule="auto"/>
      </w:pPr>
      <w:r>
        <w:rPr>
          <w:b/>
        </w:rPr>
        <w:t xml:space="preserve">[301] </w:t>
      </w:r>
      <w:hyperlink r:id="rId1083">
        <w:r>
          <w:rPr>
            <w:color w:val="1155CC"/>
            <w:u w:val="single"/>
          </w:rPr>
          <w:t>从弹跳到泵送：天然粘土纳米杂化物可实现主动界面重塑，以实现高效除草剂输送</w:t>
        </w:r>
      </w:hyperlink>
    </w:p>
    <w:p>
      <w:pPr>
        <w:spacing w:before="0" w:after="80"/>
      </w:pPr>
      <w:r>
        <w:rPr>
          <w:i/>
          <w:sz w:val="20"/>
        </w:rPr>
        <w:t>EN: From Bounce to Pump: Natural Clay Nanohybrids Enable Active Interfacial Remodeling for Efficient Herbicide Delivery</w:t>
      </w:r>
    </w:p>
    <w:p>
      <w:pPr>
        <w:spacing w:before="0" w:after="120"/>
      </w:pPr>
      <w:r>
        <w:rPr>
          <w:b/>
        </w:rPr>
        <w:t xml:space="preserve">Source: </w:t>
      </w:r>
      <w:r>
        <w:t>ACS Applied Materials &amp; Interfaces: Latest Articles (ACS Publications)</w:t>
      </w:r>
      <w:r>
        <w:t xml:space="preserve">    </w:t>
      </w:r>
      <w:r>
        <w:rPr>
          <w:b/>
        </w:rPr>
        <w:t xml:space="preserve">Pub date: </w:t>
      </w:r>
      <w:r>
        <w:t>2026-07-20 00:00:00+00:00</w:t>
      </w:r>
      <w:r>
        <w:t xml:space="preserve">    </w:t>
      </w:r>
      <w:r>
        <w:rPr>
          <w:b/>
        </w:rPr>
        <w:t xml:space="preserve">DOI: </w:t>
      </w:r>
      <w:hyperlink r:id="rId1084">
        <w:r>
          <w:rPr>
            <w:color w:val="1155CC"/>
            <w:u w:val="single"/>
          </w:rPr>
          <w:t>10.1021/acsami.6c08329</w:t>
        </w:r>
      </w:hyperlink>
    </w:p>
    <w:p>
      <w:pPr>
        <w:spacing w:before="0" w:after="120"/>
      </w:pPr>
      <w:r>
        <w:rPr>
          <w:b/>
        </w:rPr>
        <w:t xml:space="preserve">Notes: </w:t>
      </w:r>
      <w:r>
        <w:t>abstract_source=pubmed</w:t>
      </w:r>
    </w:p>
    <w:p>
      <w:pPr>
        <w:spacing w:before="0" w:after="80" w:lineRule="auto" w:line="276"/>
      </w:pPr>
      <w:r>
        <w:rPr>
          <w:b/>
        </w:rPr>
        <w:t xml:space="preserve">摘要（ZH）: </w:t>
      </w:r>
      <w:r>
        <w:t>在顽固的疏水性叶子上实现有效的农药沉积仍然是可持续农业的关键挑战。目前的策略主要集中在单方面修改液体配方，将叶子表面视为被动基质，并忽略主动固体侧调节的潜力。为了克服这一限制，我们提出了一种使用水性天然粘土纳米杂化物的“双向固液界面调节”策略。这些混合物由凹凸棒土 (ATP) 纳米棒和双(2-乙基己基)磺基琥珀酸钠 (AOT) 精确组装而成，共同提供活性成分。与传统的被动适应不同，该策略实现了“主动界面重塑”。具体来说，表面活性剂迅速降低表面张力以触发初始铺展，而高度各向异性的 ATP 纳米棒物理插入蜡质角质层中。这构建了一个原位超亲水网络，通过结构分离压力和马兰戈尼效应驱动级联润湿转变，最终逆转局部拉普拉斯压力以产生“主动泵送”渗透。针对燕麦的盆栽实验证实，纳米杂化物递送的草甘膦实现了 82.4% 的株高抑制（~3.1 倍增强）。此外，田间试验表明，即使剂量减少 20%，对水稻二化螟的防治效果仍可达 89.56%。这项工作展示了从被动润湿到主动重塑的范式转变，为可持续农用化学品输送提供了高度通用的平台。</w:t>
      </w:r>
    </w:p>
    <w:p>
      <w:pPr>
        <w:spacing w:before="0" w:after="200" w:lineRule="auto" w:line="276"/>
      </w:pPr>
      <w:r>
        <w:rPr>
          <w:b/>
        </w:rPr>
        <w:t xml:space="preserve">Abstract (EN): </w:t>
      </w:r>
      <w:r>
        <w:t>Achieving efficient pesticide deposition on recalcitrant hydrophobic foliage remains a critical challenge in sustainable agriculture. Current strategies predominantly focus on unilaterally modifying liquid formulations, treating leaf surfaces as passive substrates, and ignoring the potential for active solid-side regulation. To overcome this limitation, we propose a "bidirectional solid-liquid interfacial regulation" strategy using aqueous natural clay nanohybrids. These hybrids are precisely assembled from attapulgite (ATP) nanorods and sodium bis(2-ethylhexyl) sulfosuccinate (AOT) to co-deliver active ingredients. Distinct from traditional passive adaptation, this strategy enables "active interfacial remodeling." Specifically, the surfactant rapidly lowers surface tension to trigger initial spreading, while the highly anisotropic ATP nanorods physically intercalate into the waxy cuticle. This constructs an in situ superhydrophilic network, driving a cascade wetting transition via structural disjoining pressure and the Marangoni effect, which ultimately reverses the local Laplace pressure to create an "active pumping" permeation. Pot experiments against Avena fatua L. confirmed that the nanohybrid-delivered glyphosate achieved an 82.4% plant height inhibition (∼3.1-fold enhancement). Furthermore, field trials demonstrated an 89.56% control efficacy against rice stem borers even with a 20% dosage reduction. This work demonstrates a paradigm shift from passive wetting to active remodeling, offering a highly versatile platform for sustainable agrochemical delivery.</w:t>
      </w:r>
    </w:p>
    <w:p>
      <w:pPr>
        <w:spacing w:before="120" w:after="120"/>
      </w:pPr>
      <w:r>
        <w:rPr>
          <w:sz w:val="18"/>
        </w:rPr>
        <w:t>——————————————————————————————————————————————————————————————————————</w:t>
      </w:r>
    </w:p>
    <w:p>
      <w:pPr>
        <w:spacing w:before="160" w:after="40" w:line="240" w:lineRule="auto"/>
      </w:pPr>
      <w:r>
        <w:rPr>
          <w:b/>
        </w:rPr>
        <w:t xml:space="preserve">[302] </w:t>
      </w:r>
      <w:hyperlink r:id="rId1085">
        <w:r>
          <w:rPr>
            <w:color w:val="1155CC"/>
            <w:u w:val="single"/>
          </w:rPr>
          <w:t>基于电光不可逆强耦合的集成多太赫兹可调谐线性隔离器</w:t>
        </w:r>
      </w:hyperlink>
    </w:p>
    <w:p>
      <w:pPr>
        <w:spacing w:before="0" w:after="80"/>
      </w:pPr>
      <w:r>
        <w:rPr>
          <w:i/>
          <w:sz w:val="20"/>
        </w:rPr>
        <w:t>EN: An integrated multi-THz tunable linear isolator based on electro-optic non-reciprocal strong coupling</w:t>
      </w:r>
    </w:p>
    <w:p>
      <w:pPr>
        <w:spacing w:before="0" w:after="120"/>
      </w:pPr>
      <w:r>
        <w:rPr>
          <w:b/>
        </w:rPr>
        <w:t xml:space="preserve">Source: </w:t>
      </w:r>
      <w:r>
        <w:t>Physical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光隔离器对于激光保护和稳健的信号路由至关重要，并且已经提出了几种基于声光（AO）和电光（EO）时空调制的集成非磁隔离器。然而，剩下的最重要的问题是减轻不需要的边带、实现宽带宽或宽可调性以及具有实用的部署设计。这些挑战中的大多数可以通过波导或谐振器模式之间的非互易强耦合来解决，目的是产生不对称光学色散，但这从未通过电光来实现。在这里，我们展示了一种采用薄膜铌酸锂的紧凑型电光隔离器，这是第一个达到非互易强耦合状态的电光器件。在这种新机制中，隔离器产生非常高的隔离品质因数，并且由于其架构，可以实现线性操作，而产生的边带可以忽略不计。我们还证明了隔离带的太赫兹级（8 nm）可调性，该可调性不受根本限制，并且可以扩展到多太赫兹操作。</w:t>
      </w:r>
    </w:p>
    <w:p>
      <w:pPr>
        <w:spacing w:before="0" w:after="200" w:lineRule="auto" w:line="276"/>
      </w:pPr>
      <w:r>
        <w:rPr>
          <w:b/>
        </w:rPr>
        <w:t xml:space="preserve">Abstract (EN): </w:t>
      </w:r>
      <w:r>
        <w:t>Optical isolators are essential for laser protection and robust signal routing, and several integrated non-magnetic isolators based on acousto-optic (AO) and electro-optic (EO) spatio-temporal modulation have been proposed. The most significant remaining concerns, however, are on mitigating undesirable sidebands, achieving wide bandwidth or wide tunability, and having a design that is practical to deploy. Most of these challenges can be addressed through non-reciprocal strong coupling between waveguide or resonator modes, with the intent to produce asymmetric optical dispersion, but this has never been accomplished with electro-optics. Here we demonstrate a compact EO optical isolator, using thin film lithium niobate, that is the first EO device to reach the non-reciprocal strong coupling regime. In this new regime, the isolator produces a very high isolation figure of merit and, due to its architecture, achieves linear operation with negligible sideband generation. We additionally demonstrate THz-scale (8 nm) tunability of the isolation band that is not fundamentally limited, and can be extended to multi-THz operation.</w:t>
      </w:r>
    </w:p>
    <w:p>
      <w:pPr>
        <w:spacing w:before="120" w:after="120"/>
      </w:pPr>
      <w:r>
        <w:rPr>
          <w:sz w:val="18"/>
        </w:rPr>
        <w:t>——————————————————————————————————————————————————————————————————————</w:t>
      </w:r>
    </w:p>
    <w:p>
      <w:pPr>
        <w:spacing w:before="160" w:after="40" w:line="240" w:lineRule="auto"/>
      </w:pPr>
      <w:r>
        <w:rPr>
          <w:b/>
        </w:rPr>
        <w:t xml:space="preserve">[303] </w:t>
      </w:r>
      <w:hyperlink r:id="rId1086">
        <w:r>
          <w:rPr>
            <w:color w:val="1155CC"/>
            <w:u w:val="single"/>
          </w:rPr>
          <w:t>他汀类药物诱导的脂质载体应激揭示了β-内酰胺耐药革兰氏阳性菌的保守脆弱性</w:t>
        </w:r>
      </w:hyperlink>
    </w:p>
    <w:p>
      <w:pPr>
        <w:spacing w:before="0" w:after="80"/>
      </w:pPr>
      <w:r>
        <w:rPr>
          <w:i/>
          <w:sz w:val="20"/>
        </w:rPr>
        <w:t>EN: Statin-induced lipid carrier stress reveals a conserved vulnerability in β-lactam-resistant Gram-positive bacteria</w:t>
      </w:r>
    </w:p>
    <w:p>
      <w:pPr>
        <w:spacing w:before="0" w:after="120"/>
      </w:pPr>
      <w:r>
        <w:rPr>
          <w:b/>
        </w:rPr>
        <w:t xml:space="preserve">Source: </w:t>
      </w:r>
      <w:r>
        <w:t>Biological sciences : Nature Communications subject feeds</w:t>
      </w:r>
      <w:r>
        <w:t xml:space="preserve">    </w:t>
      </w:r>
      <w:r>
        <w:rPr>
          <w:b/>
        </w:rPr>
        <w:t xml:space="preserve">Pub date: </w:t>
      </w:r>
      <w:r>
        <w:t>2026-07-20 00:00:00+00:00</w:t>
      </w:r>
    </w:p>
    <w:p>
      <w:pPr>
        <w:spacing w:before="0" w:after="120"/>
      </w:pPr>
      <w:r>
        <w:rPr>
          <w:b/>
        </w:rPr>
        <w:t xml:space="preserve">Notes: </w:t>
      </w:r>
      <w:r>
        <w:t>abstract_source=nature_html</w:t>
      </w:r>
    </w:p>
    <w:p>
      <w:pPr>
        <w:spacing w:before="0" w:after="80" w:lineRule="auto" w:line="276"/>
      </w:pPr>
      <w:r>
        <w:rPr>
          <w:b/>
        </w:rPr>
        <w:t xml:space="preserve">摘要（ZH）: </w:t>
      </w:r>
      <w:r>
        <w:t>耐甲氧西林金黄色葡萄球菌通过变构转肽酶青霉素结合蛋白 2a 抵抗 β-内酰胺抗生素，该蛋白在富含葡萄球菌黄素的膜微域内发挥作用。他汀类药物通过破坏这些微结构域并损害青霉素结合蛋白 2a 寡聚化来恢复敏感性，但抵抗这种再敏化的机制仍不清楚。在这里，我们通过在缺乏功能性葡萄球菌黄素途径的菌株中进行进化实验表明，gdpP（环二腺苷单磷酸信号传导的调节剂）的突变是在膜微区破坏期间恢复苯唑西林抗性的主要途径。这种适应被辛伐他汀阻断，揭示了一种合成的致死相互作用。从机制上讲，辛伐他汀抑制甲羟戊酸途径，耗尽必需的脂质载体磷酸十一异戊二烯酯并加剧肽聚糖前体失衡，这种效应与杆菌肽等脂质载体靶向抗生素相似。尽管补偿性突变可以恢复抵抗力，但它们会在体内造成适应性成本。重要的是，这种脆弱性延伸到了肺炎链球菌，揭示了克服革兰氏阳性病原体中β-内酰胺耐药性的保守策略。</w:t>
      </w:r>
    </w:p>
    <w:p>
      <w:pPr>
        <w:spacing w:before="0" w:after="200" w:lineRule="auto" w:line="276"/>
      </w:pPr>
      <w:r>
        <w:rPr>
          <w:b/>
        </w:rPr>
        <w:t xml:space="preserve">Abstract (EN): </w:t>
      </w:r>
      <w:r>
        <w:t>Methicillin-resistant Staphylococcus aureus resists β-lactam antibiotics through the allosteric transpeptidase penicillin-binding protein 2a, which operates within staphyloxanthin-rich membrane microdomains. Statins restore susceptibility by disrupting these microdomains and impairing penicillin-binding protein 2a oligomerization, but the mechanisms enabling resistance to this resensitization remain unclear. Here we show, using evolution experiments in strains lacking a functional staphyloxanthin pathway, that mutations in gdpP, a regulator of cyclic di-adenosine monophosphate signaling, are the predominant route for restoring oxacillin resistance during membrane microdomain disruption. This adaptation is blocked by simvastatin, revealing a synthetic lethal interaction. Mechanistically, simvastatin inhibits the mevalonate pathway, depleting the essential lipid carrier undecaprenyl phosphate and exacerbating peptidoglycan precursor imbalance, an effect phenocopied by lipid carrier–targeting antibiotics such as bacitracin. Although compensatory mutations can restore resistance, they impose a fitness cost in vivo. Importantly, this vulnerability extends to Streptococcus pneumoniae, revealing a conserved strategy to overcome β-lactam resistance in Gram-positive pathogens.</w:t>
      </w:r>
    </w:p>
    <w:p>
      <w:pPr>
        <w:spacing w:before="120" w:after="120"/>
      </w:pPr>
      <w:r>
        <w:rPr>
          <w:sz w:val="18"/>
        </w:rPr>
        <w:t>——————————————————————————————————————————————————————————————————————</w:t>
      </w:r>
    </w:p>
    <w:p>
      <w:pPr>
        <w:spacing w:before="160" w:after="40" w:line="240" w:lineRule="auto"/>
      </w:pPr>
      <w:r>
        <w:rPr>
          <w:b/>
        </w:rPr>
        <w:t xml:space="preserve">[304] </w:t>
      </w:r>
      <w:hyperlink r:id="rId1087">
        <w:r>
          <w:rPr>
            <w:color w:val="1155CC"/>
            <w:u w:val="single"/>
          </w:rPr>
          <w:t>2025年和2026年冰面积创历史新低，北极冬季海冰减少恢复</w:t>
        </w:r>
      </w:hyperlink>
    </w:p>
    <w:p>
      <w:pPr>
        <w:spacing w:before="0" w:after="80"/>
      </w:pPr>
      <w:r>
        <w:rPr>
          <w:i/>
          <w:sz w:val="20"/>
        </w:rPr>
        <w:t>EN: Record-low 2025 and 2026 ice extents restore Arctic winter sea-ice decline</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088">
        <w:r>
          <w:rPr>
            <w:color w:val="1155CC"/>
            <w:u w:val="single"/>
          </w:rPr>
          <w:t>10.1073/pnas.2614134123</w:t>
        </w:r>
      </w:hyperlink>
    </w:p>
    <w:p>
      <w:pPr>
        <w:spacing w:before="0" w:after="120"/>
      </w:pPr>
      <w:r>
        <w:rPr>
          <w:b/>
        </w:rPr>
        <w:t xml:space="preserve">Notes: </w:t>
      </w:r>
      <w:r>
        <w:t>abstract_source=crossref</w:t>
      </w:r>
    </w:p>
    <w:p>
      <w:pPr>
        <w:spacing w:before="0" w:after="80" w:lineRule="auto" w:line="276"/>
      </w:pPr>
      <w:r>
        <w:rPr>
          <w:b/>
        </w:rPr>
        <w:t xml:space="preserve">摘要（ZH）: </w:t>
      </w:r>
      <w:r>
        <w:t>最近的分析表明，北极冬季海冰范围下降的十年率在 2020 年代初期减弱，20 年趋势在统计上变得微不足道。在这里，我们根据最新的观测结果显示，2025 年和 2026 年冰范围极低的冬季扭转了这一局面，海冰范围在增长和高峰阶段恢复到历史最低水平，而 20 年下降趋势再次变得显着。对 CMIP6 模型类似物的进一步分析表明，观察到的 2025 年下降是不寻常的，但在可比的北极变暖的情况下物理上是合理的，并且与持续的冬季海冰减少比与 2020 年代初看到的值的恢复更一致。</w:t>
      </w:r>
    </w:p>
    <w:p>
      <w:pPr>
        <w:spacing w:before="0" w:after="200" w:lineRule="auto" w:line="276"/>
      </w:pPr>
      <w:r>
        <w:rPr>
          <w:b/>
        </w:rPr>
        <w:t xml:space="preserve">Abstract (EN): </w:t>
      </w:r>
      <w:r>
        <w:t>Recent analyses have suggested that the decadal rate of Arctic winter sea-ice extent decline weakened in the early 2020s, with 20-y trends becoming statistically insignificant. Here we show from more up-to-date observations that the exceptionally low 2025 and 2026 ice extent winters reversed this picture, with sea-ice extent during the growth and peak phases returning to record lows and 20-y decline trends becoming significant again. Further analysis of CMIP6 model analogues shows that the observed 2025 decline was unusual but physically plausible under comparable Arctic warming, and is more consistent with ongoing winter sea ice reduction than with a return to values seen in the early 2020s.</w:t>
      </w:r>
    </w:p>
    <w:p>
      <w:pPr>
        <w:spacing w:before="120" w:after="120"/>
      </w:pPr>
      <w:r>
        <w:rPr>
          <w:sz w:val="18"/>
        </w:rPr>
        <w:t>——————————————————————————————————————————————————————————————————————</w:t>
      </w:r>
    </w:p>
    <w:p>
      <w:pPr>
        <w:spacing w:before="160" w:after="40" w:line="240" w:lineRule="auto"/>
      </w:pPr>
      <w:r>
        <w:rPr>
          <w:b/>
        </w:rPr>
        <w:t xml:space="preserve">[305] </w:t>
      </w:r>
      <w:hyperlink r:id="rId1089">
        <w:r>
          <w:rPr>
            <w:color w:val="1155CC"/>
            <w:u w:val="single"/>
          </w:rPr>
          <w:t>通过叙述进行主动链接有助于联想推理</w:t>
        </w:r>
      </w:hyperlink>
    </w:p>
    <w:p>
      <w:pPr>
        <w:spacing w:before="0" w:after="80"/>
      </w:pPr>
      <w:r>
        <w:rPr>
          <w:i/>
          <w:sz w:val="20"/>
        </w:rPr>
        <w:t>EN: Active linking through narratives facilitates associative inference</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090">
        <w:r>
          <w:rPr>
            <w:color w:val="1155CC"/>
            <w:u w:val="single"/>
          </w:rPr>
          <w:t>10.1073/pnas.2602753123</w:t>
        </w:r>
      </w:hyperlink>
    </w:p>
    <w:p>
      <w:pPr>
        <w:spacing w:before="0" w:after="120"/>
      </w:pPr>
      <w:r>
        <w:rPr>
          <w:b/>
        </w:rPr>
        <w:t xml:space="preserve">Notes: </w:t>
      </w:r>
      <w:r>
        <w:t>abstract_source=crossref</w:t>
      </w:r>
    </w:p>
    <w:p>
      <w:pPr>
        <w:spacing w:before="0" w:after="80" w:lineRule="auto" w:line="276"/>
      </w:pPr>
      <w:r>
        <w:rPr>
          <w:b/>
        </w:rPr>
        <w:t xml:space="preserve">摘要（ZH）: </w:t>
      </w:r>
      <w:r>
        <w:t>在日常生活中，我们经常从以前的经历中得出新的联想。这种能力，即联想推理，被认为是记忆指导未来行为的关键过程。先前的研究通常指示参与者使用叙述或心理意象来帮助记忆物体关联。然而，这些研究并没有明确检验叙事的作用，留下了一个重要的问题：叙事在联想推理中有多重要，它们可能扮演什么角色？我们使用修改后的联想推理范式来回答这些问题。我们的设计在关联编码过程中结合了两个因素：叙述的使用以及两个对象的明确链接。参与者使用四组指令分别学习 ABC 三元组中的 AB 和 BC 对象对：i）生成将对象链接在一起的叙述，ii）分别生成对象的叙述，iii）比较两个对象的感知属性，以及 iv）单独描述对象的感知属性。我们测试了参与者根据编码策略推断 AC 关联的能力。在两项实验中，使用叙事主动链接对象产生了强大的联想记忆优势，这种优势在 1 天的延迟中持续存在，并且在更严格的检索条件下仍然很重要。这种好处不能归因于简单的链接效应或故事之间表面语言的相似性。后续实验表明，这种好处并没有推广到单个物体的感知记忆。相反，感知</w:t>
      </w:r>
    </w:p>
    <w:p>
      <w:pPr>
        <w:spacing w:before="0" w:after="200" w:lineRule="auto" w:line="276"/>
      </w:pPr>
      <w:r>
        <w:rPr>
          <w:b/>
        </w:rPr>
        <w:t xml:space="preserve">Abstract (EN): </w:t>
      </w:r>
      <w:r>
        <w:t>In daily life, we often draw inferences about novel associations from prior experiences. This ability, associative inference, is thought to be a key process by which memory guides future behavior. Prior studies have typically instructed participants to use narratives or mental imagery to aid memory of object associations. However, these studies have not explicitly tested the role of narratives, leaving an important question: how crucial are narratives in associative inference, and what role might they play? We used a modified associative inference paradigm to answer these questions. Our design factorially combined two factors during associative encoding: use of narratives, and explicitly linking the two objects. Participants separately learned AB and BC object pairs within ABC triads using four sets of instructions: i) generate narratives to link objects together, ii) generate narratives for objects separately, iii) compare perceptual properties of two objects, and iv) describe perceptual properties of objects individually. We tested participants’ ability to infer AC associations as a function of encoding strategy. Across two experiments, using narratives to actively link objects produced a robust associative memory advantage that persisted across 1-day delay and remained substantial under more stringent retrieval conditions. This benefit was not attributable to a simple linking effect or to surface-level linguistic similarity between stories. A follow-up experiment revealed that this benefit did not generalize to perceptual memory for individual objects; instead, perceptual encoding facilitated perceptual object memory. These results reveal that deep, extended encoding emphasizing either narrativity or perceptual processing can benefit different aspects of retrieval.</w:t>
      </w:r>
    </w:p>
    <w:p>
      <w:pPr>
        <w:spacing w:before="120" w:after="120"/>
      </w:pPr>
      <w:r>
        <w:rPr>
          <w:sz w:val="18"/>
        </w:rPr>
        <w:t>——————————————————————————————————————————————————————————————————————</w:t>
      </w:r>
    </w:p>
    <w:p>
      <w:pPr>
        <w:spacing w:before="160" w:after="40" w:line="240" w:lineRule="auto"/>
      </w:pPr>
      <w:r>
        <w:rPr>
          <w:b/>
        </w:rPr>
        <w:t xml:space="preserve">[306] </w:t>
      </w:r>
      <w:hyperlink r:id="rId1091">
        <w:r>
          <w:rPr>
            <w:color w:val="1155CC"/>
            <w:u w:val="single"/>
          </w:rPr>
          <w:t>LARP1 位于致癌 MYC 和 mTOR 信号传导的联系处</w:t>
        </w:r>
      </w:hyperlink>
    </w:p>
    <w:p>
      <w:pPr>
        <w:spacing w:before="0" w:after="80"/>
      </w:pPr>
      <w:r>
        <w:rPr>
          <w:i/>
          <w:sz w:val="20"/>
        </w:rPr>
        <w:t>EN: LARP1 at the nexus of oncogenic MYC and mTOR signaling</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092">
        <w:r>
          <w:rPr>
            <w:color w:val="1155CC"/>
            <w:u w:val="single"/>
          </w:rPr>
          <w:t>10.1073/pnas.2619021123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[307] </w:t>
      </w:r>
      <w:hyperlink r:id="rId1093">
        <w:r>
          <w:rPr>
            <w:color w:val="1155CC"/>
            <w:u w:val="single"/>
          </w:rPr>
          <w:t>将轮耕作为一种自组织的社会生态系统</w:t>
        </w:r>
      </w:hyperlink>
    </w:p>
    <w:p>
      <w:pPr>
        <w:spacing w:before="0" w:after="80"/>
      </w:pPr>
      <w:r>
        <w:rPr>
          <w:i/>
          <w:sz w:val="20"/>
        </w:rPr>
        <w:t>EN: Shifting cultivation as a self-organizing social–ecological system</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094">
        <w:r>
          <w:rPr>
            <w:color w:val="1155CC"/>
            <w:u w:val="single"/>
          </w:rPr>
          <w:t>10.1073/pnas.2619020123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[308] </w:t>
      </w:r>
      <w:hyperlink r:id="rId1095">
        <w:r>
          <w:rPr>
            <w:color w:val="1155CC"/>
            <w:u w:val="single"/>
          </w:rPr>
          <w:t>背景很重要：解释抗噬菌体表型和 DNA 嵌入剂的协同作用</w:t>
        </w:r>
      </w:hyperlink>
    </w:p>
    <w:p>
      <w:pPr>
        <w:spacing w:before="0" w:after="80"/>
      </w:pPr>
      <w:r>
        <w:rPr>
          <w:i/>
          <w:sz w:val="20"/>
        </w:rPr>
        <w:t>EN: Context matters: Interpreting antiphage phenotypes and synergies of a DNA-intercalating agent</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096">
        <w:r>
          <w:rPr>
            <w:color w:val="1155CC"/>
            <w:u w:val="single"/>
          </w:rPr>
          <w:t>10.1073/pnas.2617209123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[309] </w:t>
      </w:r>
      <w:hyperlink r:id="rId1097">
        <w:r>
          <w:rPr>
            <w:color w:val="1155CC"/>
            <w:u w:val="single"/>
          </w:rPr>
          <w:t>前进一步，后退两步：初步了解《2025-2030 年美国人膳食指南》对地球健康的影响</w:t>
        </w:r>
      </w:hyperlink>
    </w:p>
    <w:p>
      <w:pPr>
        <w:spacing w:before="0" w:after="80"/>
      </w:pPr>
      <w:r>
        <w:rPr>
          <w:i/>
          <w:sz w:val="20"/>
        </w:rPr>
        <w:t>EN: One step forward, two steps back: A first look at the planetary health implications of the 2025–2030 Dietary Guidelines for Americans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098">
        <w:r>
          <w:rPr>
            <w:color w:val="1155CC"/>
            <w:u w:val="single"/>
          </w:rPr>
          <w:t>10.1073/pnas.2617208123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[310] </w:t>
      </w:r>
      <w:hyperlink r:id="rId1099">
        <w:r>
          <w:rPr>
            <w:color w:val="1155CC"/>
            <w:u w:val="single"/>
          </w:rPr>
          <w:t>miR-146a 在 ALS 中的两面性</w:t>
        </w:r>
      </w:hyperlink>
    </w:p>
    <w:p>
      <w:pPr>
        <w:spacing w:before="0" w:after="80"/>
      </w:pPr>
      <w:r>
        <w:rPr>
          <w:i/>
          <w:sz w:val="20"/>
        </w:rPr>
        <w:t>EN: The dual face of miR-146a in ALS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00">
        <w:r>
          <w:rPr>
            <w:color w:val="1155CC"/>
            <w:u w:val="single"/>
          </w:rPr>
          <w:t>10.1073/pnas.2617170123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[311] </w:t>
      </w:r>
      <w:hyperlink r:id="rId1101">
        <w:r>
          <w:rPr>
            <w:color w:val="1155CC"/>
            <w:u w:val="single"/>
          </w:rPr>
          <w:t>少突胶质细胞前体细胞中的糖皮质激素受体调节小鼠海马网络可塑性和应激诱导的行为</w:t>
        </w:r>
      </w:hyperlink>
    </w:p>
    <w:p>
      <w:pPr>
        <w:spacing w:before="0" w:after="80"/>
      </w:pPr>
      <w:r>
        <w:rPr>
          <w:i/>
          <w:sz w:val="20"/>
        </w:rPr>
        <w:t>EN: Glucocorticoid receptors in oligodendrocyte precursor cells regulate hippocampal network plasticity and stress-induced behavior in mice</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02">
        <w:r>
          <w:rPr>
            <w:color w:val="1155CC"/>
            <w:u w:val="single"/>
          </w:rPr>
          <w:t>10.1073/pnas.2614867123</w:t>
        </w:r>
      </w:hyperlink>
    </w:p>
    <w:p>
      <w:pPr>
        <w:spacing w:before="0" w:after="120"/>
      </w:pPr>
      <w:r>
        <w:rPr>
          <w:b/>
        </w:rPr>
        <w:t xml:space="preserve">Notes: </w:t>
      </w:r>
      <w:r>
        <w:t>abstract_source=crossref</w:t>
      </w:r>
    </w:p>
    <w:p>
      <w:pPr>
        <w:spacing w:before="0" w:after="80" w:lineRule="auto" w:line="276"/>
      </w:pPr>
      <w:r>
        <w:rPr>
          <w:b/>
        </w:rPr>
        <w:t xml:space="preserve">摘要（ZH）: </w:t>
      </w:r>
      <w:r>
        <w:t>糖皮质激素受体（GR）是应激激素糖皮质激素（GC）影响出生后大脑发育和适应性可塑性的关键介质。由于 GC 信号在此期间至关重要，因此出生后 GC 浓度在大脑中受到严格调节，而循环中 GC 水平过高会扰乱发育轨迹，并增加日后患精神疾病的风险。 GR 功能影响多种神经细胞类型，但其细胞特异性作用，特别是在发育早期，仍知之甚少。少突胶质细胞前体细胞 (OPC) 产生髓鞘少突胶质细胞并主动调节神经元网络，表达 GR，因此可以对 GC 水平的波动做出反应。尽管早年逆境期间过度接触 GC 与 OPC 发育的变化有关，但 GR 信号在 OPC 内的生理作用仍不清楚。为了解决这个问题，我们有条件地删除了小鼠出生后 OPC 中的 GR，以研究生理 GC 信号传导在 OPC 增殖和成熟以及神经元网络活动和行为中的作用。这种缺失导致海马少突胶质细胞和有髓轴突密度减少、海马活动的性别特异性改变和急性挑战后的长期增强，以及成年期记忆形成的损害。我们的研究结果揭示了 GR 的 OPC 特异性作用，并表明少突胶质细胞谱系中的生理 GR 活性有助于正常的海马可塑性、学习和记忆。</w:t>
      </w:r>
    </w:p>
    <w:p>
      <w:pPr>
        <w:spacing w:before="0" w:after="200" w:lineRule="auto" w:line="276"/>
      </w:pPr>
      <w:r>
        <w:rPr>
          <w:b/>
        </w:rPr>
        <w:t xml:space="preserve">Abstract (EN): </w:t>
      </w:r>
      <w:r>
        <w:t>Glucocorticoid receptors (GRs) are key mediators of how the stress hormone glucocorticoids (GCs) shape postnatal brain development and adaptive plasticity. Because GC signaling is critical during this period, postnatal GC concentrations are tightly regulated in the brain, whereas excessive levels of circulating GCs can disrupt developmental trajectories and increase the risk of psychiatric disorders later in life. GR function influences multiple neural cell types, but its cell-specific roles, particularly early in development, remain poorly understood. Oligodendrocyte precursor cells (OPCs), which generate myelinating oligodendrocytes and actively modulate neuronal networks, express GRs and can therefore respond to fluctuations in GC levels. Although excessive GC exposure during early life adversity has been linked to changes in OPC development, the physiological role of GR signaling specifically within OPCs remains unclear. To address this, we conditionally deleted GRs in postnatal OPCs in mice to investigate the role of physiological GC signaling in OPC proliferation and maturation, as well as in neuronal network activity and behavior. This deletion resulted in reduced oligodendrocyte and myelinated axon density in the hippocampus, sex-specific alterations in hippocampal activity and long-term potentiation following acute challenge, and impairments in memory formation in adulthood. Our findings reveal an OPC-specific role for GRs and suggest that physiological GR activity in the oligodendrocyte lineage contributes to normal hippocampal plasticity, learning, and memory.</w:t>
      </w:r>
    </w:p>
    <w:p>
      <w:pPr>
        <w:spacing w:before="120" w:after="120"/>
      </w:pPr>
      <w:r>
        <w:rPr>
          <w:sz w:val="18"/>
        </w:rPr>
        <w:t>——————————————————————————————————————————————————————————————————————</w:t>
      </w:r>
    </w:p>
    <w:p>
      <w:pPr>
        <w:spacing w:before="160" w:after="40" w:line="240" w:lineRule="auto"/>
      </w:pPr>
      <w:r>
        <w:rPr>
          <w:b/>
        </w:rPr>
        <w:t xml:space="preserve">[312] </w:t>
      </w:r>
      <w:hyperlink r:id="rId1103">
        <w:r>
          <w:rPr>
            <w:color w:val="1155CC"/>
            <w:u w:val="single"/>
          </w:rPr>
          <w:t>公众对暴行的反应取决于党派和背景，而不是法律标签</w:t>
        </w:r>
      </w:hyperlink>
    </w:p>
    <w:p>
      <w:pPr>
        <w:spacing w:before="0" w:after="80"/>
      </w:pPr>
      <w:r>
        <w:rPr>
          <w:i/>
          <w:sz w:val="20"/>
        </w:rPr>
        <w:t>EN: Public responses to atrocities depend on partisanship and context, not legal labels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04">
        <w:r>
          <w:rPr>
            <w:color w:val="1155CC"/>
            <w:u w:val="single"/>
          </w:rPr>
          <w:t>10.1073/pnas.2608203123</w:t>
        </w:r>
      </w:hyperlink>
    </w:p>
    <w:p>
      <w:pPr>
        <w:spacing w:before="0" w:after="120"/>
      </w:pPr>
      <w:r>
        <w:rPr>
          <w:b/>
        </w:rPr>
        <w:t xml:space="preserve">Notes: </w:t>
      </w:r>
      <w:r>
        <w:t>abstract_source=crossref</w:t>
      </w:r>
    </w:p>
    <w:p>
      <w:pPr>
        <w:spacing w:before="0" w:after="80" w:lineRule="auto" w:line="276"/>
      </w:pPr>
      <w:r>
        <w:rPr>
          <w:b/>
        </w:rPr>
        <w:t xml:space="preserve">摘要（ZH）: </w:t>
      </w:r>
      <w:r>
        <w:t>种族灭绝和反人类罪等法律标签在精英和机构领域具有重大的法律和外交影响力，在这些领域，分类决定了条约义务、国际刑事法院管辖权以及不作为的感知风险。倡导和政策讨论中的一个常见假设是，这些标签也会影响大众的公众判断。直接证据有限且模糊。我们在预先注册的、具有全国代表性的调查实验中测试了这一假设</w:t>
      </w:r>
      <w:r>
        <w:t xml:space="preserve"> </w:t>
      </w:r>
      <w:r>
        <w:t>(</w:t>
      </w:r>
      <w:r>
        <w:t xml:space="preserve"> </w:t>
      </w:r>
      <w:r>
        <w:t>氮</w:t>
      </w:r>
      <w:r>
        <w:t xml:space="preserve"> </w:t>
      </w:r>
      <w:r>
        <w:t>=</w:t>
      </w:r>
      <w:r>
        <w:rPr>
          <w:vertAlign w:val="subscript"/>
        </w:rPr>
        <w:t>2</w:t>
      </w:r>
      <w:r>
        <w:t>,</w:t>
      </w:r>
      <w:r>
        <w:rPr>
          <w:vertAlign w:val="subscript"/>
        </w:rPr>
        <w:t>000</w:t>
      </w:r>
      <w:r>
        <w:t>）</w:t>
      </w:r>
      <w:r>
        <w:t xml:space="preserve"> </w:t>
      </w:r>
      <w:r>
        <w:t>将四个法律上突出的暴行术语——种族灭绝、战争罪、危害人类罪和种族清洗——与五种现实世界冲突背景下的非法控制进行比较，衡量对惩罚性和人道主义政策的支持以及责任的道德归属。就结果而言，估计的标签效应很小，而且很难与零区分开来。至关重要的是，即使在特定的党派和国家背景下，交换法律标签产生的变化也比党派和地缘政治背景之间的基线差距要小——这表明你的立场和你是谁比使用什么词更重要。任何与零的偏离都是狭窄的，并且不会累积成跨结果或冲突的一致模式。这些结果</w:t>
      </w:r>
    </w:p>
    <w:p>
      <w:pPr>
        <w:spacing w:before="0" w:after="200" w:lineRule="auto" w:line="276"/>
      </w:pPr>
      <w:r>
        <w:rPr>
          <w:b/>
        </w:rPr>
        <w:t xml:space="preserve">Abstract (EN): </w:t>
      </w:r>
      <w:r>
        <w:t>Legal labels such as genocide and crimes against humanity carry substantial legal and diplomatic weight in elite and institutional arenas, where classification shapes treaty obligations, ICC jurisdiction, and the perceived stakes of inaction. A common assumption in advocacy and policy discourse is that these labels also shape mass public judgment. Direct evidence is limited and ambiguous. We test this assumption in a preregistered, nationally representative survey experiment</w:t>
      </w:r>
      <w:r>
        <w:t xml:space="preserve"> </w:t>
      </w:r>
      <w:r>
        <w:t>(</w:t>
      </w:r>
      <w:r>
        <w:t xml:space="preserve"> </w:t>
      </w:r>
      <w:r>
        <w:t>N</w:t>
      </w:r>
      <w:r>
        <w:t xml:space="preserve"> </w:t>
      </w:r>
      <w:r>
        <w:t>=</w:t>
      </w:r>
      <w:r>
        <w:rPr>
          <w:vertAlign w:val="subscript"/>
        </w:rPr>
        <w:t>2</w:t>
      </w:r>
      <w:r>
        <w:t>,</w:t>
      </w:r>
      <w:r>
        <w:rPr>
          <w:vertAlign w:val="subscript"/>
        </w:rPr>
        <w:t>000</w:t>
      </w:r>
      <w:r>
        <w:t>)</w:t>
      </w:r>
      <w:r>
        <w:t xml:space="preserve"> </w:t>
      </w:r>
      <w:r>
        <w:t>comparing four legally salient atrocity terms—genocide, war crimes, crimes against humanity, and ethnic cleansing—against a nonlegal control across five real-world conflict contexts, measuring support for punitive and humanitarian policies as well as moral attributions of responsibility. Across outcomes, estimated label effects are small and rarely distinguishable from zero. Critically, even within a given partisan and country context, swapping legal labels produces smaller shifts than the baseline gaps across partisan and geopolitical contexts—indicating that where you stand and who you are matter far more than what word is used. Any departures from zero are narrow and do not accumulate into a consistent pattern across outcomes or conflicts. These results suggest that the political significance of atrocity labeling lies primarily in elite and institutional arenas; for mass publics, legal terminology is a weak lever compared to country context and partisan commitments.</w:t>
      </w:r>
    </w:p>
    <w:p>
      <w:pPr>
        <w:spacing w:before="120" w:after="120"/>
      </w:pPr>
      <w:r>
        <w:rPr>
          <w:sz w:val="18"/>
        </w:rPr>
        <w:t>——————————————————————————————————————————————————————————————————————</w:t>
      </w:r>
    </w:p>
    <w:p>
      <w:pPr>
        <w:spacing w:before="160" w:after="40" w:line="240" w:lineRule="auto"/>
      </w:pPr>
      <w:r>
        <w:rPr>
          <w:b/>
        </w:rPr>
        <w:t xml:space="preserve">[313] </w:t>
      </w:r>
      <w:hyperlink r:id="rId1105">
        <w:r>
          <w:rPr>
            <w:color w:val="1155CC"/>
            <w:u w:val="single"/>
          </w:rPr>
          <w:t>用于 L-赖氨酸衍生生物碱可编程生物合成的双重自我调节平台</w:t>
        </w:r>
      </w:hyperlink>
    </w:p>
    <w:p>
      <w:pPr>
        <w:spacing w:before="0" w:after="80"/>
      </w:pPr>
      <w:r>
        <w:rPr>
          <w:i/>
          <w:sz w:val="20"/>
        </w:rPr>
        <w:t>EN: A dual self-regulatory platform for programmable biosynthesis of L-lysine-derived alkaloids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06">
        <w:r>
          <w:rPr>
            <w:color w:val="1155CC"/>
            <w:u w:val="single"/>
          </w:rPr>
          <w:t>10.1073/pnas.2612082123</w:t>
        </w:r>
      </w:hyperlink>
    </w:p>
    <w:p>
      <w:pPr>
        <w:spacing w:before="0" w:after="120"/>
      </w:pPr>
      <w:r>
        <w:rPr>
          <w:b/>
        </w:rPr>
        <w:t xml:space="preserve">Notes: </w:t>
      </w:r>
      <w:r>
        <w:t>abstract_source=crossref</w:t>
      </w:r>
    </w:p>
    <w:p>
      <w:pPr>
        <w:spacing w:before="0" w:after="80" w:lineRule="auto" w:line="276"/>
      </w:pPr>
      <w:r>
        <w:rPr>
          <w:b/>
        </w:rPr>
        <w:t xml:space="preserve">摘要（ZH）: </w:t>
      </w:r>
      <w:r>
        <w:t>L-赖氨酸衍生的生物碱代表了一类结构多样且具有药理学意义的含氮天然产物，具有广泛的用途，可作为药剂和工业平台化学品。然而，它们的微生物生物合成一直受到前体不平衡和天然代谢途径严格调节结构的阻碍。在这里，我们报告了一个可编程生物合成平台，用于直接从葡萄糖中从头生产 L-赖氨酸衍生的生物碱。</w:t>
      </w:r>
      <w:r>
        <w:t xml:space="preserve"> </w:t>
      </w:r>
      <w:r>
        <w:t>谷氨酸棒杆菌</w:t>
      </w:r>
      <w:r>
        <w:t xml:space="preserve"> </w:t>
      </w:r>
      <w:r>
        <w:t>。通过系统的代谢重新布线，我们开发了一种高通量尸胺生产底盘，可实现下游生物碱组装所需的中心含氮前体的强劲积累。利用这个底盘，我们设计了一个双重代谢物响应调节电路，无需外部诱导剂即可自主协调丙二酸同化、丙二酰辅酶A供应和生物碱形成。这种自我调节策略使得在补料分批发酵中能够以 6.11 ± 0.06 g/L 的浓度生产小球粒碱，这是迄今为止报道的最高微生物滴度。通过选择性短链脱氢酶/还原酶催化扩展该平台，我们进一步实现了1-哌啶和ppellierine分别立体选择性转化为哌啶（8.60±0.16g/L）和sedridine（3.71±0.19g/L）——构成了任一化合物的异源微生物生产。总的来说，这项工作为 L 建立了一个多功能、可编程且工业上易于处理的平台</w:t>
      </w:r>
    </w:p>
    <w:p>
      <w:pPr>
        <w:spacing w:before="0" w:after="200" w:lineRule="auto" w:line="276"/>
      </w:pPr>
      <w:r>
        <w:rPr>
          <w:b/>
        </w:rPr>
        <w:t xml:space="preserve">Abstract (EN): </w:t>
      </w:r>
      <w:r>
        <w:t>L-lysine-derived alkaloids represent a structurally diverse and pharmacologically significant class of nitrogen-containing natural products with broad utility as pharmaceutical agents and industrial platform chemicals. However, their microbial biosynthesis has been persistently hindered by precursor imbalance and the rigid regulatory architecture of native metabolic pathways. Here, we report a programmable biosynthetic platform for the de novo production of L-lysine-derived alkaloids directly from glucose in</w:t>
      </w:r>
      <w:r>
        <w:t xml:space="preserve"> </w:t>
      </w:r>
      <w:r>
        <w:t>Corynebacterium glutamicum</w:t>
      </w:r>
      <w:r>
        <w:t xml:space="preserve"> </w:t>
      </w:r>
      <w:r>
        <w:t>. Through systematic metabolic rewiring, we developed a high-flux cadaverine-producing chassis that achieves robust accumulation of the central nitrogenous precursor required for downstream alkaloid assembly. Leveraging this chassis, we designed a dual metabolite-responsive regulatory circuit that autonomously orchestrates malonate assimilation, malonyl-CoA supply, and alkaloid formation without external inducers. This self-regulating strategy enabled the production of pelletierine at 6.11 ± 0.06 g/L in fed-batch fermentation, representing the highest reported microbial titer to date. Extending this platform through selective short-chain dehydrogenase/reductase catalysis, we further achieved the stereoselective conversion of 1-piperideine and pelletierine into piperidine (8.60 ± 0.16 g/L) and sedridine (3.71 ± 0.19 g/L), respectively—constituting a heterologous microbial production of either compound. Collectively, this work establishes a versatile, programmable, and industrially tractable platform for L-lysine-derived alkaloid biosynthesis, providing a compelling foundation for the sustainable microbial production of diverse alkaloid intermediates and drug leads.</w:t>
      </w:r>
    </w:p>
    <w:p>
      <w:pPr>
        <w:spacing w:before="120" w:after="120"/>
      </w:pPr>
      <w:r>
        <w:rPr>
          <w:sz w:val="18"/>
        </w:rPr>
        <w:t>——————————————————————————————————————————————————————————————————————</w:t>
      </w:r>
    </w:p>
    <w:p>
      <w:pPr>
        <w:spacing w:before="160" w:after="40" w:line="240" w:lineRule="auto"/>
      </w:pPr>
      <w:r>
        <w:rPr>
          <w:b/>
        </w:rPr>
        <w:t xml:space="preserve">[314] </w:t>
      </w:r>
      <w:hyperlink r:id="rId1107">
        <w:r>
          <w:rPr>
            <w:color w:val="1155CC"/>
            <w:u w:val="single"/>
          </w:rPr>
          <w:t>厌氧纤毛虫通过三方共养的趋磁性</w:t>
        </w:r>
      </w:hyperlink>
    </w:p>
    <w:p>
      <w:pPr>
        <w:spacing w:before="0" w:after="80"/>
      </w:pPr>
      <w:r>
        <w:rPr>
          <w:i/>
          <w:sz w:val="20"/>
        </w:rPr>
        <w:t>EN: Magnetotaxis in an anaerobic ciliate via tripartite syntrophy</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08">
        <w:r>
          <w:rPr>
            <w:color w:val="1155CC"/>
            <w:u w:val="single"/>
          </w:rPr>
          <w:t>10.1073/pnas.2609513123</w:t>
        </w:r>
      </w:hyperlink>
    </w:p>
    <w:p>
      <w:pPr>
        <w:spacing w:before="0" w:after="120"/>
      </w:pPr>
      <w:r>
        <w:rPr>
          <w:b/>
        </w:rPr>
        <w:t xml:space="preserve">Notes: </w:t>
      </w:r>
      <w:r>
        <w:t>abstract_source=crossref</w:t>
      </w:r>
    </w:p>
    <w:p>
      <w:pPr>
        <w:spacing w:before="0" w:after="80" w:lineRule="auto" w:line="276"/>
      </w:pPr>
      <w:r>
        <w:rPr>
          <w:b/>
        </w:rPr>
        <w:t xml:space="preserve">摘要（ZH）: </w:t>
      </w:r>
      <w:r>
        <w:t>细菌的趋磁性已经独立进化了多次，纳米晶磁体的基因控制生物矿化导致细菌沿着地球磁场线游泳。与趋磁细菌（MTB）相比，趋磁性作为真核生物特征的进化机制仍然知之甚少。在这里，我们报告了一种趋磁纤毛虫，</w:t>
      </w:r>
      <w:r>
        <w:t xml:space="preserve"> </w:t>
      </w:r>
      <w:r>
        <w:t>趋磁热带鱼</w:t>
      </w:r>
      <w:r>
        <w:t xml:space="preserve"> </w:t>
      </w:r>
      <w:r>
        <w:t>sp。 11 月，通过共养获得趋磁性。</w:t>
      </w:r>
      <w:r>
        <w:t xml:space="preserve"> </w:t>
      </w:r>
      <w:r>
        <w:t>趋磁线虫</w:t>
      </w:r>
      <w:r>
        <w:t xml:space="preserve"> </w:t>
      </w:r>
      <w:r>
        <w:t>由于内部亚铁磁性磁铁矿（Fe</w:t>
      </w:r>
      <w:r>
        <w:rPr>
          <w:vertAlign w:val="subscript"/>
        </w:rPr>
        <w:t>3</w:t>
      </w:r>
      <w:r>
        <w:t>氧</w:t>
      </w:r>
      <w:r>
        <w:rPr>
          <w:vertAlign w:val="subscript"/>
        </w:rPr>
        <w:t>4</w:t>
      </w:r>
      <w:r>
        <w:t>）纳米颗粒形成椭圆形“项链形”平行链。电子显微镜揭示</w:t>
      </w:r>
      <w:r>
        <w:t xml:space="preserve"> </w:t>
      </w:r>
      <w:r>
        <w:t>趋磁线虫</w:t>
      </w:r>
      <w:r>
        <w:t xml:space="preserve"> </w:t>
      </w:r>
      <w:r>
        <w:t>寄生着许多含有这些磁小体链的内部杆状细菌。与此一致的是，MTB（Thermodesulfobacteriota）的基因组群体在磁力分选中</w:t>
      </w:r>
      <w:r>
        <w:t xml:space="preserve"> </w:t>
      </w:r>
      <w:r>
        <w:t>趋磁线虫</w:t>
      </w:r>
      <w:r>
        <w:t xml:space="preserve"> </w:t>
      </w:r>
      <w:r>
        <w:t>发现细胞编码并表达负责磁小体 Fe 的磁小体基因簇</w:t>
      </w:r>
      <w:r>
        <w:rPr>
          <w:vertAlign w:val="subscript"/>
        </w:rPr>
        <w:t>3</w:t>
      </w:r>
      <w:r>
        <w:t>氧</w:t>
      </w:r>
      <w:r>
        <w:rPr>
          <w:vertAlign w:val="subscript"/>
        </w:rPr>
        <w:t>4</w:t>
      </w:r>
      <w:r>
        <w:t>生物矿化与外共生体的生物矿化密切相关“</w:t>
      </w:r>
      <w:r>
        <w:t xml:space="preserve"> </w:t>
      </w:r>
      <w:r>
        <w:t>候选人</w:t>
      </w:r>
      <w:r>
        <w:t xml:space="preserve"> </w:t>
      </w:r>
      <w:r>
        <w:t>脱硫剂表磁。”</w:t>
      </w:r>
      <w:r>
        <w:t xml:space="preserve"> </w:t>
      </w:r>
      <w:r>
        <w:t>趋磁线虫</w:t>
      </w:r>
      <w:r>
        <w:t xml:space="preserve"> </w:t>
      </w:r>
      <w:r>
        <w:t>还容纳了与内共生甲烷相关的第二个基因组群体</w:t>
      </w:r>
    </w:p>
    <w:p>
      <w:pPr>
        <w:spacing w:before="0" w:after="200" w:lineRule="auto" w:line="276"/>
      </w:pPr>
      <w:r>
        <w:rPr>
          <w:b/>
        </w:rPr>
        <w:t xml:space="preserve">Abstract (EN): </w:t>
      </w:r>
      <w:r>
        <w:t>Magnetotaxis has evolved independently numerous times in bacteria, whereby genetically controlled biomineralization of nano-crystalline magnets results in swimming along Earth’s magnetic field lines. Compared to magnetotactic bacteria (MTB), evolutionary mechanisms of magnetotaxis as a trait in eukaryotes remain poorly understood. Here, we report a magnetotactic ciliate,</w:t>
      </w:r>
      <w:r>
        <w:t xml:space="preserve"> </w:t>
      </w:r>
      <w:r>
        <w:t>Tropidoatractus magnetotacticus</w:t>
      </w:r>
      <w:r>
        <w:t xml:space="preserve"> </w:t>
      </w:r>
      <w:r>
        <w:t>sp. nov., that acquires magnetotaxis via syntrophy.</w:t>
      </w:r>
      <w:r>
        <w:t xml:space="preserve"> </w:t>
      </w:r>
      <w:r>
        <w:t>T. magnetotacticus</w:t>
      </w:r>
      <w:r>
        <w:t xml:space="preserve"> </w:t>
      </w:r>
      <w:r>
        <w:t>exhibits magnetotaxis due to the magnetic moment of internal ferrimagnetic magnetite (Fe</w:t>
      </w:r>
      <w:r>
        <w:rPr>
          <w:vertAlign w:val="subscript"/>
        </w:rPr>
        <w:t>3</w:t>
      </w:r>
      <w:r>
        <w:t>O</w:t>
      </w:r>
      <w:r>
        <w:rPr>
          <w:vertAlign w:val="subscript"/>
        </w:rPr>
        <w:t>4</w:t>
      </w:r>
      <w:r>
        <w:t>) nanoparticles forming ellipsoidal “necklace-shaped” parallel chains. Electron microscopy revealed</w:t>
      </w:r>
      <w:r>
        <w:t xml:space="preserve"> </w:t>
      </w:r>
      <w:r>
        <w:t>T. magnetotacticus</w:t>
      </w:r>
      <w:r>
        <w:t xml:space="preserve"> </w:t>
      </w:r>
      <w:r>
        <w:t>hosts numerous internal rod-shaped bacteria containing these magnetosome chains. Consistent with this, a genomic population of MTB (Thermodesulfobacteriota) in magnetically sorted</w:t>
      </w:r>
      <w:r>
        <w:t xml:space="preserve"> </w:t>
      </w:r>
      <w:r>
        <w:t>T. magnetotacticus</w:t>
      </w:r>
      <w:r>
        <w:t xml:space="preserve"> </w:t>
      </w:r>
      <w:r>
        <w:t>cells was found that encoded and expressed a magnetosome gene cluster responsible for magnetosome Fe</w:t>
      </w:r>
      <w:r>
        <w:rPr>
          <w:vertAlign w:val="subscript"/>
        </w:rPr>
        <w:t>3</w:t>
      </w:r>
      <w:r>
        <w:t>O</w:t>
      </w:r>
      <w:r>
        <w:rPr>
          <w:vertAlign w:val="subscript"/>
        </w:rPr>
        <w:t>4</w:t>
      </w:r>
      <w:r>
        <w:t>biomineralization closely related to that of the ectosymbiont “</w:t>
      </w:r>
      <w:r>
        <w:t xml:space="preserve"> </w:t>
      </w:r>
      <w:r>
        <w:t>Candidatus</w:t>
      </w:r>
      <w:r>
        <w:t xml:space="preserve"> </w:t>
      </w:r>
      <w:r>
        <w:t>Desulfarcum epimagneticum.”</w:t>
      </w:r>
      <w:r>
        <w:t xml:space="preserve"> </w:t>
      </w:r>
      <w:r>
        <w:t>T. magnetotacticus</w:t>
      </w:r>
      <w:r>
        <w:t xml:space="preserve"> </w:t>
      </w:r>
      <w:r>
        <w:t>also housed a second genomic population affiliated with the endosymbiotic methanogen</w:t>
      </w:r>
      <w:r>
        <w:t xml:space="preserve"> </w:t>
      </w:r>
      <w:r>
        <w:t>Methanoregula</w:t>
      </w:r>
      <w:r>
        <w:t xml:space="preserve"> </w:t>
      </w:r>
      <w:r>
        <w:t>. Metatranscriptomes of sorted</w:t>
      </w:r>
      <w:r>
        <w:t xml:space="preserve"> </w:t>
      </w:r>
      <w:r>
        <w:t>T. magnetotacticus</w:t>
      </w:r>
      <w:r>
        <w:t xml:space="preserve"> </w:t>
      </w:r>
      <w:r>
        <w:t>cells show eukaryotic hydrogenosomal Fe-hydrogenase gene expression, and expression of genes encoding proteins in an electron transport chain indicative of H</w:t>
      </w:r>
      <w:r>
        <w:rPr>
          <w:vertAlign w:val="subscript"/>
        </w:rPr>
        <w:t>2</w:t>
      </w:r>
      <w:r>
        <w:t>-producing mitochondria-related organelles. Active gene expression of energy metabolism pathways indicates a tripartite syntrophic network whereby anaerobic fermentation products from</w:t>
      </w:r>
      <w:r>
        <w:t xml:space="preserve"> </w:t>
      </w:r>
      <w:r>
        <w:t>T. magnetotacticus</w:t>
      </w:r>
      <w:r>
        <w:t xml:space="preserve"> </w:t>
      </w:r>
      <w:r>
        <w:t>are consumed by two syntrophic partners: MTB producing the magnetosome chains and hydrogenotrophic methanogens. Our findings show how magnetotaxis can emerge as a trait in eukaryotes via syntrophic cooperation.</w:t>
      </w:r>
    </w:p>
    <w:p>
      <w:pPr>
        <w:spacing w:before="120" w:after="120"/>
      </w:pPr>
      <w:r>
        <w:rPr>
          <w:sz w:val="18"/>
        </w:rPr>
        <w:t>——————————————————————————————————————————————————————————————————————</w:t>
      </w:r>
    </w:p>
    <w:p>
      <w:pPr>
        <w:spacing w:before="160" w:after="40" w:line="240" w:lineRule="auto"/>
      </w:pPr>
      <w:r>
        <w:rPr>
          <w:b/>
        </w:rPr>
        <w:t xml:space="preserve">[315] </w:t>
      </w:r>
      <w:hyperlink r:id="rId1109">
        <w:r>
          <w:rPr>
            <w:color w:val="1155CC"/>
            <w:u w:val="single"/>
          </w:rPr>
          <w:t>对 Patel 的修正，Hodge 束的简单性</w:t>
        </w:r>
      </w:hyperlink>
    </w:p>
    <w:p>
      <w:pPr>
        <w:spacing w:before="0" w:after="80"/>
      </w:pPr>
      <w:r>
        <w:rPr>
          <w:i/>
          <w:sz w:val="20"/>
        </w:rPr>
        <w:t>EN: Correction for Patel, The simplicity of the Hodge bundle</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10">
        <w:r>
          <w:rPr>
            <w:color w:val="1155CC"/>
            <w:u w:val="single"/>
          </w:rPr>
          <w:t>10.1073/pnas.2619944123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[316] </w:t>
      </w:r>
      <w:hyperlink r:id="rId1111">
        <w:r>
          <w:rPr>
            <w:color w:val="1155CC"/>
            <w:u w:val="single"/>
          </w:rPr>
          <w:t>修正 Fassl 等人，细胞周期蛋白 D-CDK4/6 对免疫 CD155–CD226–TIGIT 轴的调节</w:t>
        </w:r>
      </w:hyperlink>
    </w:p>
    <w:p>
      <w:pPr>
        <w:spacing w:before="0" w:after="80"/>
      </w:pPr>
      <w:r>
        <w:rPr>
          <w:i/>
          <w:sz w:val="20"/>
        </w:rPr>
        <w:t>EN: Correction for Fassl et al., Regulation of the immune CD155–CD226–TIGIT axis by cyclin D-CDK4/6</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12">
        <w:r>
          <w:rPr>
            <w:color w:val="1155CC"/>
            <w:u w:val="single"/>
          </w:rPr>
          <w:t>10.1073/pnas.2623204123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[317] </w:t>
      </w:r>
      <w:hyperlink r:id="rId1113">
        <w:r>
          <w:rPr>
            <w:color w:val="1155CC"/>
            <w:u w:val="single"/>
          </w:rPr>
          <w:t>边界：法律与人工智能</w:t>
        </w:r>
      </w:hyperlink>
    </w:p>
    <w:p>
      <w:pPr>
        <w:spacing w:before="0" w:after="80"/>
      </w:pPr>
      <w:r>
        <w:rPr>
          <w:i/>
          <w:sz w:val="20"/>
        </w:rPr>
        <w:t>EN: At the boundary: Law and AI</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14">
        <w:r>
          <w:rPr>
            <w:color w:val="1155CC"/>
            <w:u w:val="single"/>
          </w:rPr>
          <w:t>10.1073/pnas.2606704123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[318] </w:t>
      </w:r>
      <w:hyperlink r:id="rId1115">
        <w:r>
          <w:rPr>
            <w:color w:val="1155CC"/>
            <w:u w:val="single"/>
          </w:rPr>
          <w:t>回声定位蝙蝠在高速觅食期间牺牲双耳定位线索以实现目标聚焦听力</w:t>
        </w:r>
      </w:hyperlink>
    </w:p>
    <w:p>
      <w:pPr>
        <w:spacing w:before="0" w:after="80"/>
      </w:pPr>
      <w:r>
        <w:rPr>
          <w:i/>
          <w:sz w:val="20"/>
        </w:rPr>
        <w:t>EN: Echolocating bats sacrifice binaural localization cues for target-focused hearing during high-speed foraging</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16">
        <w:r>
          <w:rPr>
            <w:color w:val="1155CC"/>
            <w:u w:val="single"/>
          </w:rPr>
          <w:t>10.1073/pnas.2605701123</w:t>
        </w:r>
      </w:hyperlink>
    </w:p>
    <w:p>
      <w:pPr>
        <w:spacing w:before="0" w:after="120"/>
      </w:pPr>
      <w:r>
        <w:rPr>
          <w:b/>
        </w:rPr>
        <w:t xml:space="preserve">Notes: </w:t>
      </w:r>
      <w:r>
        <w:t>abstract_source=crossref</w:t>
      </w:r>
    </w:p>
    <w:p>
      <w:pPr>
        <w:spacing w:before="0" w:after="80" w:lineRule="auto" w:line="276"/>
      </w:pPr>
      <w:r>
        <w:rPr>
          <w:b/>
        </w:rPr>
        <w:t xml:space="preserve">摘要（ZH）: </w:t>
      </w:r>
      <w:r>
        <w:t>准确的声音定位对于回声定位动物的导航和觅食至关重要。在被动聆听和主动回声定位过程中，蝙蝠被认为仅依赖两耳之间的耳间电平差（ILD），通过将外耳分开来获得非常大的ILD。然而，在高速觅食期间检测微弱的猎物回波应该有利于以目标为中心的耳廓，从而最大化声纳范围并减少杂波干扰。因此，我们建议飞行蝙蝠将其耳廓朝向猎物。我们使用独特的风洞并采用深度学习促进的高速立体摄影测量来测试这一假设，并表明自由飞行的蝙蝠确实将其耳廓向前定向，直接瞄准目标。这会在每只耳朵的接收波束之间产生较大的空间重叠，从而显着减少 ILD，并驳斥了蝙蝠在飞行中仅依赖 ILD 进行定位的假设。相反，蝙蝠通过协调排列发射和接收的声纳束来实现高度定向的声场，从而放大中心声轴并减弱离轴回声。与视觉目标跟踪并行，飞行蝙蝠可能会优先考虑信噪比，用大型 ILD 来换取杂波过滤和声纳范围，这使它们能够使用非常微弱的回声并简化其自身生成的听觉场景。我们假设，在没有大 ILD 的情况下，这种高度定向的声学视野有助于定位，可能与耳间时间差相结合。这设想了一个本质上</w:t>
      </w:r>
    </w:p>
    <w:p>
      <w:pPr>
        <w:spacing w:before="0" w:after="200" w:lineRule="auto" w:line="276"/>
      </w:pPr>
      <w:r>
        <w:rPr>
          <w:b/>
        </w:rPr>
        <w:t xml:space="preserve">Abstract (EN): </w:t>
      </w:r>
      <w:r>
        <w:t>Accurate sound localization is critical to navigation and foraging in echolocating animals. During both passive listening and active echolocation, bats are thought to rely solely on interaural level differences (ILDs) between the two ears, attaining very large ILDs by orienting their outer ears apart. However, detecting weak prey echoes during high-speed foraging should instead favor target-focused pinnae that maximize sonar range and reduce clutter interference. Therefore, we propose that flying bats orient their pinnae toward prey. We test this hypothesis using a unique wind tunnel and by employing deep-learning-facilitated high-speed stereo photogrammetry and show that freely flying bats indeed orient their pinnae forward, directly on target. This produces large spatial overlap between each ear’s receiving beams, markedly reducing ILDs, and rejects the hypothesis that bats rely solely on ILDs for localization in flight. Instead, bats achieve a highly directional acoustic field of view through coordinated alignment of the emitted and received sonar beams, which amplifies the central acoustic axis and attenuates off-axis echoes. Parallel to visual object tracking, flying bats likely prioritize signal-to-noise ratio, trading off large ILDs for clutter-filtering and sonar range, which allows them to use very weak echoes and simplify their self-generated auditory scene. We hypothesize that this highly directional acoustic field of view aids in localization, potentially in combination with interaural time differences, in the absence of large ILDs. This envisions an inherently simplified acoustic scene that better accounts for how bats hunt efficiently in complex environments.</w:t>
      </w:r>
    </w:p>
    <w:p>
      <w:pPr>
        <w:spacing w:before="120" w:after="120"/>
      </w:pPr>
      <w:r>
        <w:rPr>
          <w:sz w:val="18"/>
        </w:rPr>
        <w:t>——————————————————————————————————————————————————————————————————————</w:t>
      </w:r>
    </w:p>
    <w:p>
      <w:pPr>
        <w:spacing w:before="160" w:after="40" w:line="240" w:lineRule="auto"/>
      </w:pPr>
      <w:r>
        <w:rPr>
          <w:b/>
        </w:rPr>
        <w:t xml:space="preserve">[319] </w:t>
      </w:r>
      <w:hyperlink r:id="rId1117">
        <w:r>
          <w:rPr>
            <w:color w:val="1155CC"/>
            <w:u w:val="single"/>
          </w:rPr>
          <w:t>鉴定在利什曼原虫寄生虫-昆虫载体粘附中起重要作用的保守基因家族</w:t>
        </w:r>
      </w:hyperlink>
    </w:p>
    <w:p>
      <w:pPr>
        <w:spacing w:before="0" w:after="80"/>
      </w:pPr>
      <w:r>
        <w:rPr>
          <w:i/>
          <w:sz w:val="20"/>
        </w:rPr>
        <w:t>EN: Identification of a conserved gene family with an essential role in Leishmania parasite–insect vector adhesion</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18">
        <w:r>
          <w:rPr>
            <w:color w:val="1155CC"/>
            <w:u w:val="single"/>
          </w:rPr>
          <w:t>10.1073/pnas.2603653123</w:t>
        </w:r>
      </w:hyperlink>
    </w:p>
    <w:p>
      <w:pPr>
        <w:spacing w:before="0" w:after="120"/>
      </w:pPr>
      <w:r>
        <w:rPr>
          <w:b/>
        </w:rPr>
        <w:t xml:space="preserve">Notes: </w:t>
      </w:r>
      <w:r>
        <w:t>abstract_source=crossref</w:t>
      </w:r>
    </w:p>
    <w:p>
      <w:pPr>
        <w:spacing w:before="0" w:after="80" w:lineRule="auto" w:line="276"/>
      </w:pPr>
      <w:r>
        <w:rPr>
          <w:b/>
        </w:rPr>
        <w:t xml:space="preserve">摘要（ZH）: </w:t>
      </w:r>
      <w:r>
        <w:t>病原体利用对组织和表面的粘附来避免清除、维持感染并促进传播。一个重要的例子是</w:t>
      </w:r>
      <w:r>
        <w:t xml:space="preserve"> </w:t>
      </w:r>
      <w:r>
        <w:t>利什曼原虫</w:t>
      </w:r>
      <w:r>
        <w:t xml:space="preserve"> </w:t>
      </w:r>
      <w:r>
        <w:t>寄生在其昆虫载体白蛉的口瓣上，白蛉对生命周期的进展很重要，并通过细胞骨架粘附复合物通过其鞭毛发生。虽然已知三种必需的动质体-昆虫粘附蛋白（KIAP），但粘附复合物的整体蛋白质组尚不清楚。使用 TurboID 标记的 KIAP3 结合蛋白质组学和光学显微镜，我们鉴定了与粘附鞭毛相关的其他蛋白质，包括粘附相关 NTP 酶样结构域 (ARND) 家族的多个成员，其中典型成员是 KIAP4，如下所述。 ARND 家族的系统发育分析表明它在动质体中是保守的，我们证明</w:t>
      </w:r>
      <w:r>
        <w:t xml:space="preserve"> </w:t>
      </w:r>
      <w:r>
        <w:t>刚果锥虫</w:t>
      </w:r>
      <w:r>
        <w:t xml:space="preserve"> </w:t>
      </w:r>
      <w:r>
        <w:t>旁系同源物定位于该寄生虫的粘附鞭毛。 KIAP4 的缺失严重损害了结合单胞菌的粘附，突变的寄生虫无法在白蛉食道瓣上定植。我们的工作提供了载体定植所必需的分子机制的细节，并表明这些蛋白质在其他动质体寄生虫中具有保守的功能。</w:t>
      </w:r>
    </w:p>
    <w:p>
      <w:pPr>
        <w:spacing w:before="0" w:after="200" w:lineRule="auto" w:line="276"/>
      </w:pPr>
      <w:r>
        <w:rPr>
          <w:b/>
        </w:rPr>
        <w:t xml:space="preserve">Abstract (EN): </w:t>
      </w:r>
      <w:r>
        <w:t>Adhesion to tissues and surfaces is used by pathogens to avoid clearance, maintain infections, and facilitate transmission. An important example is the adhesion of the</w:t>
      </w:r>
      <w:r>
        <w:t xml:space="preserve"> </w:t>
      </w:r>
      <w:r>
        <w:t>Leishmania</w:t>
      </w:r>
      <w:r>
        <w:t xml:space="preserve"> </w:t>
      </w:r>
      <w:r>
        <w:t>parasite to the stomodeal valve of its insect vector, the sand fly, which is important for life cycle progression, and occurs through its flagellum via a cytoskeletal adhesion complex. While three essential kinetoplastid-insect adhesion proteins (KIAPs) are known, the overall proteome of the adhesion complex is obscure. Using TurboID-tagged KIAP3 combined with proteomics and light microscopy, we have identified additional proteins associated with the adhered flagellum, including multiple members of the Adhesion Related NTPase-like Domain (ARND) family, of which the canonical member is KIAP4, described here. Phylogenetic analysis of the ARND family showed it is conserved across the kinetoplastids, and we demonstrate that</w:t>
      </w:r>
      <w:r>
        <w:t xml:space="preserve"> </w:t>
      </w:r>
      <w:r>
        <w:t>Trypanosoma congolense</w:t>
      </w:r>
      <w:r>
        <w:t xml:space="preserve"> </w:t>
      </w:r>
      <w:r>
        <w:t>paralogs localize to the adhered flagellum in that parasite. Deletion of KIAP4 severely impaired haptomonad adhesion, with the mutant parasites unable to colonize the sand fly stomodeal valve. Our work provides details of the molecular machinery essential for vector colonization and shows that these proteins have a conserved function in other kinetoplastid parasites.</w:t>
      </w:r>
    </w:p>
    <w:p>
      <w:pPr>
        <w:spacing w:before="120" w:after="120"/>
      </w:pPr>
      <w:r>
        <w:rPr>
          <w:sz w:val="18"/>
        </w:rPr>
        <w:t>——————————————————————————————————————————————————————————————————————</w:t>
      </w:r>
    </w:p>
    <w:p>
      <w:pPr>
        <w:spacing w:before="160" w:after="40" w:line="240" w:lineRule="auto"/>
      </w:pPr>
      <w:r>
        <w:rPr>
          <w:b/>
        </w:rPr>
        <w:t xml:space="preserve">[320] </w:t>
      </w:r>
      <w:hyperlink r:id="rId1119">
        <w:r>
          <w:rPr>
            <w:color w:val="1155CC"/>
            <w:u w:val="single"/>
          </w:rPr>
          <w:t>胍促进沙漠蓝藻的快速复活</w:t>
        </w:r>
      </w:hyperlink>
    </w:p>
    <w:p>
      <w:pPr>
        <w:spacing w:before="0" w:after="80"/>
      </w:pPr>
      <w:r>
        <w:rPr>
          <w:i/>
          <w:sz w:val="20"/>
        </w:rPr>
        <w:t>EN: Guanidine fuels rapid resurrection of desert cyanobacteria</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20">
        <w:r>
          <w:rPr>
            <w:color w:val="1155CC"/>
            <w:u w:val="single"/>
          </w:rPr>
          <w:t>10.1073/pnas.2608771123</w:t>
        </w:r>
      </w:hyperlink>
    </w:p>
    <w:p>
      <w:pPr>
        <w:spacing w:before="0" w:after="120"/>
      </w:pPr>
      <w:r>
        <w:rPr>
          <w:b/>
        </w:rPr>
        <w:t xml:space="preserve">Notes: </w:t>
      </w:r>
      <w:r>
        <w:t>abstract_source=crossref</w:t>
      </w:r>
    </w:p>
    <w:p>
      <w:pPr>
        <w:spacing w:before="0" w:after="80" w:lineRule="auto" w:line="276"/>
      </w:pPr>
      <w:r>
        <w:rPr>
          <w:b/>
        </w:rPr>
        <w:t xml:space="preserve">摘要（ZH）: </w:t>
      </w:r>
      <w:r>
        <w:t>在沙漠生态系统中，微生物活动由短暂的水合脉冲驱动，但受到持续营养缺乏的严重限制。蓝藻是重要的光自养生物先锋，维持这些干旱地区的生物地球化学循环和生态系统稳定性。然而，它们在再水化后快速重新激活的能力受到氮可用性的严重限制。虽然后期可以通过生物固氮来满足氮需求，但由于能量成本高和固氮酶激活延迟，在早期补液过程中，生物固氮是无效且无关紧要的，造成了关键的代谢瓶颈。在这里我们证明沙漠蓝藻</w:t>
      </w:r>
      <w:r>
        <w:t xml:space="preserve"> </w:t>
      </w:r>
      <w:r>
        <w:t>发菜</w:t>
      </w:r>
      <w:r>
        <w:t xml:space="preserve"> </w:t>
      </w:r>
      <w:r>
        <w:t>通过激活以前被忽视的胍羧化酶途径克服了这一限制，该途径在再水合时维持内部氮储备的快速再动员。使用荧光素酶报告系统的转录分析表明，途径活性与水合和氮状态紧密相关。胍特异性核糖开关的破坏消除了胍羧化酶途径的诱导，强调了其在干燥恢复中的重要作用。此外，比较基因组学揭示，编码该途径的基因及其同源核糖开关在陆地蓝细菌中广泛存在。系统发育分析表明它们是通过非光合细菌的水平基因转移获得的。我们的研究结果确立了胍在沙漠生态系统中的生态作用</w:t>
      </w:r>
    </w:p>
    <w:p>
      <w:pPr>
        <w:spacing w:before="0" w:after="200" w:lineRule="auto" w:line="276"/>
      </w:pPr>
      <w:r>
        <w:rPr>
          <w:b/>
        </w:rPr>
        <w:t xml:space="preserve">Abstract (EN): </w:t>
      </w:r>
      <w:r>
        <w:t>In desert ecosystems, microbial activity is driven by brief hydration pulses but is severely limited by persistent nutrient scarcity. Cyanobacteria serve as essential pioneer photoautotrophs, maintaining biogeochemical cycles and ecosystem stability in these arid landscapes. However, their ability to quickly reactivate after rehydration is critically restricted by nitrogen availability. Although the nitrogen demand can be met later by biological nitrogen fixation, it is ineffective and irrelevant during early rehydration due to the high energy costs and delayed activation of nitrogenase, creating a critical metabolic bottleneck. Here we demonstrate that the desert cyanobacterium</w:t>
      </w:r>
      <w:r>
        <w:t xml:space="preserve"> </w:t>
      </w:r>
      <w:r>
        <w:t>Nostoc flagelliforme</w:t>
      </w:r>
      <w:r>
        <w:t xml:space="preserve"> </w:t>
      </w:r>
      <w:r>
        <w:t>overcomes this limitation by activating a previously overlooked guanidine carboxylase pathway, which sustains the rapid remobilization of internal nitrogen reserves upon rehydration. Transcriptional analysis using a luciferase reporter system reveals that pathway activity is tightly coupled to both hydration and nitrogen status. Disruption of the guanidine-specific riboswitch abolishes induction of the guanidine carboxylase pathway, underscoring its essential role in recovery from desiccation. Furthermore, comparative genomics reveals that the genes encoding this pathway, along with its cognate riboswitch, are widespread among terrestrial cyanobacteria. Phylogenetic analysis indicates they were acquired via horizontal gene transfer from nonphotosynthetic bacteria. Our findings establish an ecological role for guanidine in desert ecosystems and uncover a conserved mechanism that aids cyanobacterial resilience in xeric environments.</w:t>
      </w:r>
    </w:p>
    <w:p>
      <w:pPr>
        <w:spacing w:before="120" w:after="120"/>
      </w:pPr>
      <w:r>
        <w:rPr>
          <w:sz w:val="18"/>
        </w:rPr>
        <w:t>——————————————————————————————————————————————————————————————————————</w:t>
      </w:r>
    </w:p>
    <w:p>
      <w:pPr>
        <w:spacing w:before="160" w:after="40" w:line="240" w:lineRule="auto"/>
      </w:pPr>
      <w:r>
        <w:rPr>
          <w:b/>
        </w:rPr>
        <w:t xml:space="preserve">[321] </w:t>
      </w:r>
      <w:hyperlink r:id="rId1121">
        <w:r>
          <w:rPr>
            <w:color w:val="1155CC"/>
            <w:u w:val="single"/>
          </w:rPr>
          <w:t>不同分子机制的协同作用导致疟疾媒介冈比亚按蚊具有惊人的杀虫剂抗药性</w:t>
        </w:r>
      </w:hyperlink>
    </w:p>
    <w:p>
      <w:pPr>
        <w:spacing w:before="0" w:after="80"/>
      </w:pPr>
      <w:r>
        <w:rPr>
          <w:i/>
          <w:sz w:val="20"/>
        </w:rPr>
        <w:t>EN: Synergistic action of different molecular mechanisms causes striking levels of insecticide resistance in the malaria vector Anopheles gambiae</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22">
        <w:r>
          <w:rPr>
            <w:color w:val="1155CC"/>
            <w:u w:val="single"/>
          </w:rPr>
          <w:t>10.1073/pnas.2604812123</w:t>
        </w:r>
      </w:hyperlink>
    </w:p>
    <w:p>
      <w:pPr>
        <w:spacing w:before="0" w:after="120"/>
      </w:pPr>
      <w:r>
        <w:rPr>
          <w:b/>
        </w:rPr>
        <w:t xml:space="preserve">Notes: </w:t>
      </w:r>
      <w:r>
        <w:t>abstract_source=crossref</w:t>
      </w:r>
    </w:p>
    <w:p>
      <w:pPr>
        <w:spacing w:before="0" w:after="80" w:lineRule="auto" w:line="276"/>
      </w:pPr>
      <w:r>
        <w:rPr>
          <w:b/>
        </w:rPr>
        <w:t xml:space="preserve">摘要（ZH）: </w:t>
      </w:r>
      <w:r>
        <w:t>疟疾媒介中杀虫剂耐药性的增强</w:t>
      </w:r>
      <w:r>
        <w:t xml:space="preserve"> </w:t>
      </w:r>
      <w:r>
        <w:t>冈比亚按蚊</w:t>
      </w:r>
      <w:r>
        <w:t xml:space="preserve"> </w:t>
      </w:r>
      <w:r>
        <w:t>对非洲过去几十年在减少疟疾死亡方面取得的进展构成严重威胁。杀虫剂抗性的遗传基础通常很复杂，涉及多个基因和突变。然而，我们仍然缺乏对每种机制如何导致总体耐药性以及高耐药性表型如何产生的清晰了解。在这项研究中，我们产生了一套转基因</w:t>
      </w:r>
      <w:r>
        <w:t xml:space="preserve"> </w:t>
      </w:r>
      <w:r>
        <w:t>安.冈比亚</w:t>
      </w:r>
      <w:r>
        <w:t xml:space="preserve"> </w:t>
      </w:r>
      <w:r>
        <w:t>携带单独机制或在自然界中经常同时出现的组合的菌株。我们发现，不同解毒酶（CYP6P3、CYP6M2、CYP9K1、ABCH2、GSTE2 和 COEAE6G）的共过表达，以及在靶位点抗性突变存在的情况下解毒酶的过表达，可以导致显着更高水平的抗性。我们的研究结果表明，增加的耐药强度是选择多机制耐药性的主要驱动力，并且对于设计强大的分子诊断以在现场及时可靠地检测耐药性所需的科学见解具有变革性。我们进一步表明，基于 P450 的耐药性可能构成高耐药性蚊子的致命弱点，使它们更容易受到杀虫剂前体的攻击；通常需要 P450 激活的化合物。我们的研究结果增进了我们对杀虫剂抗药性机制基础的理解，并对有效杀虫剂的设计和实施具有重要意义。</w:t>
      </w:r>
    </w:p>
    <w:p>
      <w:pPr>
        <w:spacing w:before="0" w:after="200" w:lineRule="auto" w:line="276"/>
      </w:pPr>
      <w:r>
        <w:rPr>
          <w:b/>
        </w:rPr>
        <w:t xml:space="preserve">Abstract (EN): </w:t>
      </w:r>
      <w:r>
        <w:t>Intensifying insecticide resistance in the malaria vector</w:t>
      </w:r>
      <w:r>
        <w:t xml:space="preserve"> </w:t>
      </w:r>
      <w:r>
        <w:t>Anopheles gambiae</w:t>
      </w:r>
      <w:r>
        <w:t xml:space="preserve"> </w:t>
      </w:r>
      <w:r>
        <w:t>poses a serious threat to the progress achieved the last decades in reducing malaria deaths in Africa. The genetic basis of insecticide resistance is often complex, involving multiple genes and mutations. However, we still lack a clear understanding of how each mechanism contributes to overall resistance and how highly resistant phenotypes arise. In this study, we generated a suite of transgenic</w:t>
      </w:r>
      <w:r>
        <w:t xml:space="preserve"> </w:t>
      </w:r>
      <w:r>
        <w:t>An. gambiae</w:t>
      </w:r>
      <w:r>
        <w:t xml:space="preserve"> </w:t>
      </w:r>
      <w:r>
        <w:t>strains carrying either individual mechanisms or combinations that frequently co-occur in nature. We show that co-overexpression of different detoxification enzymes (CYP6P3, CYP6M2, CYP9K1, ABCH2, GSTE2, and COEAE6G), as well as the overexpression of detoxification enzymes in the presence of target site resistance mutations, can lead to substantially greater levels of resistance. Our findings suggest that increased resistance strength is a primary driver for selection of multimechanism resistance and are transformative for the scientific insight required to design robust molecular diagnostics for timely and reliable resistance detection in the field. We further show that P450 based resistance can constitute an Achilles heel for highly resistant mosquitoes, making them more vulnerable to proinsecticides; compounds that typically require P450 activation. Our results advance our understanding of the mechanistic basis of insecticide resistance and have important implications for the design and implementation of effective and evidence-based resistance management strategies.</w:t>
      </w:r>
    </w:p>
    <w:p>
      <w:pPr>
        <w:spacing w:before="120" w:after="120"/>
      </w:pPr>
      <w:r>
        <w:rPr>
          <w:sz w:val="18"/>
        </w:rPr>
        <w:t>——————————————————————————————————————————————————————————————————————</w:t>
      </w:r>
    </w:p>
    <w:p>
      <w:pPr>
        <w:spacing w:before="160" w:after="40" w:line="240" w:lineRule="auto"/>
      </w:pPr>
      <w:r>
        <w:rPr>
          <w:b/>
        </w:rPr>
        <w:t xml:space="preserve">[322] </w:t>
      </w:r>
      <w:hyperlink r:id="rId1123">
        <w:r>
          <w:rPr>
            <w:color w:val="1155CC"/>
            <w:u w:val="single"/>
          </w:rPr>
          <w:t>气候变化导致 2026 年美国西部雪旱的可能性增加约四倍</w:t>
        </w:r>
      </w:hyperlink>
    </w:p>
    <w:p>
      <w:pPr>
        <w:spacing w:before="0" w:after="80"/>
      </w:pPr>
      <w:r>
        <w:rPr>
          <w:i/>
          <w:sz w:val="20"/>
        </w:rPr>
        <w:t>EN: The 2026 western US snow drought was about four times more likely due to climate change</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24">
        <w:r>
          <w:rPr>
            <w:color w:val="1155CC"/>
            <w:u w:val="single"/>
          </w:rPr>
          <w:t>10.1073/pnas.2612961123</w:t>
        </w:r>
      </w:hyperlink>
    </w:p>
    <w:p>
      <w:pPr>
        <w:spacing w:before="0" w:after="120"/>
      </w:pPr>
      <w:r>
        <w:rPr>
          <w:b/>
        </w:rPr>
        <w:t xml:space="preserve">Notes: </w:t>
      </w:r>
      <w:r>
        <w:t>abstract_source=crossref</w:t>
      </w:r>
    </w:p>
    <w:p>
      <w:pPr>
        <w:spacing w:before="0" w:after="80" w:lineRule="auto" w:line="276"/>
      </w:pPr>
      <w:r>
        <w:rPr>
          <w:b/>
        </w:rPr>
        <w:t xml:space="preserve">摘要（ZH）: </w:t>
      </w:r>
      <w:r>
        <w:t>2026 年春天，美国西部异常低雪状况威胁到冬季娱乐和供水。在这里，我们调查一下：这次雪旱在多大程度上归因于前工业化时期以来发生的气候变化？我们发现，在当前气候下，美国西部发生如此严重的雪旱的可能性比工业化前时期高出约 4.4 [95% CI：2.6, 9.4] 倍。在科罗拉多河流域上游，雪旱的可能性大约是原来的 14 倍 [0.09, 4,300]。考虑到在适度高排放变暖的情况下，雪旱频率预计会增加，至少会达到如此严重的程度，这一事件的亲身经历可能会帮助科学家、资源管理者和公众考虑，如果不积极减少温室气体排放，美国西部的雪会是什么样子。</w:t>
      </w:r>
    </w:p>
    <w:p>
      <w:pPr>
        <w:spacing w:before="0" w:after="200" w:lineRule="auto" w:line="276"/>
      </w:pPr>
      <w:r>
        <w:rPr>
          <w:b/>
        </w:rPr>
        <w:t xml:space="preserve">Abstract (EN): </w:t>
      </w:r>
      <w:r>
        <w:t>In the spring of 2026, anomalously low snow conditions in the western United States threatened winter recreation and water supplies. Here, we investigate: to what extent was this snow drought attributable to the climate change that has occurred since the pre-industrial period? We find that a snow drought this severe across the western United States was approximately 4.4 [95% CI: 2.6, 9.4] times more likely in the current climate than in the preindustrial period. In the Upper Colorado River Basin, the snow drought was approximately 14 times more likely [0.09, 4,300]. Given a projected increase in the frequency of snow droughts at least this severe in a moderately high emissions warming scenario, the lived experience of this event may help scientists, resource managers, and the public consider what western US snow might look like if greenhouse gas emissions are not aggressively reduced.</w:t>
      </w:r>
    </w:p>
    <w:p>
      <w:pPr>
        <w:spacing w:before="120" w:after="120"/>
      </w:pPr>
      <w:r>
        <w:rPr>
          <w:sz w:val="18"/>
        </w:rPr>
        <w:t>——————————————————————————————————————————————————————————————————————</w:t>
      </w:r>
    </w:p>
    <w:p>
      <w:pPr>
        <w:spacing w:before="160" w:after="40" w:line="240" w:lineRule="auto"/>
      </w:pPr>
      <w:r>
        <w:rPr>
          <w:b/>
        </w:rPr>
        <w:t xml:space="preserve">[323] </w:t>
      </w:r>
      <w:hyperlink r:id="rId1125">
        <w:r>
          <w:rPr>
            <w:color w:val="1155CC"/>
            <w:u w:val="single"/>
          </w:rPr>
          <w:t>修正 Sabzehei 等人的观点，探索 PrPC 展开是 PrPSc 传播背景下重折叠之前的关键步骤</w:t>
        </w:r>
      </w:hyperlink>
    </w:p>
    <w:p>
      <w:pPr>
        <w:spacing w:before="0" w:after="80"/>
      </w:pPr>
      <w:r>
        <w:rPr>
          <w:i/>
          <w:sz w:val="20"/>
        </w:rPr>
        <w:t>EN: Correction for Sabzehei et al., Exploring PrPC unfolding as a critical step preceding its refolding in the context of PrPSc propagation</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26">
        <w:r>
          <w:rPr>
            <w:color w:val="1155CC"/>
            <w:u w:val="single"/>
          </w:rPr>
          <w:t>10.1073/pnas.2623376123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[324] </w:t>
      </w:r>
      <w:hyperlink r:id="rId1127">
        <w:r>
          <w:rPr>
            <w:color w:val="1155CC"/>
            <w:u w:val="single"/>
          </w:rPr>
          <w:t>液压应力下活性上皮圆顶的形状不稳定性：生长、塌陷和振荡</w:t>
        </w:r>
      </w:hyperlink>
    </w:p>
    <w:p>
      <w:pPr>
        <w:spacing w:before="0" w:after="80"/>
      </w:pPr>
      <w:r>
        <w:rPr>
          <w:i/>
          <w:sz w:val="20"/>
        </w:rPr>
        <w:t>EN: Shape instabilities of active epithelial domes under hydraulic stress: Growth, collapse, and oscillation</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28">
        <w:r>
          <w:rPr>
            <w:color w:val="1155CC"/>
            <w:u w:val="single"/>
          </w:rPr>
          <w:t>10.1073/pnas.2529071123</w:t>
        </w:r>
      </w:hyperlink>
    </w:p>
    <w:p>
      <w:pPr>
        <w:spacing w:before="0" w:after="120"/>
      </w:pPr>
      <w:r>
        <w:rPr>
          <w:b/>
        </w:rPr>
        <w:t xml:space="preserve">Notes: </w:t>
      </w:r>
      <w:r>
        <w:t>abstract_source=crossref</w:t>
      </w:r>
    </w:p>
    <w:p>
      <w:pPr>
        <w:spacing w:before="0" w:after="80" w:lineRule="auto" w:line="276"/>
      </w:pPr>
      <w:r>
        <w:rPr>
          <w:b/>
        </w:rPr>
        <w:t xml:space="preserve">摘要（ZH）: </w:t>
      </w:r>
      <w:r>
        <w:t>充满液体的上皮腔出现在广泛的生物环境中，从发育腔和胚胎腔到单层分层形成的上皮圆顶。然而，人们对液压和粘合剂破裂如何协调其动态形状变化仍知之甚少。在这里，我们使用 Madin-Darby 犬肾 (MDCK) 上皮穹顶作为模型系统，将实时成像与最小理论模型相结合，以阐明控制液体穹顶形状动力学的机制。我们的模型集成了主动离子传输、应变硬化组织力学和细胞间粘附破裂愈合动力学。我们确定了五个不同的动态阶段：崩溃、稳定增长、增长崩溃、振荡和无限增长。这些阶段是由离子泵引起的液压与细胞-基质断裂和细胞-细胞粘附之间的竞争产生的。至关重要的是，渗透流入和破裂介导的渗漏之间的水力反馈会产生类似于断裂力学中粘滑不稳定性的自持振荡。药理学实验进一步验证了模型的预测，即活性离子泵送和粘附强度控制观察到的相变和振荡相的特征。与模型预测一致，通过 3D 牵引力显微镜测量静水压表明，压力随着离子传输和细胞-基质粘附力的增强而增加，但随着细胞-细胞粘附力的减少而降低。这些发现确立了水力断裂作为上皮d的中央调节器</w:t>
      </w:r>
    </w:p>
    <w:p>
      <w:pPr>
        <w:spacing w:before="0" w:after="200" w:lineRule="auto" w:line="276"/>
      </w:pPr>
      <w:r>
        <w:rPr>
          <w:b/>
        </w:rPr>
        <w:t xml:space="preserve">Abstract (EN): </w:t>
      </w:r>
      <w:r>
        <w:t>Fluid-filled epithelial cavities arise in a wide range of biological contexts, from developmental lumens and embryonic cavities to epithelial domes formed by monolayer delamination. Yet how hydraulic pressure and adhesive rupture coordinate their dynamic shape changes remains poorly understood. Here, using Madin-Darby Canine Kidney (MDCK) epithelial domes as a model system, we combine live imaging with a minimal theoretical model to elucidate the mechanisms governing liquid dome shape dynamics. Our model integrates active ion transport, strain-stiffening tissue mechanics, and cell–cell adhesion rupture-healing kinetics. We identify five distinct dynamic phases: collapse, stable growth, growth-collapse, oscillation, and unbounded growth. These phases emerge from the competition between ion-pumping-induced hydraulic pressure and fracture of cell-substrate and cell–cell adhesions. Crucially, the hydraulic feedback between osmotic influx and rupture-mediated leakage produces self-sustained oscillations akin to stick–slip instabilities in fracture mechanics. Pharmacological experiments further validate the model’s predictions that active ion pumping and adhesion strength control both the observed phase transitions and the characteristics of oscillatory phase. Consistent with the model predictions, measuring the hydrostatic pressure via 3D traction force microscopy reveals that pressure increases with enhanced ion transport and cell-substrate adhesion, but decreases with reduced cell–cell adhesion. These findings establish hydraulic fracture as a central regulator of epithelial dome morphodynamics and suggest a physical mechanism that may contribute to lumen formation and stability in developing tissues.</w:t>
      </w:r>
    </w:p>
    <w:p>
      <w:pPr>
        <w:spacing w:before="120" w:after="120"/>
      </w:pPr>
      <w:r>
        <w:rPr>
          <w:sz w:val="18"/>
        </w:rPr>
        <w:t>——————————————————————————————————————————————————————————————————————</w:t>
      </w:r>
    </w:p>
    <w:p>
      <w:pPr>
        <w:spacing w:before="160" w:after="40" w:line="240" w:lineRule="auto"/>
      </w:pPr>
      <w:r>
        <w:rPr>
          <w:b/>
        </w:rPr>
        <w:t xml:space="preserve">[325] </w:t>
      </w:r>
      <w:hyperlink r:id="rId1129">
        <w:r>
          <w:rPr>
            <w:color w:val="1155CC"/>
            <w:u w:val="single"/>
          </w:rPr>
          <w:t>具有 ELISA 水平性能的电化学侧流测定法用于检测东非的植物病害</w:t>
        </w:r>
      </w:hyperlink>
    </w:p>
    <w:p>
      <w:pPr>
        <w:spacing w:before="0" w:after="80"/>
      </w:pPr>
      <w:r>
        <w:rPr>
          <w:i/>
          <w:sz w:val="20"/>
        </w:rPr>
        <w:t>EN: Electrochemical lateral flow assay with ELISA-level performance for detecting plant diseases in East Africa</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30">
        <w:r>
          <w:rPr>
            <w:color w:val="1155CC"/>
            <w:u w:val="single"/>
          </w:rPr>
          <w:t>10.1073/pnas.2602947123</w:t>
        </w:r>
      </w:hyperlink>
    </w:p>
    <w:p>
      <w:pPr>
        <w:spacing w:before="0" w:after="120"/>
      </w:pPr>
      <w:r>
        <w:rPr>
          <w:b/>
        </w:rPr>
        <w:t xml:space="preserve">Notes: </w:t>
      </w:r>
      <w:r>
        <w:t>abstract_source=crossref</w:t>
      </w:r>
    </w:p>
    <w:p>
      <w:pPr>
        <w:spacing w:before="0" w:after="80" w:lineRule="auto" w:line="276"/>
      </w:pPr>
      <w:r>
        <w:rPr>
          <w:b/>
        </w:rPr>
        <w:t xml:space="preserve">摘要（ZH）: </w:t>
      </w:r>
      <w:r>
        <w:t>木薯褐条病 (CBSD) 威胁着东非数百万人的粮食安全，但由于缺乏可现场部署的分子诊断技术，其控制仍然受到限制。在这里，我们介绍 ELLA（带 Linked Analytics 的电化学侧流分析），这是一种无需电池、由智能手机供电的电化学侧流分析，可直接在现场提供酶联免疫吸附分析 (ELISA) 级蛋白质检测。 ELLA 将近场通信、单芯片恒电位仪、金属针电极和二茂铁标记的纳米粒子集成到一个完全一次性的盒中，无需光学仪器或集中实验室基础设施即可实现定量免疫测定。经过坦桑尼亚的实验室研究和广泛的现场试验验证，ELLA 与 ELISA 的一致性达到 95%，与 RT-qPCR 的一致性达到 89%，超越了 ELISA 的检测限，同时将材料成本保持在 1 美元以下。通过将分子测试结果与云连接分析相结合，我们进一步训练了 DeepELLA，这是一种基于智能手机的图像分类模型，可以对现场采集的叶子图像进行可扩展的监视。这些进步将电化学传感、数字连接和人工智能辅助解释统一起来，为资源有限地区的植物、环境和健康监测提供便携式、ELISA 级诊断。</w:t>
      </w:r>
    </w:p>
    <w:p>
      <w:pPr>
        <w:spacing w:before="0" w:after="200" w:lineRule="auto" w:line="276"/>
      </w:pPr>
      <w:r>
        <w:rPr>
          <w:b/>
        </w:rPr>
        <w:t xml:space="preserve">Abstract (EN): </w:t>
      </w:r>
      <w:r>
        <w:t>Cassava brown streak disease (CBSD) threatens food security for millions in East Africa, yet its control remains limited by the absence of field-deployable molecular diagnostics. Here, we introduce ELLA (Electrochemical Lateral flow assay with Linked Analytics), a battery-free, smartphone-powered electrochemical lateral flow assay that delivers enzyme-linked immunosorbent assay (ELISA)-grade protein detection directly in the field. ELLA integrates near-field communication, a single-chip potentiostat, metal-pin electrodes, and ferrocene-labeled nanoparticles into a fully disposable cassette, enabling quantitative immunoassays without optical instrumentation or centralized laboratory infrastructure. Validated across laboratory studies and extensive field trials in Tanzania, ELLA achieved 95% agreement with ELISA and 89% agreement with RT-qPCR, outperforming ELISA’s limit of detection while maintaining a material cost below US$1. By coupling molecular test results with cloud-linked analytics, we further trained DeepELLA, a smartphone-based image classification model that enables scalable surveillance from field-acquired leaf images. Together, these advances unify electrochemical sensing, digital connectivity, and AI-assisted interpretation, enabling portable, ELISA-level diagnostics for plant, environmental, and health monitoring in resource-limited regions.</w:t>
      </w:r>
    </w:p>
    <w:p>
      <w:pPr>
        <w:spacing w:before="120" w:after="120"/>
      </w:pPr>
      <w:r>
        <w:rPr>
          <w:sz w:val="18"/>
        </w:rPr>
        <w:t>——————————————————————————————————————————————————————————————————————</w:t>
      </w:r>
    </w:p>
    <w:p>
      <w:pPr>
        <w:spacing w:before="160" w:after="40" w:line="240" w:lineRule="auto"/>
      </w:pPr>
      <w:r>
        <w:rPr>
          <w:b/>
        </w:rPr>
        <w:t xml:space="preserve">[326] </w:t>
      </w:r>
      <w:hyperlink r:id="rId1131">
        <w:r>
          <w:rPr>
            <w:color w:val="1155CC"/>
            <w:u w:val="single"/>
          </w:rPr>
          <w:t>城市废水中的膳食 DNA 揭示了财富、移民和邻近沿海地区的特征</w:t>
        </w:r>
      </w:hyperlink>
    </w:p>
    <w:p>
      <w:pPr>
        <w:spacing w:before="0" w:after="80"/>
      </w:pPr>
      <w:r>
        <w:rPr>
          <w:i/>
          <w:sz w:val="20"/>
        </w:rPr>
        <w:t>EN: Dietary DNA in municipal wastewater reveals signatures of wealth, immigration, and coastal proximity</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32">
        <w:r>
          <w:rPr>
            <w:color w:val="1155CC"/>
            <w:u w:val="single"/>
          </w:rPr>
          <w:t>10.1073/pnas.2530704123</w:t>
        </w:r>
      </w:hyperlink>
    </w:p>
    <w:p>
      <w:pPr>
        <w:spacing w:before="0" w:after="120"/>
      </w:pPr>
      <w:r>
        <w:rPr>
          <w:b/>
        </w:rPr>
        <w:t xml:space="preserve">Notes: </w:t>
      </w:r>
      <w:r>
        <w:t>abstract_source=crossref</w:t>
      </w:r>
    </w:p>
    <w:p>
      <w:pPr>
        <w:spacing w:before="0" w:after="80" w:lineRule="auto" w:line="276"/>
      </w:pPr>
      <w:r>
        <w:rPr>
          <w:b/>
        </w:rPr>
        <w:t xml:space="preserve">摘要（ZH）: </w:t>
      </w:r>
      <w:r>
        <w:t>公共卫生营养缺乏可扩展、客观的实时饮食监测工具。我们开发了 FoodSeq-FLOW（废水中的食物景观观察），这是一个对叶绿体进行测序的基因组平台</w:t>
      </w:r>
      <w:r>
        <w:t xml:space="preserve"> </w:t>
      </w:r>
      <w:r>
        <w:t>tnL</w:t>
      </w:r>
      <w:r>
        <w:t xml:space="preserve"> </w:t>
      </w:r>
      <w:r>
        <w:t>以及城市废水中的线粒体 12SV5 DNA。我们从北卡罗来纳州 21 个废水处理厂（为 210 万人提供服务）的 183 个样本中检测到了 184 种植物和 116 种动物食品类群，每人成本不到 0.01 美元。废水来源的饮食概况与配对的个体粪便饮食数据相关（Spearman ρ = 0.64），并且 98% 的动物来源序列映射到已知的食物分类单元。时间采样揭示了食品分类群的季节性变化与区域粮食供应模式一致。空间分析揭示了社区层面的饮食特征与人均收入和教育程度的关系、啤酒原料丰富度与可自由支配收入的关系、热带水果和豆类与外国出生人口规模的关系、以及当地海鲜与沿海地理的关系。 FoodSeq-FLOW 将基于废水的流行病学从病原体扩展到饮食，提供了一个可扩展的平台，现有的全球废水监测网络可以部署该平台，为营养政策和市场分析提供信息。</w:t>
      </w:r>
    </w:p>
    <w:p>
      <w:pPr>
        <w:spacing w:before="0" w:after="200" w:lineRule="auto" w:line="276"/>
      </w:pPr>
      <w:r>
        <w:rPr>
          <w:b/>
        </w:rPr>
        <w:t xml:space="preserve">Abstract (EN): </w:t>
      </w:r>
      <w:r>
        <w:t>Public health nutrition lacks scalable, objective tools for real-time dietary surveillance. We developed FoodSeq-FLOW (Food Landscape Observation in Wastewater), a genomic platform that sequences chloroplast</w:t>
      </w:r>
      <w:r>
        <w:t xml:space="preserve"> </w:t>
      </w:r>
      <w:r>
        <w:t>trnL</w:t>
      </w:r>
      <w:r>
        <w:t xml:space="preserve"> </w:t>
      </w:r>
      <w:r>
        <w:t>and mitochondrial 12SV5 DNA in municipal wastewater. Across 183 samples from 21 North Carolina wastewater treatment plants serving 2.1 million people, we detected 184 plant and 116 animal food taxa at a cost of &amp;lt;US $0.01 per person. Wastewater-derived dietary profiles correlated with paired individual stool dietary data (Spearman ρ = 0.64), and 98% of animal-derived sequences mapped to known food taxa. Temporal sampling revealed seasonal shifts in food taxa consistent with regional food availability patterns. Spatial analysis revealed community-level dietary signatures associated with per capita income and education, beer ingredient abundance with discretionary income, tropical fruits and pulses with foreign-born population size, and local seafood with coastal geography. FoodSeq-FLOW extends wastewater-based epidemiology from pathogens to diet, providing a scalable platform that existing global wastewater surveillance networks can deploy to inform nutrition policy and market analytics.</w:t>
      </w:r>
    </w:p>
    <w:p>
      <w:pPr>
        <w:spacing w:before="120" w:after="120"/>
      </w:pPr>
      <w:r>
        <w:rPr>
          <w:sz w:val="18"/>
        </w:rPr>
        <w:t>——————————————————————————————————————————————————————————————————————</w:t>
      </w:r>
    </w:p>
    <w:p>
      <w:pPr>
        <w:spacing w:before="160" w:after="40" w:line="240" w:lineRule="auto"/>
      </w:pPr>
      <w:r>
        <w:rPr>
          <w:b/>
        </w:rPr>
        <w:t xml:space="preserve">[327] </w:t>
      </w:r>
      <w:hyperlink r:id="rId1133">
        <w:r>
          <w:rPr>
            <w:color w:val="1155CC"/>
            <w:u w:val="single"/>
          </w:rPr>
          <w:t>艾可病毒 18 的颗粒在体内开放并释放其基因组</w:t>
        </w:r>
      </w:hyperlink>
    </w:p>
    <w:p>
      <w:pPr>
        <w:spacing w:before="0" w:after="80"/>
      </w:pPr>
      <w:r>
        <w:rPr>
          <w:i/>
          <w:sz w:val="20"/>
        </w:rPr>
        <w:t>EN: Particles of echovirus 18 open to release their genomes in vivo</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34">
        <w:r>
          <w:rPr>
            <w:color w:val="1155CC"/>
            <w:u w:val="single"/>
          </w:rPr>
          <w:t>10.1073/pnas.2601182123</w:t>
        </w:r>
      </w:hyperlink>
    </w:p>
    <w:p>
      <w:pPr>
        <w:spacing w:before="0" w:after="120"/>
      </w:pPr>
      <w:r>
        <w:rPr>
          <w:b/>
        </w:rPr>
        <w:t xml:space="preserve">Notes: </w:t>
      </w:r>
      <w:r>
        <w:t>abstract_source=crossref</w:t>
      </w:r>
    </w:p>
    <w:p>
      <w:pPr>
        <w:spacing w:before="0" w:after="80" w:lineRule="auto" w:line="276"/>
      </w:pPr>
      <w:r>
        <w:rPr>
          <w:b/>
        </w:rPr>
        <w:t xml:space="preserve">摘要（ZH）: </w:t>
      </w:r>
      <w:r>
        <w:t>肠道病毒引起多种人类疾病，从轻微的呼吸道或胃肠道感染到严重的神经系统疾病，如无菌性脑膜炎和脑炎。肠道病毒进入细胞涉及受体介导的内吞作用，然后是病毒衣壳的不稳定重排，从而使基因组释放。然而，肠道病毒基因组释放的机制尚未在受感染的细胞中显现出来。在这里，我们使用冷冻电子断层扫描和显微镜对埃可病毒 18 (E18) 进入宿主细胞及其与新生儿 Fc 受体 (FcRn) 的相互作用进行成像。感染后30分钟，内体和细胞质含有空衣壳，缺少衣壳蛋白的一个或多个五聚体，这提供了体内E18通过衣壳开放释放其基因组的证据。在体外，FcRn 结合诱导口袋因子从 VP1 的疏水口袋中排出，启动病毒脱壳。对受感染细胞内含有 E18 基因组的颗粒进行冷冻电镜重建，没有发现口袋因子，这表明受体结合在感染过程中触发了相同的启动过程。我们没有在受感染的细胞中检测到激活的颗粒，这表明这些中间体的寿命很短，并且会在体内迅速释放其基因组。我们的结果确定衣壳打开是埃可病毒18基因组释放的体内机制，为以前仅从体外实验推断的过程提供了结构证据。</w:t>
      </w:r>
    </w:p>
    <w:p>
      <w:pPr>
        <w:spacing w:before="0" w:after="200" w:lineRule="auto" w:line="276"/>
      </w:pPr>
      <w:r>
        <w:rPr>
          <w:b/>
        </w:rPr>
        <w:t xml:space="preserve">Abstract (EN): </w:t>
      </w:r>
      <w:r>
        <w:t>Enteroviruses cause a broad spectrum of human diseases, ranging from mild respiratory or gastrointestinal infections to severe neurological disorders such as aseptic meningitis and encephalitis. Enterovirus cell entry involves receptor-mediated endocytosis followed by destabilizing rearrangements of the virus capsid that enable genome release. However, the mechanism of enterovirus genome release has not been visualized in infected cells. Here, we used cryoelectron tomography and microscopy to image echovirus 18 (E18) entry into host cells and its interaction with the neonatal Fc receptor (FcRn). 30 min postinfection, endosomes and cytoplasm contained empty capsids missing one or several pentamers of capsid proteins, providing evidence that in vivo E18 releases its genome through capsid opening. In vitro, FcRn binding induced the expulsion of pocket factors from hydrophobic pockets in VP1, priming the virus for uncoating. The cryoelectron microscopy reconstruction of genome-containing particles of E18 inside infected cells did not reveal pocket factors, indicating that receptor binding triggers the same priming process during infection. We did not detect activated particles in infected cells, suggesting that these intermediates are short-lived and rapidly release their genomes in vivo. Our results identify capsid opening as the in vivo mechanism of echovirus 18 genome release, providing structural evidence for a process previously only inferred from in vitro experiments.</w:t>
      </w:r>
    </w:p>
    <w:p>
      <w:pPr>
        <w:spacing w:before="120" w:after="120"/>
      </w:pPr>
      <w:r>
        <w:rPr>
          <w:sz w:val="18"/>
        </w:rPr>
        <w:t>——————————————————————————————————————————————————————————————————————</w:t>
      </w:r>
    </w:p>
    <w:p>
      <w:pPr>
        <w:spacing w:before="160" w:after="40" w:line="240" w:lineRule="auto"/>
      </w:pPr>
      <w:r>
        <w:rPr>
          <w:b/>
        </w:rPr>
        <w:t xml:space="preserve">[328] </w:t>
      </w:r>
      <w:hyperlink r:id="rId1135">
        <w:r>
          <w:rPr>
            <w:color w:val="1155CC"/>
            <w:u w:val="single"/>
          </w:rPr>
          <w:t>野鸭、印度跑鸭及其杂交后代向不会飞的转变</w:t>
        </w:r>
      </w:hyperlink>
    </w:p>
    <w:p>
      <w:pPr>
        <w:spacing w:before="0" w:after="80"/>
      </w:pPr>
      <w:r>
        <w:rPr>
          <w:i/>
          <w:sz w:val="20"/>
        </w:rPr>
        <w:t>EN: A transition toward flightlessness in Mallards, Indian Runner Ducks, and their hybrid offspring</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36">
        <w:r>
          <w:rPr>
            <w:color w:val="1155CC"/>
            <w:u w:val="single"/>
          </w:rPr>
          <w:t>10.1073/pnas.2534729123</w:t>
        </w:r>
      </w:hyperlink>
    </w:p>
    <w:p>
      <w:pPr>
        <w:spacing w:before="0" w:after="120"/>
      </w:pPr>
      <w:r>
        <w:rPr>
          <w:b/>
        </w:rPr>
        <w:t xml:space="preserve">Notes: </w:t>
      </w:r>
      <w:r>
        <w:t>abstract_source=crossref</w:t>
      </w:r>
    </w:p>
    <w:p>
      <w:pPr>
        <w:spacing w:before="0" w:after="80" w:lineRule="auto" w:line="276"/>
      </w:pPr>
      <w:r>
        <w:rPr>
          <w:b/>
        </w:rPr>
        <w:t xml:space="preserve">摘要（ZH）: </w:t>
      </w:r>
      <w:r>
        <w:t>许多研究探索了飞行鸟类的翅膀功能，以及如何通过个体发育和进化获得飞行能力。然而，飞行能力往往会随之减少或丧失，并且鸟类如何从依赖翅膀过渡到依赖腿尚不清楚。大多数损失发生在很久以前，因此从未对机翼缩小的阶段进行过功能评估，甚至从未观察到。在这里，我们评估了一个独特的群体：会飞的野鸭（会飞的野鸭）的解剖学变化和运动后果。</w:t>
      </w:r>
      <w:r>
        <w:t xml:space="preserve"> </w:t>
      </w:r>
      <w:r>
        <w:t>绿头鸭</w:t>
      </w:r>
      <w:r>
        <w:t xml:space="preserve"> </w:t>
      </w:r>
      <w:r>
        <w:t>）、不会飞的印度跑鸭（野鸭衍生品），以及它们通过实验产生的杂交后代。基于野生鸟类，我们假设发育的变化会导致杂交鸟类，尤其是奔跑鸟类的翅膀缩小，同时补偿性地增加腿部尺寸和性能。我们的结果表明，奔跑鸟确实与野生不会飞的鸟类有许多共同特征，而杂交鸟则处于中间状态。然而，这些功能的组合却令人惊讶。翅膀变得相对较小，是由于身体尺寸的增加，而不是由于保留的翅膀面积或肌肉的减少。相比之下，腿部是不稳定的：与绿头鸭相比，跑步者在青少年时期对腿部肌肉的投入较少，但在成年后则较多。翅膀保护与身体和腿部变形之间的对比表明，至少在某些飞行损失中，身体和腿部先于翅膀发生变化，而翅膀在缩小之前按比例变小。考虑到刚开始飞行的青少年和飞行能力减弱的成年人都使用了翅膀和腿</w:t>
      </w:r>
    </w:p>
    <w:p>
      <w:pPr>
        <w:spacing w:before="0" w:after="200" w:lineRule="auto" w:line="276"/>
      </w:pPr>
      <w:r>
        <w:rPr>
          <w:b/>
        </w:rPr>
        <w:t xml:space="preserve">Abstract (EN): </w:t>
      </w:r>
      <w:r>
        <w:t>Many studies have explored wing function in volant birds, and how flight is gained over ontogeny and evolution. However, flight is often secondarily reduced or lost, and how birds transition from wing- to leg-dependence is unknown. Most losses occurred long ago, so stages of wing reduction have never been functionally evaluated or even observed. Here, we assess the anatomical changes and locomotor consequences of a transition toward flightlessness in a unique group: flying Mallards (</w:t>
      </w:r>
      <w:r>
        <w:t xml:space="preserve"> </w:t>
      </w:r>
      <w:r>
        <w:t>Anas platyrhynchos</w:t>
      </w:r>
      <w:r>
        <w:t xml:space="preserve"> </w:t>
      </w:r>
      <w:r>
        <w:t>), flightless Indian Runner Ducks (Mallard-derivative), and their experimentally produced hybrid offspring. Based on wild birds, we hypothesized that shifts in development would lead to wing reductions in Hybrids and especially Runners, with compensatory increases in leg size and performance. Our results show that Runners indeed share many features with wild flightless birds, and that Hybrids are intermediate. However, the assembly of these features is surprising. Wings become relatively smaller due to increases in body size rather than reductions in wing area or muscle, which are conserved. Legs, in contrast, are labile: Runners invest proportionally less in their leg muscles as juveniles but more as adults than Mallards. This contrast between wing conservation and body and leg peramorphosis suggests that for at least some flight losses, bodies and legs change before wings, which get proportionally smaller before being reduced. Given that juveniles with incipient flight and adults with reduced flight both engaged their wings and legs cooperatively, wing-leg coordination may facilitate shifts along a flightless-to-flying spectrum, exemplifying how specialized structures can be gained or lost.</w:t>
      </w:r>
    </w:p>
    <w:p>
      <w:pPr>
        <w:spacing w:before="120" w:after="120"/>
      </w:pPr>
      <w:r>
        <w:rPr>
          <w:sz w:val="18"/>
        </w:rPr>
        <w:t>——————————————————————————————————————————————————————————————————————</w:t>
      </w:r>
    </w:p>
    <w:p>
      <w:pPr>
        <w:spacing w:before="160" w:after="40" w:line="240" w:lineRule="auto"/>
      </w:pPr>
      <w:r>
        <w:rPr>
          <w:b/>
        </w:rPr>
        <w:t xml:space="preserve">[329] </w:t>
      </w:r>
      <w:hyperlink r:id="rId1137">
        <w:r>
          <w:rPr>
            <w:color w:val="1155CC"/>
            <w:u w:val="single"/>
          </w:rPr>
          <w:t>α-氟-β-丙氨酸作为 S1PR2 的 β-arrestin1 偏向配体发挥作用，上调癌细胞中的 DPD 表达</w:t>
        </w:r>
      </w:hyperlink>
    </w:p>
    <w:p>
      <w:pPr>
        <w:spacing w:before="0" w:after="80"/>
      </w:pPr>
      <w:r>
        <w:rPr>
          <w:i/>
          <w:sz w:val="20"/>
        </w:rPr>
        <w:t>EN: α-fluoro-β-alanine functions as a β-arrestin1-biased ligand of S1PR2 to upregulate DPD expression in cancer cells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38">
        <w:r>
          <w:rPr>
            <w:color w:val="1155CC"/>
            <w:u w:val="single"/>
          </w:rPr>
          <w:t>10.1073/pnas.2533427123</w:t>
        </w:r>
      </w:hyperlink>
    </w:p>
    <w:p>
      <w:pPr>
        <w:spacing w:before="0" w:after="120"/>
      </w:pPr>
      <w:r>
        <w:rPr>
          <w:b/>
        </w:rPr>
        <w:t xml:space="preserve">Notes: </w:t>
      </w:r>
      <w:r>
        <w:t>abstract_source=crossref</w:t>
      </w:r>
    </w:p>
    <w:p>
      <w:pPr>
        <w:spacing w:before="0" w:after="80" w:lineRule="auto" w:line="276"/>
      </w:pPr>
      <w:r>
        <w:rPr>
          <w:b/>
        </w:rPr>
        <w:t xml:space="preserve">摘要（ZH）: </w:t>
      </w:r>
      <w:r>
        <w:t>α-氟-β-丙氨酸（FBAL）是化疗药物5-氟尿嘧啶（5-FU）的分解代谢物，由于其心脏毒性和神经毒性而引起了广泛关注。然而，其与 5-FU 耐药性（癌症治疗的主要障碍）之间的关系却鲜有报道。在这项研究中，FBAL 被确定为 1-磷酸鞘氨醇受体 2 (S1PR2) 的 β-arrestin1 偏向配体，可上调二氢嘧啶脱氢酶 (DPD) 表达并驱动结直肠癌中的 5-FU 耐药。从机制上讲，接触 FBAL 后，S1PR2（一种 G 蛋白偶联受体 (GPCR)）通过募集 G 蛋白偶联受体激酶 6 (GRK6) 而被磷酸化。磷酸化的 S1PR2 与 β-arrestin1（而非 G 蛋白）结合，激活 MEK/ERK/AP-1 通路并促进</w:t>
      </w:r>
      <w:r>
        <w:t xml:space="preserve"> </w:t>
      </w:r>
      <w:r>
        <w:t>DPYD</w:t>
      </w:r>
      <w:r>
        <w:t xml:space="preserve"> </w:t>
      </w:r>
      <w:r>
        <w:t>转录。通过 IP-MS 分析，Ser343 被确定为 S1PR2 的关键磷酸化位点。 C 端结构域内的该残基介导受体与 β-arrestin-1 的相互作用，从而激活 β-arrestin-1 依赖性 ERK 通路，这一点在 HCT116 中得到证实</w:t>
      </w:r>
      <w:r>
        <w:t xml:space="preserve"> </w:t>
      </w:r>
      <w:r>
        <w:t>S1PR2KO-ΔC</w:t>
      </w:r>
      <w:r>
        <w:t xml:space="preserve"> </w:t>
      </w:r>
      <w:r>
        <w:t>细胞和HCT116</w:t>
      </w:r>
      <w:r>
        <w:t xml:space="preserve"> </w:t>
      </w:r>
      <w:r>
        <w:t>S1PR2KO-S343A</w:t>
      </w:r>
      <w:r>
        <w:t xml:space="preserve"> </w:t>
      </w:r>
      <w:r>
        <w:t>细胞。</w:t>
      </w:r>
      <w:r>
        <w:t xml:space="preserve"> </w:t>
      </w:r>
      <w:r>
        <w:t>体内</w:t>
      </w:r>
      <w:r>
        <w:t xml:space="preserve"> </w:t>
      </w:r>
      <w:r>
        <w:t>, 携带 HCT116 原位异种移植物的小鼠</w:t>
      </w:r>
      <w:r>
        <w:t xml:space="preserve"> </w:t>
      </w:r>
      <w:r>
        <w:t>S1PR2KO-S343A</w:t>
      </w:r>
      <w:r>
        <w:t xml:space="preserve"> </w:t>
      </w:r>
      <w:r>
        <w:t>与 HCT116 相比，细胞对 5-FU 治疗的敏感性显着增强</w:t>
      </w:r>
      <w:r>
        <w:t xml:space="preserve"> </w:t>
      </w:r>
      <w:r>
        <w:t>S1PR2KO-WT</w:t>
      </w:r>
      <w:r>
        <w:t xml:space="preserve"> </w:t>
      </w:r>
      <w:r>
        <w:t>FBAL 后的细胞。综上所述，这项研究表明</w:t>
      </w:r>
    </w:p>
    <w:p>
      <w:pPr>
        <w:spacing w:before="0" w:after="200" w:lineRule="auto" w:line="276"/>
      </w:pPr>
      <w:r>
        <w:rPr>
          <w:b/>
        </w:rPr>
        <w:t xml:space="preserve">Abstract (EN): </w:t>
      </w:r>
      <w:r>
        <w:t>α-fluoro-β-alanine (FBAL), a catabolite of the chemotherapeutic agent 5-fluorouracil (5-FU), has attracted significant attention due to its cardiotoxicity and neurotoxicity. However, its association with 5-FU resistance, a major obstacle in cancer treatment, has rarely been reported. In this study, FBAL was identified as a β-arrestin1-biased ligand of sphingosine 1-phosphate receptor 2 (S1PR2), which upregulates dihydropyrimidine dehydrogenase (DPD) expression and drives 5-FU resistance in colorectal cancer. Mechanistically, following exposure to FBAL, S1PR2, a G protein–coupled receptor (GPCR), is phosphorylated by recruiting G protein–coupled receptor kinase 6 (GRK6). Phosphorylated S1PR2 coupled with β-arrestin1, but not G proteins, to activate the MEK/ERK/AP-1 pathway and promote</w:t>
      </w:r>
      <w:r>
        <w:t xml:space="preserve"> </w:t>
      </w:r>
      <w:r>
        <w:t>DPYD</w:t>
      </w:r>
      <w:r>
        <w:t xml:space="preserve"> </w:t>
      </w:r>
      <w:r>
        <w:t>transcription. Ser343 was identified as the key phosphorylation site of S1PR2 using IP-MS analysis. This residue within the C-terminal domain mediates receptor interaction with β-arrestin-1 to activate the β-arrestin-1-dependent ERK pathway, as was confirmed in HCT116</w:t>
      </w:r>
      <w:r>
        <w:t xml:space="preserve"> </w:t>
      </w:r>
      <w:r>
        <w:t>S1PR2KO-ΔC</w:t>
      </w:r>
      <w:r>
        <w:t xml:space="preserve"> </w:t>
      </w:r>
      <w:r>
        <w:t>cells and HCT116</w:t>
      </w:r>
      <w:r>
        <w:t xml:space="preserve"> </w:t>
      </w:r>
      <w:r>
        <w:t>S1PR2KO-S343A</w:t>
      </w:r>
      <w:r>
        <w:t xml:space="preserve"> </w:t>
      </w:r>
      <w:r>
        <w:t>cells.</w:t>
      </w:r>
      <w:r>
        <w:t xml:space="preserve"> </w:t>
      </w:r>
      <w:r>
        <w:t>In vivo</w:t>
      </w:r>
      <w:r>
        <w:t xml:space="preserve"> </w:t>
      </w:r>
      <w:r>
        <w:t>, mice bearing orthotopic xenografts of HCT116</w:t>
      </w:r>
      <w:r>
        <w:t xml:space="preserve"> </w:t>
      </w:r>
      <w:r>
        <w:t>S1PR2KO-S343A</w:t>
      </w:r>
      <w:r>
        <w:t xml:space="preserve"> </w:t>
      </w:r>
      <w:r>
        <w:t>cells exhibited significantly enhanced higher sensitivity to 5-FU treatment compared to those HCT116</w:t>
      </w:r>
      <w:r>
        <w:t xml:space="preserve"> </w:t>
      </w:r>
      <w:r>
        <w:t>S1PR2KO-WT</w:t>
      </w:r>
      <w:r>
        <w:t xml:space="preserve"> </w:t>
      </w:r>
      <w:r>
        <w:t>cells following FBAL. Taken together, this study showed that exposure to FBAL induces S1PR2 phosphorylation at Ser343 within the C-terminal mediated by GRK6, activating the β-arrestin1-dependent ERK pathway to upregulate DPD expression. This study not only delineates a phosphorylation-dependent signaling pathway in chemoresistance but also establishes S1PR2 as a promising therapeutic target for overcoming 5-FU resistance in cancer.</w:t>
      </w:r>
    </w:p>
    <w:p>
      <w:pPr>
        <w:spacing w:before="120" w:after="120"/>
      </w:pPr>
      <w:r>
        <w:rPr>
          <w:sz w:val="18"/>
        </w:rPr>
        <w:t>——————————————————————————————————————————————————————————————————————</w:t>
      </w:r>
    </w:p>
    <w:p>
      <w:pPr>
        <w:spacing w:before="160" w:after="40" w:line="240" w:lineRule="auto"/>
      </w:pPr>
      <w:r>
        <w:rPr>
          <w:b/>
        </w:rPr>
        <w:t xml:space="preserve">[330] </w:t>
      </w:r>
      <w:hyperlink r:id="rId1139">
        <w:r>
          <w:rPr>
            <w:color w:val="1155CC"/>
            <w:u w:val="single"/>
          </w:rPr>
          <w:t>插管膀胱环境中独特的 Efg1 真菌毒力调节子</w:t>
        </w:r>
      </w:hyperlink>
    </w:p>
    <w:p>
      <w:pPr>
        <w:spacing w:before="0" w:after="80"/>
      </w:pPr>
      <w:r>
        <w:rPr>
          <w:i/>
          <w:sz w:val="20"/>
        </w:rPr>
        <w:t>EN: The unique Efg1 fungal virulence regulon in the catheterized bladder environment</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40">
        <w:r>
          <w:rPr>
            <w:color w:val="1155CC"/>
            <w:u w:val="single"/>
          </w:rPr>
          <w:t>10.1073/pnas.2533309123</w:t>
        </w:r>
      </w:hyperlink>
    </w:p>
    <w:p>
      <w:pPr>
        <w:spacing w:before="0" w:after="120"/>
      </w:pPr>
      <w:r>
        <w:rPr>
          <w:b/>
        </w:rPr>
        <w:t xml:space="preserve">Notes: </w:t>
      </w:r>
      <w:r>
        <w:t>abstract_source=crossref</w:t>
      </w:r>
    </w:p>
    <w:p>
      <w:pPr>
        <w:spacing w:before="0" w:after="80" w:lineRule="auto" w:line="276"/>
      </w:pPr>
      <w:r>
        <w:rPr>
          <w:b/>
        </w:rPr>
        <w:t xml:space="preserve">摘要（ZH）: </w:t>
      </w:r>
      <w:r>
        <w:t>导尿管是医院、疗养院和其他医疗机构的常见手术，是医院感染的主要驱动因素。其中最常见的是导管相关尿路感染 (CAUTI)，它通常会进展为严重并发症、败血症，并最终导致死亡。真菌</w:t>
      </w:r>
      <w:r>
        <w:t xml:space="preserve"> </w:t>
      </w:r>
      <w:r>
        <w:t>白色念珠菌</w:t>
      </w:r>
      <w:r>
        <w:t xml:space="preserve"> </w:t>
      </w:r>
      <w:r>
        <w:t>是 CAUTI 的主要病原体；然而，其组织特异性发病机制仍知之甚少，这使得有效治疗的开发变得复杂。虽然 Efg1 是 CAUTI 中已知的毒力驱动因素，但其在独特膀胱环境中的具体下游目标尚未确定。在这里，我们识别并验证</w:t>
      </w:r>
      <w:r>
        <w:t xml:space="preserve"> </w:t>
      </w:r>
      <w:r>
        <w:t>EFG1</w:t>
      </w:r>
      <w:r>
        <w:t xml:space="preserve"> </w:t>
      </w:r>
      <w:r>
        <w:t>调节子在模拟人类插管膀胱的条件下活跃，此外，通过从患者身上取出的导管的转录谱来确认调节子</w:t>
      </w:r>
      <w:r>
        <w:t xml:space="preserve"> </w:t>
      </w:r>
      <w:r>
        <w:t>白色念珠菌</w:t>
      </w:r>
      <w:r>
        <w:t xml:space="preserve"> </w:t>
      </w:r>
      <w:r>
        <w:t>感染。我们发现这种尿液特异性特征在临床样本中高度保守，Efg1 依赖性基因是人类活跃感染期间最强烈诱导的转录本之一。此外，我们还描述了其中两个关键因素，</w:t>
      </w:r>
      <w:r>
        <w:t xml:space="preserve"> </w:t>
      </w:r>
      <w:r>
        <w:t>欧洲经济委员会1</w:t>
      </w:r>
      <w:r>
        <w:t xml:space="preserve"> </w:t>
      </w:r>
      <w:r>
        <w:t>和</w:t>
      </w:r>
      <w:r>
        <w:t xml:space="preserve"> </w:t>
      </w:r>
      <w:r>
        <w:t>电子设备ED1</w:t>
      </w:r>
      <w:r>
        <w:t xml:space="preserve"> </w:t>
      </w:r>
      <w:r>
        <w:t>，使用 CAUTI 小鼠模型验证它们在体外人尿感染和体内感染中的作用。阐明这种组织特异性调节子为开发靶向疗法以减轻这些不断发生的问题提供了战略路线图。</w:t>
      </w:r>
    </w:p>
    <w:p>
      <w:pPr>
        <w:spacing w:before="0" w:after="200" w:lineRule="auto" w:line="276"/>
      </w:pPr>
      <w:r>
        <w:rPr>
          <w:b/>
        </w:rPr>
        <w:t xml:space="preserve">Abstract (EN): </w:t>
      </w:r>
      <w:r>
        <w:t>Urinary catheterization, a frequent procedure in hospitals, nursing homes, and other healthcare facilities, is a primary driver of nosocomial infections. The most common of these are catheter-associated urinary tract infections (CAUTIs), which often progress to severe complication, sepsis, and ultimately death. The fungus</w:t>
      </w:r>
      <w:r>
        <w:t xml:space="preserve"> </w:t>
      </w:r>
      <w:r>
        <w:t>Candida albicans</w:t>
      </w:r>
      <w:r>
        <w:t xml:space="preserve"> </w:t>
      </w:r>
      <w:r>
        <w:t>is a primary causative agent of CAUTIs; yet, its tissue-specific pathogenesis remains poorly understood, which complicates development of efficient treatments. While Efg1 is a known virulence driver in CAUTI, its specific downstream targets within the unique bladder environment have not been defined. Here, we identify and validate the</w:t>
      </w:r>
      <w:r>
        <w:t xml:space="preserve"> </w:t>
      </w:r>
      <w:r>
        <w:t>EFG1</w:t>
      </w:r>
      <w:r>
        <w:t xml:space="preserve"> </w:t>
      </w:r>
      <w:r>
        <w:t>regulon that is active during conditions that mimic the human catheterized bladder and, additionally, confirm the regulon by transcriptional profiling of catheters retrieved from patients with</w:t>
      </w:r>
      <w:r>
        <w:t xml:space="preserve"> </w:t>
      </w:r>
      <w:r>
        <w:t>C. albicans</w:t>
      </w:r>
      <w:r>
        <w:t xml:space="preserve"> </w:t>
      </w:r>
      <w:r>
        <w:t>infection. We found that this urine-specific signature is highly conserved in clinical samples, with Efg1-dependent genes being among the most robustly induced transcripts during active human infection. Furthermore, we characterized two of these key factors,</w:t>
      </w:r>
      <w:r>
        <w:t xml:space="preserve"> </w:t>
      </w:r>
      <w:r>
        <w:t>ECE1</w:t>
      </w:r>
      <w:r>
        <w:t xml:space="preserve"> </w:t>
      </w:r>
      <w:r>
        <w:t>and</w:t>
      </w:r>
      <w:r>
        <w:t xml:space="preserve"> </w:t>
      </w:r>
      <w:r>
        <w:t>EED1</w:t>
      </w:r>
      <w:r>
        <w:t xml:space="preserve"> </w:t>
      </w:r>
      <w:r>
        <w:t>, validating their roles in infection both in vitro in human urine and in vivo using a CAUTI mouse model. Elucidating this tissue-specific regulon offers a strategic roadmap for the development of targeted therapies to mitigate these ever-increasing life-threatening fungal infections.</w:t>
      </w:r>
    </w:p>
    <w:p>
      <w:pPr>
        <w:spacing w:before="120" w:after="120"/>
      </w:pPr>
      <w:r>
        <w:rPr>
          <w:sz w:val="18"/>
        </w:rPr>
        <w:t>——————————————————————————————————————————————————————————————————————</w:t>
      </w:r>
    </w:p>
    <w:p>
      <w:pPr>
        <w:spacing w:before="160" w:after="40" w:line="240" w:lineRule="auto"/>
      </w:pPr>
      <w:r>
        <w:rPr>
          <w:b/>
        </w:rPr>
        <w:t xml:space="preserve">[331] </w:t>
      </w:r>
      <w:hyperlink r:id="rId1141">
        <w:r>
          <w:rPr>
            <w:color w:val="1155CC"/>
            <w:u w:val="single"/>
          </w:rPr>
          <w:t>人类和猴子之间几何直觉的连续性</w:t>
        </w:r>
      </w:hyperlink>
    </w:p>
    <w:p>
      <w:pPr>
        <w:spacing w:before="0" w:after="80"/>
      </w:pPr>
      <w:r>
        <w:rPr>
          <w:i/>
          <w:sz w:val="20"/>
        </w:rPr>
        <w:t>EN: Continuity in geometric intuition between humans and monkeys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42">
        <w:r>
          <w:rPr>
            <w:color w:val="1155CC"/>
            <w:u w:val="single"/>
          </w:rPr>
          <w:t>10.1073/pnas.2532934123</w:t>
        </w:r>
      </w:hyperlink>
    </w:p>
    <w:p>
      <w:pPr>
        <w:spacing w:before="0" w:after="120"/>
      </w:pPr>
      <w:r>
        <w:rPr>
          <w:b/>
        </w:rPr>
        <w:t xml:space="preserve">Notes: </w:t>
      </w:r>
      <w:r>
        <w:t>abstract_source=crossref</w:t>
      </w:r>
    </w:p>
    <w:p>
      <w:pPr>
        <w:spacing w:before="0" w:after="80" w:lineRule="auto" w:line="276"/>
      </w:pPr>
      <w:r>
        <w:rPr>
          <w:b/>
        </w:rPr>
        <w:t xml:space="preserve">摘要（ZH）: </w:t>
      </w:r>
      <w:r>
        <w:t>几何直觉被认为是人类智力的标志。人类在识别具有欧几里得特征（例如平行性、对称性）的几何形状方面拥有独特的优势，并且比非人类灵长类动物拥有更复杂的几何概念。对人类这种独特性的一个流行解释是，人类依靠离散的象征性特征来编码几何形状，而其他灵长类动物仅依赖于连续的感知特征。目前的研究挑战了这一观点。我们使用样本匹配任务来测试猴子是否与人类共享几何表示。我们发现猴子将高级感知表征与人类一样的抽象符号表征结合起来，这表明跨物种的几何直觉存在分级的、定量的连续性，而不是分类的、定性的鸿沟。重要的是，与学龄前儿童处理未旋转的形状相比，猴子在处理旋转的几何形状时表现出对符号特征的更强依赖，这表明看似符号表示的东西可能很大程度上来自旋转不变的编码。这些结果挑战了人类在几何直觉方面具有独特性的假设，并表明其起源于人类，植根于与灵长类动物共有的抽象概念。</w:t>
      </w:r>
    </w:p>
    <w:p>
      <w:pPr>
        <w:spacing w:before="0" w:after="200" w:lineRule="auto" w:line="276"/>
      </w:pPr>
      <w:r>
        <w:rPr>
          <w:b/>
        </w:rPr>
        <w:t xml:space="preserve">Abstract (EN): </w:t>
      </w:r>
      <w:r>
        <w:t>Geometric intuition is regarded as a hallmark of human intelligence. Humans hold a unique advantage in recognizing geometric shapes with Euclidean features (e.g., parallelism, symmetry) and have more sophisticated geometric concepts than nonhuman primates. A popular explanation for this human distinctiveness is that humans rely on discrete, symbolic features to encode geometric shapes, while other primates depend only on continuous perceptual features. The current study challenges this view. We used a match-to-sample task to test whether monkeys share geometric representations with humans. We found that monkeys combined high-level perceptual representations with abstract symbolic representations like humans, suggesting a graded, quantitative continuity in geometric intuition across species rather than a categorical, qualitative divide. Importantly, monkeys showed stronger reliance on symbolic features when processing rotated geometric shapes than preschoolers did with unrotated shapes, indicating that what appears to be symbolic representation may largely emerge from rotation-invariant encoding. These results challenge the hypothesis of human uniqueness in geometric intuition and suggest that its origins in humans are rooted in abstractions shared with primates.</w:t>
      </w:r>
    </w:p>
    <w:p>
      <w:pPr>
        <w:spacing w:before="120" w:after="120"/>
      </w:pPr>
      <w:r>
        <w:rPr>
          <w:sz w:val="18"/>
        </w:rPr>
        <w:t>——————————————————————————————————————————————————————————————————————</w:t>
      </w:r>
    </w:p>
    <w:p>
      <w:pPr>
        <w:spacing w:before="160" w:after="40" w:line="240" w:lineRule="auto"/>
      </w:pPr>
      <w:r>
        <w:rPr>
          <w:b/>
        </w:rPr>
        <w:t xml:space="preserve">[332] </w:t>
      </w:r>
      <w:hyperlink r:id="rId1143">
        <w:r>
          <w:rPr>
            <w:color w:val="1155CC"/>
            <w:u w:val="single"/>
          </w:rPr>
          <w:t>当孩子塑造他们的家庭时：挪威母亲、父亲和儿童队列研究中 40,000 名三人组的唤起效应分析</w:t>
        </w:r>
      </w:hyperlink>
    </w:p>
    <w:p>
      <w:pPr>
        <w:spacing w:before="0" w:after="80"/>
      </w:pPr>
      <w:r>
        <w:rPr>
          <w:i/>
          <w:sz w:val="20"/>
        </w:rPr>
        <w:t>EN: When children shape their families: Evocative effects analysis of 40,000 trios from the Norwegian Mother, Father and Child Cohort Study</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44">
        <w:r>
          <w:rPr>
            <w:color w:val="1155CC"/>
            <w:u w:val="single"/>
          </w:rPr>
          <w:t>10.1073/pnas.2532642123</w:t>
        </w:r>
      </w:hyperlink>
    </w:p>
    <w:p>
      <w:pPr>
        <w:spacing w:before="0" w:after="120"/>
      </w:pPr>
      <w:r>
        <w:rPr>
          <w:b/>
        </w:rPr>
        <w:t xml:space="preserve">Notes: </w:t>
      </w:r>
      <w:r>
        <w:t>abstract_source=crossref</w:t>
      </w:r>
    </w:p>
    <w:p>
      <w:pPr>
        <w:spacing w:before="0" w:after="80" w:lineRule="auto" w:line="276"/>
      </w:pPr>
      <w:r>
        <w:rPr>
          <w:b/>
        </w:rPr>
        <w:t xml:space="preserve">摘要（ZH）: </w:t>
      </w:r>
      <w:r>
        <w:t>家庭人口行为通常被研究为对结构条件或父母特征的反应，但儿童本身可能通过令人回味的基因-环境相关性塑造关键的家庭轨迹。这项研究基于挪威母亲、父亲和儿童队列研究 (MoBa)。通过分析约 40,000 个经过基因分型的母父子三人组，我们测试了儿童的多基因指数 (PGI) 是否可以预测父母随后的生育能力、伴侣关系解除和婚姻过渡。考虑到父母的 PGI，我们发现大多数特征的唤起效应的证据有限。例外情况是，较高的儿童 ADHD PGI 预示着父母关系破裂会增加（每个 SD 为 7% [CI = 2.9 - 11.8%]），特别是在有女儿的家庭中（每个 SD 为 11% [CI = 4.9 - 18%]）、较高的社会经济地位（每个 SD 为 15% [CI = 7.7 - 23.2%]）以及母亲第一胎年龄较高（每个 SD 为 10% [CI = 3 - 17%]）。标准差）。差异的主要来源是社会经济维度，其中儿童驱动的影响在社会经济地位较高的家庭中更为强烈。该研究为家庭人口统计学中令人回味的基因-环境相关性提供了证据，证明了孩子对父母的影响在塑造家庭轨迹方面的重要性。</w:t>
      </w:r>
    </w:p>
    <w:p>
      <w:pPr>
        <w:spacing w:before="0" w:after="200" w:lineRule="auto" w:line="276"/>
      </w:pPr>
      <w:r>
        <w:rPr>
          <w:b/>
        </w:rPr>
        <w:t xml:space="preserve">Abstract (EN): </w:t>
      </w:r>
      <w:r>
        <w:t>Family demographic behavior is often studied as a response to structural conditions or parental characteristics, yet children may themselves shape key family trajectories through evocative gene–environment correlations. This study is based on the Norwegian Mother, Father and Child Cohort Study (MoBa). By analyzing ~ 40,000 genotyped mother–father–child trios, we test whether children’s polygenic indices (PGIs) predict parents’ subsequent fertility, partnership dissolution, and transition to marriage. Accounting for parental PGIs, we found limited evidence for evocative effects across most traits. The exception was that higher child ADHD PGI predicted increased parental partnership dissolution (7% [CI = 2.9 to 11.8%] per SD), especially in families with daughters (11% [CI = 4.9 to 18%] per SD), higher socioeconomic status (15% [CI = 7.7 to 23.2%] per SD), and older maternal age at first birth (10% [CI = 3 to 17%] per SD). The main source of variation is the socioeconomic dimension where child-driven effects are stronger in higher-SES families. The study provides evidence for evocative gene–environment correlations in family demography, demonstrating the importance of child-to-parent effects in shaping family trajectories.</w:t>
      </w:r>
    </w:p>
    <w:p>
      <w:pPr>
        <w:spacing w:before="120" w:after="120"/>
      </w:pPr>
      <w:r>
        <w:rPr>
          <w:sz w:val="18"/>
        </w:rPr>
        <w:t>——————————————————————————————————————————————————————————————————————</w:t>
      </w:r>
    </w:p>
    <w:p>
      <w:pPr>
        <w:spacing w:before="160" w:after="40" w:line="240" w:lineRule="auto"/>
      </w:pPr>
      <w:r>
        <w:rPr>
          <w:b/>
        </w:rPr>
        <w:t xml:space="preserve">[333] </w:t>
      </w:r>
      <w:hyperlink r:id="rId1145">
        <w:r>
          <w:rPr>
            <w:color w:val="1155CC"/>
            <w:u w:val="single"/>
          </w:rPr>
          <w:t>严重洪水增加长期阿片类药物过量死亡率</w:t>
        </w:r>
      </w:hyperlink>
    </w:p>
    <w:p>
      <w:pPr>
        <w:spacing w:before="0" w:after="80"/>
      </w:pPr>
      <w:r>
        <w:rPr>
          <w:i/>
          <w:sz w:val="20"/>
        </w:rPr>
        <w:t>EN: Severe floods increase long-term opioid overdose mortality</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46">
        <w:r>
          <w:rPr>
            <w:color w:val="1155CC"/>
            <w:u w:val="single"/>
          </w:rPr>
          <w:t>10.1073/pnas.2530028123</w:t>
        </w:r>
      </w:hyperlink>
    </w:p>
    <w:p>
      <w:pPr>
        <w:spacing w:before="0" w:after="120"/>
      </w:pPr>
      <w:r>
        <w:rPr>
          <w:b/>
        </w:rPr>
        <w:t xml:space="preserve">Notes: </w:t>
      </w:r>
      <w:r>
        <w:t>abstract_source=crossref</w:t>
      </w:r>
    </w:p>
    <w:p>
      <w:pPr>
        <w:spacing w:before="0" w:after="80" w:lineRule="auto" w:line="276"/>
      </w:pPr>
      <w:r>
        <w:rPr>
          <w:b/>
        </w:rPr>
        <w:t xml:space="preserve">摘要（ZH）: </w:t>
      </w:r>
      <w:r>
        <w:t>气候灾害与物质使用相关危害之间的关系尚未得到充分研究。本研究采用混合方法研究设计来评估严重洪水对阿片类药物过量死亡率的影响，并确定驱动这种关系的机制。根据 NCHS 的阿片类药物过量死亡数据、FEMA 的总统灾难声明以及 NOAA 的严重风暴事件数据，我们发现阿巴拉契亚农村地区的严重洪水导致县级药物过量死亡率大幅上升，这种情况在洪水后持续了十年。然后，我们收集了 17 个利益相关者关于 2022 年 7 月肯塔基州东部发生的洪水的回顾性定性数据。采访表明，服药过量死亡率的上升是由于获得治疗、康复和减少伤害服务的机会减少所致；增加创伤；不稳定性增加；以及寻求帮助方面持续存在的耻辱。由于预计这些灾难将持续发生，了解其对药物使用相关危害的影响对于减轻未来的损害至关重要。</w:t>
      </w:r>
    </w:p>
    <w:p>
      <w:pPr>
        <w:spacing w:before="0" w:after="200" w:lineRule="auto" w:line="276"/>
      </w:pPr>
      <w:r>
        <w:rPr>
          <w:b/>
        </w:rPr>
        <w:t xml:space="preserve">Abstract (EN): </w:t>
      </w:r>
      <w:r>
        <w:t>The relationship between climate disasters and substance use-related harms has been understudied. This study employed a mixed methods research design to assess the impact of severe floods on opioid overdose mortality and identify mechanisms driving this relationship. Drawing on opioid overdose death data from NCHS, presidential disaster declarations from FEMA, and severe storm event data from NOAA, we found severe floods in rural Appalachia led to a significant increase in county-level overdose mortality that persisted for a decade postflood. We then collected retrospective qualitative data from 17 stakeholders regarding the floods that occurred in Eastern Kentucky in July 2022. Interviews suggested this increase in overdose mortality was perpetuated by decreased access to treatment, recovery, and harm reduction services; increased trauma; increased instability; and persistent stigma around help-seeking. Due to the predicted continuation of these disasters, understanding their impact on substance use-related harms is essential to mitigating future damage.</w:t>
      </w:r>
    </w:p>
    <w:p>
      <w:pPr>
        <w:spacing w:before="120" w:after="120"/>
      </w:pPr>
      <w:r>
        <w:rPr>
          <w:sz w:val="18"/>
        </w:rPr>
        <w:t>——————————————————————————————————————————————————————————————————————</w:t>
      </w:r>
    </w:p>
    <w:p>
      <w:pPr>
        <w:spacing w:before="160" w:after="40" w:line="240" w:lineRule="auto"/>
      </w:pPr>
      <w:r>
        <w:rPr>
          <w:b/>
        </w:rPr>
        <w:t xml:space="preserve">[334] </w:t>
      </w:r>
      <w:hyperlink r:id="rId1147">
        <w:r>
          <w:rPr>
            <w:color w:val="1155CC"/>
            <w:u w:val="single"/>
          </w:rPr>
          <w:t>变革性人工智能治理的法律基础设施</w:t>
        </w:r>
      </w:hyperlink>
    </w:p>
    <w:p>
      <w:pPr>
        <w:spacing w:before="0" w:after="80"/>
      </w:pPr>
      <w:r>
        <w:rPr>
          <w:i/>
          <w:sz w:val="20"/>
        </w:rPr>
        <w:t>EN: Legal infrastructure for transformative AI governance</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48">
        <w:r>
          <w:rPr>
            <w:color w:val="1155CC"/>
            <w:u w:val="single"/>
          </w:rPr>
          <w:t>10.1073/pnas.2509742123</w:t>
        </w:r>
      </w:hyperlink>
    </w:p>
    <w:p>
      <w:pPr>
        <w:spacing w:before="0" w:after="120"/>
      </w:pPr>
      <w:r>
        <w:rPr>
          <w:b/>
        </w:rPr>
        <w:t xml:space="preserve">Notes: </w:t>
      </w:r>
      <w:r>
        <w:t>abstract_source=crossref</w:t>
      </w:r>
    </w:p>
    <w:p>
      <w:pPr>
        <w:spacing w:before="0" w:after="80" w:lineRule="auto" w:line="276"/>
      </w:pPr>
      <w:r>
        <w:rPr>
          <w:b/>
        </w:rPr>
        <w:t xml:space="preserve">摘要（ZH）: </w:t>
      </w:r>
      <w:r>
        <w:t>我们的大部分人工智能治理工作都集中在实质内容上：我们想要制定什么规则？我们希望对人工智能的开发和部署施加哪些限制或检查？但法律的关键作用不仅是建立实质性规则，而且是建立法律和监管基础设施来制定和实施规则。人工智能的变革性质尤其需要关注建立法律和监管框架。在本视角中，我回顾了三个例子：建立前沿模型的注册制度；建立自主代理人的注册和身份识别制度；监管市场的设计，以促进私营公司创新和提供人工智能监管服务的作用。</w:t>
      </w:r>
    </w:p>
    <w:p>
      <w:pPr>
        <w:spacing w:before="0" w:after="200" w:lineRule="auto" w:line="276"/>
      </w:pPr>
      <w:r>
        <w:rPr>
          <w:b/>
        </w:rPr>
        <w:t xml:space="preserve">Abstract (EN): </w:t>
      </w:r>
      <w:r>
        <w:t>Most of our AI governance efforts focus on substance: What rules do we want in place? What limits or checks do we want to impose on AI development and deployment? But a key role for law is not only to establish substantive rules but also to establish legal and regulatory infrastructure to generate and implement rules. The transformative nature of AI calls especially for attention to building legal and regulatory frameworks. In this Perspective, I review three examples: the creation of registration regimes for frontier models; the creation of registration and identification regimes for autonomous agents; and the design of regulatory markets to facilitate a role for private companies to innovate and deliver AI regulatory services.</w:t>
      </w:r>
    </w:p>
    <w:p>
      <w:pPr>
        <w:spacing w:before="120" w:after="120"/>
      </w:pPr>
      <w:r>
        <w:rPr>
          <w:sz w:val="18"/>
        </w:rPr>
        <w:t>——————————————————————————————————————————————————————————————————————</w:t>
      </w:r>
    </w:p>
    <w:p>
      <w:pPr>
        <w:spacing w:before="160" w:after="40" w:line="240" w:lineRule="auto"/>
      </w:pPr>
      <w:r>
        <w:rPr>
          <w:b/>
        </w:rPr>
        <w:t xml:space="preserve">[335] </w:t>
      </w:r>
      <w:hyperlink r:id="rId1149">
        <w:r>
          <w:rPr>
            <w:color w:val="1155CC"/>
            <w:u w:val="single"/>
          </w:rPr>
          <w:t>纠正 Buche 等人的观点，即特质介导的相互作用驱动局部多样性</w:t>
        </w:r>
      </w:hyperlink>
    </w:p>
    <w:p>
      <w:pPr>
        <w:spacing w:before="0" w:after="80"/>
      </w:pPr>
      <w:r>
        <w:rPr>
          <w:i/>
          <w:sz w:val="20"/>
        </w:rPr>
        <w:t>EN: Correction for Buche et al., Trait-mediated interactions drive local diversity</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50">
        <w:r>
          <w:rPr>
            <w:color w:val="1155CC"/>
            <w:u w:val="single"/>
          </w:rPr>
          <w:t>10.1073/pnas.2623377123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[336] </w:t>
      </w:r>
      <w:hyperlink r:id="rId1151">
        <w:r>
          <w:rPr>
            <w:color w:val="1155CC"/>
            <w:u w:val="single"/>
          </w:rPr>
          <w:t>社会科学领域的性别薪酬差距</w:t>
        </w:r>
      </w:hyperlink>
    </w:p>
    <w:p>
      <w:pPr>
        <w:spacing w:before="0" w:after="80"/>
      </w:pPr>
      <w:r>
        <w:rPr>
          <w:i/>
          <w:sz w:val="20"/>
        </w:rPr>
        <w:t>EN: Gender pay gaps in the social sciences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52">
        <w:r>
          <w:rPr>
            <w:color w:val="1155CC"/>
            <w:u w:val="single"/>
          </w:rPr>
          <w:t>10.1073/pnas.2524119123</w:t>
        </w:r>
      </w:hyperlink>
    </w:p>
    <w:p>
      <w:pPr>
        <w:spacing w:before="0" w:after="120"/>
      </w:pPr>
      <w:r>
        <w:rPr>
          <w:b/>
        </w:rPr>
        <w:t xml:space="preserve">Notes: </w:t>
      </w:r>
      <w:r>
        <w:t>abstract_source=crossref</w:t>
      </w:r>
    </w:p>
    <w:p>
      <w:pPr>
        <w:spacing w:before="0" w:after="80" w:lineRule="auto" w:line="276"/>
      </w:pPr>
      <w:r>
        <w:rPr>
          <w:b/>
        </w:rPr>
        <w:t xml:space="preserve">摘要（ZH）: </w:t>
      </w:r>
      <w:r>
        <w:t>我们对学术界的性别薪酬差距进行了纵向、多领域的分析，将个人工资与学术生产力的衡量标准直接联系起来。我们利用构成加州大学系统的十个校区的管理数据，将详细的薪资记录与五个主要社会科学领域教师的出版物和引用的文献计量数据结合起来。我们发现原始性别薪酬差距为 23%，在控制现场、校园和队列后，该差距降至 4.3%。包括对职称和学术生产力的控制对估计的差距影响不大，尽管它们大大增加了解释力。分解表明，17% 的差距是无法解释的，在初级和高级教师中都存在。我们还发现出版物中存在巨大且持续的性别差距，但一旦考虑到产出和职业长度，就不存在引用差距。领域层面的分析表明，薪酬差距并不普遍：它们在商业、社会学和人类学中持续存在，但在经济学、政治学和较小的社会科学领域中不存在。我们的结果表明，薪酬透明度不足以消除薪酬差距，并且该领域内更平等的代表性并不是薪酬公平的先决条件。我们的研究隔离了生产力或资历无法解释的剩余差距，挑战了这些因素完全解释性别薪酬差异的观点。总而言之，我们的研究结果强调了特定领域规范和制度结构的作用，为促进公平补偿提供了方向。</w:t>
      </w:r>
    </w:p>
    <w:p>
      <w:pPr>
        <w:spacing w:before="0" w:after="200" w:lineRule="auto" w:line="276"/>
      </w:pPr>
      <w:r>
        <w:rPr>
          <w:b/>
        </w:rPr>
        <w:t xml:space="preserve">Abstract (EN): </w:t>
      </w:r>
      <w:r>
        <w:t>We provide a longitudinal, multifield analysis of the gender pay gap in academia that directly links individual-level salaries to measures of scholarly productivity. Using administrative data from the ten campuses that comprise the University of California system, we combine detailed pay records with bibliometric data on publications and citations for faculty in five major social science fields. We find a raw gender pay gap of 23%, which decreases to 4.3% after controlling for field, campus, and cohort. Including controls for job title and scholarly productivity has little effect on the estimated gap, although they substantially increase explanatory power. A decomposition shows that 17% of the gap is unexplained, persisting across junior and senior faculty. We also find a large, persistent gender gap in publications, but no citation gap once output and career length are considered. Field-level analysis reveals that pay gaps are not universal: They persist in Business, Sociology, and Anthropology, but are absent in Economics, Political Science, and smaller social science fields. Our results suggest that pay transparency is insufficient to eliminate salary disparities and that more equal representation within the field is not a prerequisite for pay equity. Our study isolates the residual gap that remains unexplained by productivity or seniority, challenging the view that these factors fully account for gender pay differences. Taken together, our findings highlight the role of field-specific norms and institutional structures, offering directions to promote equitable compensation in academia.</w:t>
      </w:r>
    </w:p>
    <w:p>
      <w:pPr>
        <w:spacing w:before="120" w:after="120"/>
      </w:pPr>
      <w:r>
        <w:rPr>
          <w:sz w:val="18"/>
        </w:rPr>
        <w:t>——————————————————————————————————————————————————————————————————————</w:t>
      </w:r>
    </w:p>
    <w:p>
      <w:pPr>
        <w:spacing w:before="160" w:after="40" w:line="240" w:lineRule="auto"/>
      </w:pPr>
      <w:r>
        <w:rPr>
          <w:b/>
        </w:rPr>
        <w:t xml:space="preserve">[337] </w:t>
      </w:r>
      <w:hyperlink r:id="rId1153">
        <w:r>
          <w:rPr>
            <w:color w:val="1155CC"/>
            <w:u w:val="single"/>
          </w:rPr>
          <w:t>评估版权作品集体许可作为生成人工智能系统训练数据的可行性</w:t>
        </w:r>
      </w:hyperlink>
    </w:p>
    <w:p>
      <w:pPr>
        <w:spacing w:before="0" w:after="80"/>
      </w:pPr>
      <w:r>
        <w:rPr>
          <w:i/>
          <w:sz w:val="20"/>
        </w:rPr>
        <w:t>EN: Assessing the feasibility of collective licensing of in-copyright works as training data for generative AI systems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54">
        <w:r>
          <w:rPr>
            <w:color w:val="1155CC"/>
            <w:u w:val="single"/>
          </w:rPr>
          <w:t>10.1073/pnas.2509769122</w:t>
        </w:r>
      </w:hyperlink>
    </w:p>
    <w:p>
      <w:pPr>
        <w:spacing w:before="0" w:after="120"/>
      </w:pPr>
      <w:r>
        <w:rPr>
          <w:b/>
        </w:rPr>
        <w:t xml:space="preserve">Notes: </w:t>
      </w:r>
      <w:r>
        <w:t>abstract_source=crossref</w:t>
      </w:r>
    </w:p>
    <w:p>
      <w:pPr>
        <w:spacing w:before="0" w:after="80" w:lineRule="auto" w:line="276"/>
      </w:pPr>
      <w:r>
        <w:rPr>
          <w:b/>
        </w:rPr>
        <w:t xml:space="preserve">摘要（ZH）: </w:t>
      </w:r>
      <w:r>
        <w:t>版权所有者已起诉几家大规模生成人工智能系统的开发商侵犯版权，因为他们使用大量版权作品作为构建人工智能模型的训练数据。合理使用将是针对这些指控的主要辩护理由。如果合理使用防御成功，开发人员将可以自由地继续商业利用已经建立在受版权保护的数据上的模型，以及使用这些数据来训练新模型或微调现有模型。如果版权所有者获胜，开发商可能需要承担数十亿美元的损失。开发者还可能被禁止对版权内的作品进行进一步的模型开发，甚至被勒令销毁使用侵权作品训练的模型。许多评论家提出集体许可作为解决版权-训练-数据困境的折衷解决方案。其他评论家质疑这种妥协的可行性。本文讨论了集体许可的几项提案，以促进生成式人工智能系统的开发，同时向版权所有者提供一些补偿。它评估了如果这样的制度变得可行就必须解决的复杂的规范、经济和实际问题。它讨论了许可授权的影响，不仅对模型如今被广泛使用的大公司，而且对初创企业、研究中心和生成人工智能系统的高等教育开发商以及公众都有影响。</w:t>
      </w:r>
    </w:p>
    <w:p>
      <w:pPr>
        <w:spacing w:before="0" w:after="200" w:lineRule="auto" w:line="276"/>
      </w:pPr>
      <w:r>
        <w:rPr>
          <w:b/>
        </w:rPr>
        <w:t xml:space="preserve">Abstract (EN): </w:t>
      </w:r>
      <w:r>
        <w:t>Copyright owners have sued several developers of large-scale generative AI systems for copyright infringement because of their uses of massive quantities of in-copyright works as training data for building AI models. Fair use will be the main defense against these charges. If fair use defenses succeed, developers will be free to continue to commercially exploit models already built on copyrighted data as well as to use these data to train new models or fine-tune existing ones. If copyright owners prevail, developers may be liable for billions of dollars of damages. Developers could also be enjoined from further model development on in-copyright works and even ordered to destroy models trained on infringing works. Numerous commentators have proposed collective licensing as a compromise solution to the copyright-training-data dilemma. Other commentators have questioned the feasibility of such a compromise. This article discusses several proposals for collective licensing to enable development of generative AI systems while providing some compensation to copyright owners. It assesses the complex normative, economic, and practical problems that must be addressed if such a regime is to become feasible. It discusses the implications of a licensing mandate not only for the large firms whose models are widely used today, but also for start-ups, research centers, and higher education developers of generative AI systems, as well as the general public.</w:t>
      </w:r>
    </w:p>
    <w:p>
      <w:pPr>
        <w:spacing w:before="120" w:after="120"/>
      </w:pPr>
      <w:r>
        <w:rPr>
          <w:sz w:val="18"/>
        </w:rPr>
        <w:t>——————————————————————————————————————————————————————————————————————</w:t>
      </w:r>
    </w:p>
    <w:p>
      <w:pPr>
        <w:spacing w:before="160" w:after="40" w:line="240" w:lineRule="auto"/>
      </w:pPr>
      <w:r>
        <w:rPr>
          <w:b/>
        </w:rPr>
        <w:t xml:space="preserve">[338] </w:t>
      </w:r>
      <w:hyperlink r:id="rId1155">
        <w:r>
          <w:rPr>
            <w:color w:val="1155CC"/>
            <w:u w:val="single"/>
          </w:rPr>
          <w:t>人工智能的法律解释</w:t>
        </w:r>
      </w:hyperlink>
    </w:p>
    <w:p>
      <w:pPr>
        <w:spacing w:before="0" w:after="80"/>
      </w:pPr>
      <w:r>
        <w:rPr>
          <w:i/>
          <w:sz w:val="20"/>
        </w:rPr>
        <w:t>EN: Statutory construction and interpretation for AI</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56">
        <w:r>
          <w:rPr>
            <w:color w:val="1155CC"/>
            <w:u w:val="single"/>
          </w:rPr>
          <w:t>10.1073/pnas.2509766123</w:t>
        </w:r>
      </w:hyperlink>
    </w:p>
    <w:p>
      <w:pPr>
        <w:spacing w:before="0" w:after="120"/>
      </w:pPr>
      <w:r>
        <w:rPr>
          <w:b/>
        </w:rPr>
        <w:t xml:space="preserve">Notes: </w:t>
      </w:r>
      <w:r>
        <w:t>abstract_source=crossref</w:t>
      </w:r>
    </w:p>
    <w:p>
      <w:pPr>
        <w:spacing w:before="0" w:after="80" w:lineRule="auto" w:line="276"/>
      </w:pPr>
      <w:r>
        <w:rPr>
          <w:b/>
        </w:rPr>
        <w:t xml:space="preserve">摘要（ZH）: </w:t>
      </w:r>
      <w:r>
        <w:t>人工智能系统越来越多地受到自然语言规则的控制，但由于依赖语言而产生的一个关键挑战仍未得到充分探索：解释歧义。与法律体系一样，这些规则的编写方式和应用方式都产生了模糊性。但是，尽管法律体系使用制度保障措施来管理这种模糊性，例如透明的上诉审查监管解释性限制，但基于规则的人工智能协调管道缺乏类似的保护。对同一规则的不同解释可能会导致模型行为不一致。借鉴美国法律理论，我们通过研究法律体系如何限制规则创建和规则应用步骤中的模糊性，确定当前基于规则的协调流程中的关键差距。然后，我们提出了一个计算框架，将解释歧义形式化为约束熵最小化，并引入两种受法律启发的机制：1）规则细化管道，通过修改模糊规则（类似于机构规则制定或迭代立法行动）来最大限度地减少解释分歧，2）基于提示的解释约束，减少规则应用过程中的分歧（类似于指导司法自由裁量权的法律规范）。我们在 WildChat 数据集的 5,000 个场景子集上评估我们的框架，并表明这两种干预措施都显着提高了一组合理解释者的判断一致性。我们的方法为系统地管理解释歧义迈出了一步，这是构建更强大、更守法的人工智能系统的重要一步。</w:t>
      </w:r>
    </w:p>
    <w:p>
      <w:pPr>
        <w:spacing w:before="0" w:after="200" w:lineRule="auto" w:line="276"/>
      </w:pPr>
      <w:r>
        <w:rPr>
          <w:b/>
        </w:rPr>
        <w:t xml:space="preserve">Abstract (EN): </w:t>
      </w:r>
      <w:r>
        <w:t>AI systems are increasingly governed by natural language rules, yet a key challenge arising from reliance on language remains underexplored: interpretive ambiguity. As in legal systems, ambiguity arises both from how these rules are written and how they are applied. But while legal systems use institutional safeguards to manage such ambiguity, such as transparent appellate review policing interpretive constraints, rule-based AI alignment pipelines lack comparable protections. Different interpretations of the same rule can lead to inconsistent model behavior. Drawing on U.S. legal theory, we identify key gaps in current rule-based alignment pipelines by examining how legal systems constrain ambiguity at both the rule creation and rule application steps. We then propose a computational framework that formalizes interpretive ambiguity as constrained entropy minimization and introduces two law-inspired mechanisms: 1) a rule refinement pipeline that minimizes interpretive disagreement by revising ambiguous rules (analogous to agency rulemaking or iterative legislative action), and 2) prompt-based interpretive constraints that reduce disagreement during rule application (analogous to legal canons that guide judicial discretion). We evaluate our framework on a 5,000-scenario subset of the WildChat dataset and show that both interventions significantly improve judgment consistency across a panel of reasonable interpreters. Our approach offers a step toward systematically managing interpretive ambiguity, an essential step for building more robust, law-following AI systems.</w:t>
      </w:r>
    </w:p>
    <w:p>
      <w:pPr>
        <w:spacing w:before="120" w:after="120"/>
      </w:pPr>
      <w:r>
        <w:rPr>
          <w:sz w:val="18"/>
        </w:rPr>
        <w:t>——————————————————————————————————————————————————————————————————————</w:t>
      </w:r>
    </w:p>
    <w:p>
      <w:pPr>
        <w:spacing w:before="160" w:after="40" w:line="240" w:lineRule="auto"/>
      </w:pPr>
      <w:r>
        <w:rPr>
          <w:b/>
        </w:rPr>
        <w:t xml:space="preserve">[339] </w:t>
      </w:r>
      <w:hyperlink r:id="rId1157">
        <w:r>
          <w:rPr>
            <w:color w:val="1155CC"/>
            <w:u w:val="single"/>
          </w:rPr>
          <w:t>衡量人类和机器决策的不同影响</w:t>
        </w:r>
      </w:hyperlink>
    </w:p>
    <w:p>
      <w:pPr>
        <w:spacing w:before="0" w:after="80"/>
      </w:pPr>
      <w:r>
        <w:rPr>
          <w:i/>
          <w:sz w:val="20"/>
        </w:rPr>
        <w:t>EN: Measuring disparate impact in human and machine decisions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58">
        <w:r>
          <w:rPr>
            <w:color w:val="1155CC"/>
            <w:u w:val="single"/>
          </w:rPr>
          <w:t>10.1073/pnas.2509765122</w:t>
        </w:r>
      </w:hyperlink>
    </w:p>
    <w:p>
      <w:pPr>
        <w:spacing w:before="0" w:after="120"/>
      </w:pPr>
      <w:r>
        <w:rPr>
          <w:b/>
        </w:rPr>
        <w:t xml:space="preserve">Notes: </w:t>
      </w:r>
      <w:r>
        <w:t>abstract_source=crossref</w:t>
      </w:r>
    </w:p>
    <w:p>
      <w:pPr>
        <w:spacing w:before="0" w:after="80" w:lineRule="auto" w:line="276"/>
      </w:pPr>
      <w:r>
        <w:rPr>
          <w:b/>
        </w:rPr>
        <w:t xml:space="preserve">摘要（ZH）: </w:t>
      </w:r>
      <w:r>
        <w:t>随着有关个人和决策的详细数据越来越多，实证分析在歧视诉讼中变得越来越重要。一种流行的分析策略是在调整观察到的协变量后估计差异，通常使用回归模型，以期找出歧视意图。然而，这种方法不适合现在常用来辅助决策的审核算法，这些算法通常不包括种族或其他受法律保护的因素作为输入。在对不同影响的法律理解的推动下，我们引入了一种方法，旨在衡量人类和机器决策中“不合理”的差异。我们的方法称为风险调整回归，分三个步骤进行。第一步，我们将机器学习模型中的所有可用信息结合起来，以估计采取某种行动（例如批准贷款申请或雇用求职者）的价值或相反的风险。其次，我们在单独调整这些风险估计后衡量决策的差异。最后，在第三步中，我们评估结果对潜在风险误测的敏感性。我们在纽约市 220 万次警察拦截行人的详细数据集上展示了这种方法，并表明传统的歧视统计测试可以大大低估（风险调整后的）种族差异的程度。</w:t>
      </w:r>
    </w:p>
    <w:p>
      <w:pPr>
        <w:spacing w:before="0" w:after="200" w:lineRule="auto" w:line="276"/>
      </w:pPr>
      <w:r>
        <w:rPr>
          <w:b/>
        </w:rPr>
        <w:t xml:space="preserve">Abstract (EN): </w:t>
      </w:r>
      <w:r>
        <w:t>Empirical analyses have grown increasingly important in discrimination litigation with the greater availability of detailed data on individuals and decisions. A popular analytic strategy is to estimate disparities after adjusting for observed covariates, typically with a regression model, in hopes of ferreting out discriminatory intent. This approach, however, is ill-suited to auditing algorithms that are now commonly used to aid decisions, which typically do not include race or other legally protected factors as inputs. Motivated by legal understandings of disparate impact, we introduce an approach that aims to measure “unjustified” disparities in both human and machine decisions. Our method, which we call risk-adjusted regression, proceeds in three steps. In the first step, we combine all available information in a machine learning model to estimate the value, or inversely, the risk, of taking a certain action, such as approving a loan application or hiring a job candidate. Second, we measure disparities in decisions after adjusting for these risk estimates alone. Finally, in the third step, we assess the sensitivity of results to potential mismeasurement of risk. We demonstrate this approach on a detailed dataset of 2.2 million police stops of pedestrians in New York City, and show that traditional statistical tests of discrimination can substantially understate the magnitude of (risk-adjusted) racial disparities.</w:t>
      </w:r>
    </w:p>
    <w:p>
      <w:pPr>
        <w:spacing w:before="120" w:after="120"/>
      </w:pPr>
      <w:r>
        <w:rPr>
          <w:sz w:val="18"/>
        </w:rPr>
        <w:t>——————————————————————————————————————————————————————————————————————</w:t>
      </w:r>
    </w:p>
    <w:p>
      <w:pPr>
        <w:spacing w:before="160" w:after="40" w:line="240" w:lineRule="auto"/>
      </w:pPr>
      <w:r>
        <w:rPr>
          <w:b/>
        </w:rPr>
        <w:t xml:space="preserve">[340] </w:t>
      </w:r>
      <w:hyperlink r:id="rId1159">
        <w:r>
          <w:rPr>
            <w:color w:val="1155CC"/>
            <w:u w:val="single"/>
          </w:rPr>
          <w:t>具有种族意识的招生算法和法律</w:t>
        </w:r>
      </w:hyperlink>
    </w:p>
    <w:p>
      <w:pPr>
        <w:spacing w:before="0" w:after="80"/>
      </w:pPr>
      <w:r>
        <w:rPr>
          <w:i/>
          <w:sz w:val="20"/>
        </w:rPr>
        <w:t>EN: Race-conscious admissions algorithms and the law</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60">
        <w:r>
          <w:rPr>
            <w:color w:val="1155CC"/>
            <w:u w:val="single"/>
          </w:rPr>
          <w:t>10.1073/pnas.2509764123</w:t>
        </w:r>
      </w:hyperlink>
    </w:p>
    <w:p>
      <w:pPr>
        <w:spacing w:before="0" w:after="120"/>
      </w:pPr>
      <w:r>
        <w:rPr>
          <w:b/>
        </w:rPr>
        <w:t xml:space="preserve">Notes: </w:t>
      </w:r>
      <w:r>
        <w:t>abstract_source=crossref</w:t>
      </w:r>
    </w:p>
    <w:p>
      <w:pPr>
        <w:spacing w:before="0" w:after="80" w:lineRule="auto" w:line="276"/>
      </w:pPr>
      <w:r>
        <w:rPr>
          <w:b/>
        </w:rPr>
        <w:t xml:space="preserve">摘要（ZH）: </w:t>
      </w:r>
      <w:r>
        <w:t>近年来，学院和大学已开始使用机器学习 (ML) 系统来为招生决策提供信息。同时，在 2023 年的情况下</w:t>
      </w:r>
      <w:r>
        <w:t xml:space="preserve"> </w:t>
      </w:r>
      <w:r>
        <w:t>学生公平招生公司诉哈佛大学校长和院士</w:t>
      </w:r>
      <w:r>
        <w:t xml:space="preserve"> </w:t>
      </w:r>
      <w:r>
        <w:t>最高法院认为，学院和大学不得“根据种族”做出招生决定。这些并行的发展——机器学习在招生中的兴起和基于种族的平权行动的衰落——将迫使教育机构，最终是法院，面对这样一个难题：机器学习系统“基于种族”进行区分意味着什么。我们首先绘制</w:t>
      </w:r>
      <w:r>
        <w:t xml:space="preserve"> </w:t>
      </w:r>
      <w:r>
        <w:t>公平招生的学生</w:t>
      </w:r>
      <w:r>
        <w:t xml:space="preserve"> </w:t>
      </w:r>
      <w:r>
        <w:t>决定种族在预测人工智能中的不同用途。我们在机器学习的训练和预测阶段区分了“一阶”和“二阶”种族意识，并且我们认为每一类种族意识都会引发不同的法律和规范问题。我们继续证明</w:t>
      </w:r>
      <w:r>
        <w:t xml:space="preserve"> </w:t>
      </w:r>
      <w:r>
        <w:t>公平招生的学生</w:t>
      </w:r>
      <w:r>
        <w:t xml:space="preserve"> </w:t>
      </w:r>
      <w:r>
        <w:t>决策可能允许——甚至认可——某些形式的种族意识。我们的分析基于这样的观察：开发基于机器学习的系统的过程使政策制定者能够更精确、更明确地校准决策算法，以回应对种族意识平权行动的具体批评。</w:t>
      </w:r>
    </w:p>
    <w:p>
      <w:pPr>
        <w:spacing w:before="0" w:after="200" w:lineRule="auto" w:line="276"/>
      </w:pPr>
      <w:r>
        <w:rPr>
          <w:b/>
        </w:rPr>
        <w:t xml:space="preserve">Abstract (EN): </w:t>
      </w:r>
      <w:r>
        <w:t>In recent years, colleges and universities have begun to use machine learning (ML) systems to inform admissions decisions. Meanwhile, in the 2023 case</w:t>
      </w:r>
      <w:r>
        <w:t xml:space="preserve"> </w:t>
      </w:r>
      <w:r>
        <w:t>Students for Fair Admissions, Inc. v. President and Fellows of Harvard College</w:t>
      </w:r>
      <w:r>
        <w:t xml:space="preserve"> </w:t>
      </w:r>
      <w:r>
        <w:t>, the Supreme Court held that colleges and universities may not make admissions decisions “on the basis of race.” These parallel developments—the rise of ML in admissions and the fall of race-based affirmative action—will force educational institutions, and ultimately courts, to confront the difficult question of what it means for ML systems to differentiate “on the basis of race.” We begin by mapping the</w:t>
      </w:r>
      <w:r>
        <w:t xml:space="preserve"> </w:t>
      </w:r>
      <w:r>
        <w:t>Students for Fair Admissions</w:t>
      </w:r>
      <w:r>
        <w:t xml:space="preserve"> </w:t>
      </w:r>
      <w:r>
        <w:t>decision onto different uses of race in predictive AI. We distinguish between “first-order” and “second-order” race consciousness at both the training and predictive phases of machine learning, and we argue that each category of race consciousness raises distinct legal and normative issues. We go on to show that the</w:t>
      </w:r>
      <w:r>
        <w:t xml:space="preserve"> </w:t>
      </w:r>
      <w:r>
        <w:t>Students for Fair Admissions</w:t>
      </w:r>
      <w:r>
        <w:t xml:space="preserve"> </w:t>
      </w:r>
      <w:r>
        <w:t>decision potentially permits—and even endorses—certain forms of race consciousness. Our analysis is grounded in the observation that the process of developing ML-based systems enables policymakers to calibrate decision making algorithms much more precisely and explicitly in response to specific criticisms of race-conscious affirmative action.</w:t>
      </w:r>
    </w:p>
    <w:p>
      <w:pPr>
        <w:spacing w:before="120" w:after="120"/>
      </w:pPr>
      <w:r>
        <w:rPr>
          <w:sz w:val="18"/>
        </w:rPr>
        <w:t>——————————————————————————————————————————————————————————————————————</w:t>
      </w:r>
    </w:p>
    <w:p>
      <w:pPr>
        <w:spacing w:before="160" w:after="40" w:line="240" w:lineRule="auto"/>
      </w:pPr>
      <w:r>
        <w:rPr>
          <w:b/>
        </w:rPr>
        <w:t xml:space="preserve">[341] </w:t>
      </w:r>
      <w:hyperlink r:id="rId1161">
        <w:r>
          <w:rPr>
            <w:color w:val="1155CC"/>
            <w:u w:val="single"/>
          </w:rPr>
          <w:t>美国法律传统的连续性和变化：来自司法引文社区的证据</w:t>
        </w:r>
      </w:hyperlink>
    </w:p>
    <w:p>
      <w:pPr>
        <w:spacing w:before="0" w:after="80"/>
      </w:pPr>
      <w:r>
        <w:rPr>
          <w:i/>
          <w:sz w:val="20"/>
        </w:rPr>
        <w:t>EN: Continuity and change in US legal tradition: Evidence from judicial citation communities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62">
        <w:r>
          <w:rPr>
            <w:color w:val="1155CC"/>
            <w:u w:val="single"/>
          </w:rPr>
          <w:t>10.1073/pnas.2509763123</w:t>
        </w:r>
      </w:hyperlink>
    </w:p>
    <w:p>
      <w:pPr>
        <w:spacing w:before="0" w:after="120"/>
      </w:pPr>
      <w:r>
        <w:rPr>
          <w:b/>
        </w:rPr>
        <w:t xml:space="preserve">Notes: </w:t>
      </w:r>
      <w:r>
        <w:t>abstract_source=crossref</w:t>
      </w:r>
    </w:p>
    <w:p>
      <w:pPr>
        <w:spacing w:before="0" w:after="80" w:lineRule="auto" w:line="276"/>
      </w:pPr>
      <w:r>
        <w:rPr>
          <w:b/>
        </w:rPr>
        <w:t xml:space="preserve">摘要（ZH）: </w:t>
      </w:r>
      <w:r>
        <w:t>法律原则通常被描述为在保持连贯的法律传统的同时，逐案发展。我们引入了一种识别和追踪此类传统的方法，将 Louvain 社区检测算法应用于完整的美国联邦司法引用图（1790-2024 年；830 万次引用关联到 760,000 条意见）。由此产生的引文社区是不受监督的，对法院标签和主题分类法视而不见，但它们形成了有意义的经验分组：在验证练习中，它们恢复了已知的制度结构并捕获了连贯的实质性和程序性法律方法。我们以这些社区为实证单位，研究法律传统如何演变以及对立法变革的反应。我们表明，关键联邦法规的引入将引用模式转向更新的先例，这表明立法可以破坏既定的传统并重新引导判例法的发展。</w:t>
      </w:r>
    </w:p>
    <w:p>
      <w:pPr>
        <w:spacing w:before="0" w:after="200" w:lineRule="auto" w:line="276"/>
      </w:pPr>
      <w:r>
        <w:rPr>
          <w:b/>
        </w:rPr>
        <w:t xml:space="preserve">Abstract (EN): </w:t>
      </w:r>
      <w:r>
        <w:t>Legal doctrine is often described as evolving case by case while preserving coherent legal traditions. We introduce a method for identifying and tracing such traditions by applying the Louvain community-detection algorithm to the complete U.S. federal judicial citation graph (1790–2024; 760,000 opinions linked by 8.3 million citations). The resulting citation communities are unsupervised, blind to court labels and topical taxonomies, yet they form meaningful empirical groupings: In validation exercises, they recover known institutional structure and capture coherent substantive and procedural approaches to law. Using these communities as empirical units, we study how legal traditions evolve and respond to legislative change. We show that the introduction of pivotal federal statutes shifts citation patterns toward newer precedent, indicating that legislation can disrupt established traditions and redirect the development of case law.</w:t>
      </w:r>
    </w:p>
    <w:p>
      <w:pPr>
        <w:spacing w:before="120" w:after="120"/>
      </w:pPr>
      <w:r>
        <w:rPr>
          <w:sz w:val="18"/>
        </w:rPr>
        <w:t>——————————————————————————————————————————————————————————————————————</w:t>
      </w:r>
    </w:p>
    <w:p>
      <w:pPr>
        <w:spacing w:before="160" w:after="40" w:line="240" w:lineRule="auto"/>
      </w:pPr>
      <w:r>
        <w:rPr>
          <w:b/>
        </w:rPr>
        <w:t xml:space="preserve">[342] </w:t>
      </w:r>
      <w:hyperlink r:id="rId1163">
        <w:r>
          <w:rPr>
            <w:color w:val="1155CC"/>
            <w:u w:val="single"/>
          </w:rPr>
          <w:t>没有免费的基准：合法人工智能基准的机构观点</w:t>
        </w:r>
      </w:hyperlink>
    </w:p>
    <w:p>
      <w:pPr>
        <w:spacing w:before="0" w:after="80"/>
      </w:pPr>
      <w:r>
        <w:rPr>
          <w:i/>
          <w:sz w:val="20"/>
        </w:rPr>
        <w:t>EN: There is no free benchmark: An institutional view of legal AI benchmarking</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64">
        <w:r>
          <w:rPr>
            <w:color w:val="1155CC"/>
            <w:u w:val="single"/>
          </w:rPr>
          <w:t>10.1073/pnas.2509757122</w:t>
        </w:r>
      </w:hyperlink>
    </w:p>
    <w:p>
      <w:pPr>
        <w:spacing w:before="0" w:after="120"/>
      </w:pPr>
      <w:r>
        <w:rPr>
          <w:b/>
        </w:rPr>
        <w:t xml:space="preserve">Notes: </w:t>
      </w:r>
      <w:r>
        <w:t>abstract_source=crossref</w:t>
      </w:r>
    </w:p>
    <w:p>
      <w:pPr>
        <w:spacing w:before="0" w:after="80" w:lineRule="auto" w:line="276"/>
      </w:pPr>
      <w:r>
        <w:rPr>
          <w:b/>
        </w:rPr>
        <w:t xml:space="preserve">摘要（ZH）: </w:t>
      </w:r>
      <w:r>
        <w:t>尽管人们对人工智能在法律中的使用感到非常兴奋，但有关该领域广泛销售的工具的性能和相关风险的信息却很少。例如，最近的工作证明了“幻觉”的巨大潜力——其中模型构成了事实、法律和先例——导致首席大法官罗伯茨在他的年度司法报告中强调了这一风险。我们认为有必要在法律上对公共人工智能进行基准测试。首先，相对于其他人工智能应用领域，法律人工智能生态系统缺乏易读性——许多商业法律人工智能系统的设计和性能信息很少。法律人工智能并没有从其他领域的基准测试类型中受益，而基准测试类型已经催化、衡量和通知了人工智能创新和负责任的使用。其次，我们阐明了标杆管理制度设计的挑战。我们说明了如何获取、淡化和滥用基准。围绕基准测试的原因、对象、内容和方式进行仔细的制度设计对于解决透明度、客观性、专业知识和资源之间的困难权衡至关重要。第三，解决法律人工智能的模糊性需要将制度模式与可用资源和约束相匹配。我们不是提倡单一的“最佳”基准测试方法，而是展示基准测试策略如何依赖于可用资源。</w:t>
      </w:r>
    </w:p>
    <w:p>
      <w:pPr>
        <w:spacing w:before="0" w:after="200" w:lineRule="auto" w:line="276"/>
      </w:pPr>
      <w:r>
        <w:rPr>
          <w:b/>
        </w:rPr>
        <w:t xml:space="preserve">Abstract (EN): </w:t>
      </w:r>
      <w:r>
        <w:t>Despite substantial excitement around the use of AI in law, little information exists on the performance and associated risks of the domain’s widely marketed tools. Recent work, for instance, has demonstrated the significant potential for “hallucinations”—wherein models make up facts, law, and precedent—leading Chief Justice Roberts to spotlight this risk in his annual report on the judiciary. We argue that there is a need for public AI benchmarking in law. First, relative to other AI application domains, the legal AI ecosystem lacks legibility—there is little information about the design and performance of many commercial legal AI systems. Legal AI has not benefited from the types of benchmarking that have catalyzed, measured, and informed AI innovation and responsible use in other domains. Second, we articulate the challenges of the institutional design of benchmarking. We illustrate how benchmarks can be captured, watered down, and abused. Careful institutional design around the why, who, what, and how of benchmarking will be critical to navigate difficult tradeoffs of transparency, objectivity, expertise, and resources. Third, addressing legal AI’s illegibility requires matching institutional models to available resources and constraints. Rather than advocating for a single “best” approach to benchmarking, we show how benchmarking strategies depend on available resources.</w:t>
      </w:r>
    </w:p>
    <w:p>
      <w:pPr>
        <w:spacing w:before="120" w:after="120"/>
      </w:pPr>
      <w:r>
        <w:rPr>
          <w:sz w:val="18"/>
        </w:rPr>
        <w:t>——————————————————————————————————————————————————————————————————————</w:t>
      </w:r>
    </w:p>
    <w:p>
      <w:pPr>
        <w:spacing w:before="160" w:after="40" w:line="240" w:lineRule="auto"/>
      </w:pPr>
      <w:r>
        <w:rPr>
          <w:b/>
        </w:rPr>
        <w:t xml:space="preserve">[343] </w:t>
      </w:r>
      <w:hyperlink r:id="rId1165">
        <w:r>
          <w:rPr>
            <w:color w:val="1155CC"/>
            <w:u w:val="single"/>
          </w:rPr>
          <w:t>预制 EGFR 二聚体的配体调控和功能</w:t>
        </w:r>
      </w:hyperlink>
    </w:p>
    <w:p>
      <w:pPr>
        <w:spacing w:before="0" w:after="80"/>
      </w:pPr>
      <w:r>
        <w:rPr>
          <w:i/>
          <w:sz w:val="20"/>
        </w:rPr>
        <w:t>EN: Ligand regulation and function of preformed EGFR dimers</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66">
        <w:r>
          <w:rPr>
            <w:color w:val="1155CC"/>
            <w:u w:val="single"/>
          </w:rPr>
          <w:t>10.1073/pnas.2602436123</w:t>
        </w:r>
      </w:hyperlink>
    </w:p>
    <w:p>
      <w:pPr>
        <w:spacing w:before="0" w:after="120"/>
      </w:pPr>
      <w:r>
        <w:rPr>
          <w:b/>
        </w:rPr>
        <w:t xml:space="preserve">Notes: </w:t>
      </w:r>
      <w:r>
        <w:t>abstract_source=crossref</w:t>
      </w:r>
    </w:p>
    <w:p>
      <w:pPr>
        <w:spacing w:before="0" w:after="80" w:lineRule="auto" w:line="276"/>
      </w:pPr>
      <w:r>
        <w:rPr>
          <w:b/>
        </w:rPr>
        <w:t xml:space="preserve">摘要（ZH）: </w:t>
      </w:r>
      <w:r>
        <w:t>受体酪氨酸激酶 (RTK) 是癌症、糖尿病和其他疾病的关键治疗靶点。 RTK 只有一个跨膜 α 螺旋，而 G 蛋白偶联受体有 7 个，RTK 被认为是通过配体诱导的二聚化来激活的。然而，使这一观点变得复杂的是，研究最深入的 RTK 之一——胰岛素受体 (IR)——形成了变构调节的共价二聚体。此外，经常报道与序列相关的表皮生长因子受体（EGFR）非共价“预形成”二聚体，这是第一个描述配体诱导二聚化的 RTK 之一。在这里，我们描述了预制 EGFR 二聚体的详细结构视图。使用冷冻电镜，我们描述了如何</w:t>
      </w:r>
      <w:r>
        <w:t xml:space="preserve"> </w:t>
      </w:r>
      <w:r>
        <w:t>秀丽隐杆线虫</w:t>
      </w:r>
      <w:r>
        <w:t xml:space="preserve"> </w:t>
      </w:r>
      <w:r>
        <w:t>EGFR (LET-23) 在没有配体的情况下二聚化。我们表明，预先形成的二聚体形成可调节体内配体敏感性，但信号本身并不是必需的。我们还阐明了信号传导所需的 LET-23 中配体诱导的实质性构象变化。我们的结构揭示了 LET-23 和 IR 调节之间意想不到的相似性，表明 LET-23 可能代表 IR 和 EGFR 家族之间进化上的“缺失环节”。在没有配体的情况下，预先形成的受体二聚体内的分子间相互作用使细胞外近膜区域相距较远，以分隔细胞内激酶结构域，从而使它们保持非活性。配体结合破坏这些相互作用，以消除对激酶结构域的限制，然后激酶结构域可以结合并被激活。我们的分析进一步</w:t>
      </w:r>
    </w:p>
    <w:p>
      <w:pPr>
        <w:spacing w:before="0" w:after="200" w:lineRule="auto" w:line="276"/>
      </w:pPr>
      <w:r>
        <w:rPr>
          <w:b/>
        </w:rPr>
        <w:t xml:space="preserve">Abstract (EN): </w:t>
      </w:r>
      <w:r>
        <w:t>Receptor tyrosine kinases (RTKs) are key therapeutic targets in cancer, diabetes, and other diseases. With only one transmembrane α-helix—compared with seven in G-protein-coupled receptors—RTKs are thought to be activated by ligand-induced dimerization. Complicating this view, however, one of the best-studied RTKs, the insulin receptor (IR), forms allosterically regulated covalent dimers. Moreover, noncovalent “preformed” dimers have frequently been reported for the sequence-related epidermal growth factor receptor (EGFR), one of the first RTKs for which ligand-induced dimerization was described. Here, we describe a detailed structural view of a preformed EGFR dimer. Using cryo-EM, we describe how the</w:t>
      </w:r>
      <w:r>
        <w:t xml:space="preserve"> </w:t>
      </w:r>
      <w:r>
        <w:t>Caenorhabditis elegans</w:t>
      </w:r>
      <w:r>
        <w:t xml:space="preserve"> </w:t>
      </w:r>
      <w:r>
        <w:t>EGFR (LET-23) dimerizes without ligand. We show that preformed dimer formation modulates ligand sensitivity in vivo, but is not required for signaling itself. We also elucidate substantial ligand-induced conformational changes in LET-23 required for signaling. Our structures reveal unexpected similarities between regulation of LET-23 and the IR, suggesting that LET-23 may represent an evolutionary “missing link” between the IR and EGFR families. In the absence of ligand, intermolecular interactions within preformed receptor dimers hold the extracellular juxtamembrane regions far apart to separate the intracellular kinase domains so that they remain inactive. Ligand binding disrupts these interactions to remove the restraints on the kinase domains, which then can associate to become activated. Our analysis further suggests a unified model for the allosteric activation of preformed RTK dimers that has important implications for understanding cell-surface EGFR.</w:t>
      </w:r>
    </w:p>
    <w:p>
      <w:pPr>
        <w:spacing w:before="120" w:after="120"/>
      </w:pPr>
      <w:r>
        <w:rPr>
          <w:sz w:val="18"/>
        </w:rPr>
        <w:t>——————————————————————————————————————————————————————————————————————</w:t>
      </w:r>
    </w:p>
    <w:p>
      <w:pPr>
        <w:spacing w:before="160" w:after="40" w:line="240" w:lineRule="auto"/>
      </w:pPr>
      <w:r>
        <w:rPr>
          <w:b/>
        </w:rPr>
        <w:t xml:space="preserve">[344] </w:t>
      </w:r>
      <w:hyperlink r:id="rId1167">
        <w:r>
          <w:rPr>
            <w:color w:val="1155CC"/>
            <w:u w:val="single"/>
          </w:rPr>
          <w:t>涉及 ZmSnRK2.10–ZmRIPK2–ZmWRKY38 的磷酸化级联通过解除玉米中 ZmSUS2 的抑制来减弱干旱反应</w:t>
        </w:r>
      </w:hyperlink>
    </w:p>
    <w:p>
      <w:pPr>
        <w:spacing w:before="0" w:after="80"/>
      </w:pPr>
      <w:r>
        <w:rPr>
          <w:i/>
          <w:sz w:val="20"/>
        </w:rPr>
        <w:t>EN: A phosphorylation cascade involving ZmSnRK2.10–ZmRIPK2–ZmWRKY38 attenuates drought response by derepressing ZmSUS2 in maize</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68">
        <w:r>
          <w:rPr>
            <w:color w:val="1155CC"/>
            <w:u w:val="single"/>
          </w:rPr>
          <w:t>10.1073/pnas.2602740123</w:t>
        </w:r>
      </w:hyperlink>
    </w:p>
    <w:p>
      <w:pPr>
        <w:spacing w:before="0" w:after="120"/>
      </w:pPr>
      <w:r>
        <w:rPr>
          <w:b/>
        </w:rPr>
        <w:t xml:space="preserve">Notes: </w:t>
      </w:r>
      <w:r>
        <w:t>abstract_source=crossref</w:t>
      </w:r>
    </w:p>
    <w:p>
      <w:pPr>
        <w:spacing w:before="0" w:after="80" w:lineRule="auto" w:line="276"/>
      </w:pPr>
      <w:r>
        <w:rPr>
          <w:b/>
        </w:rPr>
        <w:t xml:space="preserve">摘要（ZH）: </w:t>
      </w:r>
      <w:r>
        <w:t>干旱胁迫严重限制了作物生产力，而转录因子（TF）在植物适应中发挥着关键作用。在这里，我们将玉米 TF ZmWRKY38 确定为耐旱性的正调节因子。 CRISPR/Cas9 介导的基因敲除</w:t>
      </w:r>
      <w:r>
        <w:t xml:space="preserve"> </w:t>
      </w:r>
      <w:r>
        <w:t>ZmWRKY38</w:t>
      </w:r>
      <w:r>
        <w:t xml:space="preserve"> </w:t>
      </w:r>
      <w:r>
        <w:t>与野生型相比，植物对干旱的敏感性增加。我们证明 ZmWRKY38 与蔗糖合酶基因的启动子结合</w:t>
      </w:r>
      <w:r>
        <w:t xml:space="preserve"> </w:t>
      </w:r>
      <w:r>
        <w:t>不锈钢SUS2</w:t>
      </w:r>
      <w:r>
        <w:t xml:space="preserve"> </w:t>
      </w:r>
      <w:r>
        <w:t>并抑制其转录。相反，ZmSUS2 作为耐旱性的负调节因子发挥作用，因为</w:t>
      </w:r>
      <w:r>
        <w:t xml:space="preserve"> </w:t>
      </w:r>
      <w:r>
        <w:t>泽姆斯苏2</w:t>
      </w:r>
      <w:r>
        <w:t xml:space="preserve"> </w:t>
      </w:r>
      <w:r>
        <w:t>突变体表现出增强的抗旱性。此外，我们还发现了 ZmRIPK2（RPM1 诱导蛋白激酶 2），一种质膜定位的受体样细胞质激酶，也能负调节干旱反应。在脱落酸 (ABA) 或干旱胁迫下，ZmSnRK2.10 磷酸化并激活 ZmRIPK2，触发其部分易位到细胞核中。在细胞核内，ZmRIPK2 与 ZmWRKY38 相互作用并使其磷酸化，损害其 DNA 结合能力，从而减轻 ZmWRKY38 的转录抑制</w:t>
      </w:r>
      <w:r>
        <w:t xml:space="preserve"> </w:t>
      </w:r>
      <w:r>
        <w:t>不锈钢SUS2</w:t>
      </w:r>
      <w:r>
        <w:t xml:space="preserve"> </w:t>
      </w:r>
      <w:r>
        <w:t>。总之，我们的结果揭示了一个负反馈循环，其中 ZmRIPK2 介导的 ZmWRKY38 磷酸化通过调节</w:t>
      </w:r>
      <w:r>
        <w:t xml:space="preserve"> </w:t>
      </w:r>
      <w:r>
        <w:t>不锈钢SUS2</w:t>
      </w:r>
      <w:r>
        <w:t xml:space="preserve"> </w:t>
      </w:r>
      <w:r>
        <w:t>表达。这一机制说明了 ABA 信号传导如何减弱干旱反应，以平衡胁迫适应与正常生长。</w:t>
      </w:r>
    </w:p>
    <w:p>
      <w:pPr>
        <w:spacing w:before="0" w:after="200" w:lineRule="auto" w:line="276"/>
      </w:pPr>
      <w:r>
        <w:rPr>
          <w:b/>
        </w:rPr>
        <w:t xml:space="preserve">Abstract (EN): </w:t>
      </w:r>
      <w:r>
        <w:t>Drought stress severely limits crop productivity, with transcription factors (TFs) playing pivotal roles in plant adaptation. Here, we identify the maize TF ZmWRKY38 as a positive regulator of drought tolerance. CRISPR/Cas9-mediated knockout of</w:t>
      </w:r>
      <w:r>
        <w:t xml:space="preserve"> </w:t>
      </w:r>
      <w:r>
        <w:t>ZmWRKY38</w:t>
      </w:r>
      <w:r>
        <w:t xml:space="preserve"> </w:t>
      </w:r>
      <w:r>
        <w:t>increased plant sensitivity to drought compared with the wild type. We demonstrate that ZmWRKY38 binds to the promoter of the sucrose synthase gene</w:t>
      </w:r>
      <w:r>
        <w:t xml:space="preserve"> </w:t>
      </w:r>
      <w:r>
        <w:t>ZmSUS2</w:t>
      </w:r>
      <w:r>
        <w:t xml:space="preserve"> </w:t>
      </w:r>
      <w:r>
        <w:t>and represses its transcription. Conversely, ZmSUS2 functions as a negative regulator of drought tolerance, as</w:t>
      </w:r>
      <w:r>
        <w:t xml:space="preserve"> </w:t>
      </w:r>
      <w:r>
        <w:t>zmsus2</w:t>
      </w:r>
      <w:r>
        <w:t xml:space="preserve"> </w:t>
      </w:r>
      <w:r>
        <w:t>mutants displayed enhanced drought resistance. Moreover, we identified ZmRIPK2 (RPM1-induced protein kinase 2), a plasma membrane-localized receptor-like cytoplasmic kinase that also negatively regulates drought responses. Under abscisic acid (ABA) or drought stress, ZmSnRK2.10 phosphorylates and activates ZmRIPK2, triggering its partial translocation into the nucleus. Within the nucleus, ZmRIPK2 interacts with and phosphorylates ZmWRKY38, impairing its DNA-binding capacity and thereby alleviating transcriptional repression of</w:t>
      </w:r>
      <w:r>
        <w:t xml:space="preserve"> </w:t>
      </w:r>
      <w:r>
        <w:t>ZmSUS2</w:t>
      </w:r>
      <w:r>
        <w:t xml:space="preserve"> </w:t>
      </w:r>
      <w:r>
        <w:t>. Together, our results reveal a negative feedback loop in which ZmRIPK2-mediated phosphorylation of ZmWRKY38 fine-tunes the drought stress response through modulation of</w:t>
      </w:r>
      <w:r>
        <w:t xml:space="preserve"> </w:t>
      </w:r>
      <w:r>
        <w:t>ZmSUS2</w:t>
      </w:r>
      <w:r>
        <w:t xml:space="preserve"> </w:t>
      </w:r>
      <w:r>
        <w:t>expression. This mechanism illustrates how ABA signaling attenuates drought responses to balance stress adaptation with normal growth.</w:t>
      </w:r>
    </w:p>
    <w:p>
      <w:pPr>
        <w:spacing w:before="120" w:after="120"/>
      </w:pPr>
      <w:r>
        <w:rPr>
          <w:sz w:val="18"/>
        </w:rPr>
        <w:t>——————————————————————————————————————————————————————————————————————</w:t>
      </w:r>
    </w:p>
    <w:p>
      <w:pPr>
        <w:spacing w:before="160" w:after="40" w:line="240" w:lineRule="auto"/>
      </w:pPr>
      <w:r>
        <w:rPr>
          <w:b/>
        </w:rPr>
        <w:t xml:space="preserve">[345] </w:t>
      </w:r>
      <w:hyperlink r:id="rId1169">
        <w:r>
          <w:rPr>
            <w:color w:val="1155CC"/>
            <w:u w:val="single"/>
          </w:rPr>
          <w:t>光合放氧复合物中脂肪族侧链翻译后生成羧酸配体</w:t>
        </w:r>
      </w:hyperlink>
    </w:p>
    <w:p>
      <w:pPr>
        <w:spacing w:before="0" w:after="80"/>
      </w:pPr>
      <w:r>
        <w:rPr>
          <w:i/>
          <w:sz w:val="20"/>
        </w:rPr>
        <w:t>EN: Posttranslational generation of carboxylate ligands from aliphatic side chains in the photosynthetic oxygen-evolving complex</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70">
        <w:r>
          <w:rPr>
            <w:color w:val="1155CC"/>
            <w:u w:val="single"/>
          </w:rPr>
          <w:t>10.1073/pnas.2610028123</w:t>
        </w:r>
      </w:hyperlink>
    </w:p>
    <w:p>
      <w:pPr>
        <w:spacing w:before="0" w:after="120"/>
      </w:pPr>
      <w:r>
        <w:rPr>
          <w:b/>
        </w:rPr>
        <w:t xml:space="preserve">Notes: </w:t>
      </w:r>
      <w:r>
        <w:t>abstract_source=crossref</w:t>
      </w:r>
    </w:p>
    <w:p>
      <w:pPr>
        <w:spacing w:before="0" w:after="80" w:lineRule="auto" w:line="276"/>
      </w:pPr>
      <w:r>
        <w:rPr>
          <w:b/>
        </w:rPr>
        <w:t xml:space="preserve">摘要（ZH）: </w:t>
      </w:r>
      <w:r>
        <w:t>光合放氧是由Mn催化的</w:t>
      </w:r>
      <w:r>
        <w:rPr>
          <w:vertAlign w:val="subscript"/>
        </w:rPr>
        <w:t>4</w:t>
      </w:r>
      <w:r>
        <w:t>氧化钙</w:t>
      </w:r>
      <w:r>
        <w:rPr>
          <w:vertAlign w:val="subscript"/>
        </w:rPr>
        <w:t>5</w:t>
      </w:r>
      <w:r>
        <w:t>光系统 II (PSII) 的释氧复合物 (OEC) 内的簇。尽管含氧光合作用很可能在大氧化事件（约 24 亿年前）之前就出现了，但 OEC 在祖先 PSII 中是如何出现的仍然悬而未决。我们之前表明，蓝藻突变体中 Mn 的 Asp 或 Glu 配体</w:t>
      </w:r>
      <w:r>
        <w:rPr>
          <w:vertAlign w:val="subscript"/>
        </w:rPr>
        <w:t>4</w:t>
      </w:r>
      <w:r>
        <w:t>氧化钙</w:t>
      </w:r>
      <w:r>
        <w:rPr>
          <w:vertAlign w:val="subscript"/>
        </w:rPr>
        <w:t>5</w:t>
      </w:r>
      <w:r>
        <w:t>簇被 His 或 Asn/Gln 取代，并经过翻译后转化回原始的羧酸残基。在这里，我们检查了缺乏反应性侧链的脂肪族氨基酸是否也可以经历类似的转化，从而测试了这种现象的普遍性。 D1-Asp170 突变为 Val/Leu/Ile 以及 D1-Glu189 突变为 Leu/Ile 导致翻译后产生 Asp/Glu 或其衍生物，部分恢复 O</w:t>
      </w:r>
      <w:r>
        <w:rPr>
          <w:vertAlign w:val="subscript"/>
        </w:rPr>
        <w:t>2</w:t>
      </w:r>
      <w:r>
        <w:t>-不断发展的活动。值得注意的是，非标准 Asp/Glu 衍生物似乎也能够充当 Mn 的羧酸配体</w:t>
      </w:r>
      <w:r>
        <w:rPr>
          <w:vertAlign w:val="subscript"/>
        </w:rPr>
        <w:t>4</w:t>
      </w:r>
      <w:r>
        <w:t>氧化钙</w:t>
      </w:r>
      <w:r>
        <w:rPr>
          <w:vertAlign w:val="subscript"/>
        </w:rPr>
        <w:t>5</w:t>
      </w:r>
      <w:r>
        <w:t>集群。脂肪族残基的这种转化代表了一种独特类型的翻译后修饰。总之，这些发现表明，从不同的氨基酸残基（包括脂肪族侧链）翻译后生成羧酸配体是 OEC 的一般特征。这种内在的化学性质</w:t>
      </w:r>
    </w:p>
    <w:p>
      <w:pPr>
        <w:spacing w:before="0" w:after="200" w:lineRule="auto" w:line="276"/>
      </w:pPr>
      <w:r>
        <w:rPr>
          <w:b/>
        </w:rPr>
        <w:t xml:space="preserve">Abstract (EN): </w:t>
      </w:r>
      <w:r>
        <w:t>Photosynthetic oxygen evolution is catalyzed by the Mn</w:t>
      </w:r>
      <w:r>
        <w:rPr>
          <w:vertAlign w:val="subscript"/>
        </w:rPr>
        <w:t>4</w:t>
      </w:r>
      <w:r>
        <w:t>CaO</w:t>
      </w:r>
      <w:r>
        <w:rPr>
          <w:vertAlign w:val="subscript"/>
        </w:rPr>
        <w:t>5</w:t>
      </w:r>
      <w:r>
        <w:t>cluster within the oxygen-evolving complex (OEC) of photosystem II (PSII). Although oxygenic photosynthesis likely arose before the Great Oxidation Event (~2.4 billion years ago), how the OEC emerged in ancestral PSII remains unresolved. We previously showed that cyanobacterial mutants in which Asp or Glu ligands of the Mn</w:t>
      </w:r>
      <w:r>
        <w:rPr>
          <w:vertAlign w:val="subscript"/>
        </w:rPr>
        <w:t>4</w:t>
      </w:r>
      <w:r>
        <w:t>CaO</w:t>
      </w:r>
      <w:r>
        <w:rPr>
          <w:vertAlign w:val="subscript"/>
        </w:rPr>
        <w:t>5</w:t>
      </w:r>
      <w:r>
        <w:t>cluster were replaced with His or Asn/Gln underwent posttranslational conversion back to the original carboxylate residues. Here, we examined whether aliphatic amino acids lacking reactive side chains can also undergo similar conversion, thereby testing the generality of this phenomenon. Mutations of D1-Asp170 to Val/Leu/Ile and of D1-Glu189 to Leu/Ile resulted in posttranslational generation of Asp/Glu or their derivatives, partially restoring O</w:t>
      </w:r>
      <w:r>
        <w:rPr>
          <w:vertAlign w:val="subscript"/>
        </w:rPr>
        <w:t>2</w:t>
      </w:r>
      <w:r>
        <w:t>-evolving activity. Notably, nonstandard Asp/Glu derivatives also appear capable of functioning as carboxylate ligands for the Mn</w:t>
      </w:r>
      <w:r>
        <w:rPr>
          <w:vertAlign w:val="subscript"/>
        </w:rPr>
        <w:t>4</w:t>
      </w:r>
      <w:r>
        <w:t>CaO</w:t>
      </w:r>
      <w:r>
        <w:rPr>
          <w:vertAlign w:val="subscript"/>
        </w:rPr>
        <w:t>5</w:t>
      </w:r>
      <w:r>
        <w:t>cluster. This transformation of aliphatic residues represents a distinct type of posttranslational modification. Together, these findings demonstrate that posttranslational generation of carboxylate ligands from diverse amino acid residues, including aliphatic side chains, is a general feature of the OEC. Such intrinsic chemical plasticity of the OEC supports the hypothesis that posttranslational amino acid conversion played a critical role in the origin and evolution of the OEC, enabling photosynthetic oxygen production that transformed Earth’s environment and promoted the evolution of life.</w:t>
      </w:r>
    </w:p>
    <w:p>
      <w:pPr>
        <w:spacing w:before="120" w:after="120"/>
      </w:pPr>
      <w:r>
        <w:rPr>
          <w:sz w:val="18"/>
        </w:rPr>
        <w:t>——————————————————————————————————————————————————————————————————————</w:t>
      </w:r>
    </w:p>
    <w:p>
      <w:pPr>
        <w:spacing w:before="160" w:after="40" w:line="240" w:lineRule="auto"/>
      </w:pPr>
      <w:r>
        <w:rPr>
          <w:b/>
        </w:rPr>
        <w:t xml:space="preserve">[346] </w:t>
      </w:r>
      <w:hyperlink r:id="rId1171">
        <w:r>
          <w:rPr>
            <w:color w:val="1155CC"/>
            <w:u w:val="single"/>
          </w:rPr>
          <w:t>使用动态景观模型定量指导发育细胞命运模式</w:t>
        </w:r>
      </w:hyperlink>
    </w:p>
    <w:p>
      <w:pPr>
        <w:spacing w:before="0" w:after="80"/>
      </w:pPr>
      <w:r>
        <w:rPr>
          <w:i/>
          <w:sz w:val="20"/>
        </w:rPr>
        <w:t>EN: Quantitative guiding of developmental cell fate patterns using a dynamical landscape model</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72">
        <w:r>
          <w:rPr>
            <w:color w:val="1155CC"/>
            <w:u w:val="single"/>
          </w:rPr>
          <w:t>10.1073/pnas.2521973123</w:t>
        </w:r>
      </w:hyperlink>
    </w:p>
    <w:p>
      <w:pPr>
        <w:spacing w:before="0" w:after="120"/>
      </w:pPr>
      <w:r>
        <w:rPr>
          <w:b/>
        </w:rPr>
        <w:t xml:space="preserve">Notes: </w:t>
      </w:r>
      <w:r>
        <w:t>abstract_source=crossref</w:t>
      </w:r>
    </w:p>
    <w:p>
      <w:pPr>
        <w:spacing w:before="0" w:after="80" w:lineRule="auto" w:line="276"/>
      </w:pPr>
      <w:r>
        <w:rPr>
          <w:b/>
        </w:rPr>
        <w:t xml:space="preserve">摘要（ZH）: </w:t>
      </w:r>
      <w:r>
        <w:t>在发育过程中，细胞通过数千个基因转录动态的变化逐渐呈现出特殊的命运。景观建模方法从低维表型空间中的底层基因调控网络和推理中抽象出来，在解释最终命运结果方面非常成功。这些模型的成功还促使它们应用于推断多细胞模式的动态扰动，从而以可预测的方式改变细胞命运结果，而由于潜在基因回路的复杂动态，这项任务本来就极具挑战性。在这里，我们通过结合景观模型来完成这项任务</w:t>
      </w:r>
      <w:r>
        <w:t xml:space="preserve"> </w:t>
      </w:r>
      <w:r>
        <w:t>秀丽隐杆线虫</w:t>
      </w:r>
      <w:r>
        <w:t xml:space="preserve"> </w:t>
      </w:r>
      <w:r>
        <w:t>使用温度敏感突变等位基因在体内暂时控制 EGF 和 Notch 信号传导的外阴命运模式。我们发现，模型可以正确预测静态温度条件下这些等位基因组合通过途径上位性出现的非直观命运结果。然后，我们证明，通过温度变化传递的这些遗传背景中的短信号信号脉冲可用于指导诱导前体细胞的比例以及它们以定量精确度采取的特定命运。对底层细胞景观的分析表明，通过信号脉冲进行细胞命运引导有效地将决策结构重新设计为正常发育中没有的等效结构，即将三路细胞命运决策拓扑转换为两个连续的双向结构。</w:t>
      </w:r>
    </w:p>
    <w:p>
      <w:pPr>
        <w:spacing w:before="0" w:after="200" w:lineRule="auto" w:line="276"/>
      </w:pPr>
      <w:r>
        <w:rPr>
          <w:b/>
        </w:rPr>
        <w:t xml:space="preserve">Abstract (EN): </w:t>
      </w:r>
      <w:r>
        <w:t>During development, cells gradually assume specialized fates via changes of transcriptional dynamics in thousands of genes. Landscape modeling approaches, which abstract from the underlying gene regulatory networks and reason in a low-dimensional phenotypic space, have been remarkably successful in explaining terminal fate outcomes. The success of these models also prompts their application toward inferring dynamic perturbations of multicellular patterning that alter cell fate outcomes in predictable ways, a task that is otherwise highly challenging due to the complex dynamics of the underlying gene circuits. Here, we accomplish this task by combining a landscape model for</w:t>
      </w:r>
      <w:r>
        <w:t xml:space="preserve"> </w:t>
      </w:r>
      <w:r>
        <w:t>Caenorhabditis elegans</w:t>
      </w:r>
      <w:r>
        <w:t xml:space="preserve"> </w:t>
      </w:r>
      <w:r>
        <w:t>vulval fate patterning with temporally controlled perturbations of EGF and Notch signaling in vivo using temperature-sensitive mutant alleles. We find that nonintuitive fate outcomes that emerge in combinations of these alleles at static temperature conditions through pathway epistasis are correctly predicted by the model. We then show that short pulses of signaling in these genetic backgrounds, delivered via temperature shifts, can be used to guide both the fraction of induced precursor cells and the specific fates they adopt with quantitative precision. Analysis of the underlying cellular landscapes indicates that cell fate guidance via pulses of signaling effectively redesigns the decision structure into one that has no equivalent in normal development, namely, a conversion of the three-way cell fate decision topology into two sequential binary fate decisions. Our results highlight the predictive power of landscape models and illustrate a method to quantitatively guide cell fate acquisition in a developmental context.</w:t>
      </w:r>
    </w:p>
    <w:p>
      <w:pPr>
        <w:spacing w:before="120" w:after="120"/>
      </w:pPr>
      <w:r>
        <w:rPr>
          <w:sz w:val="18"/>
        </w:rPr>
        <w:t>——————————————————————————————————————————————————————————————————————</w:t>
      </w:r>
    </w:p>
    <w:p>
      <w:pPr>
        <w:spacing w:before="160" w:after="40" w:line="240" w:lineRule="auto"/>
      </w:pPr>
      <w:r>
        <w:rPr>
          <w:b/>
        </w:rPr>
        <w:t xml:space="preserve">[347] </w:t>
      </w:r>
      <w:hyperlink r:id="rId1173">
        <w:r>
          <w:rPr>
            <w:color w:val="1155CC"/>
            <w:u w:val="single"/>
          </w:rPr>
          <w:t>人工智能安全监管薄弱的适得其反效应</w:t>
        </w:r>
      </w:hyperlink>
    </w:p>
    <w:p>
      <w:pPr>
        <w:spacing w:before="0" w:after="80"/>
      </w:pPr>
      <w:r>
        <w:rPr>
          <w:i/>
          <w:sz w:val="20"/>
        </w:rPr>
        <w:t>EN: The backfiring effect of weak AI safety regulation</w:t>
      </w:r>
    </w:p>
    <w:p>
      <w:pPr>
        <w:spacing w:before="0" w:after="120"/>
      </w:pPr>
      <w:r>
        <w:rPr>
          <w:b/>
        </w:rPr>
        <w:t xml:space="preserve">Source: </w:t>
      </w:r>
      <w:r>
        <w:t>Proceedings of the National Academy of Sciences: Keyword search for query</w:t>
      </w:r>
      <w:r>
        <w:t xml:space="preserve">    </w:t>
      </w:r>
      <w:r>
        <w:rPr>
          <w:b/>
        </w:rPr>
        <w:t xml:space="preserve">Pub date: </w:t>
      </w:r>
      <w:r>
        <w:t>2026-07-20 07:00:00+00:00</w:t>
      </w:r>
      <w:r>
        <w:t xml:space="preserve">    </w:t>
      </w:r>
      <w:r>
        <w:rPr>
          <w:b/>
        </w:rPr>
        <w:t xml:space="preserve">DOI: </w:t>
      </w:r>
      <w:hyperlink r:id="rId1174">
        <w:r>
          <w:rPr>
            <w:color w:val="1155CC"/>
            <w:u w:val="single"/>
          </w:rPr>
          <w:t>10.1073/pnas.2509768123</w:t>
        </w:r>
      </w:hyperlink>
    </w:p>
    <w:p>
      <w:pPr>
        <w:spacing w:before="0" w:after="120"/>
      </w:pPr>
      <w:r>
        <w:rPr>
          <w:b/>
        </w:rPr>
        <w:t xml:space="preserve">Notes: </w:t>
      </w:r>
      <w:r>
        <w:t>abstract_source=crossref</w:t>
      </w:r>
    </w:p>
    <w:p>
      <w:pPr>
        <w:spacing w:before="0" w:after="80" w:lineRule="auto" w:line="276"/>
      </w:pPr>
      <w:r>
        <w:rPr>
          <w:b/>
        </w:rPr>
        <w:t xml:space="preserve">摘要（ZH）: </w:t>
      </w:r>
      <w:r>
        <w:t>最近的政策提案旨在提高通用人工智能的安全性，但对不同监管方法的有效性知之甚少。我们提出了一个战略模型，探索安全监管、通用人工智能技术创造者和领域专家（那些使技术适应特定应用的人）之间的相互作用。我们的分析探讨了针对人工智能开发链不同部分的监管措施如何影响这场游戏的结果。我们的模型假设人工智能技术具有两个关键属性：安全性和性能。监管机构首先设定适用于一名或两名玩家的最低安全要求。然后，通用创建者投资该技术，建立其初始安全和性能水平。接下来，领域专家针对其用例完善人工智能，更新安全和性能级别并将产品推向市场。由此产生的收入由专家和通才共享。我们的分析揭示了两个见解：首先，主要针对领域专家的薄弱安全监管可能会适得其反。虽然监管人工智能用例似乎合乎逻辑，但我们的分析表明，仅针对领域专家的薄弱监管可能会降低一大类参数化的安全性。其次，与之前的发现相反，我们观察到更强有力、适当的监管可以使所有参与者互惠互利。当监管机构对通用人工智能创建者和领域专家施加适当的安全标准时，该监管可以充当承诺开发者</w:t>
      </w:r>
    </w:p>
    <w:p>
      <w:pPr>
        <w:spacing w:before="0" w:after="200" w:lineRule="auto" w:line="276"/>
      </w:pPr>
      <w:r>
        <w:rPr>
          <w:b/>
        </w:rPr>
        <w:t xml:space="preserve">Abstract (EN): </w:t>
      </w:r>
      <w:r>
        <w:t>Recent policy proposals aim to improve the safety of general-purpose AI, but there is little understanding of the efficacy of different regulatory approaches. We present a strategic model that explores interactions between safety regulation, general-purpose AI technology creators, and domain specialists—those who adapt the technology for specific applications. Our analysis examines how regulatory measures targeting different parts of the AI development chain affect the outcome of this game. Our model assumes AI technology is characterized by two key attributes: safety and performance. The regulator first sets a minimum safety requirement that applies to one or both players. The general-purpose creator then invests in the technology, establishing its initial safety and performance levels. Next, domain specialists refine the AI for their use cases, updating the safety and performance levels and taking the product to market. Resulting revenue is shared between the specialist and generalist. Our analysis reveals two insights: first, weak safety regulation imposed predominantly on domain specialists can backfire. While it might seem logical to regulate AI use cases, our analysis shows that weak regulations targeting domain specialists alone can reduce safety in a large class of parameterizations. Second, in contrast to the previous finding, we observe that stronger, well-placed regulation can mutually benefit all players. When regulators impose appropriate safety standards on both general-purpose AI creators and domain specialists, the regulation can function as a commitment device, leading to safety and performance gains, surpassing what is achievable under no regulation or regulating only one player.</w:t>
      </w:r>
    </w:p>
    <w:p>
      <w:pPr>
        <w:spacing w:before="120" w:after="120"/>
      </w:pPr>
      <w:r>
        <w:rPr>
          <w:sz w:val="18"/>
        </w:rPr>
        <w:t>——————————————————————————————————————————————————————————————————————</w:t>
      </w:r>
    </w:p>
    <w:p>
      <w:pPr>
        <w:spacing w:before="160" w:after="40" w:line="240" w:lineRule="auto"/>
      </w:pPr>
      <w:r>
        <w:rPr>
          <w:b/>
        </w:rPr>
        <w:t xml:space="preserve">[348] </w:t>
      </w:r>
      <w:hyperlink r:id="rId1175">
        <w:r>
          <w:rPr>
            <w:color w:val="1155CC"/>
            <w:u w:val="single"/>
          </w:rPr>
          <w:t>用于多功能和超灵敏生物标志物检测的超材料屈曲辅助表面声波传感器 (mBASES)</w:t>
        </w:r>
      </w:hyperlink>
    </w:p>
    <w:p>
      <w:pPr>
        <w:spacing w:before="0" w:after="80"/>
      </w:pPr>
      <w:r>
        <w:rPr>
          <w:i/>
          <w:sz w:val="20"/>
        </w:rPr>
        <w:t>EN: A Metamaterial Buckling‐Assisted Surface‐Acoustic‐Wave Enabled Sensor (mBASES) for Versatile and Ultrasensitive Biomarker Detection</w:t>
      </w:r>
    </w:p>
    <w:p>
      <w:pPr>
        <w:spacing w:before="0" w:after="120"/>
      </w:pPr>
      <w:r>
        <w:rPr>
          <w:b/>
        </w:rPr>
        <w:t xml:space="preserve">Source: </w:t>
      </w:r>
      <w:r>
        <w:t>Wiley: Advanced Materials: Table of Contents</w:t>
      </w:r>
      <w:r>
        <w:t xml:space="preserve">    </w:t>
      </w:r>
      <w:r>
        <w:rPr>
          <w:b/>
        </w:rPr>
        <w:t xml:space="preserve">Pub date: </w:t>
      </w:r>
      <w:r>
        <w:t>2026-07-20 07:57:37+00:00</w:t>
      </w:r>
      <w:r>
        <w:t xml:space="preserve">    </w:t>
      </w:r>
      <w:r>
        <w:rPr>
          <w:b/>
        </w:rPr>
        <w:t xml:space="preserve">DOI: </w:t>
      </w:r>
      <w:hyperlink r:id="rId1176">
        <w:r>
          <w:rPr>
            <w:color w:val="1155CC"/>
            <w:u w:val="single"/>
          </w:rPr>
          <w:t>10.1002/adma.74198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可编程微架构的水凝胶超材料为将分子识别转化为机械响应提供了一条有前途的途径。然而，在不依赖分子放大的情况下有效地将微弱的生物分子扰动转变成可检测的信号仍然是一个基本挑战。在这里，我们报告了一种超材料屈曲辅助表面声波传感器（mBASES），它通过将生物交联水凝胶超材料与表面声波（SAW）设备集成，引入了结构触发物理放大机制。通过竞争性生物分子识别，目标结合诱导水凝胶膨胀，该膨胀被设计为匹配超材料的临界屈曲阈值。这种不稳定的模式转换充当内在的机械增益元件，通过声子传输和水凝胶-声表面波相互作用的耦合调制，将弱分子扰动转化为放大的声响应。因此，mBASES 建立了一条连接分子识别、水凝胶变形、结构放大和最终声学读数的转导途径。该平台能够快速、无标记地检测多种生物分子类别，包括蛋白质、核酸和代谢物。临床验证进一步证明，使用一步法可在 5-15 分钟内对人血清中的单纯疱疹病毒 (HSV) IgG 和未扩增 DNA 进行飞摩尔水平检测。通过放大转导过程而不是目标分子，mBASES 建立了</w:t>
      </w:r>
    </w:p>
    <w:p>
      <w:pPr>
        <w:spacing w:before="0" w:after="200" w:lineRule="auto" w:line="276"/>
      </w:pPr>
      <w:r>
        <w:rPr>
          <w:b/>
        </w:rPr>
        <w:t xml:space="preserve">Abstract (EN): </w:t>
      </w:r>
      <w:r>
        <w:t>Hydrogel metamaterials with programmable microarchitectures offer a promising route for converting molecular recognition into mechanical responses. However, efficiently transducing weak biomolecular perturbations into detectable signals without relying on molecular amplification remains a fundamental challenge. Here, we report a metamaterial Buckling‐Assisted Surface‐acoustic‐wave Enabled Sensor (mBASES), which introduces a structure‐triggered physical amplification mechanism by integrating bio‐crosslinked hydrogel metamaterials with a surface acoustic wave (SAW) device. Through competitive biomolecular recognition, target binding induces hydrogel swelling that is engineered to match the critical buckling threshold of the metamaterial. This instability‐enabled pattern transformation acts as an intrinsic mechanical gain element, converting weak molecular perturbations into amplified acoustic responses through coupled modulation of phononic transmission and hydrogel–SAW interactions. As a result, mBASES establishes a transduction pathway that links molecular recognition, hydrogel deformation, structural amplification, and ultimately acoustic readout. The platform enables rapid, label‐free detection across multiple biomolecular classes, including proteins, nucleic acids, and metabolites. Clinical validation further demonstrates femtomolar‐level detection of Herpes Simplex Virus (HSV) IgG and unamplified DNA in human serum within 5–15 min using a one‐step assay. By amplifying the transduction process rather than the target molecules, mBASES establishes a versatile biosensing strategy, providing a promising platform for point‐of‐care diagnostics.</w:t>
      </w:r>
    </w:p>
    <w:p>
      <w:pPr>
        <w:spacing w:before="120" w:after="120"/>
      </w:pPr>
      <w:r>
        <w:rPr>
          <w:sz w:val="18"/>
        </w:rPr>
        <w:t>——————————————————————————————————————————————————————————————————————</w:t>
      </w:r>
    </w:p>
    <w:p>
      <w:pPr>
        <w:spacing w:before="160" w:after="40" w:line="240" w:lineRule="auto"/>
      </w:pPr>
      <w:r>
        <w:rPr>
          <w:b/>
        </w:rPr>
        <w:t xml:space="preserve">[349] </w:t>
      </w:r>
      <w:hyperlink r:id="rId1177">
        <w:r>
          <w:rPr>
            <w:color w:val="1155CC"/>
            <w:u w:val="single"/>
          </w:rPr>
          <w:t>基于 Sn─Pb 钙钛矿的 940 Nm 近红外光突实现高效人脸识别</w:t>
        </w:r>
      </w:hyperlink>
    </w:p>
    <w:p>
      <w:pPr>
        <w:spacing w:before="0" w:after="80"/>
      </w:pPr>
      <w:r>
        <w:rPr>
          <w:i/>
          <w:sz w:val="20"/>
        </w:rPr>
        <w:t>EN: 940 Nm Near‐Infrared Photosynapses Based on Sn─Pb Perovskite for Efficient Face Recognition</w:t>
      </w:r>
    </w:p>
    <w:p>
      <w:pPr>
        <w:spacing w:before="0" w:after="120"/>
      </w:pPr>
      <w:r>
        <w:rPr>
          <w:b/>
        </w:rPr>
        <w:t xml:space="preserve">Source: </w:t>
      </w:r>
      <w:r>
        <w:t>Wiley: Advanced Materials: Table of Contents</w:t>
      </w:r>
      <w:r>
        <w:t xml:space="preserve">    </w:t>
      </w:r>
      <w:r>
        <w:rPr>
          <w:b/>
        </w:rPr>
        <w:t xml:space="preserve">Pub date: </w:t>
      </w:r>
      <w:r>
        <w:t>2026-07-20 08:29:28+00:00</w:t>
      </w:r>
      <w:r>
        <w:t xml:space="preserve">    </w:t>
      </w:r>
      <w:r>
        <w:rPr>
          <w:b/>
        </w:rPr>
        <w:t xml:space="preserve">DOI: </w:t>
      </w:r>
      <w:hyperlink r:id="rId1178">
        <w:r>
          <w:rPr>
            <w:color w:val="1155CC"/>
            <w:u w:val="single"/>
          </w:rPr>
          <w:t>10.1002/adma.74226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锡铅钙钛矿由于其窄带隙和强大的近红外（NIR）吸收能力，为神经形态光电子学提供了巨大的潜力。然而，由于形成高质量半导体薄膜的挑战，基于这些材料的高性能三端人工突触仍然稀缺。在这里，我们展示了一种钙钛矿突触场效应晶体管 (FET)，它能够通过均匀、高结晶度的 FASn 实现高效的 940 nm 传感和神经形态调制</w:t>
      </w:r>
      <w:r>
        <w:t xml:space="preserve"> </w:t>
      </w:r>
      <w:r>
        <w:t>0.8</w:t>
      </w:r>
      <w:r>
        <w:t xml:space="preserve"> </w:t>
      </w:r>
      <w:r>
        <w:t>铅</w:t>
      </w:r>
      <w:r>
        <w:t xml:space="preserve"> </w:t>
      </w:r>
      <w:r>
        <w:t>0.2</w:t>
      </w:r>
      <w:r>
        <w:t xml:space="preserve"> </w:t>
      </w:r>
      <w:r>
        <w:t>我</w:t>
      </w:r>
      <w:r>
        <w:rPr>
          <w:vertAlign w:val="subscript"/>
        </w:rPr>
        <w:t>3</w:t>
      </w:r>
      <w:r>
        <w:t>薄膜。分子添加剂 1-溴-4-(甲基亚磺酰基)苯 (BMSB) 可精确调节结晶、增大晶粒并抑制陷阱形成，从而减少离子迁移并增强电荷传输。经过优化的器件可实现高空穴迁移率和 231 A W 的卓越响应度</w:t>
      </w:r>
      <w:r>
        <w:t xml:space="preserve"> </w:t>
      </w:r>
      <w:r>
        <w:t>−1</w:t>
      </w:r>
      <w:r>
        <w:t xml:space="preserve"> </w:t>
      </w:r>
      <w:r>
        <w:t>在 940 nm 处，标志着三端钙钛矿人工突触中高效 940 nm 红外光响应的首次演示。受益于平衡的离子电子耦合，这些装置表现出可靠的突触行为，包括兴奋性突触后电流、成对脉冲促进和学习-遗忘循环。突触 FET 集成到储层计算框架中，可实现精确的 NIR 面部识别，突显了它们在传感器内计算方面的潜力。这项工作建立了一种分子水平的策略来协调离子</w:t>
      </w:r>
    </w:p>
    <w:p>
      <w:pPr>
        <w:spacing w:before="0" w:after="200" w:lineRule="auto" w:line="276"/>
      </w:pPr>
      <w:r>
        <w:rPr>
          <w:b/>
        </w:rPr>
        <w:t xml:space="preserve">Abstract (EN): </w:t>
      </w:r>
      <w:r>
        <w:t>Tin–lead perovskites offer great potentials for neuromorphic optoelectronics owing to their narrow bandgap and robust near‐infrared (NIR) absorption. However, high‐performance three‐terminal artificial synapses based on these materials remain scarce due to challenges in forming high‐quality semiconductor films. Here, we demonstrate a perovskite synaptic field‐effect transistor (FET) capable of efficient 940 nm sensing and neuromorphic modulation, enabled by uniform, high‐crystallinity FASn</w:t>
      </w:r>
      <w:r>
        <w:t xml:space="preserve"> </w:t>
      </w:r>
      <w:r>
        <w:t>0.8</w:t>
      </w:r>
      <w:r>
        <w:t xml:space="preserve"> </w:t>
      </w:r>
      <w:r>
        <w:t>Pb</w:t>
      </w:r>
      <w:r>
        <w:t xml:space="preserve"> </w:t>
      </w:r>
      <w:r>
        <w:t>0.2</w:t>
      </w:r>
      <w:r>
        <w:t xml:space="preserve"> </w:t>
      </w:r>
      <w:r>
        <w:t>I</w:t>
      </w:r>
      <w:r>
        <w:rPr>
          <w:vertAlign w:val="subscript"/>
        </w:rPr>
        <w:t>3</w:t>
      </w:r>
      <w:r>
        <w:t>thin films. A molecular additive, 1‐bromo‐4‐(methylsulfinyl)benzene (BMSB), precisely regulates crystallization, enlarges grains, and suppresses trap formation, thereby reducing ion migration and enhancing charge transport. The optimized devices achieve high hole mobility and an exceptional responsivity of 231 A W</w:t>
      </w:r>
      <w:r>
        <w:t xml:space="preserve"> </w:t>
      </w:r>
      <w:r>
        <w:t>−1</w:t>
      </w:r>
      <w:r>
        <w:t xml:space="preserve"> </w:t>
      </w:r>
      <w:r>
        <w:t>at 940 nm, marking the first demonstration of efficient 940 nm infrared photoresponse in three‐terminal perovskite artificial synapses. Benefiting from balanced ion‐electron coupling, the devices exhibit reliable synaptic behaviors, including excitatory postsynaptic currents, paired‐pulse facilitation, and learning–forgetting cycles. Integrated into a reservoir–computing framework, the synaptic FETs enable accurate NIR facial recognition, underscoring their potential for in‐sensor computing. This work establishes a molecular‐level strategy to harmonize ionic and electronic processes in Sn─Pb perovskites, advancing light‐programmable neuromorphic transistors for next‐generation intelligent NIR vision systems.</w:t>
      </w:r>
    </w:p>
    <w:p>
      <w:pPr>
        <w:spacing w:before="120" w:after="120"/>
      </w:pPr>
      <w:r>
        <w:rPr>
          <w:sz w:val="18"/>
        </w:rPr>
        <w:t>——————————————————————————————————————————————————————————————————————</w:t>
      </w:r>
    </w:p>
    <w:p>
      <w:pPr>
        <w:spacing w:before="160" w:after="40" w:line="240" w:lineRule="auto"/>
      </w:pPr>
      <w:r>
        <w:rPr>
          <w:b/>
        </w:rPr>
        <w:t xml:space="preserve">[350] </w:t>
      </w:r>
      <w:hyperlink r:id="rId1179">
        <w:r>
          <w:rPr>
            <w:color w:val="1155CC"/>
            <w:u w:val="single"/>
          </w:rPr>
          <w:t>电荷编码侧链在有机电化学突触晶体管中实现确定性离子进入和记忆保留</w:t>
        </w:r>
      </w:hyperlink>
    </w:p>
    <w:p>
      <w:pPr>
        <w:spacing w:before="0" w:after="80"/>
      </w:pPr>
      <w:r>
        <w:rPr>
          <w:i/>
          <w:sz w:val="20"/>
        </w:rPr>
        <w:t>EN: Charge‐Encoded Sidechains Enable Deterministic Ion Ingress and Memory Retention in Organic Electrochemical Synaptic Transistors</w:t>
      </w:r>
    </w:p>
    <w:p>
      <w:pPr>
        <w:spacing w:before="0" w:after="120"/>
      </w:pPr>
      <w:r>
        <w:rPr>
          <w:b/>
        </w:rPr>
        <w:t xml:space="preserve">Source: </w:t>
      </w:r>
      <w:r>
        <w:t>Wiley: Advanced Materials: Table of Contents</w:t>
      </w:r>
      <w:r>
        <w:t xml:space="preserve">    </w:t>
      </w:r>
      <w:r>
        <w:rPr>
          <w:b/>
        </w:rPr>
        <w:t xml:space="preserve">Pub date: </w:t>
      </w:r>
      <w:r>
        <w:t>2026-07-20 08:32:37+00:00</w:t>
      </w:r>
      <w:r>
        <w:t xml:space="preserve">    </w:t>
      </w:r>
      <w:r>
        <w:rPr>
          <w:b/>
        </w:rPr>
        <w:t xml:space="preserve">DOI: </w:t>
      </w:r>
      <w:hyperlink r:id="rId1180">
        <w:r>
          <w:rPr>
            <w:color w:val="1155CC"/>
            <w:u w:val="single"/>
          </w:rPr>
          <w:t>10.1002/adma.74192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电化学突触晶体管（OEST）是神经形态计算的有前途的构建模块，因为它们利用体积离子-电子耦合来模拟突触可塑性。在这里，我们设计了基于环戊基-[2,1-b;3,4-b]-二噻吩-alt-4,7-(2,1,3-苯并噻二唑)（CPDT-BT）供体-受体主链的侧链工程共轭聚电解质（CPE-K、CPE-Br和CPE-Zw），并将它们用作固体电解质门控OEST中的通道材料。光谱电化学测量表明，由于电解质离子在整个聚合物本体中的有效扩散，阳离子 CPE-Br 比阴离子 CPE-K 和两性离子 CPE-Zw 实现了更高、更密集的掺杂水平。在 1200 nm 处监测的时间极化子瞬态表明，阳离子侧链有助于电解质阴离子的体积渗透，从而在电化学掺杂过程中对正掺杂主链进行电荷中和。相比之下，阴离子侧链有利于通过侧链重组进行快速局部自我补偿，同时外部阴离子的吸收有限。因此，基于 CPE-Br 的 OEST 表现出最高的跨导，</w:t>
      </w:r>
      <w:r>
        <w:t xml:space="preserve"> </w:t>
      </w:r>
      <w:r>
        <w:t>微克</w:t>
      </w:r>
      <w:r>
        <w:t xml:space="preserve"> </w:t>
      </w:r>
      <w:r>
        <w:t>*</w:t>
      </w:r>
      <w:r>
        <w:t xml:space="preserve"> </w:t>
      </w:r>
      <w:r>
        <w:t>品质因数、明显的滞后和长期突触保留以及延长的长期增强衰减时间。总的来说，这些结果确立了离子侧链工程作为 OEST 中离子进入、极化子记忆和保留特性编程的有效策略，提供了一个多功能平台。</w:t>
      </w:r>
    </w:p>
    <w:p>
      <w:pPr>
        <w:spacing w:before="0" w:after="200" w:lineRule="auto" w:line="276"/>
      </w:pPr>
      <w:r>
        <w:rPr>
          <w:b/>
        </w:rPr>
        <w:t xml:space="preserve">Abstract (EN): </w:t>
      </w:r>
      <w:r>
        <w:t>Organic electrochemical synaptic transistors (OESTs) are promising building blocks for neuromorphic computing because they leverage volumetric ion–electron coupling to emulate synaptic plasticity. Here, we design sidechain‐engineered conjugated polyelectrolytes (CPE‐K, CPE‐Br, and CPE‐Zw) based on a cyclopenta‐[2,1‐b;3,4‐b]‐dithiophene‐alt‐4,7‐(2,1,3‐benzothiadiazole) (CPDT‐BT) donor–acceptor backbone and use them as channel materials in solid‐electrolyte‐gated OESTs. Spectroelectrochemical measurements demonstrate that cationic CPE‐Br achieves a higher and denser doping level than anionic CPE‐K and zwitterionic CPE‐Zw, enabled by efficient electrolyte ion diffusion throughout the polymer bulk. Temporal polaron transients monitored at 1200 nm reveal that cationic sidechains facilitate volumetric penetration of electrolyte anions to charge‐neutralize the positively doped backbone during electrochemical doping. In contrast, anionic sidechains favor rapid local self‐compensation through sidechain reorganization, accompanied by limited uptake of external anions. As a consequence, CPE‐Br‐based OESTs exhibit the highest transconductance, a superior</w:t>
      </w:r>
      <w:r>
        <w:t xml:space="preserve"> </w:t>
      </w:r>
      <w:r>
        <w:t>µC</w:t>
      </w:r>
      <w:r>
        <w:t xml:space="preserve"> </w:t>
      </w:r>
      <w:r>
        <w:t>*</w:t>
      </w:r>
      <w:r>
        <w:t xml:space="preserve"> </w:t>
      </w:r>
      <w:r>
        <w:t>figure of merit, pronounced hysteresis, and long‐term synaptic retention with extended long‐term potentiation decay times. Collectively, these results establish ionic sidechain engineering as an effective strategy for programming ion ingress, polaron memory, and retention characteristics in OESTs, providing a versatile platform for tailoring synaptic operation in neuromorphic devices.</w:t>
      </w:r>
    </w:p>
    <w:p>
      <w:pPr>
        <w:spacing w:before="120" w:after="120"/>
      </w:pPr>
      <w:r>
        <w:rPr>
          <w:sz w:val="18"/>
        </w:rPr>
        <w:t>——————————————————————————————————————————————————————————————————————</w:t>
      </w:r>
    </w:p>
    <w:p>
      <w:pPr>
        <w:spacing w:before="160" w:after="40" w:line="240" w:lineRule="auto"/>
      </w:pPr>
      <w:r>
        <w:rPr>
          <w:b/>
        </w:rPr>
        <w:t xml:space="preserve">[351] </w:t>
      </w:r>
      <w:hyperlink r:id="rId1181">
        <w:r>
          <w:rPr>
            <w:color w:val="1155CC"/>
            <w:u w:val="single"/>
          </w:rPr>
          <w:t>用于慢性伤口修复的自氧化伤口适应性干细胞封装平台</w:t>
        </w:r>
      </w:hyperlink>
    </w:p>
    <w:p>
      <w:pPr>
        <w:spacing w:before="0" w:after="80"/>
      </w:pPr>
      <w:r>
        <w:rPr>
          <w:i/>
          <w:sz w:val="20"/>
        </w:rPr>
        <w:t>EN: A Self‐Oxygenating Wound‐Adaptive Stem Cell Encapsulation Platform for Chronic Wound Repair</w:t>
      </w:r>
    </w:p>
    <w:p>
      <w:pPr>
        <w:spacing w:before="0" w:after="120"/>
      </w:pPr>
      <w:r>
        <w:rPr>
          <w:b/>
        </w:rPr>
        <w:t xml:space="preserve">Source: </w:t>
      </w:r>
      <w:r>
        <w:t>Wiley: Advanced Materials: Table of Contents</w:t>
      </w:r>
      <w:r>
        <w:t xml:space="preserve">    </w:t>
      </w:r>
      <w:r>
        <w:rPr>
          <w:b/>
        </w:rPr>
        <w:t xml:space="preserve">Pub date: </w:t>
      </w:r>
      <w:r>
        <w:t>2026-07-20 08:32:41+00:00</w:t>
      </w:r>
      <w:r>
        <w:t xml:space="preserve">    </w:t>
      </w:r>
      <w:r>
        <w:rPr>
          <w:b/>
        </w:rPr>
        <w:t xml:space="preserve">DOI: </w:t>
      </w:r>
      <w:hyperlink r:id="rId1182">
        <w:r>
          <w:rPr>
            <w:color w:val="1155CC"/>
            <w:u w:val="single"/>
          </w:rPr>
          <w:t>10.1002/adma.74161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干细胞的疗法为治疗慢性伤口带来了巨大的希望。然而，有限的临床疗效常常不是由于细胞效力不足而引起，而是由于当前的递送模式未能在敌对宿主微环境中维持细胞存活和功能。在这里，我们报告了一种伤口适应性、自充氧干细胞封装平台，旨在克服这种输送模式的失败。该装置将活干细胞嵌入免疫隔离水凝胶基质中，其形状与个体伤口几何形状一致，并转化局部积累的二氧化碳</w:t>
      </w:r>
      <w:r>
        <w:rPr>
          <w:vertAlign w:val="subscript"/>
        </w:rPr>
        <w:t>2</w:t>
      </w:r>
      <w:r>
        <w:t>转化为分子O</w:t>
      </w:r>
      <w:r>
        <w:rPr>
          <w:vertAlign w:val="subscript"/>
        </w:rPr>
        <w:t>2</w:t>
      </w:r>
      <w:r>
        <w:t>，从而提供氧气供应，保持原位细胞代谢活动。重要的是，该系统中的氧合主要用于维持细胞活力，而不是直接给宿主组织供氧。与传统的局部或全身递送策略相比，封装细胞表现出显着增强的存活率、持久性和治疗功能。对糖尿病大鼠和猪伤口模型的评估表明，炎症消退速度加快，血管成熟度改善，组织再生能力强。通过将细胞治疗重新定义为环境与细胞相容性问题，该平台为慢性伤口修复中的精准干细胞治疗建立了临床可转化的递送范例。</w:t>
      </w:r>
    </w:p>
    <w:p>
      <w:pPr>
        <w:spacing w:before="0" w:after="200" w:lineRule="auto" w:line="276"/>
      </w:pPr>
      <w:r>
        <w:rPr>
          <w:b/>
        </w:rPr>
        <w:t xml:space="preserve">Abstract (EN): </w:t>
      </w:r>
      <w:r>
        <w:t>Stem cell‐based therapies hold substantial promise for the treatment of chronic wounds. However, limited clinical efficacy has frequently arisen not from inadequate cell potency, but from failure of current delivery paradigms to sustain cell survival and function within hostile host microenvironments. Here, we report a wound‐adaptive, self‐oxygenating stem cell encapsulation platform designed to overcome this delivery paradigm failure. The device embeds living stem cells within an immunoisolating hydrogel matrix conformally shaped to individual wound geometries and converts locally accumulated CO</w:t>
      </w:r>
      <w:r>
        <w:rPr>
          <w:vertAlign w:val="subscript"/>
        </w:rPr>
        <w:t>2</w:t>
      </w:r>
      <w:r>
        <w:t>into molecular O</w:t>
      </w:r>
      <w:r>
        <w:rPr>
          <w:vertAlign w:val="subscript"/>
        </w:rPr>
        <w:t>2</w:t>
      </w:r>
      <w:r>
        <w:t>, thereby providing an oxygen supply that preserves cellular metabolic activity in situ. Importantly, oxygenation in this system functions primarily to sustain cell viability rather than to directly oxygenate host tissue. Compared with conventional local or systemic delivery strategies, encapsulated cells exhibit markedly enhanced survival, persistence, and therapeutic function. Evaluation in diabetic rat and porcine wound models demonstrates accelerated resolution of inflammation, improved vascular maturation, and robust tissue regeneration. By reframing cell therapy as a problem of environment‐cell compatibility, this platform establishes a clinically translatable delivery paradigm for precision stem cell therapy in chronic wound repair.</w:t>
      </w:r>
    </w:p>
    <w:p>
      <w:pPr>
        <w:spacing w:before="120" w:after="120"/>
      </w:pPr>
      <w:r>
        <w:rPr>
          <w:sz w:val="18"/>
        </w:rPr>
        <w:t>——————————————————————————————————————————————————————————————————————</w:t>
      </w:r>
    </w:p>
    <w:p>
      <w:pPr>
        <w:spacing w:before="160" w:after="40" w:line="240" w:lineRule="auto"/>
      </w:pPr>
      <w:r>
        <w:rPr>
          <w:b/>
        </w:rPr>
        <w:t xml:space="preserve">[352] </w:t>
      </w:r>
      <w:hyperlink r:id="rId1183">
        <w:r>
          <w:rPr>
            <w:color w:val="1155CC"/>
            <w:u w:val="single"/>
          </w:rPr>
          <w:t>PCET 启发的纳米颗粒能够实现成对的质子电子传输，以恢复线粒体电子传输并在衰老过程中再生骨骼</w:t>
        </w:r>
      </w:hyperlink>
    </w:p>
    <w:p>
      <w:pPr>
        <w:spacing w:before="0" w:after="80"/>
      </w:pPr>
      <w:r>
        <w:rPr>
          <w:i/>
          <w:sz w:val="20"/>
        </w:rPr>
        <w:t>EN: PCET‐Inspired Nanoparticles Enable Paired Proton‐Electron Delivery to Restore Mitochondrial Electron Transport and Regenerate Bone During Aging</w:t>
      </w:r>
    </w:p>
    <w:p>
      <w:pPr>
        <w:spacing w:before="0" w:after="120"/>
      </w:pPr>
      <w:r>
        <w:rPr>
          <w:b/>
        </w:rPr>
        <w:t xml:space="preserve">Source: </w:t>
      </w:r>
      <w:r>
        <w:t>Wiley: Advanced Materials: Table of Contents</w:t>
      </w:r>
      <w:r>
        <w:t xml:space="preserve">    </w:t>
      </w:r>
      <w:r>
        <w:rPr>
          <w:b/>
        </w:rPr>
        <w:t xml:space="preserve">Pub date: </w:t>
      </w:r>
      <w:r>
        <w:t>2026-07-20 08:34:59+00:00</w:t>
      </w:r>
      <w:r>
        <w:t xml:space="preserve">    </w:t>
      </w:r>
      <w:r>
        <w:rPr>
          <w:b/>
        </w:rPr>
        <w:t xml:space="preserve">DOI: </w:t>
      </w:r>
      <w:hyperlink r:id="rId1184">
        <w:r>
          <w:rPr>
            <w:color w:val="1155CC"/>
            <w:u w:val="single"/>
          </w:rPr>
          <w:t>10.1002/adma.74133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线粒体电子传递链（ETC）功能障碍会导致受损线粒体的积累和生物能不足，从而导致细胞衰老和衰老过程中组织修复受损。然而，原位重建 ETC 相关线粒体生物能学以克服这种能量限制仍然具有挑战性。在这项研究中，开发了一种线粒体供氢系统（EMHS），该系统可以减弱衰老骨再生生态位中与衰老相关的表型，并通过质子耦合电子转移（PCET）促进衰老过程中的骨骼愈合。已经证明，EMHS 产生的活性氢可以渗透到衰老细胞的线粒体中，从而实现质子-电子等价物的成对传递，从而恢复 ETC 功能。这种线粒体功能恢复伴随着线粒体活性氧（ROS）的减少和氧化磷酸化（OXPHOS）能力的提高，从而扩大了功能性线粒体池。 EMHS 恢复骨髓间充质干细胞 (BMSC) 的成骨潜力，增强内皮血管生成能力，并使中性粒细胞偏向促修复表型。值得注意的是，全身给药后，EMHS 优先在骨骼中积累，并促进骨缺损老年小鼠的骨血管耦合再生。总体而言，我们的研究结果引入了一种小分子无药纳米治疗策略，该策略可维持功能性线粒体库，有可能减轻细胞衰老和年龄相关疾病。</w:t>
      </w:r>
    </w:p>
    <w:p>
      <w:pPr>
        <w:spacing w:before="0" w:after="200" w:lineRule="auto" w:line="276"/>
      </w:pPr>
      <w:r>
        <w:rPr>
          <w:b/>
        </w:rPr>
        <w:t xml:space="preserve">Abstract (EN): </w:t>
      </w:r>
      <w:r>
        <w:t>Mitochondrial electron transport chain (ETC) dysfunction drives the accumulation of damaged mitochondria and bioenergetic insufficiency, contributing to cellular senescence and impaired tissue repair in aging. However, reconstituting ETC‐associated mitochondrial bioenergetics in situ to overcome this energy restriction remains challenging. In this study, a mitochondrial hydrogen‐supply system (EMHS) is developed that attenuates senescence‐associated phenotypes in the aged bone regenerative niche and promotes skeletal healing in aging via proton‐coupled electron transfer (PCET). It has been demonstrated that the active hydrogen generated by EMHS infiltrates mitochondria in senescent cells, enabling the paired delivery of proton–electron equivalents to restore ETC function. This mitochondrial functional recovery is accompanied by reduced mitochondrial reactive oxygen species (ROS) and improved oxidative phosphorylation (OXPHOS) capacity, which expands the functional mitochondrial pool. EMHS restores the osteogenic potential of bone marrow mesenchymal stem cells (BMSCs), enhances endothelial angiogenic capacity, and biases neutrophils toward a pro‐repair phenotype. Remarkably, following systemic administration, EMHS preferentially accumulates in bone and promotes bone‐vascular coupled regeneration in aged mice with bone defects. Overall, our findings introduce a small‐molecule drug‐free nanotherapeutic strategy that maintains a functional mitochondrial pool with potential to alleviate cellular aging and age‐related diseases.</w:t>
      </w:r>
    </w:p>
    <w:p>
      <w:pPr>
        <w:spacing w:before="120" w:after="120"/>
      </w:pPr>
      <w:r>
        <w:rPr>
          <w:sz w:val="18"/>
        </w:rPr>
        <w:t>——————————————————————————————————————————————————————————————————————</w:t>
      </w:r>
    </w:p>
    <w:p>
      <w:pPr>
        <w:spacing w:before="160" w:after="40" w:line="240" w:lineRule="auto"/>
      </w:pPr>
      <w:r>
        <w:rPr>
          <w:b/>
        </w:rPr>
        <w:t xml:space="preserve">[353] </w:t>
      </w:r>
      <w:hyperlink r:id="rId1185">
        <w:r>
          <w:rPr>
            <w:color w:val="1155CC"/>
            <w:u w:val="single"/>
          </w:rPr>
          <w:t>用于先天免疫信号空间控制的几何可编程活体免疫材料</w:t>
        </w:r>
      </w:hyperlink>
    </w:p>
    <w:p>
      <w:pPr>
        <w:spacing w:before="0" w:after="80"/>
      </w:pPr>
      <w:r>
        <w:rPr>
          <w:i/>
          <w:sz w:val="20"/>
        </w:rPr>
        <w:t>EN: Geometry‐Programmable Living Immunomaterials for Spatial Control of Innate Immune Signaling</w:t>
      </w:r>
    </w:p>
    <w:p>
      <w:pPr>
        <w:spacing w:before="0" w:after="120"/>
      </w:pPr>
      <w:r>
        <w:rPr>
          <w:b/>
        </w:rPr>
        <w:t xml:space="preserve">Source: </w:t>
      </w:r>
      <w:r>
        <w:t>Wiley: Advanced Materials: Table of Contents</w:t>
      </w:r>
      <w:r>
        <w:t xml:space="preserve">    </w:t>
      </w:r>
      <w:r>
        <w:rPr>
          <w:b/>
        </w:rPr>
        <w:t xml:space="preserve">Pub date: </w:t>
      </w:r>
      <w:r>
        <w:t>2026-07-20 08:36:38+00:00</w:t>
      </w:r>
      <w:r>
        <w:t xml:space="preserve">    </w:t>
      </w:r>
      <w:r>
        <w:rPr>
          <w:b/>
        </w:rPr>
        <w:t xml:space="preserve">DOI: </w:t>
      </w:r>
      <w:hyperlink r:id="rId1186">
        <w:r>
          <w:rPr>
            <w:color w:val="1155CC"/>
            <w:u w:val="single"/>
          </w:rPr>
          <w:t>10.1002/adma.74187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免疫配体的空间组织通过控制驱动协同 cGAS 组装和催化活性的纳米级几何结构来严格调节 cGAS-STING 信号传导。在这里，我们设计了几何可编程的 DNA 折纸，精确编码双链 DNA (dsDNA) 价和间距，以促进协同 cGAS 聚类和 STING 激活。系统的结构调制确定了测试范围内的最佳配置，其中以~16.3 nm周期性排列的60 bp dsDNA配体诱导的STING信号比游离dsDNA对应物强大约两倍。我们进一步将这些折纸与益生菌结合起来</w:t>
      </w:r>
      <w:r>
        <w:t xml:space="preserve"> </w:t>
      </w:r>
      <w:r>
        <w:t>大肠杆菌</w:t>
      </w:r>
      <w:r>
        <w:t xml:space="preserve"> </w:t>
      </w:r>
      <w:r>
        <w:t>Nissle 1917 通过转运蛋白介导的表面锚定，形成活的免疫材料界面，用于结直肠肿瘤中局部配体的呈现。在微卫星稳定结直肠癌模型中，这种生物混合系统驱动肿瘤内 STING 的强大激活，促进 T 细胞炎症免疫重塑，并相对于对照组抑制肿瘤生长约 83.5%。这项工作建立了一种几何可编程活体免疫材料，将纳米级建筑设计转化为空间受限的先天免疫信号。</w:t>
      </w:r>
    </w:p>
    <w:p>
      <w:pPr>
        <w:spacing w:before="0" w:after="200" w:lineRule="auto" w:line="276"/>
      </w:pPr>
      <w:r>
        <w:rPr>
          <w:b/>
        </w:rPr>
        <w:t xml:space="preserve">Abstract (EN): </w:t>
      </w:r>
      <w:r>
        <w:t>Spatial organization of immune ligands critically regulates cGAS–STING signaling by controling the nanoscale geometry that drives cooperative cGAS assembly and catalytic activity. Here we engineer geometry‐programmable DNA origami that precisely encodes double‐stranded DNA (dsDNA) valency and spacing to promote cooperative cGAS clustering and STING activation. Systematic architectural modulation identifies an optimal configuration within tested ranges, in which 60‐bp dsDNA ligands arranged with ∼16.3 nm periodicity induce approximately twofold stronger STING signaling than free dsDNA counterparts. We further integrate these origamis with the probiotic</w:t>
      </w:r>
      <w:r>
        <w:t xml:space="preserve"> </w:t>
      </w:r>
      <w:r>
        <w:t>Escherichia coli</w:t>
      </w:r>
      <w:r>
        <w:t xml:space="preserve"> </w:t>
      </w:r>
      <w:r>
        <w:t>Nissle 1917 via transporter‐mediated surface anchoring, forming a living immunomaterial interface for localized ligand presentation in colorectal tumors. In microsatellite‐stable colorectal cancer models, this biohybrid system drives robust intratumoral STING activation, promotes T‐cell‐inflamed immune remodeling, and suppresses tumor growth by ∼83.5% relative to controls. This work establishes a geometry‐programmable living immunomaterial translating nanoscale architectural design into spatially confined innate immune signaling.</w:t>
      </w:r>
    </w:p>
    <w:p>
      <w:pPr>
        <w:spacing w:before="120" w:after="120"/>
      </w:pPr>
      <w:r>
        <w:rPr>
          <w:sz w:val="18"/>
        </w:rPr>
        <w:t>——————————————————————————————————————————————————————————————————————</w:t>
      </w:r>
    </w:p>
    <w:p>
      <w:pPr>
        <w:spacing w:before="160" w:after="40" w:line="240" w:lineRule="auto"/>
      </w:pPr>
      <w:r>
        <w:rPr>
          <w:b/>
        </w:rPr>
        <w:t xml:space="preserve">[354] </w:t>
      </w:r>
      <w:hyperlink r:id="rId1187">
        <w:r>
          <w:rPr>
            <w:color w:val="1155CC"/>
            <w:u w:val="single"/>
          </w:rPr>
          <w:t>阻力顺应性：鱼鳔本质上非凡的各向同性抗疲劳性能</w:t>
        </w:r>
      </w:hyperlink>
    </w:p>
    <w:p>
      <w:pPr>
        <w:spacing w:before="0" w:after="80"/>
      </w:pPr>
      <w:r>
        <w:rPr>
          <w:i/>
          <w:sz w:val="20"/>
        </w:rPr>
        <w:t>EN: Compliance for Resistance: The Intrinsic Extraordinary Isotropic Anti‐Fatigue Performance of Fish Bladder</w:t>
      </w:r>
    </w:p>
    <w:p>
      <w:pPr>
        <w:spacing w:before="0" w:after="120"/>
      </w:pPr>
      <w:r>
        <w:rPr>
          <w:b/>
        </w:rPr>
        <w:t xml:space="preserve">Source: </w:t>
      </w:r>
      <w:r>
        <w:t>Wiley: Advanced Materials: Table of Contents</w:t>
      </w:r>
      <w:r>
        <w:t xml:space="preserve">    </w:t>
      </w:r>
      <w:r>
        <w:rPr>
          <w:b/>
        </w:rPr>
        <w:t xml:space="preserve">Pub date: </w:t>
      </w:r>
      <w:r>
        <w:t>2026-07-20 08:39:36+00:00</w:t>
      </w:r>
      <w:r>
        <w:t xml:space="preserve">    </w:t>
      </w:r>
      <w:r>
        <w:rPr>
          <w:b/>
        </w:rPr>
        <w:t xml:space="preserve">DOI: </w:t>
      </w:r>
      <w:hyperlink r:id="rId1188">
        <w:r>
          <w:rPr>
            <w:color w:val="1155CC"/>
            <w:u w:val="single"/>
          </w:rPr>
          <w:t>10.1002/adma.74196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于生物医学植入物和软机器人技术中使用的软材料来说，疲劳失效仍然是一个严峻的挑战。现有的策略，包括刚性加固和微观结构对齐，可以抑制裂纹扩展，但通常会引入各向异性，并且对多向载荷的抵抗力较差。此外，合成软材料的断裂韧性和疲劳阈值之间仍然存在持续的数量级差异。在这里，鲢鱼的鱼鳔具有多层分级纤维结构，表现出非凡的各向同性疲劳抗力（∼6000 J·m</w:t>
      </w:r>
      <w:r>
        <w:t xml:space="preserve"> </w:t>
      </w:r>
      <w:r>
        <w:t>-</w:t>
      </w:r>
      <w:r>
        <w:rPr>
          <w:vertAlign w:val="subscript"/>
        </w:rPr>
        <w:t>2</w:t>
      </w:r>
      <w:r>
        <w:t>）接近其断裂韧性。这种行为源于“阻力顺从”机制，该机制将动态纤维拉直和旋转、牺牲键断裂和重新结合、层特定纤维重新定向与由此产生的界面滑动相结合，以耗散循环载荷下的能量。在这些原则的指导下，生物混合水凝胶被设计来重现这种多尺度抗疲劳机制，实现高疲劳阈值（&gt;3000 J·m</w:t>
      </w:r>
      <w:r>
        <w:t xml:space="preserve"> </w:t>
      </w:r>
      <w:r>
        <w:t>-</w:t>
      </w:r>
      <w:r>
        <w:rPr>
          <w:vertAlign w:val="subscript"/>
        </w:rPr>
        <w:t>2</w:t>
      </w:r>
      <w:r>
        <w:t>）以及强大的防污性能。这些结果揭示了抗疲劳生物软组织的基本设计原理，并为工程耐用软材料提供了总体策略。</w:t>
      </w:r>
    </w:p>
    <w:p>
      <w:pPr>
        <w:spacing w:before="0" w:after="200" w:lineRule="auto" w:line="276"/>
      </w:pPr>
      <w:r>
        <w:rPr>
          <w:b/>
        </w:rPr>
        <w:t xml:space="preserve">Abstract (EN): </w:t>
      </w:r>
      <w:r>
        <w:t>Fatigue failure remains a critical challenge for soft materials used in biomedical implants and soft robotics. Existing strategies, including stiff reinforcement and microstructural alignment, can suppress crack growth but often introduce anisotropy and poor resistance to multidirectional loading. In addition, a persistent orders‐of‐magnitude disparity remains between fracture toughness and fatigue threshold of synthetic soft materials. Here, the fish bladder of silver carp, characterized by a multilayered hierarchical fibrous architecture, is shown to exhibit extraordinary isotropic fatigue resistance (∼6000 J·m</w:t>
      </w:r>
      <w:r>
        <w:t xml:space="preserve"> </w:t>
      </w:r>
      <w:r>
        <w:t>−</w:t>
      </w:r>
      <w:r>
        <w:rPr>
          <w:vertAlign w:val="subscript"/>
        </w:rPr>
        <w:t>2</w:t>
      </w:r>
      <w:r>
        <w:t>) approaching its fracture toughness. This behavior originates from a “compliance for resistance” mechanism that couples dynamic fiber straightening and rotation, sacrificial bond breakage and reassociation, and layer‐specific fiber reorientation with the resulting interfacial sliding to dissipate energy under cyclic loading. Guided by these principles, a biohybrid hydrogel is designed to reproduce this multiscale anti‐fatigue mechanism, achieving a high fatigue threshold (&amp;gt;3000 J·m</w:t>
      </w:r>
      <w:r>
        <w:t xml:space="preserve"> </w:t>
      </w:r>
      <w:r>
        <w:t>−</w:t>
      </w:r>
      <w:r>
        <w:rPr>
          <w:vertAlign w:val="subscript"/>
        </w:rPr>
        <w:t>2</w:t>
      </w:r>
      <w:r>
        <w:t>) together with robust antifouling performance. These results uncover fundamental design principles of fatigue‐resistant biological soft tissues and provide a general strategy for engineering durable soft materials.</w:t>
      </w:r>
    </w:p>
    <w:p>
      <w:pPr>
        <w:spacing w:before="120" w:after="120"/>
      </w:pPr>
      <w:r>
        <w:rPr>
          <w:sz w:val="18"/>
        </w:rPr>
        <w:t>——————————————————————————————————————————————————————————————————————</w:t>
      </w:r>
    </w:p>
    <w:p>
      <w:pPr>
        <w:spacing w:before="160" w:after="40" w:line="240" w:lineRule="auto"/>
      </w:pPr>
      <w:r>
        <w:rPr>
          <w:b/>
        </w:rPr>
        <w:t xml:space="preserve">[355] </w:t>
      </w:r>
      <w:hyperlink r:id="rId1189">
        <w:r>
          <w:rPr>
            <w:color w:val="1155CC"/>
            <w:u w:val="single"/>
          </w:rPr>
          <w:t>对 femtoscopy 和合并中的平滑度和壳上近似进行修正</w:t>
        </w:r>
      </w:hyperlink>
    </w:p>
    <w:p>
      <w:pPr>
        <w:spacing w:before="0" w:after="80"/>
      </w:pPr>
      <w:r>
        <w:rPr>
          <w:i/>
          <w:sz w:val="20"/>
        </w:rPr>
        <w:t>EN: Corrections to the smoothness and on-shell approximations in femtoscopy and coalescence</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1190">
        <w:r>
          <w:rPr>
            <w:color w:val="1155CC"/>
            <w:u w:val="single"/>
          </w:rPr>
          <w:t>10.1103/z5pg-7hwx</w:t>
        </w:r>
      </w:hyperlink>
    </w:p>
    <w:p>
      <w:pPr>
        <w:spacing w:before="0" w:after="120"/>
      </w:pPr>
      <w:r>
        <w:rPr>
          <w:b/>
        </w:rPr>
        <w:t xml:space="preserve">Notes: </w:t>
      </w:r>
      <w:r>
        <w:t>abstract_source=rss_description</w:t>
      </w:r>
    </w:p>
    <w:p>
      <w:pPr>
        <w:spacing w:before="0" w:after="80" w:lineRule="auto" w:line="276"/>
      </w:pPr>
      <w:r>
        <w:rPr>
          <w:b/>
        </w:rPr>
        <w:t xml:space="preserve">摘要（ZH）: </w:t>
      </w:r>
      <w:r>
        <w:t>作者：Isaac G. Smith 和 Kfir Blum 相对论性重离子碰撞产生飞米尺度的源，其时空结构可以使用双粒子飞米相关性来约束。标准实现依赖于平滑度和壳上近似，这有效地消除了…[Phys. Rev. C 114, 014908] 2026 年 7 月 20 日星期一发布</w:t>
      </w:r>
    </w:p>
    <w:p>
      <w:pPr>
        <w:spacing w:before="0" w:after="200" w:lineRule="auto" w:line="276"/>
      </w:pPr>
      <w:r>
        <w:rPr>
          <w:b/>
        </w:rPr>
        <w:t xml:space="preserve">Abstract (EN): </w:t>
      </w:r>
      <w:r>
        <w:t>Author(s): Isaac G. Smith and Kfir BlumRelativistic heavy-ion collisions produce femtometer-scale sources whose space-time structure can be constrained using two-particle femtoscopic correlations. Standard implementations rely on the smoothness and on-shell approximations, which effectively remove the relative momentum dependence of the …[Phys. Rev. C 114, 014908] Published Mon Jul 20, 2026</w:t>
      </w:r>
    </w:p>
    <w:p>
      <w:pPr>
        <w:spacing w:before="120" w:after="120"/>
      </w:pPr>
      <w:r>
        <w:rPr>
          <w:sz w:val="18"/>
        </w:rPr>
        <w:t>——————————————————————————————————————————————————————————————————————</w:t>
      </w:r>
    </w:p>
    <w:p>
      <w:pPr>
        <w:spacing w:before="160" w:after="40" w:line="240" w:lineRule="auto"/>
      </w:pPr>
      <w:r>
        <w:rPr>
          <w:b/>
        </w:rPr>
        <w:t xml:space="preserve">[356] </w:t>
      </w:r>
      <w:hyperlink r:id="rId1191">
        <w:r>
          <w:rPr>
            <w:color w:val="1155CC"/>
            <w:u w:val="single"/>
          </w:rPr>
          <w:t>中子对超导中子星物质中质子涡旋力的贡献</w:t>
        </w:r>
      </w:hyperlink>
    </w:p>
    <w:p>
      <w:pPr>
        <w:spacing w:before="0" w:after="80"/>
      </w:pPr>
      <w:r>
        <w:rPr>
          <w:i/>
          <w:sz w:val="20"/>
        </w:rPr>
        <w:t>EN: Neutron contribution to the force on a proton vortex in superconducting neutron-star matter</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1192">
        <w:r>
          <w:rPr>
            <w:color w:val="1155CC"/>
            <w:u w:val="single"/>
          </w:rPr>
          <w:t>10.1103/hgmj-2s35</w:t>
        </w:r>
      </w:hyperlink>
    </w:p>
    <w:p>
      <w:pPr>
        <w:spacing w:before="0" w:after="120"/>
      </w:pPr>
      <w:r>
        <w:rPr>
          <w:b/>
        </w:rPr>
        <w:t xml:space="preserve">Notes: </w:t>
      </w:r>
      <w:r>
        <w:t>abstract_source=rss_description</w:t>
      </w:r>
    </w:p>
    <w:p>
      <w:pPr>
        <w:spacing w:before="0" w:after="80" w:lineRule="auto" w:line="276"/>
      </w:pPr>
      <w:r>
        <w:rPr>
          <w:b/>
        </w:rPr>
        <w:t xml:space="preserve">摘要（ZH）: </w:t>
      </w:r>
      <w:r>
        <w:t>作者：Oleg A. Goglichidze 和 Mikhail E. Gusakov 我们研究了作用在由中子、质子和电子组成的超导中子星物质中的质子涡旋上的力，解释了中子-质子子系统中的费米-液体相互作用。虽然涡旋磁场引起的电子散射所产生的力是众所周知的……[物理。 Rev. C 114, 015807] 2026 年 7 月 20 日星期一发布</w:t>
      </w:r>
    </w:p>
    <w:p>
      <w:pPr>
        <w:spacing w:before="0" w:after="200" w:lineRule="auto" w:line="276"/>
      </w:pPr>
      <w:r>
        <w:rPr>
          <w:b/>
        </w:rPr>
        <w:t xml:space="preserve">Abstract (EN): </w:t>
      </w:r>
      <w:r>
        <w:t>Author(s): Oleg A. Goglichidze and Mikhail E. GusakovWe investigate the forces acting on a proton vortex in superconducting neutron-star matter composed of neutrons, protons, and electrons, accounting for Fermi-liquid interactions in the neutron-proton subsystem. While the force arising from electron scattering by the vortex magnetic field is well kno…[Phys. Rev. C 114, 015807] Published Mon Jul 20, 2026</w:t>
      </w:r>
    </w:p>
    <w:p>
      <w:pPr>
        <w:spacing w:before="120" w:after="120"/>
      </w:pPr>
      <w:r>
        <w:rPr>
          <w:sz w:val="18"/>
        </w:rPr>
        <w:t>——————————————————————————————————————————————————————————————————————</w:t>
      </w:r>
    </w:p>
    <w:p>
      <w:pPr>
        <w:spacing w:before="160" w:after="40" w:line="240" w:lineRule="auto"/>
      </w:pPr>
      <w:r>
        <w:rPr>
          <w:b/>
        </w:rPr>
        <w:t xml:space="preserve">[357] </w:t>
      </w:r>
      <w:hyperlink r:id="rId1193">
        <w:r>
          <w:rPr>
            <w:color w:val="1155CC"/>
            <w:u w:val="single"/>
          </w:rPr>
          <w:t>勘误表：带电中微子核散射偶偶 Xe 同位素，包括介子交换贡献 [Phys.修订版 C 111, 014601 (2025)]</w:t>
        </w:r>
      </w:hyperlink>
    </w:p>
    <w:p>
      <w:pPr>
        <w:spacing w:before="0" w:after="80"/>
      </w:pPr>
      <w:r>
        <w:rPr>
          <w:i/>
          <w:sz w:val="20"/>
        </w:rPr>
        <w:t>EN: Erratum: Charged-current neutrino-nucleus scattering off even-even Xe isotopes including the meson-exchange contributions [Phys. Rev. C 111, 014601 (2025)]</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1194">
        <w:r>
          <w:rPr>
            <w:color w:val="1155CC"/>
            <w:u w:val="single"/>
          </w:rPr>
          <w:t>10.1103/dymm-dvr9</w:t>
        </w:r>
      </w:hyperlink>
    </w:p>
    <w:p>
      <w:pPr>
        <w:spacing w:before="0" w:after="120"/>
      </w:pPr>
      <w:r>
        <w:rPr>
          <w:b/>
        </w:rPr>
        <w:t xml:space="preserve">Notes: </w:t>
      </w:r>
      <w:r>
        <w:t>abstract_source=rss_description</w:t>
      </w:r>
    </w:p>
    <w:p>
      <w:pPr>
        <w:spacing w:before="0" w:after="80" w:lineRule="auto" w:line="276"/>
      </w:pPr>
      <w:r>
        <w:rPr>
          <w:b/>
        </w:rPr>
        <w:t xml:space="preserve">摘要（ZH）: </w:t>
      </w:r>
      <w:r>
        <w:t>作者：Joona Kasurinen、Pekka Pirinen 和 Jouni Suhonen[物理学。 Rev. C 114, 019901] 2026 年 7 月 20 日星期一发布</w:t>
      </w:r>
    </w:p>
    <w:p>
      <w:pPr>
        <w:spacing w:before="0" w:after="200" w:lineRule="auto" w:line="276"/>
      </w:pPr>
      <w:r>
        <w:rPr>
          <w:b/>
        </w:rPr>
        <w:t xml:space="preserve">Abstract (EN): </w:t>
      </w:r>
      <w:r>
        <w:t>Author(s): Joona Kasurinen, Pekka Pirinen, and Jouni Suhonen[Phys. Rev. C 114, 019901] Published Mon Jul 20, 2026</w:t>
      </w:r>
    </w:p>
    <w:p>
      <w:pPr>
        <w:spacing w:before="120" w:after="120"/>
      </w:pPr>
      <w:r>
        <w:rPr>
          <w:sz w:val="18"/>
        </w:rPr>
        <w:t>——————————————————————————————————————————————————————————————————————</w:t>
      </w:r>
    </w:p>
    <w:p>
      <w:pPr>
        <w:spacing w:before="160" w:after="40" w:line="240" w:lineRule="auto"/>
      </w:pPr>
      <w:r>
        <w:rPr>
          <w:b/>
        </w:rPr>
        <w:t xml:space="preserve">[358] </w:t>
      </w:r>
      <w:hyperlink r:id="rId1195">
        <w:r>
          <w:rPr>
            <w:color w:val="1155CC"/>
            <w:u w:val="single"/>
          </w:rPr>
          <w:t>URhSn 中自发电子手性顺序的 NMR 证据</w:t>
        </w:r>
      </w:hyperlink>
    </w:p>
    <w:p>
      <w:pPr>
        <w:spacing w:before="0" w:after="80"/>
      </w:pPr>
      <w:r>
        <w:rPr>
          <w:i/>
          <w:sz w:val="20"/>
        </w:rPr>
        <w:t>EN: NMR Evidence for Spontaneous Electronic Chiral Order in URhSn</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196">
        <w:r>
          <w:rPr>
            <w:color w:val="1155CC"/>
            <w:u w:val="single"/>
          </w:rPr>
          <w:t>10.1103/1vjx-4jfv</w:t>
        </w:r>
      </w:hyperlink>
    </w:p>
    <w:p>
      <w:pPr>
        <w:spacing w:before="0" w:after="120"/>
      </w:pPr>
      <w:r>
        <w:rPr>
          <w:b/>
        </w:rPr>
        <w:t xml:space="preserve">Notes: </w:t>
      </w:r>
      <w:r>
        <w:t>abstract_source=rss_description</w:t>
      </w:r>
    </w:p>
    <w:p>
      <w:pPr>
        <w:spacing w:before="0" w:after="80" w:lineRule="auto" w:line="276"/>
      </w:pPr>
      <w:r>
        <w:rPr>
          <w:b/>
        </w:rPr>
        <w:t xml:space="preserve">摘要（ZH）: </w:t>
      </w:r>
      <w:r>
        <w:t>作者：Y. Tokunaga、T. Ishitobi、H. Sakai、S. Kambe、H. Harima、A. Nakamura、A. Maurya、D. Li、Y. Homma、F. Honda、D. Aoki 和 Y. Shimizu URhSn（一种没有固有手性晶格结构的强相关材料）中自发电子手性顺序的第一个直接证据，从根本上挑战了电子手性需要的普遍观念手性晶体骨架。[物理。莱特牧师。 137, 046501] 2026 年 7 月 20 日星期一发布</w:t>
      </w:r>
    </w:p>
    <w:p>
      <w:pPr>
        <w:spacing w:before="0" w:after="200" w:lineRule="auto" w:line="276"/>
      </w:pPr>
      <w:r>
        <w:rPr>
          <w:b/>
        </w:rPr>
        <w:t xml:space="preserve">Abstract (EN): </w:t>
      </w:r>
      <w:r>
        <w:t>Author(s): Y. Tokunaga, T. Ishitobi, H. Sakai, S. Kambe, H. Harima, A. Nakamura, A. Maurya, D. Li, Y. Homma, F. Honda, D. Aoki, and Y. ShimizuThe first direct evidence of spontaneous electronic chiral order in URhSn, a strongly correlated material without an inherently chiral lattice structure, fundamentally challenges the prevailing notion that electronic chirality requires a chiral crystal framework.[Phys. Rev. Lett. 137, 046501] Published Mon Jul 20, 2026</w:t>
      </w:r>
    </w:p>
    <w:p>
      <w:pPr>
        <w:spacing w:before="120" w:after="120"/>
      </w:pPr>
      <w:r>
        <w:rPr>
          <w:sz w:val="18"/>
        </w:rPr>
        <w:t>——————————————————————————————————————————————————————————————————————</w:t>
      </w:r>
    </w:p>
    <w:p>
      <w:pPr>
        <w:spacing w:before="160" w:after="40" w:line="240" w:lineRule="auto"/>
      </w:pPr>
      <w:r>
        <w:rPr>
          <w:b/>
        </w:rPr>
        <w:t xml:space="preserve">[359] </w:t>
      </w:r>
      <w:hyperlink r:id="rId1197">
        <w:r>
          <w:rPr>
            <w:color w:val="1155CC"/>
            <w:u w:val="single"/>
          </w:rPr>
          <w:t>超越交钥匙极限的集成孤子微梳</w:t>
        </w:r>
      </w:hyperlink>
    </w:p>
    <w:p>
      <w:pPr>
        <w:spacing w:before="0" w:after="80"/>
      </w:pPr>
      <w:r>
        <w:rPr>
          <w:i/>
          <w:sz w:val="20"/>
        </w:rPr>
        <w:t>EN: Integrated Soliton Microcombs beyond the Turnkey Limit</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198">
        <w:r>
          <w:rPr>
            <w:color w:val="1155CC"/>
            <w:u w:val="single"/>
          </w:rPr>
          <w:t>10.1103/r8fh-vtps</w:t>
        </w:r>
      </w:hyperlink>
    </w:p>
    <w:p>
      <w:pPr>
        <w:spacing w:before="0" w:after="120"/>
      </w:pPr>
      <w:r>
        <w:rPr>
          <w:b/>
        </w:rPr>
        <w:t xml:space="preserve">Notes: </w:t>
      </w:r>
      <w:r>
        <w:t>abstract_source=rss_description</w:t>
      </w:r>
    </w:p>
    <w:p>
      <w:pPr>
        <w:spacing w:before="0" w:after="80" w:lineRule="auto" w:line="276"/>
      </w:pPr>
      <w:r>
        <w:rPr>
          <w:b/>
        </w:rPr>
        <w:t xml:space="preserve">摘要（ZH）: </w:t>
      </w:r>
      <w:r>
        <w:t>作者：Ze Wang、Tianyu Xu、Yuanlei Wang、Kaixuan Zhu、Xinrui Luo、Haoyang Luo、Junqi Wang、Bo Ni、Yiwen Yang、Qi Huang Kong、Yun-Feng Shaw、Bei-Bei Li和Qi-Fan Yang自注入锁定使集成孤子微梳具有交钥匙启动和改进的相干性，但它也将泵固定在谐振附近，限制了更宽梳的大失谐。在这里，我们使用辅助谐振器来动态混合泵浦模式，从而使adi…[Phys。莱特牧师。 137, 043802] 2026 年 7 月 20 日星期一发布</w:t>
      </w:r>
    </w:p>
    <w:p>
      <w:pPr>
        <w:spacing w:before="0" w:after="200" w:lineRule="auto" w:line="276"/>
      </w:pPr>
      <w:r>
        <w:rPr>
          <w:b/>
        </w:rPr>
        <w:t xml:space="preserve">Abstract (EN): </w:t>
      </w:r>
      <w:r>
        <w:t>Author(s): Ze Wang, Tianyu Xu, Yuanlei Wang, Kaixuan Zhu, Xinrui Luo, Haoyang Luo, Junqi Wang, Bo Ni, Yiwen Yang, Qihuang Gong, Yun-Feng Xiao, Bei-Bei Li, and Qi-Fan YangSelf-injection locking enables integrated soliton microcombs with turnkey initiation and improved coherence, but it also pins the pump close to resonance, limiting the access to large detuning for broader combs. Here, we use an auxiliary resonator to dynamically hybridize the pump mode, enabling adi…[Phys. Rev. Lett. 137, 043802] Published Mon Jul 20, 2026</w:t>
      </w:r>
    </w:p>
    <w:p>
      <w:pPr>
        <w:spacing w:before="120" w:after="120"/>
      </w:pPr>
      <w:r>
        <w:rPr>
          <w:sz w:val="18"/>
        </w:rPr>
        <w:t>——————————————————————————————————————————————————————————————————————</w:t>
      </w:r>
    </w:p>
    <w:p>
      <w:pPr>
        <w:spacing w:before="160" w:after="40" w:line="240" w:lineRule="auto"/>
      </w:pPr>
      <w:r>
        <w:rPr>
          <w:b/>
        </w:rPr>
        <w:t xml:space="preserve">[360] </w:t>
      </w:r>
      <w:hyperlink r:id="rId1199">
        <w:r>
          <w:rPr>
            <w:color w:val="1155CC"/>
            <w:u w:val="single"/>
          </w:rPr>
          <w:t>云母上与速度无关的干摩擦：理想阿蒙顿-库仑摩擦的实现</w:t>
        </w:r>
      </w:hyperlink>
    </w:p>
    <w:p>
      <w:pPr>
        <w:spacing w:before="0" w:after="80"/>
      </w:pPr>
      <w:r>
        <w:rPr>
          <w:i/>
          <w:sz w:val="20"/>
        </w:rPr>
        <w:t>EN: Velocity-Independent Dry Friction on Mica: Realization of Ideal Amontons-Coulomb Friction</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00">
        <w:r>
          <w:rPr>
            <w:color w:val="1155CC"/>
            <w:u w:val="single"/>
          </w:rPr>
          <w:t>10.1103/y3jy-nqcd</w:t>
        </w:r>
      </w:hyperlink>
    </w:p>
    <w:p>
      <w:pPr>
        <w:spacing w:before="0" w:after="120"/>
      </w:pPr>
      <w:r>
        <w:rPr>
          <w:b/>
        </w:rPr>
        <w:t xml:space="preserve">Notes: </w:t>
      </w:r>
      <w:r>
        <w:t>abstract_source=rss_description</w:t>
      </w:r>
    </w:p>
    <w:p>
      <w:pPr>
        <w:spacing w:before="0" w:after="80" w:lineRule="auto" w:line="276"/>
      </w:pPr>
      <w:r>
        <w:rPr>
          <w:b/>
        </w:rPr>
        <w:t xml:space="preserve">摘要（ZH）: </w:t>
      </w:r>
      <w:r>
        <w:t>作者：Hiroshi Sakuma、Diane E. Moore、David A. Lockner 和 Toshihiro Kogure 阿蒙顿-库仑摩擦定律假设材料之间的摩擦力与滑动速度无关。然而，正如库仑指出的那样，这是一个粗略的近似，摩擦力对滑动速度对数的二阶依赖性被纳入常用的“速率-…[Phys. Rev. Lett. 137, 046201] 于 2026 年 7 月 20 日星期一发布</w:t>
      </w:r>
    </w:p>
    <w:p>
      <w:pPr>
        <w:spacing w:before="0" w:after="200" w:lineRule="auto" w:line="276"/>
      </w:pPr>
      <w:r>
        <w:rPr>
          <w:b/>
        </w:rPr>
        <w:t xml:space="preserve">Abstract (EN): </w:t>
      </w:r>
      <w:r>
        <w:t>Author(s): Hiroshi Sakuma, Diane E. Moore, David A. Lockner, and Toshihiro KogureThe Amontons-Coulomb friction law assumes that the frictional force between materials is independent of sliding velocity. However, as Coulomb noted, this is a rough approximation, and a second-order dependence of friction on the logarithm of sliding velocity is incorporated in a commonly used “rate-…[Phys. Rev. Lett. 137, 046201] Published Mon Jul 20, 2026</w:t>
      </w:r>
    </w:p>
    <w:p>
      <w:pPr>
        <w:spacing w:before="120" w:after="120"/>
      </w:pPr>
      <w:r>
        <w:rPr>
          <w:sz w:val="18"/>
        </w:rPr>
        <w:t>——————————————————————————————————————————————————————————————————————</w:t>
      </w:r>
    </w:p>
    <w:p>
      <w:pPr>
        <w:spacing w:before="160" w:after="40" w:line="240" w:lineRule="auto"/>
      </w:pPr>
      <w:r>
        <w:rPr>
          <w:b/>
        </w:rPr>
        <w:t xml:space="preserve">[361] </w:t>
      </w:r>
      <w:hyperlink r:id="rId1201">
        <w:r>
          <w:rPr>
            <w:color w:val="1155CC"/>
            <w:u w:val="single"/>
          </w:rPr>
          <w:t>在 CERN 大型强子对撞机可用的能量下，${\mathrm{Λ}}_{c}^{+}$ 重子的强子化，来自 $\mathrm{Pb}+\mathrm{Pb}$ 碰撞中的重组模型</w:t>
        </w:r>
      </w:hyperlink>
    </w:p>
    <w:p>
      <w:pPr>
        <w:spacing w:before="0" w:after="80"/>
      </w:pPr>
      <w:r>
        <w:rPr>
          <w:i/>
          <w:sz w:val="20"/>
        </w:rPr>
        <w:t>EN: Hadronization of ${\mathrm{Λ}}_{c}^{+}$ baryons from a recombination model in $\mathrm{Pb}+\mathrm{Pb}$ collisions at energies available at the CERN Large Hadron Collider</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1202">
        <w:r>
          <w:rPr>
            <w:color w:val="1155CC"/>
            <w:u w:val="single"/>
          </w:rPr>
          <w:t>10.1103/n36d-45zl</w:t>
        </w:r>
      </w:hyperlink>
    </w:p>
    <w:p>
      <w:pPr>
        <w:spacing w:before="0" w:after="120"/>
      </w:pPr>
      <w:r>
        <w:rPr>
          <w:b/>
        </w:rPr>
        <w:t xml:space="preserve">Notes: </w:t>
      </w:r>
      <w:r>
        <w:t>abstract_source=rss_description</w:t>
      </w:r>
    </w:p>
    <w:p>
      <w:pPr>
        <w:spacing w:before="0" w:after="80" w:lineRule="auto" w:line="276"/>
      </w:pPr>
      <w:r>
        <w:rPr>
          <w:b/>
        </w:rPr>
        <w:t xml:space="preserve">摘要（ZH）: </w:t>
      </w:r>
      <w:r>
        <w:t>作者：张景宗、郑华、朱立林在夸克重组框架内研究了 $\mathrm{Λ}}_{c}^{+}$ 在 $\mathrm{Pb}+\mathrm{Pb}$ 碰撞 $\sqrt{{s}_{NN}}=5.02$ TeV 中重子的产生，包括光和粲夸克在热致密内部的能量损失中等。该模型同时描述了……[物理。 Rev. C 114, 014907] 2026 年 7 月 20 日星期一发布</w:t>
      </w:r>
    </w:p>
    <w:p>
      <w:pPr>
        <w:spacing w:before="0" w:after="200" w:lineRule="auto" w:line="276"/>
      </w:pPr>
      <w:r>
        <w:rPr>
          <w:b/>
        </w:rPr>
        <w:t xml:space="preserve">Abstract (EN): </w:t>
      </w:r>
      <w:r>
        <w:t>Author(s): Jing-Zong Zhang, Hua Zheng, and Lilin ZhuThe production of ${\mathrm{Λ}}_{c}^{+}$ baryons in $\mathrm{Pb}+\mathrm{Pb}$ collisions at $\sqrt{{s}_{NN}}=5.02$ TeV is investigated within the quark recombination framework, including the energy loss of light and charm quarks inside the hot and dense medium. The model simultaneously describes the…[Phys. Rev. C 114, 014907] Published Mon Jul 20, 2026</w:t>
      </w:r>
    </w:p>
    <w:p>
      <w:pPr>
        <w:spacing w:before="120" w:after="120"/>
      </w:pPr>
      <w:r>
        <w:rPr>
          <w:sz w:val="18"/>
        </w:rPr>
        <w:t>——————————————————————————————————————————————————————————————————————</w:t>
      </w:r>
    </w:p>
    <w:p>
      <w:pPr>
        <w:spacing w:before="160" w:after="40" w:line="240" w:lineRule="auto"/>
      </w:pPr>
      <w:r>
        <w:rPr>
          <w:b/>
        </w:rPr>
        <w:t xml:space="preserve">[362] </w:t>
      </w:r>
      <w:hyperlink r:id="rId1203">
        <w:r>
          <w:rPr>
            <w:color w:val="1155CC"/>
            <w:u w:val="single"/>
          </w:rPr>
          <w:t>湍流耗散中的动态滞后</w:t>
        </w:r>
      </w:hyperlink>
    </w:p>
    <w:p>
      <w:pPr>
        <w:spacing w:before="0" w:after="80"/>
      </w:pPr>
      <w:r>
        <w:rPr>
          <w:i/>
          <w:sz w:val="20"/>
        </w:rPr>
        <w:t>EN: Dynamical Hysteresis in the Dissipation in Turbulent Flows</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04">
        <w:r>
          <w:rPr>
            <w:color w:val="1155CC"/>
            <w:u w:val="single"/>
          </w:rPr>
          <w:t>10.1103/mt2v-yqtb</w:t>
        </w:r>
      </w:hyperlink>
    </w:p>
    <w:p>
      <w:pPr>
        <w:spacing w:before="0" w:after="120"/>
      </w:pPr>
      <w:r>
        <w:rPr>
          <w:b/>
        </w:rPr>
        <w:t xml:space="preserve">Notes: </w:t>
      </w:r>
      <w:r>
        <w:t>abstract_source=rss_description</w:t>
      </w:r>
    </w:p>
    <w:p>
      <w:pPr>
        <w:spacing w:before="0" w:after="80" w:lineRule="auto" w:line="276"/>
      </w:pPr>
      <w:r>
        <w:rPr>
          <w:b/>
        </w:rPr>
        <w:t xml:space="preserve">摘要（ZH）: </w:t>
      </w:r>
      <w:r>
        <w:t>作者：M. Ahmad、P. D. Mininni、M. Obligado 和 J. A. Farnsworth 我们提出了非定常湍流中耗散的动力学滞后性质的证据。风洞实验和振荡流的直接数值模拟表明，在平均雷诺数平稳时，减速流的耗散常数较大。因此，p…[物理。莱特牧师。 137, 044001] 2026 年 7 月 20 日星期一发布</w:t>
      </w:r>
    </w:p>
    <w:p>
      <w:pPr>
        <w:spacing w:before="0" w:after="200" w:lineRule="auto" w:line="276"/>
      </w:pPr>
      <w:r>
        <w:rPr>
          <w:b/>
        </w:rPr>
        <w:t xml:space="preserve">Abstract (EN): </w:t>
      </w:r>
      <w:r>
        <w:t>Author(s): M. Ahmad, P. D. Mininni, M. Obligado, and J. A. FarnsworthWe present evidence of the dynamical hysteretic nature of dissipation in unsteady turbulent flows. Wind tunnel experiments and direct numerical simulations in oscillating flows show that, at stationary mean Reynolds number, the dissipation constant is larger for decelerating flows. Consequently, a p…[Phys. Rev. Lett. 137, 044001] Published Mon Jul 20, 2026</w:t>
      </w:r>
    </w:p>
    <w:p>
      <w:pPr>
        <w:spacing w:before="120" w:after="120"/>
      </w:pPr>
      <w:r>
        <w:rPr>
          <w:sz w:val="18"/>
        </w:rPr>
        <w:t>——————————————————————————————————————————————————————————————————————</w:t>
      </w:r>
    </w:p>
    <w:p>
      <w:pPr>
        <w:spacing w:before="160" w:after="40" w:line="240" w:lineRule="auto"/>
      </w:pPr>
      <w:r>
        <w:rPr>
          <w:b/>
        </w:rPr>
        <w:t xml:space="preserve">[363] </w:t>
      </w:r>
      <w:hyperlink r:id="rId1205">
        <w:r>
          <w:rPr>
            <w:color w:val="1155CC"/>
            <w:u w:val="single"/>
          </w:rPr>
          <w:t>石墨上 $^{4}\mathrm{He}$ 第二层的超流性</w:t>
        </w:r>
      </w:hyperlink>
    </w:p>
    <w:p>
      <w:pPr>
        <w:spacing w:before="0" w:after="80"/>
      </w:pPr>
      <w:r>
        <w:rPr>
          <w:i/>
          <w:sz w:val="20"/>
        </w:rPr>
        <w:t>EN: Superfluidity in the Second Layer of $^{4}\mathrm{He}$ on Graphite</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06">
        <w:r>
          <w:rPr>
            <w:color w:val="1155CC"/>
            <w:u w:val="single"/>
          </w:rPr>
          <w:t>10.1103/xxsj-fs9j</w:t>
        </w:r>
      </w:hyperlink>
    </w:p>
    <w:p>
      <w:pPr>
        <w:spacing w:before="0" w:after="120"/>
      </w:pPr>
      <w:r>
        <w:rPr>
          <w:b/>
        </w:rPr>
        <w:t xml:space="preserve">Notes: </w:t>
      </w:r>
      <w:r>
        <w:t>abstract_source=rss_description</w:t>
      </w:r>
    </w:p>
    <w:p>
      <w:pPr>
        <w:spacing w:before="0" w:after="80" w:lineRule="auto" w:line="276"/>
      </w:pPr>
      <w:r>
        <w:rPr>
          <w:b/>
        </w:rPr>
        <w:t xml:space="preserve">摘要（ZH）: </w:t>
      </w:r>
      <w:r>
        <w:t>作者：Jun Usami 和 Hiroshi Fukuyama 通过同时测量同一样品上低至 30 mK 的扭转振荡器响应和热容量，获得了石墨上第二层 $^{4}\mathrm{He}$ 中新型超流体相的证据，这解决了先前研究中与基底相关的不确定性......莱特牧师。 137, 046001] 2026 年 7 月 20 日星期一发布</w:t>
      </w:r>
    </w:p>
    <w:p>
      <w:pPr>
        <w:spacing w:before="0" w:after="200" w:lineRule="auto" w:line="276"/>
      </w:pPr>
      <w:r>
        <w:rPr>
          <w:b/>
        </w:rPr>
        <w:t xml:space="preserve">Abstract (EN): </w:t>
      </w:r>
      <w:r>
        <w:t>Author(s): Jun Usami and Hiroshi FukuyamaEvidence for a new type of superfluid phase in second-layer $^{4}\mathrm{He}$ on graphite has been obtained from simultaneous measurements of torsional-oscillator response and heat capacity on exactly the same sample down to 30 mK, which resolve substrate-related uncertainties in the previous studie…[Phys. Rev. Lett. 137, 046001] Published Mon Jul 20, 2026</w:t>
      </w:r>
    </w:p>
    <w:p>
      <w:pPr>
        <w:spacing w:before="120" w:after="120"/>
      </w:pPr>
      <w:r>
        <w:rPr>
          <w:sz w:val="18"/>
        </w:rPr>
        <w:t>——————————————————————————————————————————————————————————————————————</w:t>
      </w:r>
    </w:p>
    <w:p>
      <w:pPr>
        <w:spacing w:before="160" w:after="40" w:line="240" w:lineRule="auto"/>
      </w:pPr>
      <w:r>
        <w:rPr>
          <w:b/>
        </w:rPr>
        <w:t xml:space="preserve">[364] </w:t>
      </w:r>
      <w:hyperlink r:id="rId1207">
        <w:r>
          <w:rPr>
            <w:color w:val="1155CC"/>
            <w:u w:val="single"/>
          </w:rPr>
          <w:t>玻璃中硬探针的规范不变动量展宽</w:t>
        </w:r>
      </w:hyperlink>
    </w:p>
    <w:p>
      <w:pPr>
        <w:spacing w:before="0" w:after="80"/>
      </w:pPr>
      <w:r>
        <w:rPr>
          <w:i/>
          <w:sz w:val="20"/>
        </w:rPr>
        <w:t>EN: Gauge invariant momentum broadening of hard probes in glasma</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1208">
        <w:r>
          <w:rPr>
            <w:color w:val="1155CC"/>
            <w:u w:val="single"/>
          </w:rPr>
          <w:t>10.1103/1jqp-sg2g</w:t>
        </w:r>
      </w:hyperlink>
    </w:p>
    <w:p>
      <w:pPr>
        <w:spacing w:before="0" w:after="120"/>
      </w:pPr>
      <w:r>
        <w:rPr>
          <w:b/>
        </w:rPr>
        <w:t xml:space="preserve">Notes: </w:t>
      </w:r>
      <w:r>
        <w:t>abstract_source=rss_description</w:t>
      </w:r>
    </w:p>
    <w:p>
      <w:pPr>
        <w:spacing w:before="0" w:after="80" w:lineRule="auto" w:line="276"/>
      </w:pPr>
      <w:r>
        <w:rPr>
          <w:b/>
        </w:rPr>
        <w:t xml:space="preserve">摘要（ZH）: </w:t>
      </w:r>
      <w:r>
        <w:t>作者：Margaret E. Carrington、Bryce T. Friesen 和 Stanisław Mrówczyński 我们计算了输运系数 $\stackrel{̂}{q}$，它量化了从相对论重离子碰撞的最早阶段穿过不断演化的等离子体的硬探针的横向动量展宽。我们使用原时展开方法，旨在研究 v 处的等离子体……[物理。 Rev. C 114, 014906] 2026 年 7 月 20 日星期一发布</w:t>
      </w:r>
    </w:p>
    <w:p>
      <w:pPr>
        <w:spacing w:before="0" w:after="200" w:lineRule="auto" w:line="276"/>
      </w:pPr>
      <w:r>
        <w:rPr>
          <w:b/>
        </w:rPr>
        <w:t xml:space="preserve">Abstract (EN): </w:t>
      </w:r>
      <w:r>
        <w:t>Author(s): Margaret E. Carrington, Bryce T. Friesen, and Stanisław MrówczyńskiWe compute the transport coefficient $\stackrel{̂}{q}$ which quantifies the transverse momentum broadening of hard probes passing through the evolving glasma from the earliest stage of relativistic heavy-ion collisions. We use a proper-time expansion method which is designed to study the glasma at v…[Phys. Rev. C 114, 014906] Published Mon Jul 20, 2026</w:t>
      </w:r>
    </w:p>
    <w:p>
      <w:pPr>
        <w:spacing w:before="120" w:after="120"/>
      </w:pPr>
      <w:r>
        <w:rPr>
          <w:sz w:val="18"/>
        </w:rPr>
        <w:t>——————————————————————————————————————————————————————————————————————</w:t>
      </w:r>
    </w:p>
    <w:p>
      <w:pPr>
        <w:spacing w:before="160" w:after="40" w:line="240" w:lineRule="auto"/>
      </w:pPr>
      <w:r>
        <w:rPr>
          <w:b/>
        </w:rPr>
        <w:t xml:space="preserve">[365] </w:t>
      </w:r>
      <w:hyperlink r:id="rId1209">
        <w:r>
          <w:rPr>
            <w:color w:val="1155CC"/>
            <w:u w:val="single"/>
          </w:rPr>
          <w:t>三轴柔软度对摆动运动的影响</w:t>
        </w:r>
      </w:hyperlink>
    </w:p>
    <w:p>
      <w:pPr>
        <w:spacing w:before="0" w:after="80"/>
      </w:pPr>
      <w:r>
        <w:rPr>
          <w:i/>
          <w:sz w:val="20"/>
        </w:rPr>
        <w:t>EN: Effects of triaxial softness on wobbling motion</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1210">
        <w:r>
          <w:rPr>
            <w:color w:val="1155CC"/>
            <w:u w:val="single"/>
          </w:rPr>
          <w:t>10.1103/f2zp-rb6f</w:t>
        </w:r>
      </w:hyperlink>
    </w:p>
    <w:p>
      <w:pPr>
        <w:spacing w:before="0" w:after="120"/>
      </w:pPr>
      <w:r>
        <w:rPr>
          <w:b/>
        </w:rPr>
        <w:t xml:space="preserve">Notes: </w:t>
      </w:r>
      <w:r>
        <w:t>abstract_source=rss_description</w:t>
      </w:r>
    </w:p>
    <w:p>
      <w:pPr>
        <w:spacing w:before="0" w:after="80" w:lineRule="auto" w:line="276"/>
      </w:pPr>
      <w:r>
        <w:rPr>
          <w:b/>
        </w:rPr>
        <w:t xml:space="preserve">摘要（ZH）: </w:t>
      </w:r>
      <w:r>
        <w:t>作者：Yeruoxi Chen、Q. B. Chen、S. Frauendorf 和 R. V. Jolos 在核心-准粒子耦合模型的框架内研究了三轴柔软度对摆动运动的影响。通过将位于低壳层或中壳层的高 $j$ 价核子与 $γ$-刚性核和 $γ$-软核耦合，我们比较了能谱和电磁跃迁……[Phys. Rev. C 114, 014324] 2026 年 7 月 20 日星期一发布</w:t>
      </w:r>
    </w:p>
    <w:p>
      <w:pPr>
        <w:spacing w:before="0" w:after="200" w:lineRule="auto" w:line="276"/>
      </w:pPr>
      <w:r>
        <w:rPr>
          <w:b/>
        </w:rPr>
        <w:t xml:space="preserve">Abstract (EN): </w:t>
      </w:r>
      <w:r>
        <w:t>Author(s): Yeruoxi Chen, Q. B. Chen, S. Frauendorf, and R. V. JolosThe effects of triaxial softness on wobbling motion are investigated within the framework of the core-quasiparticle coupling model. By coupling a high-$j$ valence nucleon located in low shell or middle shell to a $γ$-rigid and $γ$-soft core, we compare energy spectra and electromagnetic transitions …[Phys. Rev. C 114, 014324] Published Mon Jul 20, 2026</w:t>
      </w:r>
    </w:p>
    <w:p>
      <w:pPr>
        <w:spacing w:before="120" w:after="120"/>
      </w:pPr>
      <w:r>
        <w:rPr>
          <w:sz w:val="18"/>
        </w:rPr>
        <w:t>——————————————————————————————————————————————————————————————————————</w:t>
      </w:r>
    </w:p>
    <w:p>
      <w:pPr>
        <w:spacing w:before="160" w:after="40" w:line="240" w:lineRule="auto"/>
      </w:pPr>
      <w:r>
        <w:rPr>
          <w:b/>
        </w:rPr>
        <w:t xml:space="preserve">[366] </w:t>
      </w:r>
      <w:hyperlink r:id="rId1211">
        <w:r>
          <w:rPr>
            <w:color w:val="1155CC"/>
            <w:u w:val="single"/>
          </w:rPr>
          <w:t>$^{54}\mathrm{Cr}+^{243}\mathrm{Am}$反应的微观准裂变动力学</w:t>
        </w:r>
      </w:hyperlink>
    </w:p>
    <w:p>
      <w:pPr>
        <w:spacing w:before="0" w:after="80"/>
      </w:pPr>
      <w:r>
        <w:rPr>
          <w:i/>
          <w:sz w:val="20"/>
        </w:rPr>
        <w:t>EN: Microscopic quasifission dynamics of the $^{54}\mathrm{Cr}+^{243}\mathrm{Am}$ reaction</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1212">
        <w:r>
          <w:rPr>
            <w:color w:val="1155CC"/>
            <w:u w:val="single"/>
          </w:rPr>
          <w:t>10.1103/jyz5-pkg4</w:t>
        </w:r>
      </w:hyperlink>
    </w:p>
    <w:p>
      <w:pPr>
        <w:spacing w:before="0" w:after="120"/>
      </w:pPr>
      <w:r>
        <w:rPr>
          <w:b/>
        </w:rPr>
        <w:t xml:space="preserve">Notes: </w:t>
      </w:r>
      <w:r>
        <w:t>abstract_source=rss_description</w:t>
      </w:r>
    </w:p>
    <w:p>
      <w:pPr>
        <w:spacing w:before="0" w:after="80" w:lineRule="auto" w:line="276"/>
      </w:pPr>
      <w:r>
        <w:rPr>
          <w:b/>
        </w:rPr>
        <w:t xml:space="preserve">摘要（ZH）: </w:t>
      </w:r>
      <w:r>
        <w:t>作者：李良和郭璐背景：Oganesson 之外的超重元素（SHE）的合成，例如 $Z=119$，仍然是一个艰巨的挑战，主要是因为占主导地位的准裂变（QF）通道严重阻碍了复合核的形成。因此，对 QF 动力学的微观理解至关重要……[Phys. Rev. C 114, 014626] 2026 年 7 月 20 日星期一发布</w:t>
      </w:r>
    </w:p>
    <w:p>
      <w:pPr>
        <w:spacing w:before="0" w:after="200" w:lineRule="auto" w:line="276"/>
      </w:pPr>
      <w:r>
        <w:rPr>
          <w:b/>
        </w:rPr>
        <w:t xml:space="preserve">Abstract (EN): </w:t>
      </w:r>
      <w:r>
        <w:t>Author(s): Liang Li (李良) and Lu Guo (郭璐)Background: The synthesis of superheavy elements (SHEs) beyond Oganesson, such as $Z=119$, remains a formidable challenge, primarily because the dominant quasifission (QF) channel severely hinders the formation of compound nuclei. A microscopic understanding of the QF dynamics is therefore essential…[Phys. Rev. C 114, 014626] Published Mon Jul 20, 2026</w:t>
      </w:r>
    </w:p>
    <w:p>
      <w:pPr>
        <w:spacing w:before="120" w:after="120"/>
      </w:pPr>
      <w:r>
        <w:rPr>
          <w:sz w:val="18"/>
        </w:rPr>
        <w:t>——————————————————————————————————————————————————————————————————————</w:t>
      </w:r>
    </w:p>
    <w:p>
      <w:pPr>
        <w:spacing w:before="160" w:after="40" w:line="240" w:lineRule="auto"/>
      </w:pPr>
      <w:r>
        <w:rPr>
          <w:b/>
        </w:rPr>
        <w:t xml:space="preserve">[367] </w:t>
      </w:r>
      <w:hyperlink r:id="rId1213">
        <w:r>
          <w:rPr>
            <w:color w:val="1155CC"/>
            <w:u w:val="single"/>
          </w:rPr>
          <w:t>程序综合驱动的通用酉算子自动设计</w:t>
        </w:r>
      </w:hyperlink>
    </w:p>
    <w:p>
      <w:pPr>
        <w:spacing w:before="0" w:after="80"/>
      </w:pPr>
      <w:r>
        <w:rPr>
          <w:i/>
          <w:sz w:val="20"/>
        </w:rPr>
        <w:t>EN: Program-Synthesis-Driven Autodesign of Universal Unitary Operators</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14">
        <w:r>
          <w:rPr>
            <w:color w:val="1155CC"/>
            <w:u w:val="single"/>
          </w:rPr>
          <w:t>10.1103/49c3-4rp4</w:t>
        </w:r>
      </w:hyperlink>
    </w:p>
    <w:p>
      <w:pPr>
        <w:spacing w:before="0" w:after="120"/>
      </w:pPr>
      <w:r>
        <w:rPr>
          <w:b/>
        </w:rPr>
        <w:t xml:space="preserve">Notes: </w:t>
      </w:r>
      <w:r>
        <w:t>abstract_source=rss_description</w:t>
      </w:r>
    </w:p>
    <w:p>
      <w:pPr>
        <w:spacing w:before="0" w:after="80" w:lineRule="auto" w:line="276"/>
      </w:pPr>
      <w:r>
        <w:rPr>
          <w:b/>
        </w:rPr>
        <w:t xml:space="preserve">摘要（ZH）: </w:t>
      </w:r>
      <w:r>
        <w:t>作者：张一飞、陈东、王帆、张文瑞、陈彦、韩定鼎、袁建民、孔向金和马玉刚我们证明，人工智能驱动的程序合成可以自主发现光子网络中酉矩阵分解的基本策略。通过将 DreamCoder 扩展到复值线性代数，系统生成分解程序，实现最小 $N(N−1)/2$ Mach-Zehnder ...[Phys.莱特牧师。 137, 043801] 2026 年 7 月 20 日星期一发布</w:t>
      </w:r>
    </w:p>
    <w:p>
      <w:pPr>
        <w:spacing w:before="0" w:after="200" w:lineRule="auto" w:line="276"/>
      </w:pPr>
      <w:r>
        <w:rPr>
          <w:b/>
        </w:rPr>
        <w:t xml:space="preserve">Abstract (EN): </w:t>
      </w:r>
      <w:r>
        <w:t>Author(s): Yifei Zhang, Dong Chen, Fan Wang, Wenrui Zhang, Yan Chen, Dingding Han, Jianmin Yuan, Xiangjin Kong, and Yu-Gang MaWe demonstrate that AI-driven program synthesis can autonomously discover fundamental strategies for decomposing unitary matrices in photonic networks. By extending DreamCoder to complex-valued linear algebra, the system generates decomposition programs achieving the minimal $N(N−1)/2$ Mach-Zehnder …[Phys. Rev. Lett. 137, 043801] Published Mon Jul 20, 2026</w:t>
      </w:r>
    </w:p>
    <w:p>
      <w:pPr>
        <w:spacing w:before="120" w:after="120"/>
      </w:pPr>
      <w:r>
        <w:rPr>
          <w:sz w:val="18"/>
        </w:rPr>
        <w:t>——————————————————————————————————————————————————————————————————————</w:t>
      </w:r>
    </w:p>
    <w:p>
      <w:pPr>
        <w:spacing w:before="160" w:after="40" w:line="240" w:lineRule="auto"/>
      </w:pPr>
      <w:r>
        <w:rPr>
          <w:b/>
        </w:rPr>
        <w:t xml:space="preserve">[368] </w:t>
      </w:r>
      <w:hyperlink r:id="rId1215">
        <w:r>
          <w:rPr>
            <w:color w:val="1155CC"/>
            <w:u w:val="single"/>
          </w:rPr>
          <w:t>约束弦上渐近自由的印记</w:t>
        </w:r>
      </w:hyperlink>
    </w:p>
    <w:p>
      <w:pPr>
        <w:spacing w:before="0" w:after="80"/>
      </w:pPr>
      <w:r>
        <w:rPr>
          <w:i/>
          <w:sz w:val="20"/>
        </w:rPr>
        <w:t>EN: Imprints of Asymptotic Freedom on Confining Strings</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16">
        <w:r>
          <w:rPr>
            <w:color w:val="1155CC"/>
            <w:u w:val="single"/>
          </w:rPr>
          <w:t>10.1103/6399-gw3k</w:t>
        </w:r>
      </w:hyperlink>
    </w:p>
    <w:p>
      <w:pPr>
        <w:spacing w:before="0" w:after="120"/>
      </w:pPr>
      <w:r>
        <w:rPr>
          <w:b/>
        </w:rPr>
        <w:t xml:space="preserve">Notes: </w:t>
      </w:r>
      <w:r>
        <w:t>abstract_source=rss_description</w:t>
      </w:r>
    </w:p>
    <w:p>
      <w:pPr>
        <w:spacing w:before="0" w:after="80" w:lineRule="auto" w:line="276"/>
      </w:pPr>
      <w:r>
        <w:rPr>
          <w:b/>
        </w:rPr>
        <w:t xml:space="preserve">摘要（ZH）: </w:t>
      </w:r>
      <w:r>
        <w:t>作者：Jan Albert 和 Alexandre Homrich 我们在三维和四维的大 $N$ Yang-Mills 理论的限制相中考虑 Polyakov 环相关器。它可以通过对缠绕在热循环周围的闭合通量管的交换求和来计算。在短距离时，主导发散由微扰控制……[物理。莱特牧师。 137, 041601] 2026 年 7 月 20 日星期一发布</w:t>
      </w:r>
    </w:p>
    <w:p>
      <w:pPr>
        <w:spacing w:before="0" w:after="200" w:lineRule="auto" w:line="276"/>
      </w:pPr>
      <w:r>
        <w:rPr>
          <w:b/>
        </w:rPr>
        <w:t xml:space="preserve">Abstract (EN): </w:t>
      </w:r>
      <w:r>
        <w:t>Author(s): Jan Albert and Alexandre HomrichWe consider the Polyakov loop correlator in the confining phase of large $N$ Yang-Mills theory in three and four dimensions. It can be computed by summing over the exchange of closed flux tubes winding around the thermal cycle. At short separations, the leading divergence is controlled by perturbati…[Phys. Rev. Lett. 137, 041601] Published Mon Jul 20, 2026</w:t>
      </w:r>
    </w:p>
    <w:p>
      <w:pPr>
        <w:spacing w:before="120" w:after="120"/>
      </w:pPr>
      <w:r>
        <w:rPr>
          <w:sz w:val="18"/>
        </w:rPr>
        <w:t>——————————————————————————————————————————————————————————————————————</w:t>
      </w:r>
    </w:p>
    <w:p>
      <w:pPr>
        <w:spacing w:before="160" w:after="40" w:line="240" w:lineRule="auto"/>
      </w:pPr>
      <w:r>
        <w:rPr>
          <w:b/>
        </w:rPr>
        <w:t xml:space="preserve">[369] </w:t>
      </w:r>
      <w:hyperlink r:id="rId1217">
        <w:r>
          <w:rPr>
            <w:color w:val="1155CC"/>
            <w:u w:val="single"/>
          </w:rPr>
          <w:t>萨赫德夫-叶-基塔耶夫模型中来自热纯态的婴儿宇宙</w:t>
        </w:r>
      </w:hyperlink>
    </w:p>
    <w:p>
      <w:pPr>
        <w:spacing w:before="0" w:after="80"/>
      </w:pPr>
      <w:r>
        <w:rPr>
          <w:i/>
          <w:sz w:val="20"/>
        </w:rPr>
        <w:t>EN: Baby Universes from Thermal Pure States in the Sachdev-Ye-Kitaev Model</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18">
        <w:r>
          <w:rPr>
            <w:color w:val="1155CC"/>
            <w:u w:val="single"/>
          </w:rPr>
          <w:t>10.1103/8p6x-w737</w:t>
        </w:r>
      </w:hyperlink>
    </w:p>
    <w:p>
      <w:pPr>
        <w:spacing w:before="0" w:after="120"/>
      </w:pPr>
      <w:r>
        <w:rPr>
          <w:b/>
        </w:rPr>
        <w:t xml:space="preserve">Notes: </w:t>
      </w:r>
      <w:r>
        <w:t>abstract_source=rss_description</w:t>
      </w:r>
    </w:p>
    <w:p>
      <w:pPr>
        <w:spacing w:before="0" w:after="80" w:lineRule="auto" w:line="276"/>
      </w:pPr>
      <w:r>
        <w:rPr>
          <w:b/>
        </w:rPr>
        <w:t xml:space="preserve">摘要（ZH）: </w:t>
      </w:r>
      <w:r>
        <w:t>作者：Martin Sasieta、Brian Swingle 和 Alejandro Vilar López 我们构建了一个封闭“婴儿”宇宙的简单二维全息模型。婴儿宇宙时空起源于黑洞内部的杰克-泰特尔博伊姆引力。全息描述是两个 Sachdev-Ye-Kitaev (SYK) 模型的低温热纯态。构造...[物理。莱特牧师。 137, 041501] 2026 年 7 月 20 日星期一发布</w:t>
      </w:r>
    </w:p>
    <w:p>
      <w:pPr>
        <w:spacing w:before="0" w:after="200" w:lineRule="auto" w:line="276"/>
      </w:pPr>
      <w:r>
        <w:rPr>
          <w:b/>
        </w:rPr>
        <w:t xml:space="preserve">Abstract (EN): </w:t>
      </w:r>
      <w:r>
        <w:t>Author(s): Martin Sasieta, Brian Swingle, and Alejandro Vilar LópezWe construct a simple two-dimensional holographic model of a closed “baby” universe. The baby universe spacetime originates from the black hole interior in Jackiw-Teitelboim gravity. The holographic description is a low-temperature thermal pure state of two Sachdev-Ye-Kitaev (SYK) models. The constr…[Phys. Rev. Lett. 137, 041501] Published Mon Jul 20, 2026</w:t>
      </w:r>
    </w:p>
    <w:p>
      <w:pPr>
        <w:spacing w:before="120" w:after="120"/>
      </w:pPr>
      <w:r>
        <w:rPr>
          <w:sz w:val="18"/>
        </w:rPr>
        <w:t>——————————————————————————————————————————————————————————————————————</w:t>
      </w:r>
    </w:p>
    <w:p>
      <w:pPr>
        <w:spacing w:before="160" w:after="40" w:line="240" w:lineRule="auto"/>
      </w:pPr>
      <w:r>
        <w:rPr>
          <w:b/>
        </w:rPr>
        <w:t xml:space="preserve">[370] </w:t>
      </w:r>
      <w:hyperlink r:id="rId1219">
        <w:r>
          <w:rPr>
            <w:color w:val="1155CC"/>
            <w:u w:val="single"/>
          </w:rPr>
          <w:t>自旋 1/2 相关函数的扩展变相位法</w:t>
        </w:r>
      </w:hyperlink>
    </w:p>
    <w:p>
      <w:pPr>
        <w:spacing w:before="0" w:after="80"/>
      </w:pPr>
      <w:r>
        <w:rPr>
          <w:i/>
          <w:sz w:val="20"/>
        </w:rPr>
        <w:t>EN: Extended variable phase method for spin-1/2 correlation functions</w:t>
      </w:r>
    </w:p>
    <w:p>
      <w:pPr>
        <w:spacing w:before="0" w:after="120"/>
      </w:pPr>
      <w:r>
        <w:rPr>
          <w:b/>
        </w:rPr>
        <w:t xml:space="preserve">Source: </w:t>
      </w:r>
      <w:r>
        <w:t>Recent Articles in Phys. Rev. C</w:t>
      </w:r>
      <w:r>
        <w:t xml:space="preserve">    </w:t>
      </w:r>
      <w:r>
        <w:rPr>
          <w:b/>
        </w:rPr>
        <w:t xml:space="preserve">Pub date: </w:t>
      </w:r>
      <w:r>
        <w:t>2026-07-20 10:00:00+00:00</w:t>
      </w:r>
      <w:r>
        <w:t xml:space="preserve">    </w:t>
      </w:r>
      <w:r>
        <w:rPr>
          <w:b/>
        </w:rPr>
        <w:t xml:space="preserve">DOI: </w:t>
      </w:r>
      <w:hyperlink r:id="rId1220">
        <w:r>
          <w:rPr>
            <w:color w:val="1155CC"/>
            <w:u w:val="single"/>
          </w:rPr>
          <w:t>10.1103/kxrh-dmyy</w:t>
        </w:r>
      </w:hyperlink>
    </w:p>
    <w:p>
      <w:pPr>
        <w:spacing w:before="0" w:after="120"/>
      </w:pPr>
      <w:r>
        <w:rPr>
          <w:b/>
        </w:rPr>
        <w:t xml:space="preserve">Notes: </w:t>
      </w:r>
      <w:r>
        <w:t>abstract_source=rss_description</w:t>
      </w:r>
    </w:p>
    <w:p>
      <w:pPr>
        <w:spacing w:before="0" w:after="80" w:lineRule="auto" w:line="276"/>
      </w:pPr>
      <w:r>
        <w:rPr>
          <w:b/>
        </w:rPr>
        <w:t xml:space="preserve">摘要（ZH）: </w:t>
      </w:r>
      <w:r>
        <w:t>作者：邹仁杰、肖盛、秦志和肖志刚我们开发了一种系统方法来计算自旋 1/2 粒子的相关函数，其中结合了粒子间相互作用的中心和非中心分量。这是通过扩展可变相位方法以适应非中心势来实现的，并且在数值上......[物理。 Rev. C 114, 014003] 2026 年 7 月 20 日星期一发布</w:t>
      </w:r>
    </w:p>
    <w:p>
      <w:pPr>
        <w:spacing w:before="0" w:after="200" w:lineRule="auto" w:line="276"/>
      </w:pPr>
      <w:r>
        <w:rPr>
          <w:b/>
        </w:rPr>
        <w:t xml:space="preserve">Abstract (EN): </w:t>
      </w:r>
      <w:r>
        <w:t>Author(s): Renjie Zou, Sheng Xiao, Zhi Qin, and Zhigang XiaoWe have developed a systematic approach to calculate the correlation function for spin-1/2 particles, incorporating both central and noncentral components of the interparticle interaction. This is achieved by extending the variable phase method to accommodate noncentral potentials and numerically so…[Phys. Rev. C 114, 014003] Published Mon Jul 20, 2026</w:t>
      </w:r>
    </w:p>
    <w:p>
      <w:pPr>
        <w:spacing w:before="120" w:after="120"/>
      </w:pPr>
      <w:r>
        <w:rPr>
          <w:sz w:val="18"/>
        </w:rPr>
        <w:t>——————————————————————————————————————————————————————————————————————</w:t>
      </w:r>
    </w:p>
    <w:p>
      <w:pPr>
        <w:spacing w:before="160" w:after="40" w:line="240" w:lineRule="auto"/>
      </w:pPr>
      <w:r>
        <w:rPr>
          <w:b/>
        </w:rPr>
        <w:t xml:space="preserve">[371] </w:t>
      </w:r>
      <w:hyperlink r:id="rId1221">
        <w:r>
          <w:rPr>
            <w:color w:val="1155CC"/>
            <w:u w:val="single"/>
          </w:rPr>
          <w:t>魔角扭曲三层石墨烯中的重费米子相图</w:t>
        </w:r>
      </w:hyperlink>
    </w:p>
    <w:p>
      <w:pPr>
        <w:spacing w:before="0" w:after="80"/>
      </w:pPr>
      <w:r>
        <w:rPr>
          <w:i/>
          <w:sz w:val="20"/>
        </w:rPr>
        <w:t>EN: Heavy-Fermion Phase Diagram in Magic-Angle Twisted Trilayer Graphene</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22">
        <w:r>
          <w:rPr>
            <w:color w:val="1155CC"/>
            <w:u w:val="single"/>
          </w:rPr>
          <w:t>10.1103/zzks-vkl2</w:t>
        </w:r>
      </w:hyperlink>
    </w:p>
    <w:p>
      <w:pPr>
        <w:spacing w:before="0" w:after="120"/>
      </w:pPr>
      <w:r>
        <w:rPr>
          <w:b/>
        </w:rPr>
        <w:t xml:space="preserve">Notes: </w:t>
      </w:r>
      <w:r>
        <w:t>abstract_source=rss_description</w:t>
      </w:r>
    </w:p>
    <w:p>
      <w:pPr>
        <w:spacing w:before="0" w:after="80" w:lineRule="auto" w:line="276"/>
      </w:pPr>
      <w:r>
        <w:rPr>
          <w:b/>
        </w:rPr>
        <w:t xml:space="preserve">摘要（ZH）: </w:t>
      </w:r>
      <w:r>
        <w:t>作者：张乐、周文强、方新杰、詹震、渡边健二、谷口隆、杨一峰和徐水刚定域磁矩与流动电子之间的相互作用在凝聚态物质系统中产生了奇异的量子态。在这里，我们展示了魔角扭曲三层石墨烯中的电可调重费米子相图，这是通过控制近藤杂化来实现的……[物理。莱特牧师。 137, 046301] 2026 年 7 月 20 日星期一发布</w:t>
      </w:r>
    </w:p>
    <w:p>
      <w:pPr>
        <w:spacing w:before="0" w:after="200" w:lineRule="auto" w:line="276"/>
      </w:pPr>
      <w:r>
        <w:rPr>
          <w:b/>
        </w:rPr>
        <w:t xml:space="preserve">Abstract (EN): </w:t>
      </w:r>
      <w:r>
        <w:t>Author(s): Le Zhang, Wenqiang Zhou, Xinjie Fang, Zhen Zhan, Kenji Watanabe, Takashi Taniguchi, Yi-feng Yang, and Shuigang XuThe interplay between localized magnetic moments and itinerant electrons gives rise to exotic quantum states in condensed matter systems. Here, we demonstrate an electrically tunable heavy fermion phase diagram in magic-angle twisted trilayer graphene, achieved by controlling the Kondo hybridization…[Phys. Rev. Lett. 137, 046301] Published Mon Jul 20, 2026</w:t>
      </w:r>
    </w:p>
    <w:p>
      <w:pPr>
        <w:spacing w:before="120" w:after="120"/>
      </w:pPr>
      <w:r>
        <w:rPr>
          <w:sz w:val="18"/>
        </w:rPr>
        <w:t>——————————————————————————————————————————————————————————————————————</w:t>
      </w:r>
    </w:p>
    <w:p>
      <w:pPr>
        <w:spacing w:before="160" w:after="40" w:line="240" w:lineRule="auto"/>
      </w:pPr>
      <w:r>
        <w:rPr>
          <w:b/>
        </w:rPr>
        <w:t xml:space="preserve">[372] </w:t>
      </w:r>
      <w:hyperlink r:id="rId1223">
        <w:r>
          <w:rPr>
            <w:color w:val="1155CC"/>
            <w:u w:val="single"/>
          </w:rPr>
          <w:t>实空间中的深度学习密度泛函理论哈密顿量</w:t>
        </w:r>
      </w:hyperlink>
    </w:p>
    <w:p>
      <w:pPr>
        <w:spacing w:before="0" w:after="80"/>
      </w:pPr>
      <w:r>
        <w:rPr>
          <w:i/>
          <w:sz w:val="20"/>
        </w:rPr>
        <w:t>EN: Deep-Learning Density Functional Theory Hamiltonian in Real Space</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24">
        <w:r>
          <w:rPr>
            <w:color w:val="1155CC"/>
            <w:u w:val="single"/>
          </w:rPr>
          <w:t>10.1103/mbhs-vlby</w:t>
        </w:r>
      </w:hyperlink>
    </w:p>
    <w:p>
      <w:pPr>
        <w:spacing w:before="0" w:after="120"/>
      </w:pPr>
      <w:r>
        <w:rPr>
          <w:b/>
        </w:rPr>
        <w:t xml:space="preserve">Notes: </w:t>
      </w:r>
      <w:r>
        <w:t>abstract_source=rss_description</w:t>
      </w:r>
    </w:p>
    <w:p>
      <w:pPr>
        <w:spacing w:before="0" w:after="80" w:lineRule="auto" w:line="276"/>
      </w:pPr>
      <w:r>
        <w:rPr>
          <w:b/>
        </w:rPr>
        <w:t xml:space="preserve">摘要（ZH）: </w:t>
      </w:r>
      <w:r>
        <w:t>作者：袁子龙、唐泽辰、陶洪庚、龚晓训、陈泽洲、王宇翔、李鹤、李阳、徐志明、孙明辉、赵伯衡、陈思、王冲、段文辉、徐勇 将重要的物理先验融入深度学习第一性原理方法中是一个关键的基本问题。在这里，我们证明了深度学习密度泛函理论哈密顿（DeepH）方法可以通过将学习目标更改为旋转不变性来大幅改进......[Phys。莱特牧师。 137, 046401] 2026 年 7 月 20 日星期一发布</w:t>
      </w:r>
    </w:p>
    <w:p>
      <w:pPr>
        <w:spacing w:before="0" w:after="200" w:lineRule="auto" w:line="276"/>
      </w:pPr>
      <w:r>
        <w:rPr>
          <w:b/>
        </w:rPr>
        <w:t xml:space="preserve">Abstract (EN): </w:t>
      </w:r>
      <w:r>
        <w:t>Author(s): Zilong Yuan, Zechen Tang, Honggeng Tao, Xiaoxun Gong, Zezhou Chen, Yuxiang Wang, He Li, Yang Li, Zhiming Xu, Minghui Sun, Boheng Zhao, Chen Si, Chong Wang, Wenhui Duan, and Yong XuIntegrating essential physical priors into deep-learning first-principles methods is a critical fundamental problem. Here we demonstrate that the deep learning density functional theory Hamiltonian (DeepH) method can be substantially improved by changing the learning objective to a rotation-invarian…[Phys. Rev. Lett. 137, 046401] Published Mon Jul 20, 2026</w:t>
      </w:r>
    </w:p>
    <w:p>
      <w:pPr>
        <w:spacing w:before="120" w:after="120"/>
      </w:pPr>
      <w:r>
        <w:rPr>
          <w:sz w:val="18"/>
        </w:rPr>
        <w:t>——————————————————————————————————————————————————————————————————————</w:t>
      </w:r>
    </w:p>
    <w:p>
      <w:pPr>
        <w:spacing w:before="160" w:after="40" w:line="240" w:lineRule="auto"/>
      </w:pPr>
      <w:r>
        <w:rPr>
          <w:b/>
        </w:rPr>
        <w:t xml:space="preserve">[373] </w:t>
      </w:r>
      <w:hyperlink r:id="rId1225">
        <w:r>
          <w:rPr>
            <w:color w:val="1155CC"/>
            <w:u w:val="single"/>
          </w:rPr>
          <w:t>噪声自适应量子计量中通过乱序相关器对最佳探头进行设备上学习</w:t>
        </w:r>
      </w:hyperlink>
    </w:p>
    <w:p>
      <w:pPr>
        <w:spacing w:before="0" w:after="80"/>
      </w:pPr>
      <w:r>
        <w:rPr>
          <w:i/>
          <w:sz w:val="20"/>
        </w:rPr>
        <w:t>EN: On-Device Learning of Optimal Probes via Out-of-Time-Order Correlators in Noise-Adaptive Quantum Metrology</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26">
        <w:r>
          <w:rPr>
            <w:color w:val="1155CC"/>
            <w:u w:val="single"/>
          </w:rPr>
          <w:t>10.1103/b834-zjgf</w:t>
        </w:r>
      </w:hyperlink>
    </w:p>
    <w:p>
      <w:pPr>
        <w:spacing w:before="0" w:after="120"/>
      </w:pPr>
      <w:r>
        <w:rPr>
          <w:b/>
        </w:rPr>
        <w:t xml:space="preserve">Notes: </w:t>
      </w:r>
      <w:r>
        <w:t>abstract_source=rss_description</w:t>
      </w:r>
    </w:p>
    <w:p>
      <w:pPr>
        <w:spacing w:before="0" w:after="80" w:lineRule="auto" w:line="276"/>
      </w:pPr>
      <w:r>
        <w:rPr>
          <w:b/>
        </w:rPr>
        <w:t xml:space="preserve">摘要（ZH）: </w:t>
      </w:r>
      <w:r>
        <w:t>作者：Xinyue Long、Xiaodong Yang、Xiangyu Wang、Yufang Feng、Carlos H. S. Vieira、Ran Liu、Xinfang Nie、Jun Li 和 Dawei Lu 量子计量有望通过利用纠缠等量子资源来超越经典精度极限。最大纠缠格林伯格-霍恩-蔡林格 (GHZ) 态理论上是量子计量学的最佳探针。然而，它们对环境噪音很脆弱，严重限制了……[物理。莱特牧师。 137, 040801] 2026 年 7 月 20 日星期一发布</w:t>
      </w:r>
    </w:p>
    <w:p>
      <w:pPr>
        <w:spacing w:before="0" w:after="200" w:lineRule="auto" w:line="276"/>
      </w:pPr>
      <w:r>
        <w:rPr>
          <w:b/>
        </w:rPr>
        <w:t xml:space="preserve">Abstract (EN): </w:t>
      </w:r>
      <w:r>
        <w:t>Author(s): Xinyue Long, Xiaodong Yang, Xiangyu Wang, Yufang Feng, Carlos H. S. Vieira, Ran Liu, Xinfang Nie, Jun Li, and Dawei LuQuantum metrology promises to surpass classical precision limits by leveraging quantum resources such as entanglement. Maximally entangled Greenberger-Horne-Zeilinger (GHZ) states are theoretically optimal probes for quantum metrology. However, they are fragile to environmental noise, severely limit…[Phys. Rev. Lett. 137, 040801] Published Mon Jul 20, 2026</w:t>
      </w:r>
    </w:p>
    <w:p>
      <w:pPr>
        <w:spacing w:before="120" w:after="120"/>
      </w:pPr>
      <w:r>
        <w:rPr>
          <w:sz w:val="18"/>
        </w:rPr>
        <w:t>——————————————————————————————————————————————————————————————————————</w:t>
      </w:r>
    </w:p>
    <w:p>
      <w:pPr>
        <w:spacing w:before="160" w:after="40" w:line="240" w:lineRule="auto"/>
      </w:pPr>
      <w:r>
        <w:rPr>
          <w:b/>
        </w:rPr>
        <w:t xml:space="preserve">[374] </w:t>
      </w:r>
      <w:hyperlink r:id="rId1227">
        <w:r>
          <w:rPr>
            <w:color w:val="1155CC"/>
            <w:u w:val="single"/>
          </w:rPr>
          <w:t>通过耦合到马尔可夫浴来放松到理想的陈氏乐队</w:t>
        </w:r>
      </w:hyperlink>
    </w:p>
    <w:p>
      <w:pPr>
        <w:spacing w:before="0" w:after="80"/>
      </w:pPr>
      <w:r>
        <w:rPr>
          <w:i/>
          <w:sz w:val="20"/>
        </w:rPr>
        <w:t>EN: Relaxation toward an Ideal Chern Band through Coupling to a Markovian Bath</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28">
        <w:r>
          <w:rPr>
            <w:color w:val="1155CC"/>
            <w:u w:val="single"/>
          </w:rPr>
          <w:t>10.1103/d766-sns5</w:t>
        </w:r>
      </w:hyperlink>
    </w:p>
    <w:p>
      <w:pPr>
        <w:spacing w:before="0" w:after="120"/>
      </w:pPr>
      <w:r>
        <w:rPr>
          <w:b/>
        </w:rPr>
        <w:t xml:space="preserve">Notes: </w:t>
      </w:r>
      <w:r>
        <w:t>abstract_source=rss_description</w:t>
      </w:r>
    </w:p>
    <w:p>
      <w:pPr>
        <w:spacing w:before="0" w:after="80" w:lineRule="auto" w:line="276"/>
      </w:pPr>
      <w:r>
        <w:rPr>
          <w:b/>
        </w:rPr>
        <w:t xml:space="preserve">摘要（ZH）: </w:t>
      </w:r>
      <w:r>
        <w:t>作者：Bruno Mera 和 Tomoki Ozawa 我们提出了一种微观的弱耦合机制，通过该机制，通用陈能带渐近弛豫到理想能带。我们考虑将相互作用的电子耦合到类似 Caldeira-Leggett 的欧姆玻色浴。使用玻恩-马尔可夫近似，我们分析表明，在采取领先或……[物理。莱特牧师。 137, 046601] 2026 年 7 月 20 日星期一发布</w:t>
      </w:r>
    </w:p>
    <w:p>
      <w:pPr>
        <w:spacing w:before="0" w:after="200" w:lineRule="auto" w:line="276"/>
      </w:pPr>
      <w:r>
        <w:rPr>
          <w:b/>
        </w:rPr>
        <w:t xml:space="preserve">Abstract (EN): </w:t>
      </w:r>
      <w:r>
        <w:t>Author(s): Bruno Mera and Tomoki OzawaWe propose a microscopic, weak-coupling mechanism by which generic Chern bands asymptotically relax toward ideal bands. We consider coupling interacting electrons to a Caldeira-Leggett-like Ohmic bosonic bath. Using the Born-Markov approximation, we analytically show that, upon taking the leading or…[Phys. Rev. Lett. 137, 046601] Published Mon Jul 20, 2026</w:t>
      </w:r>
    </w:p>
    <w:p>
      <w:pPr>
        <w:spacing w:before="120" w:after="120"/>
      </w:pPr>
      <w:r>
        <w:rPr>
          <w:sz w:val="18"/>
        </w:rPr>
        <w:t>——————————————————————————————————————————————————————————————————————</w:t>
      </w:r>
    </w:p>
    <w:p>
      <w:pPr>
        <w:spacing w:before="160" w:after="40" w:line="240" w:lineRule="auto"/>
      </w:pPr>
      <w:r>
        <w:rPr>
          <w:b/>
        </w:rPr>
        <w:t xml:space="preserve">[375] </w:t>
      </w:r>
      <w:hyperlink r:id="rId1229">
        <w:r>
          <w:rPr>
            <w:color w:val="1155CC"/>
            <w:u w:val="single"/>
          </w:rPr>
          <w:t>模拟具有无限投影纠缠对态的费米子分数陈绝缘体</w:t>
        </w:r>
      </w:hyperlink>
    </w:p>
    <w:p>
      <w:pPr>
        <w:spacing w:before="0" w:after="80"/>
      </w:pPr>
      <w:r>
        <w:rPr>
          <w:i/>
          <w:sz w:val="20"/>
        </w:rPr>
        <w:t>EN: Simulating Fermionic Fractional Chern Insulators with Infinite Projected Entangled-Pair States</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30">
        <w:r>
          <w:rPr>
            <w:color w:val="1155CC"/>
            <w:u w:val="single"/>
          </w:rPr>
          <w:t>10.1103/c9dr-bpn4</w:t>
        </w:r>
      </w:hyperlink>
    </w:p>
    <w:p>
      <w:pPr>
        <w:spacing w:before="0" w:after="120"/>
      </w:pPr>
      <w:r>
        <w:rPr>
          <w:b/>
        </w:rPr>
        <w:t xml:space="preserve">Notes: </w:t>
      </w:r>
      <w:r>
        <w:t>abstract_source=rss_description</w:t>
      </w:r>
    </w:p>
    <w:p>
      <w:pPr>
        <w:spacing w:before="0" w:after="80" w:lineRule="auto" w:line="276"/>
      </w:pPr>
      <w:r>
        <w:rPr>
          <w:b/>
        </w:rPr>
        <w:t xml:space="preserve">摘要（ZH）: </w:t>
      </w:r>
      <w:r>
        <w:t>作者：Hao Chen、Titus Neupert 和 Juraj Hasik 无限投影纠缠对态 (iPEPS) 为二维量子物质提供了强大的变分框架，并已广泛用于捕获玻色子拓扑序，包括手性自旋液体。在这里，我们通过变分……[Phys.莱特牧师。 137, 046502] 2026 年 7 月 20 日星期一发布</w:t>
      </w:r>
    </w:p>
    <w:p>
      <w:pPr>
        <w:spacing w:before="0" w:after="200" w:lineRule="auto" w:line="276"/>
      </w:pPr>
      <w:r>
        <w:rPr>
          <w:b/>
        </w:rPr>
        <w:t xml:space="preserve">Abstract (EN): </w:t>
      </w:r>
      <w:r>
        <w:t>Author(s): Hao Chen, Titus Neupert, and Juraj HasikInfinite projected entangled-pair states (iPEPSs) provide a powerful variational framework for two-dimensional quantum matter and have been widely used to capture bosonic topological order, including chiral spin liquids. Here, we extend this approach to fermionic topological order by variationally o…[Phys. Rev. Lett. 137, 046502] Published Mon Jul 20, 2026</w:t>
      </w:r>
    </w:p>
    <w:p>
      <w:pPr>
        <w:spacing w:before="120" w:after="120"/>
      </w:pPr>
      <w:r>
        <w:rPr>
          <w:sz w:val="18"/>
        </w:rPr>
        <w:t>——————————————————————————————————————————————————————————————————————</w:t>
      </w:r>
    </w:p>
    <w:p>
      <w:pPr>
        <w:spacing w:before="160" w:after="40" w:line="240" w:lineRule="auto"/>
      </w:pPr>
      <w:r>
        <w:rPr>
          <w:b/>
        </w:rPr>
        <w:t xml:space="preserve">[376] </w:t>
      </w:r>
      <w:hyperlink r:id="rId1231">
        <w:r>
          <w:rPr>
            <w:color w:val="1155CC"/>
            <w:u w:val="single"/>
          </w:rPr>
          <w:t>连接约束随机相位近似和线性响应理论来计算哈伯德参数</w:t>
        </w:r>
      </w:hyperlink>
    </w:p>
    <w:p>
      <w:pPr>
        <w:spacing w:before="0" w:after="80"/>
      </w:pPr>
      <w:r>
        <w:rPr>
          <w:i/>
          <w:sz w:val="20"/>
        </w:rPr>
        <w:t>EN: Bridging Constrained Random-Phase Approximation and Linear Response Theory for Computing Hubbard Parameters</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32">
        <w:r>
          <w:rPr>
            <w:color w:val="1155CC"/>
            <w:u w:val="single"/>
          </w:rPr>
          <w:t>10.1103/nkm7-wycf</w:t>
        </w:r>
      </w:hyperlink>
    </w:p>
    <w:p>
      <w:pPr>
        <w:spacing w:before="0" w:after="120"/>
      </w:pPr>
      <w:r>
        <w:rPr>
          <w:b/>
        </w:rPr>
        <w:t xml:space="preserve">Notes: </w:t>
      </w:r>
      <w:r>
        <w:t>abstract_source=rss_description</w:t>
      </w:r>
    </w:p>
    <w:p>
      <w:pPr>
        <w:spacing w:before="0" w:after="80" w:lineRule="auto" w:line="276"/>
      </w:pPr>
      <w:r>
        <w:rPr>
          <w:b/>
        </w:rPr>
        <w:t xml:space="preserve">摘要（ZH）: </w:t>
      </w:r>
      <w:r>
        <w:t>作者：Alberto Carta、Iurii Timrov、Sophie Beck 和 Claude Ederer密度泛函理论 (DFT) 的流行扩展（例如 $\mathrm{DFT}+U$ 和 DFT 加动态平均场理论 ($\mathrm{DFT}+\mathrm{DMFT}$) 的预测准确性取决于对筛选库仑相互作用 $U$ 使用实际值。在这里，我们对……[物理。莱特牧师。 137, 046503] 2026 年 7 月 20 日星期一发布</w:t>
      </w:r>
    </w:p>
    <w:p>
      <w:pPr>
        <w:spacing w:before="0" w:after="200" w:lineRule="auto" w:line="276"/>
      </w:pPr>
      <w:r>
        <w:rPr>
          <w:b/>
        </w:rPr>
        <w:t xml:space="preserve">Abstract (EN): </w:t>
      </w:r>
      <w:r>
        <w:t>Author(s): Alberto Carta, Iurii Timrov, Sophie Beck, and Claude EdererThe predictive accuracy of popular extensions to density-functional theory (DFT) such as $\mathrm{DFT}+U$ and DFT plus dynamical mean-field theory ($\mathrm{DFT}+\mathrm{DMFT}$) hinges on using realistic values for the screened Coulomb interaction $U$. Here, we present a systematic comparison of the…[Phys. Rev. Lett. 137, 046503] Published Mon Jul 20, 2026</w:t>
      </w:r>
    </w:p>
    <w:p>
      <w:pPr>
        <w:spacing w:before="120" w:after="120"/>
      </w:pPr>
      <w:r>
        <w:rPr>
          <w:sz w:val="18"/>
        </w:rPr>
        <w:t>——————————————————————————————————————————————————————————————————————</w:t>
      </w:r>
    </w:p>
    <w:p>
      <w:pPr>
        <w:spacing w:before="160" w:after="40" w:line="240" w:lineRule="auto"/>
      </w:pPr>
      <w:r>
        <w:rPr>
          <w:b/>
        </w:rPr>
        <w:t xml:space="preserve">[377] </w:t>
      </w:r>
      <w:hyperlink r:id="rId1233">
        <w:r>
          <w:rPr>
            <w:color w:val="1155CC"/>
            <w:u w:val="single"/>
          </w:rPr>
          <w:t>扩展 Spin-1 Kitaev 链中的精确分数基态</w:t>
        </w:r>
      </w:hyperlink>
    </w:p>
    <w:p>
      <w:pPr>
        <w:spacing w:before="0" w:after="80"/>
      </w:pPr>
      <w:r>
        <w:rPr>
          <w:i/>
          <w:sz w:val="20"/>
        </w:rPr>
        <w:t>EN: Exact Fractionalized Ground States in an Extended Spin-1 Kitaev Chain</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34">
        <w:r>
          <w:rPr>
            <w:color w:val="1155CC"/>
            <w:u w:val="single"/>
          </w:rPr>
          <w:t>10.1103/fy4t-6bh8</w:t>
        </w:r>
      </w:hyperlink>
    </w:p>
    <w:p>
      <w:pPr>
        <w:spacing w:before="0" w:after="120"/>
      </w:pPr>
      <w:r>
        <w:rPr>
          <w:b/>
        </w:rPr>
        <w:t xml:space="preserve">Notes: </w:t>
      </w:r>
      <w:r>
        <w:t>abstract_source=rss_description</w:t>
      </w:r>
    </w:p>
    <w:p>
      <w:pPr>
        <w:spacing w:before="0" w:after="80" w:lineRule="auto" w:line="276"/>
      </w:pPr>
      <w:r>
        <w:rPr>
          <w:b/>
        </w:rPr>
        <w:t xml:space="preserve">摘要（ZH）: </w:t>
      </w:r>
      <w:r>
        <w:t>作者：Alwyn Jose Raja 和 R. Ganesh 受 Affleck-Kennedy-Lieb-Tasaki (AKLT) 模型的启发，我们提出了具有类似 Kitaev 耦合的 spin-1 链的精确解决方案。我们考虑具有双线性和双二次项的扩展 Kitaev 模型。在精确可解的点上，哈密顿量可以重新表示为投影运算之和……[物理。莱特牧师。 137, 046701] 2026 年 7 月 20 日星期一发布</w:t>
      </w:r>
    </w:p>
    <w:p>
      <w:pPr>
        <w:spacing w:before="0" w:after="200" w:lineRule="auto" w:line="276"/>
      </w:pPr>
      <w:r>
        <w:rPr>
          <w:b/>
        </w:rPr>
        <w:t xml:space="preserve">Abstract (EN): </w:t>
      </w:r>
      <w:r>
        <w:t>Author(s): Alwyn Jose Raja and R. GaneshInspired by the Affleck-Kennedy-Lieb-Tasaki (AKLT) model, we present exact solutions for a spin-1 chain with Kitaev-like couplings. We consider an expanded Kitaev model with bilinear and biquadratic terms. At an exactly solvable point, the Hamiltonian can be reexpressed as a sum of projection operat…[Phys. Rev. Lett. 137, 046701] Published Mon Jul 20, 2026</w:t>
      </w:r>
    </w:p>
    <w:p>
      <w:pPr>
        <w:spacing w:before="120" w:after="120"/>
      </w:pPr>
      <w:r>
        <w:rPr>
          <w:sz w:val="18"/>
        </w:rPr>
        <w:t>——————————————————————————————————————————————————————————————————————</w:t>
      </w:r>
    </w:p>
    <w:p>
      <w:pPr>
        <w:spacing w:before="160" w:after="40" w:line="240" w:lineRule="auto"/>
      </w:pPr>
      <w:r>
        <w:rPr>
          <w:b/>
        </w:rPr>
        <w:t xml:space="preserve">[378] </w:t>
      </w:r>
      <w:hyperlink r:id="rId1235">
        <w:r>
          <w:rPr>
            <w:color w:val="1155CC"/>
            <w:u w:val="single"/>
          </w:rPr>
          <w:t>共线亚铁磁体中对称破缺的手性磁振子混合</w:t>
        </w:r>
      </w:hyperlink>
    </w:p>
    <w:p>
      <w:pPr>
        <w:spacing w:before="0" w:after="80"/>
      </w:pPr>
      <w:r>
        <w:rPr>
          <w:i/>
          <w:sz w:val="20"/>
        </w:rPr>
        <w:t>EN: Chiral Magnon Mixing by Symmetry-Breaking in Collinear Ferrimagnets</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36">
        <w:r>
          <w:rPr>
            <w:color w:val="1155CC"/>
            <w:u w:val="single"/>
          </w:rPr>
          <w:t>10.1103/n1x2-mzzx</w:t>
        </w:r>
      </w:hyperlink>
    </w:p>
    <w:p>
      <w:pPr>
        <w:spacing w:before="0" w:after="120"/>
      </w:pPr>
      <w:r>
        <w:rPr>
          <w:b/>
        </w:rPr>
        <w:t xml:space="preserve">Notes: </w:t>
      </w:r>
      <w:r>
        <w:t>abstract_source=rss_description</w:t>
      </w:r>
    </w:p>
    <w:p>
      <w:pPr>
        <w:spacing w:before="0" w:after="80" w:lineRule="auto" w:line="276"/>
      </w:pPr>
      <w:r>
        <w:rPr>
          <w:b/>
        </w:rPr>
        <w:t xml:space="preserve">摘要（ZH）: </w:t>
      </w:r>
      <w:r>
        <w:t>作者：Dhurba R. Jaishi、Tyler J. Slade、S. X. M. Riberrolles、Bing Li、Tianxiong Han、D. M. Pajerowski、D. L. Abernathy、Barry Winn、Melissa Graves-Brook、B. G. Ueland 和 R. J. McQueeney 铁磁体中的磁振子具有由绕磁化力矩的右手进动定义的自旋角动量方向。在没有净磁化强度的反铁磁体中，左手和右手磁振子在没有外加磁场的情况下会简并。亚铁磁体具有无补偿性……[物理。莱特牧师。 137, 046702] 2026 年 7 月 20 日星期一发布</w:t>
      </w:r>
    </w:p>
    <w:p>
      <w:pPr>
        <w:spacing w:before="0" w:after="200" w:lineRule="auto" w:line="276"/>
      </w:pPr>
      <w:r>
        <w:rPr>
          <w:b/>
        </w:rPr>
        <w:t xml:space="preserve">Abstract (EN): </w:t>
      </w:r>
      <w:r>
        <w:t>Author(s): Dhurba R. Jaishi, Tyler J. Slade, S. X. M. Riberolles, Bing Li, Tianxiong Han, D. M. Pajerowski, D. L. Abernathy, Barry Winn, Melissa Graves-Brook, B. G. Ueland, and R. J. McQueeneyMagnons in ferromagnets possess spin angular momentum defined by right-handed precession of the moment around the magnetization direction. In antiferromagnets with no net magnetization, left- and right-handed magnons are degenerate in the absence of an applied field. Ferrimagnets possess uncompensat…[Phys. Rev. Lett. 137, 046702] Published Mon Jul 20, 2026</w:t>
      </w:r>
    </w:p>
    <w:p>
      <w:pPr>
        <w:spacing w:before="120" w:after="120"/>
      </w:pPr>
      <w:r>
        <w:rPr>
          <w:sz w:val="18"/>
        </w:rPr>
        <w:t>——————————————————————————————————————————————————————————————————————</w:t>
      </w:r>
    </w:p>
    <w:p>
      <w:pPr>
        <w:spacing w:before="160" w:after="40" w:line="240" w:lineRule="auto"/>
      </w:pPr>
      <w:r>
        <w:rPr>
          <w:b/>
        </w:rPr>
        <w:t xml:space="preserve">[379] </w:t>
      </w:r>
      <w:hyperlink r:id="rId1237">
        <w:r>
          <w:rPr>
            <w:color w:val="1155CC"/>
            <w:u w:val="single"/>
          </w:rPr>
          <w:t>$\mathrm{AlGaN}/\mathrm{GaN}$ 等离子体晶体中狭缝等离子体激元的反常反射相位</w:t>
        </w:r>
      </w:hyperlink>
    </w:p>
    <w:p>
      <w:pPr>
        <w:spacing w:before="0" w:after="80"/>
      </w:pPr>
      <w:r>
        <w:rPr>
          <w:i/>
          <w:sz w:val="20"/>
        </w:rPr>
        <w:t>EN: Anomalous Reflection Phase of Slot Plasmons in an $\mathrm{AlGaN}/\mathrm{GaN}$ Plasmonic Crystal</w:t>
      </w:r>
    </w:p>
    <w:p>
      <w:pPr>
        <w:spacing w:before="0" w:after="120"/>
      </w:pPr>
      <w:r>
        <w:rPr>
          <w:b/>
        </w:rPr>
        <w:t xml:space="preserve">Source: </w:t>
      </w:r>
      <w:r>
        <w:t>Recent Articles in Phys. Rev. Lett.</w:t>
      </w:r>
      <w:r>
        <w:t xml:space="preserve">    </w:t>
      </w:r>
      <w:r>
        <w:rPr>
          <w:b/>
        </w:rPr>
        <w:t xml:space="preserve">Pub date: </w:t>
      </w:r>
      <w:r>
        <w:t>2026-07-20 10:00:00+00:00</w:t>
      </w:r>
      <w:r>
        <w:t xml:space="preserve">    </w:t>
      </w:r>
      <w:r>
        <w:rPr>
          <w:b/>
        </w:rPr>
        <w:t xml:space="preserve">DOI: </w:t>
      </w:r>
      <w:hyperlink r:id="rId1238">
        <w:r>
          <w:rPr>
            <w:color w:val="1155CC"/>
            <w:u w:val="single"/>
          </w:rPr>
          <w:t>10.1103/2cst-5qdr</w:t>
        </w:r>
      </w:hyperlink>
    </w:p>
    <w:p>
      <w:pPr>
        <w:spacing w:before="0" w:after="120"/>
      </w:pPr>
      <w:r>
        <w:rPr>
          <w:b/>
        </w:rPr>
        <w:t xml:space="preserve">Notes: </w:t>
      </w:r>
      <w:r>
        <w:t>abstract_source=rss_description</w:t>
      </w:r>
    </w:p>
    <w:p>
      <w:pPr>
        <w:spacing w:before="0" w:after="80" w:lineRule="auto" w:line="276"/>
      </w:pPr>
      <w:r>
        <w:rPr>
          <w:b/>
        </w:rPr>
        <w:t xml:space="preserve">摘要（ZH）: </w:t>
      </w:r>
      <w:r>
        <w:t>作者：A. R. Khisameeva、D. A. Khudaiberdiev、I. M. Moiseenko、P. A. Gusikhin、A. S. Astrakhantseva、A. Shuvaev、A. Pimenov、D. A. Svintsov、I. V. Kukushkin 和 V. M. Muravev 我们通过实验研究了等离子体晶体中等离子体激发的太赫兹光谱AlGaN/GaN 二维电子系统 (2DES)。虽然在此类结构中很容易观察到具有线性色散的屏蔽等离子体激元模式，但未屏蔽的模式位于结构之间的缝隙中......[物理。莱特牧师。 137, 046901] 2026 年 7 月 20 日星期一发布</w:t>
      </w:r>
    </w:p>
    <w:p>
      <w:pPr>
        <w:spacing w:before="0" w:after="200" w:lineRule="auto" w:line="276"/>
      </w:pPr>
      <w:r>
        <w:rPr>
          <w:b/>
        </w:rPr>
        <w:t xml:space="preserve">Abstract (EN): </w:t>
      </w:r>
      <w:r>
        <w:t>Author(s): A. R. Khisameeva, D. A. Khudaiberdiev, I. M. Moiseenko, P. A. Gusikhin, A. S. Astrakhantseva, A. Shuvaev, A. Pimenov, D. A. Svintsov, I. V. Kukushkin, and V. M. MuravevWe experimentally investigate the terahertz spectrum of plasma excitations in a plasmonic crystal based on AlGaN/GaN two-dimensional electron system (2DES). While screened plasmon modes with linear dispersion are readily observed in such structures, unscreened modes localized in the slots between th…[Phys. Rev. Lett. 137, 046901] Published Mon Jul 20, 2026</w:t>
      </w:r>
    </w:p>
    <w:p>
      <w:pPr>
        <w:spacing w:before="120" w:after="120"/>
      </w:pPr>
      <w:r>
        <w:rPr>
          <w:sz w:val="18"/>
        </w:rPr>
        <w:t>——————————————————————————————————————————————————————————————————————</w:t>
      </w:r>
    </w:p>
    <w:p>
      <w:pPr>
        <w:spacing w:before="160" w:after="40" w:line="240" w:lineRule="auto"/>
      </w:pPr>
      <w:r>
        <w:rPr>
          <w:b/>
        </w:rPr>
        <w:t xml:space="preserve">[380] </w:t>
      </w:r>
      <w:hyperlink r:id="rId1239">
        <w:r>
          <w:rPr>
            <w:color w:val="1155CC"/>
            <w:u w:val="single"/>
          </w:rPr>
          <w:t>利用轨道霍尔效应在室温范德华铁磁体 Fe3GaTe2 中实现节能磁化切换</w:t>
        </w:r>
      </w:hyperlink>
    </w:p>
    <w:p>
      <w:pPr>
        <w:spacing w:before="0" w:after="80"/>
      </w:pPr>
      <w:r>
        <w:rPr>
          <w:i/>
          <w:sz w:val="20"/>
        </w:rPr>
        <w:t>EN: Harnessing the Orbital Hall Effect for Energy‐Efficient Magnetization Switching in the Room‐Temperature van der Waals Ferromagnet Fe3GaTe2</w:t>
      </w:r>
    </w:p>
    <w:p>
      <w:pPr>
        <w:spacing w:before="0" w:after="120"/>
      </w:pPr>
      <w:r>
        <w:rPr>
          <w:b/>
        </w:rPr>
        <w:t xml:space="preserve">Source: </w:t>
      </w:r>
      <w:r>
        <w:t>Wiley: Advanced Materials: Table of Contents</w:t>
      </w:r>
      <w:r>
        <w:t xml:space="preserve">    </w:t>
      </w:r>
      <w:r>
        <w:rPr>
          <w:b/>
        </w:rPr>
        <w:t xml:space="preserve">Pub date: </w:t>
      </w:r>
      <w:r>
        <w:t>2026-07-20 10:53:46+00:00</w:t>
      </w:r>
      <w:r>
        <w:t xml:space="preserve">    </w:t>
      </w:r>
      <w:r>
        <w:rPr>
          <w:b/>
        </w:rPr>
        <w:t xml:space="preserve">DOI: </w:t>
      </w:r>
      <w:hyperlink r:id="rId1240">
        <w:r>
          <w:rPr>
            <w:color w:val="1155CC"/>
            <w:u w:val="single"/>
          </w:rPr>
          <w:t>10.1002/adma.74214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二维范德华 (vdW) 磁体由于其独特的特性，为自旋轨道扭矩磁阻随机存取存储器 (SOT-MRAM) 提供了新的机会。电操纵 vdW 磁体的磁化是实现 2D SOT-MRAM 的关键，而重金属和拓扑绝缘体等传统自旋霍尔材料在扭矩效率和能耗方面受到限制。尽管最近的研究表明轻金属中的轨道霍尔电导率大大超过了自旋霍尔电导率，但轨道霍尔效应（OHE）可以比 vdW 磁体中的自旋霍尔效应诱导更节能的 SOT 开关的直接实验证明仍然很少。在这里，我们利用 Cr 作为轨道电流源来有效地控制 vdW 铁磁体 Fe 的磁化强度</w:t>
      </w:r>
      <w:r>
        <w:rPr>
          <w:vertAlign w:val="subscript"/>
        </w:rPr>
        <w:t>3</w:t>
      </w:r>
      <w:r>
        <w:t>栅极</w:t>
      </w:r>
      <w:r>
        <w:rPr>
          <w:vertAlign w:val="subscript"/>
        </w:rPr>
        <w:t>2</w:t>
      </w:r>
      <w:r>
        <w:t>在室温下。在铁</w:t>
      </w:r>
      <w:r>
        <w:rPr>
          <w:vertAlign w:val="subscript"/>
        </w:rPr>
        <w:t>3</w:t>
      </w:r>
      <w:r>
        <w:t>栅极</w:t>
      </w:r>
      <w:r>
        <w:rPr>
          <w:vertAlign w:val="subscript"/>
        </w:rPr>
        <w:t>2</w:t>
      </w:r>
      <w:r>
        <w:t>/Pt（1.5 nm）/Cr（4.5 nm）三层结构，源自Cr的轨道电流通过Pt转化为自旋电流，然后对Fe施加扭矩</w:t>
      </w:r>
      <w:r>
        <w:rPr>
          <w:vertAlign w:val="subscript"/>
        </w:rPr>
        <w:t>3</w:t>
      </w:r>
      <w:r>
        <w:t>栅极</w:t>
      </w:r>
      <w:r>
        <w:rPr>
          <w:vertAlign w:val="subscript"/>
        </w:rPr>
        <w:t>2</w:t>
      </w:r>
      <w:r>
        <w:t>。与使用 6 nm Pt 作为自旋电流源的对照样品相比，基于 OHE 的器件中的开关电流密度降低了约 3.9 倍，从而使功耗降低了约 52%。这项工作展现了利用 Orbita 的巨大潜力</w:t>
      </w:r>
    </w:p>
    <w:p>
      <w:pPr>
        <w:spacing w:before="0" w:after="200" w:lineRule="auto" w:line="276"/>
      </w:pPr>
      <w:r>
        <w:rPr>
          <w:b/>
        </w:rPr>
        <w:t xml:space="preserve">Abstract (EN): </w:t>
      </w:r>
      <w:r>
        <w:t>2D van der Waals (vdW) magnets provide new opportunities for spin–orbit torque magnetoresistive random‐access memory (SOT‐MRAM) due to their unique properties. Electrically manipulating the magnetization of vdW magnets is key to realizing 2D SOT‐MRAM, whereas conventional spin Hall materials such as heavy metals and topological insulators suffer from limitations in torque efficiency and energy consumption. Although recent studies show that the orbital Hall conductivity in light metals greatly exceeds the spin Hall conductivity, direct experimental demonstrations that the orbital Hall effect (OHE) can induce more energy‐efficient SOT switching than the spin Hall effect in vdW magnets remain scarce. Here, we utilize Cr as the orbital current source to efficiently manipulate the magnetization of the vdW ferromagnet Fe</w:t>
      </w:r>
      <w:r>
        <w:rPr>
          <w:vertAlign w:val="subscript"/>
        </w:rPr>
        <w:t>3</w:t>
      </w:r>
      <w:r>
        <w:t>GaTe</w:t>
      </w:r>
      <w:r>
        <w:rPr>
          <w:vertAlign w:val="subscript"/>
        </w:rPr>
        <w:t>2</w:t>
      </w:r>
      <w:r>
        <w:t>at room temperature. In the Fe</w:t>
      </w:r>
      <w:r>
        <w:rPr>
          <w:vertAlign w:val="subscript"/>
        </w:rPr>
        <w:t>3</w:t>
      </w:r>
      <w:r>
        <w:t>GaTe</w:t>
      </w:r>
      <w:r>
        <w:rPr>
          <w:vertAlign w:val="subscript"/>
        </w:rPr>
        <w:t>2</w:t>
      </w:r>
      <w:r>
        <w:t>/Pt (1.5 nm)/Cr (4.5 nm) trilayer structure, the orbital current originating from Cr is converted into the spin current via Pt, which then exerts a torque on Fe</w:t>
      </w:r>
      <w:r>
        <w:rPr>
          <w:vertAlign w:val="subscript"/>
        </w:rPr>
        <w:t>3</w:t>
      </w:r>
      <w:r>
        <w:t>GaTe</w:t>
      </w:r>
      <w:r>
        <w:rPr>
          <w:vertAlign w:val="subscript"/>
        </w:rPr>
        <w:t>2</w:t>
      </w:r>
      <w:r>
        <w:t>. Compared with control samples using 6 nm Pt as the spin current source, the switching current density in OHE‐based devices is reduced by ∼3.9 times, resulting in a ∼52% reduction in power consumption. This work presents the promising potential of harnessing orbital currents to realize energy‐efficient 2D SOT‐MRAM.</w:t>
      </w:r>
    </w:p>
    <w:p>
      <w:pPr>
        <w:spacing w:before="120" w:after="120"/>
      </w:pPr>
      <w:r>
        <w:rPr>
          <w:sz w:val="18"/>
        </w:rPr>
        <w:t>——————————————————————————————————————————————————————————————————————</w:t>
      </w:r>
    </w:p>
    <w:p>
      <w:pPr>
        <w:spacing w:before="160" w:after="40" w:line="240" w:lineRule="auto"/>
      </w:pPr>
      <w:r>
        <w:rPr>
          <w:b/>
        </w:rPr>
        <w:t xml:space="preserve">[381] </w:t>
      </w:r>
      <w:hyperlink r:id="rId1241">
        <w:r>
          <w:rPr>
            <w:color w:val="1155CC"/>
            <w:u w:val="single"/>
          </w:rPr>
          <w:t>光催化将有毒草甘膦废物升级为玉米生长复合肥</w:t>
        </w:r>
      </w:hyperlink>
    </w:p>
    <w:p>
      <w:pPr>
        <w:spacing w:before="0" w:after="80"/>
      </w:pPr>
      <w:r>
        <w:rPr>
          <w:i/>
          <w:sz w:val="20"/>
        </w:rPr>
        <w:t>EN: Photocatalytic Upcycling of Toxic Glyphosate Waste Into Compound Fertilizer for Corn Growth</w:t>
      </w:r>
    </w:p>
    <w:p>
      <w:pPr>
        <w:spacing w:before="0" w:after="120"/>
      </w:pPr>
      <w:r>
        <w:rPr>
          <w:b/>
        </w:rPr>
        <w:t xml:space="preserve">Source: </w:t>
      </w:r>
      <w:r>
        <w:t>Wiley: Advanced Materials: Table of Contents</w:t>
      </w:r>
      <w:r>
        <w:t xml:space="preserve">    </w:t>
      </w:r>
      <w:r>
        <w:rPr>
          <w:b/>
        </w:rPr>
        <w:t xml:space="preserve">Pub date: </w:t>
      </w:r>
      <w:r>
        <w:t>2026-07-20 10:57:29+00:00</w:t>
      </w:r>
      <w:r>
        <w:t xml:space="preserve">    </w:t>
      </w:r>
      <w:r>
        <w:rPr>
          <w:b/>
        </w:rPr>
        <w:t xml:space="preserve">DOI: </w:t>
      </w:r>
      <w:hyperlink r:id="rId1242">
        <w:r>
          <w:rPr>
            <w:color w:val="1155CC"/>
            <w:u w:val="single"/>
          </w:rPr>
          <w:t>10.1002/adma.74094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草甘膦（GP）是全球使用最广泛的除草剂，由于其持久性和有毒的降解中间体而带来严重的生态和健康风险。尽管半导体光催化提供了一种有前景的修复途径，但降解选择性、产品二次利用和环境可持续性之间的相互作用仍然知之甚少。在这里，我们提出了使用具有主要（001）、（010）和（102）面的溴氧化铋（BiOBr）纳米片对GP进行面依赖性光催化降解。光谱和理论分析表明，BiOBr-(010) 和 BiOBr-(102) 通过增强电荷分离以及羧基和磷酸基团的双重吸附实现更快的 GP 降解。然而，它们主要产生并积累氨甲基膦酸（AMPA），这是一种有毒且顽固的中间体。相比之下，(001)面通过更强的空穴积累和更高的AMPA亲和力选择性地裂解GP中的C─N键，产生NH</w:t>
      </w:r>
      <w:r>
        <w:rPr>
          <w:vertAlign w:val="subscript"/>
        </w:rPr>
        <w:t>4</w:t>
      </w:r>
      <w:r>
        <w:t>+</w:t>
      </w:r>
      <w:r>
        <w:t xml:space="preserve"> </w:t>
      </w:r>
      <w:r>
        <w:t>, 否</w:t>
      </w:r>
      <w:r>
        <w:rPr>
          <w:vertAlign w:val="subscript"/>
        </w:rPr>
        <w:t>3</w:t>
      </w:r>
      <w:r>
        <w:t>-</w:t>
      </w:r>
      <w:r>
        <w:t>, PO</w:t>
      </w:r>
      <w:r>
        <w:rPr>
          <w:vertAlign w:val="subscript"/>
        </w:rPr>
        <w:t>4</w:t>
      </w:r>
      <w:r>
        <w:t>3−</w:t>
      </w:r>
      <w:r>
        <w:t>，和CH</w:t>
      </w:r>
      <w:r>
        <w:rPr>
          <w:vertAlign w:val="subscript"/>
        </w:rPr>
        <w:t>3</w:t>
      </w:r>
      <w:r>
        <w:t>噗。重要的是，最终产品作为复合肥料可以直接促进玉米生长。这些发现强调，在设计光催化剂时，需要考虑的不仅仅是降解效率，还需要建立一个优先考虑动力学性能的结构-功能框架。</w:t>
      </w:r>
    </w:p>
    <w:p>
      <w:pPr>
        <w:spacing w:before="0" w:after="200" w:lineRule="auto" w:line="276"/>
      </w:pPr>
      <w:r>
        <w:rPr>
          <w:b/>
        </w:rPr>
        <w:t xml:space="preserve">Abstract (EN): </w:t>
      </w:r>
      <w:r>
        <w:t>Glyphosate (GP), the most widely used herbicide worldwide, poses serious ecological and health risks due to its persistence and toxic degradation intermediates. Although semiconductor photocatalysis offers a promising remediation pathway, the interplay between degradation selectivity, the secondary utilization of products, and environmental sustainability remains poorly understood. Here, we present a facet‐dependent photocatalytic degradation of GP using bismuth oxybromide (BiOBr) nanosheets with dominant (001), (010), and (102) facets. Spectroscopic and theoretical analyses reveal that BiOBr‐(010) and BiOBr‐(102) achieve faster GP degradation via enhanced charge separation and dual adsorption of carboxyl and phosphate groups. However, they predominantly yield and accumulate aminomethylphosphonic acid (AMPA), a toxic and recalcitrant intermediate. In contrast, the (001) facet selectively cleaves the C─N bond in GP via stronger hole accumulation and higher AMPA affinity, producing NH</w:t>
      </w:r>
      <w:r>
        <w:rPr>
          <w:vertAlign w:val="subscript"/>
        </w:rPr>
        <w:t>4</w:t>
      </w:r>
      <w:r>
        <w:t>+</w:t>
      </w:r>
      <w:r>
        <w:t xml:space="preserve"> </w:t>
      </w:r>
      <w:r>
        <w:t>, NO</w:t>
      </w:r>
      <w:r>
        <w:rPr>
          <w:vertAlign w:val="subscript"/>
        </w:rPr>
        <w:t>3</w:t>
      </w:r>
      <w:r>
        <w:t>−</w:t>
      </w:r>
      <w:r>
        <w:t>, PO</w:t>
      </w:r>
      <w:r>
        <w:rPr>
          <w:vertAlign w:val="subscript"/>
        </w:rPr>
        <w:t>4</w:t>
      </w:r>
      <w:r>
        <w:t>3−</w:t>
      </w:r>
      <w:r>
        <w:t>, and CH</w:t>
      </w:r>
      <w:r>
        <w:rPr>
          <w:vertAlign w:val="subscript"/>
        </w:rPr>
        <w:t>3</w:t>
      </w:r>
      <w:r>
        <w:t>COOH. Importantly, the final products act as a compound fertilizer that can directly promote corn growth. These findings highlight the need to consider more than just degradation efficiency when designing photocatalysts, establishing a structure–function framework that prioritizes kinetic performance and crop growth‐promoting potential.</w:t>
      </w:r>
    </w:p>
    <w:p>
      <w:pPr>
        <w:spacing w:before="120" w:after="120"/>
      </w:pPr>
      <w:r>
        <w:rPr>
          <w:sz w:val="18"/>
        </w:rPr>
        <w:t>——————————————————————————————————————————————————————————————————————</w:t>
      </w:r>
    </w:p>
    <w:p>
      <w:pPr>
        <w:spacing w:before="160" w:after="40" w:line="240" w:lineRule="auto"/>
      </w:pPr>
      <w:r>
        <w:rPr>
          <w:b/>
        </w:rPr>
        <w:t xml:space="preserve">[382] </w:t>
      </w:r>
      <w:hyperlink r:id="rId1243">
        <w:r>
          <w:rPr>
            <w:color w:val="1155CC"/>
            <w:u w:val="single"/>
          </w:rPr>
          <w:t>自适应氧化还原电阻式存储器编程，实现高效、稳健的类增量学习</w:t>
        </w:r>
      </w:hyperlink>
    </w:p>
    <w:p>
      <w:pPr>
        <w:spacing w:before="0" w:after="80"/>
      </w:pPr>
      <w:r>
        <w:rPr>
          <w:i/>
          <w:sz w:val="20"/>
        </w:rPr>
        <w:t>EN: Adaptive Redox Resistive Memory Programming for Efficient and Robust Class‐Incremental Learning</w:t>
      </w:r>
    </w:p>
    <w:p>
      <w:pPr>
        <w:spacing w:before="0" w:after="120"/>
      </w:pPr>
      <w:r>
        <w:rPr>
          <w:b/>
        </w:rPr>
        <w:t xml:space="preserve">Source: </w:t>
      </w:r>
      <w:r>
        <w:t>Wiley: Advanced Materials: Table of Contents</w:t>
      </w:r>
      <w:r>
        <w:t xml:space="preserve">    </w:t>
      </w:r>
      <w:r>
        <w:rPr>
          <w:b/>
        </w:rPr>
        <w:t xml:space="preserve">Pub date: </w:t>
      </w:r>
      <w:r>
        <w:t>2026-07-20 10:58:39+00:00</w:t>
      </w:r>
      <w:r>
        <w:t xml:space="preserve">    </w:t>
      </w:r>
      <w:r>
        <w:rPr>
          <w:b/>
        </w:rPr>
        <w:t xml:space="preserve">DOI: </w:t>
      </w:r>
      <w:hyperlink r:id="rId1244">
        <w:r>
          <w:rPr>
            <w:color w:val="1155CC"/>
            <w:u w:val="single"/>
          </w:rPr>
          <w:t>10.1002/adma.202600025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基于电阻存储器 (RM) 的内存计算 (CiM) 加速器为低功耗边缘智能提供了一个有前途的平台。然而，实用的边缘人工智能不仅需要高效的推理，还需要通过类增量学习（CiL）进行重复的模型更新。在 RM 基板上实现 CiL 暴露了一个关键的材料算法不匹配：CiL 所需的写入密集型更新受到丝状 RM 设备随机编程的强烈影响。传统的完全编程 (FP) 通过重复编程和验证每个单元以达到精确的目标电导来减轻这种随机性，但这种详尽的过程会在连续的 CiL 阶段中产生大量的能耗、延迟和设备磨损。在此，我们提出了一种硬件感知自适应编程 (AP) 策略，使 CiL 部署与 RM 设备物理保持一致。微观结构和电学分析表明，氧空位的随机空间分布导致了不可避免的编程变异性。在这一见解的指导下，美联社并不试图通过昂贵的补偿来消除内在的随机性。相反，它仅更新最有影响力的权重，以抑制整体映射错误导致的准确性损失，同时保持低影响力的权重不变。这将大规模写入验证操作转换为最小单元子集的有针对性的更新，从而减少编程开销，而无需设备或材料优化。 AP 在具有 40 nm、256 k RM 的 CiM 内核的混合模拟数字系统上进行了验证，减少了程序</w:t>
      </w:r>
    </w:p>
    <w:p>
      <w:pPr>
        <w:spacing w:before="0" w:after="200" w:lineRule="auto" w:line="276"/>
      </w:pPr>
      <w:r>
        <w:rPr>
          <w:b/>
        </w:rPr>
        <w:t xml:space="preserve">Abstract (EN): </w:t>
      </w:r>
      <w:r>
        <w:t>Resistive memory (RM)‐based computing‐in‐memory (CiM) accelerators provide a promising platform for low‐power edge intelligence. However, practical edge AI requires not only efficient inference but also repeated model updates through class‐incremental learning (CiL). Implementing CiL on RM substrates exposes a critical material‐algorithm mismatch: the write‐intensive updates required by CiL are strongly affected by the stochastic programming of filamentary RM devices. Conventional fully programming (FP) mitigates this stochasticity by repeatedly programming and verifying each cell to a precise target conductance, but this exhaustive procedure incurs substantial energy consumption, latency, and device wear across successive CiL stages. Herein, we propose a hardware‐aware adaptive programming (AP) strategy that aligns CiL deployment with RM device physics. Microstructural and electrical analyzes reveal that the random spatial distribution of oxygen vacancies gives rise to unavoidable programming variability. Guided by this insight, AP does not attempt to eliminate intrinsic stochasticity through costly compensation. Instead, it updates only the most impactful weights to suppress accuracy loss caused by overall mapping errors, while leaving low‐impact weights unchanged. This converts large‐scale write‐verify operations into targeted updates of a minimal subset of cells, reducing programming overhead without requiring device or material optimization. Validated on a hybrid analog‐digital system with a 40 nm, 256 k RM‐based CiM core, AP reduces programming energy by 93.0% and programming cycles by more than 90% relative to FP during five‐stage CIFAR100 CiL, while achieving a final accuracy of 0.80, close to the 0.81 software baseline. For the more complex ShapeNet 3D point‐cloud recognition task across eight stages, AP achieves 92.3% energy savings with only a 0.03 accuracy loss. Moreover, AP improves robustness by reducing programming‐error‐induced accuracy degradation by 87.7% and 88.4% for the two tasks, respectively. This work bridges algorithmic update requirements and physical programming constraints, enabling robust and energy‐efficient lifelong learning on RM‐based CiM platforms.</w:t>
      </w:r>
    </w:p>
    <w:p>
      <w:pPr>
        <w:spacing w:before="120" w:after="120"/>
      </w:pPr>
      <w:r>
        <w:rPr>
          <w:sz w:val="18"/>
        </w:rPr>
        <w:t>——————————————————————————————————————————————————————————————————————</w:t>
      </w:r>
    </w:p>
    <w:p>
      <w:pPr>
        <w:spacing w:before="160" w:after="40" w:line="240" w:lineRule="auto"/>
      </w:pPr>
      <w:r>
        <w:rPr>
          <w:b/>
        </w:rPr>
        <w:t xml:space="preserve">[383] </w:t>
      </w:r>
      <w:hyperlink r:id="rId1245">
        <w:r>
          <w:rPr>
            <w:color w:val="1155CC"/>
            <w:u w:val="single"/>
          </w:rPr>
          <w:t>Indolicidin修饰的光敏剂可增强抗菌作用并加速糖尿病伤口愈合</w:t>
        </w:r>
      </w:hyperlink>
    </w:p>
    <w:p>
      <w:pPr>
        <w:spacing w:before="0" w:after="80"/>
      </w:pPr>
      <w:r>
        <w:rPr>
          <w:i/>
          <w:sz w:val="20"/>
        </w:rPr>
        <w:t>EN: Indolicidin‐Decorated Photosensitizer for Enhanced Antibacterials and Accelerated Diabetic Wound Healing</w:t>
      </w:r>
    </w:p>
    <w:p>
      <w:pPr>
        <w:spacing w:before="0" w:after="120"/>
      </w:pPr>
      <w:r>
        <w:rPr>
          <w:b/>
        </w:rPr>
        <w:t xml:space="preserve">Source: </w:t>
      </w:r>
      <w:r>
        <w:t>Wiley: Advanced Materials: Table of Contents</w:t>
      </w:r>
      <w:r>
        <w:t xml:space="preserve">    </w:t>
      </w:r>
      <w:r>
        <w:rPr>
          <w:b/>
        </w:rPr>
        <w:t xml:space="preserve">Pub date: </w:t>
      </w:r>
      <w:r>
        <w:t>2026-07-20 11:12:36+00:00</w:t>
      </w:r>
      <w:r>
        <w:t xml:space="preserve">    </w:t>
      </w:r>
      <w:r>
        <w:rPr>
          <w:b/>
        </w:rPr>
        <w:t xml:space="preserve">DOI: </w:t>
      </w:r>
      <w:hyperlink r:id="rId1246">
        <w:r>
          <w:rPr>
            <w:color w:val="1155CC"/>
            <w:u w:val="single"/>
          </w:rPr>
          <w:t>10.1002/adma.202521231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由于多重耐药细菌引起的感染，糖尿病伤口难以愈合。尽管光动力疗法 (PDT) 和抗菌肽 (AMP) 已成为有前景的替代方案，但它们都面临着固有的局限性：PDT 产生的活性氧 (ROS) 寿命极短 (10-320 ns) 且扩散有限 (10-55 nm)，而 AMP 结构不稳定，高剂量时可能具有细胞毒性，甚至会诱发细菌耐药性。为了克服这些缺点，我们通过将 AMP Indolicidin 与光敏剂 PTBT 集成，开发了一种协同纳米平台，并进一步封装在热敏 F127 水凝胶 (PTBT/I@F127) 中。该系统形成均匀、高度光敏的纳米颗粒，其中位于外表面的 Indolicidin 首先破坏细菌膜，促进 PTBT 与细菌的接触。随后，在808 nm激光照射下产生丰富的ROS，快速杀死细菌，有效补偿了ROS有限的扩散，增强了Indolicidin降解前的抗菌效果。在体外，PTBT/I@F127 有效杀灭甲氧西林耐药菌</w:t>
      </w:r>
      <w:r>
        <w:t xml:space="preserve"> </w:t>
      </w:r>
      <w:r>
        <w:t>金黄色葡萄球菌</w:t>
      </w:r>
      <w:r>
        <w:t xml:space="preserve"> </w:t>
      </w:r>
      <w:r>
        <w:t>（耐甲氧西林金黄色葡萄球菌）和</w:t>
      </w:r>
      <w:r>
        <w:t xml:space="preserve"> </w:t>
      </w:r>
      <w:r>
        <w:t>大肠杆菌</w:t>
      </w:r>
      <w:r>
        <w:t xml:space="preserve"> </w:t>
      </w:r>
      <w:r>
        <w:t>具有显着的协同作用。在糖尿病小鼠和猪模型中，接受PTBT/I@F127后，伤口愈合率分别达到98%和83%，并有显着的血管生成和胶原沉积。转录组分析表明</w:t>
      </w:r>
    </w:p>
    <w:p>
      <w:pPr>
        <w:spacing w:before="0" w:after="200" w:lineRule="auto" w:line="276"/>
      </w:pPr>
      <w:r>
        <w:rPr>
          <w:b/>
        </w:rPr>
        <w:t xml:space="preserve">Abstract (EN): </w:t>
      </w:r>
      <w:r>
        <w:t>Diabetic wounds are difficult to heal due to infections caused by multidrug‐resistant bacteria. Although photodynamic therapy (PDT) and antimicrobial peptides (AMPs) have emerged as promising alternatives, each faces inherent limitations: PDT‐generated reactive oxygen species (ROS) have an extremely short lifespan (10–320 ns) and limited diffusion (10–55 nm), while AMPs are structurally unstable, potentially cytotoxic at high doses, and even induce bacterial resistance. To overcome these drawbacks, we developed a synergistic nanoplatform by integrating the AMP Indolicidin with the photosensitizer PTBT, further encapsulated within a thermosensitive F127 hydrogel (PTBT/I@F127). The system formed uniform, highly photosensitive nanoparticles in which Indolicidin, located on the outer surface, first disrupted bacterial membranes, facilitating the contact of PTBT with bacteria. Subsequently, abundant ROS were generated for rapidly killing bacteria under an 808‐nm laser irradiation, which effectively compensated for the limited diffusion of ROS and reinforced the antibacterial effect of Indolicidin before its degradation. In vitro, PTBT/I@F127 effectively killed methicillin‐resistant</w:t>
      </w:r>
      <w:r>
        <w:t xml:space="preserve"> </w:t>
      </w:r>
      <w:r>
        <w:t>Staphylococcus aureus</w:t>
      </w:r>
      <w:r>
        <w:t xml:space="preserve"> </w:t>
      </w:r>
      <w:r>
        <w:t>(MRSA) and</w:t>
      </w:r>
      <w:r>
        <w:t xml:space="preserve"> </w:t>
      </w:r>
      <w:r>
        <w:t>E. coli</w:t>
      </w:r>
      <w:r>
        <w:t xml:space="preserve"> </w:t>
      </w:r>
      <w:r>
        <w:t>with a remarkable synergy. In diabetic mice and pig models, wound healing rates reached 98% and 83%, respectively, with remarkable angiogenesis and collagen deposition, after receiving PTBT/I@F127. Transcriptomic analysis revealed that Wnt/β‐catenin signaling pathways were involved in promoting tissue regeneration, while inflammation‐associated signaling pathways, such as NF‐κB and IL‐17, were concurrently regulated, thereby alleviating inflammation and reshaping the immune microenvironment in infected wounds. Collectively, this PTBT/Indolicidin‐based thermosensitive hydrogel effectively eliminated resistant bacteria, mitigated inflammation, stimulated angiogenesis, and accelerated healing of infected diabetic wounds, offering a safe, controllable, and translationally promising therapeutic strategy.</w:t>
      </w:r>
    </w:p>
    <w:p>
      <w:pPr>
        <w:spacing w:before="120" w:after="120"/>
      </w:pPr>
      <w:r>
        <w:rPr>
          <w:sz w:val="18"/>
        </w:rPr>
        <w:t>——————————————————————————————————————————————————————————————————————</w:t>
      </w:r>
    </w:p>
    <w:p>
      <w:pPr>
        <w:spacing w:before="160" w:after="40" w:line="240" w:lineRule="auto"/>
      </w:pPr>
      <w:r>
        <w:rPr>
          <w:b/>
        </w:rPr>
        <w:t xml:space="preserve">[384] </w:t>
      </w:r>
      <w:hyperlink r:id="rId1247">
        <w:r>
          <w:rPr>
            <w:color w:val="1155CC"/>
            <w:u w:val="single"/>
          </w:rPr>
          <w:t>揭示镰刀菌细胞分裂素生物合成和失活的化学和酶学逻辑</w:t>
        </w:r>
      </w:hyperlink>
    </w:p>
    <w:p>
      <w:pPr>
        <w:spacing w:before="0" w:after="80"/>
      </w:pPr>
      <w:r>
        <w:rPr>
          <w:i/>
          <w:sz w:val="20"/>
        </w:rPr>
        <w:t>EN: Unraveling the Chemical and Enzymatic Logic of Cytokinin Biosynthesis and Inactivation in Fusarium</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248">
        <w:r>
          <w:rPr>
            <w:color w:val="1155CC"/>
            <w:u w:val="single"/>
          </w:rPr>
          <w:t>10.1021/jacs.6c08575</w:t>
        </w:r>
      </w:hyperlink>
    </w:p>
    <w:p>
      <w:pPr>
        <w:spacing w:before="0" w:after="120"/>
      </w:pPr>
      <w:r>
        <w:rPr>
          <w:b/>
        </w:rPr>
        <w:t xml:space="preserve">Notes: </w:t>
      </w:r>
      <w:r>
        <w:t>abstract_source=pubmed</w:t>
      </w:r>
    </w:p>
    <w:p>
      <w:pPr>
        <w:spacing w:before="0" w:after="80" w:lineRule="auto" w:line="276"/>
      </w:pPr>
      <w:r>
        <w:rPr>
          <w:b/>
        </w:rPr>
        <w:t xml:space="preserve">摘要（ZH）: </w:t>
      </w:r>
      <w:r>
        <w:t>作为调节植物生长发育的核心激素家族，细胞分裂素（CK）的生物合成和失活机制在植物中已得到深入研究。然而，这些过程在其他生物体中仍然很大程度上没有特征，特别是真菌植物病原体。在这里，我们确定了来自镰刀菌的CK的独特途径，并揭示了生物合成和失活的化学和酶学逻辑，主要包括：（1）IPT-LOG融合酶FexA催化AMP的N6-二甲基烯丙基化和C1''-N9键裂解形成iP（1）； (2) CYP450 FexB 不仅羟基化 1 生成典型的植物型 CKs 反式玉米素 (tZ, 2) 和顺式玉米素 (cZ, 3)，而且还依次催化 C4'-N6 环化生成吡咯衍生物 (6)； (3) BBE 样氧化酶 FexC 独立介导化合物 1-3 的氧化裂解，并意外地将 1 转化为 C1'-keto-iP (16)； (4) FexC 和 NmrA 样 SDR FexD 协同催化双键异构化，产生两种新型 CK（17 和 19），其中 FexD 充当罕见的 NADPH 依赖性 1,4-还原酶。生物活性测定表明，非经典真菌特异性化合物 6、17 和 19 代表了植物新的无活性 CK 形式，而 16 则表现出意想不到的高活性。重要的是，与植物不同，镰刀菌采用双键异构化和吡咯形成作为 CK 失活的新策略。我们的研究结果揭示了真菌 CK 酶的不寻常功能，并揭示了植物病原真菌中 CK 生物合成和失活的分子基础，这提供了</w:t>
      </w:r>
    </w:p>
    <w:p>
      <w:pPr>
        <w:spacing w:before="0" w:after="200" w:lineRule="auto" w:line="276"/>
      </w:pPr>
      <w:r>
        <w:rPr>
          <w:b/>
        </w:rPr>
        <w:t xml:space="preserve">Abstract (EN): </w:t>
      </w:r>
      <w:r>
        <w:t>As a core family of hormone regulating plant growth and development, the biosynthesis and inactivation mechanisms of cytokinins (CKs) have been well studied in plants. However, these processes remain largely uncharacterized in other organisms, particularly fungal phytopathogens. Here, we identify a distinct pathway of CKs from Fusarium and unravel the chemical and enzymatic logic of biosynthesis and inactivation, which mainly includes: (1) the IPT-LOG fusion enzyme FexA catalyzes N6-dimethylallylation of AMP and cleavage of the C1″-N9 bond to form iP (1); (2) the CYP450 FexB not only hydroxylates 1 to generate the canonical plant-type CKs trans-zeatin (tZ, 2) and cis-zeatin (cZ, 3), but also sequentially catalyzes C4'-N6 cyclization to produce a pyrrole derivative (6); (3) the BBE-like oxidase FexC independently mediates oxidative cleavage of compounds 1-3 and unexpectedly converts 1 to C1'-keto-iP (16); (4) FexC and the NmrA-like SDR FexD cooperate to catalyze double bond isomerization, yielding two novel CKs (17 and 19), where FexD functions as a rare NADPH-dependent 1,4-reductase. Biological activity assays demonstrate that the noncanonical fungus-specific compounds 6, 17, and 19 represent new inactive CK forms for plants, whereas 16 exhibits unexpectedly high activity. Importantly, unlike plants, Fusarium employ double bond isomerization and pyrrole formation as novel strategies for CK inactivation. Our findings uncover unusual functions of fungal CK enzymes and reveal the molecular basis underlying CK biosynthesis and inactivation in plant pathogenic fungi, which provide new insights into the discovery and application of CK derivatives.</w:t>
      </w:r>
    </w:p>
    <w:p>
      <w:pPr>
        <w:spacing w:before="120" w:after="120"/>
      </w:pPr>
      <w:r>
        <w:rPr>
          <w:sz w:val="18"/>
        </w:rPr>
        <w:t>——————————————————————————————————————————————————————————————————————</w:t>
      </w:r>
    </w:p>
    <w:p>
      <w:pPr>
        <w:spacing w:before="160" w:after="40" w:line="240" w:lineRule="auto"/>
      </w:pPr>
      <w:r>
        <w:rPr>
          <w:b/>
        </w:rPr>
        <w:t xml:space="preserve">[385] </w:t>
      </w:r>
      <w:hyperlink r:id="rId1249">
        <w:r>
          <w:rPr>
            <w:color w:val="1155CC"/>
            <w:u w:val="single"/>
          </w:rPr>
          <w:t>利用天然气网络全局线性端口模型加速电-气能量流分析</w:t>
        </w:r>
      </w:hyperlink>
    </w:p>
    <w:p>
      <w:pPr>
        <w:spacing w:before="0" w:after="80"/>
      </w:pPr>
      <w:r>
        <w:rPr>
          <w:i/>
          <w:sz w:val="20"/>
        </w:rPr>
        <w:t>EN: Accelerating electricity-gas energy flow analysis using global linear port model of natural gas network</w:t>
      </w:r>
    </w:p>
    <w:p>
      <w:pPr>
        <w:spacing w:before="0" w:after="120"/>
      </w:pPr>
      <w:r>
        <w:rPr>
          <w:b/>
        </w:rPr>
        <w:t xml:space="preserve">Source: </w:t>
      </w:r>
      <w:r>
        <w:t>ScienceDirect Publication: Applied Energy</w:t>
      </w:r>
      <w:r>
        <w:t xml:space="preserve">    </w:t>
      </w:r>
      <w:r>
        <w:rPr>
          <w:b/>
        </w:rPr>
        <w:t xml:space="preserve">Pub date: </w:t>
      </w:r>
      <w:r>
        <w:t>2026-07-21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[386] </w:t>
      </w:r>
      <w:hyperlink r:id="rId1250">
        <w:r>
          <w:rPr>
            <w:color w:val="1155CC"/>
            <w:u w:val="single"/>
          </w:rPr>
          <w:t>使用极紫外的晶圆级过渡金属通道</w:t>
        </w:r>
      </w:hyperlink>
    </w:p>
    <w:p>
      <w:pPr>
        <w:spacing w:before="0" w:after="80"/>
      </w:pPr>
      <w:r>
        <w:rPr>
          <w:i/>
          <w:sz w:val="20"/>
        </w:rPr>
        <w:t>EN: Wafer-scale transition metal channels using extreme ultraviolet</w:t>
      </w:r>
    </w:p>
    <w:p>
      <w:pPr>
        <w:spacing w:before="0" w:after="120"/>
      </w:pPr>
      <w:r>
        <w:rPr>
          <w:b/>
        </w:rPr>
        <w:t xml:space="preserve">Source: </w:t>
      </w:r>
      <w:r>
        <w:t>Nature Electronics</w:t>
      </w:r>
      <w:r>
        <w:t xml:space="preserve">    </w:t>
      </w:r>
      <w:r>
        <w:rPr>
          <w:b/>
        </w:rPr>
        <w:t xml:space="preserve">Pub date: </w:t>
      </w:r>
      <w:r>
        <w:t>2026-07-21 00:00:00+00:00</w:t>
      </w:r>
      <w:r>
        <w:t xml:space="preserve">    </w:t>
      </w:r>
      <w:r>
        <w:rPr>
          <w:b/>
        </w:rPr>
        <w:t xml:space="preserve">DOI: </w:t>
      </w:r>
      <w:hyperlink r:id="rId1251">
        <w:r>
          <w:rPr>
            <w:color w:val="1155CC"/>
            <w:u w:val="single"/>
          </w:rPr>
          <w:t>10.1038/s41928-026-01676-3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[387] </w:t>
      </w:r>
      <w:hyperlink r:id="rId1252">
        <w:r>
          <w:rPr>
            <w:color w:val="1155CC"/>
            <w:u w:val="single"/>
          </w:rPr>
          <w:t>具有增强水通量和垃圾渗滤液中 PFAS 去除能力的 MXene 改性正向渗透膜</w:t>
        </w:r>
      </w:hyperlink>
    </w:p>
    <w:p>
      <w:pPr>
        <w:spacing w:before="0" w:after="80"/>
      </w:pPr>
      <w:r>
        <w:rPr>
          <w:i/>
          <w:sz w:val="20"/>
        </w:rPr>
        <w:t>EN: MXene-Modified Forward Osmosis Membrane with Enhanced Water Flux and PFAS Rejection from Landfill Leachate</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253">
        <w:r>
          <w:rPr>
            <w:color w:val="1155CC"/>
            <w:u w:val="single"/>
          </w:rPr>
          <w:t>10.1021/acsami.6c08998</w:t>
        </w:r>
      </w:hyperlink>
    </w:p>
    <w:p>
      <w:pPr>
        <w:spacing w:before="0" w:after="120"/>
      </w:pPr>
      <w:r>
        <w:rPr>
          <w:b/>
        </w:rPr>
        <w:t xml:space="preserve">Notes: </w:t>
      </w:r>
      <w:r>
        <w:t>abstract_source=pubmed</w:t>
      </w:r>
    </w:p>
    <w:p>
      <w:pPr>
        <w:spacing w:before="0" w:after="80" w:lineRule="auto" w:line="276"/>
      </w:pPr>
      <w:r>
        <w:rPr>
          <w:b/>
        </w:rPr>
        <w:t xml:space="preserve">摘要（ZH）: </w:t>
      </w:r>
      <w:r>
        <w:t>正向渗透 (FO) 是一种很有前途的膜技术，用于去除水中新出现的污染物，但其应用仍然受到低水通量、内部浓差极化 (ICP) 和污垢的限制。为了解决这些问题，在本研究中，通过将 MXene 纳米片（一种二维过渡金属碳化物）纳入聚醚砜（PES）支撑层，然后通过界面聚合形成聚酰胺活性层来制造薄膜复合（TFC）膜。使用 FTIR、FESEM、EDX 绘图、AFM、zeta 电位分析和水接触角测量对膜进行表征，以评估其化学结构、表面形态、MXene 分布、表面粗糙度、表面电荷和亲水性。添加 MXene (0.25-2 wt%) 会增加支撑层的孔隙率、孔径和亲水性，而过量添加 (4 wt%) 会导致孔隙堵塞并损害支撑层性能。优化后的TFC膜（TFC-MX2，2 wt%）的水通量为27.4 L·m-2·h-1，比未改性膜（TFC-Pristine）高201.1%，同时在正常FO模式下保持约3.14 g·m-2·h-1的低反向盐通量。结构参数降低了 72.5%，表明 ICP 效应降低并改善了支撑层传输特性。 TFC-MX2 膜对合成 PFAS 溶液和垃圾渗滤液中作为模型微污染物的全氟烷基和多氟烷基物质 (PFAS) 的平均截留率分别为 97.8% 和 96.6%，同时与</w:t>
      </w:r>
    </w:p>
    <w:p>
      <w:pPr>
        <w:spacing w:before="0" w:after="200" w:lineRule="auto" w:line="276"/>
      </w:pPr>
      <w:r>
        <w:rPr>
          <w:b/>
        </w:rPr>
        <w:t xml:space="preserve">Abstract (EN): </w:t>
      </w:r>
      <w:r>
        <w:t>Forward osmosis (FO) is a promising membrane technology for removing emerging contaminants in water, whereas its applications remain limited by low water flux, internal concentration polarization (ICP), and fouling. To address these issues, in this study, thin-film composite (TFC) membranes were fabricated by incorporating MXene nanosheets, a two-dimensional transition metal carbide, into the polyethersulfone (PES) support layer, followed by interfacial polymerization to form a polyamide active layer. The membranes were characterized using FTIR, FESEM, EDX mapping, AFM, zeta potential analysis, and water contact angle measurements to evaluate their chemical structure, surface morphology, MXene distribution, surface roughness, surface charge, and hydrophilicity. MXene addition (0.25-2 wt %) increased porosity, pore size, and hydrophilicity of the support layer, while excessive loading (4 wt %) resulted in pore blockage and compromised support-layer properties. The optimized TFC membrane (TFC-MX2, 2 wt %) achieved a water flux of 27.4 L·m-2·h-1, 201.1% higher than that of the unmodified membrane (TFC-Pristine), while maintaining a low reverse salt flux of ∼3.14 g·m-2·h-1 in normal FO mode. The structural parameter decreased by 72.5%, suggesting reduced ICP effects and improved support-layer transport characteristics. The TFC-MX2 membrane achieved 97.8 and 96.6% average rejection of perfluoroalkyl and polyfluoroalkyl substances (PFAS), as model micropollutants, in synthetic PFAS solutions and landfill leachate, respectively, while exhibiting reduced fouling propensity compared with TFC-Pristine. Overall, the findings demonstrate that MXene-modified FO membranes represent a promising approach for enhancing PFAS rejection in FO applications.</w:t>
      </w:r>
    </w:p>
    <w:p>
      <w:pPr>
        <w:spacing w:before="120" w:after="120"/>
      </w:pPr>
      <w:r>
        <w:rPr>
          <w:sz w:val="18"/>
        </w:rPr>
        <w:t>——————————————————————————————————————————————————————————————————————</w:t>
      </w:r>
    </w:p>
    <w:p>
      <w:pPr>
        <w:spacing w:before="160" w:after="40" w:line="240" w:lineRule="auto"/>
      </w:pPr>
      <w:r>
        <w:rPr>
          <w:b/>
        </w:rPr>
        <w:t xml:space="preserve">[388] </w:t>
      </w:r>
      <w:hyperlink r:id="rId1254">
        <w:r>
          <w:rPr>
            <w:color w:val="1155CC"/>
            <w:u w:val="single"/>
          </w:rPr>
          <w:t>用于金介导氮烯转移的光生三重态光环-氮烯</w:t>
        </w:r>
      </w:hyperlink>
    </w:p>
    <w:p>
      <w:pPr>
        <w:spacing w:before="0" w:after="80"/>
      </w:pPr>
      <w:r>
        <w:rPr>
          <w:i/>
          <w:sz w:val="20"/>
        </w:rPr>
        <w:t>EN: A photogenerated triplet aura-nitrene for gold-mediated nitrene transfer</w:t>
      </w:r>
    </w:p>
    <w:p>
      <w:pPr>
        <w:spacing w:before="0" w:after="120"/>
      </w:pPr>
      <w:r>
        <w:rPr>
          <w:b/>
        </w:rPr>
        <w:t xml:space="preserve">Source: </w:t>
      </w:r>
      <w:r>
        <w:t>Nature Chemistry</w:t>
      </w:r>
      <w:r>
        <w:t xml:space="preserve">    </w:t>
      </w:r>
      <w:r>
        <w:rPr>
          <w:b/>
        </w:rPr>
        <w:t xml:space="preserve">Pub date: </w:t>
      </w:r>
      <w:r>
        <w:t>2026-07-21 00:00:00+00:00</w:t>
      </w:r>
      <w:r>
        <w:t xml:space="preserve">    </w:t>
      </w:r>
      <w:r>
        <w:rPr>
          <w:b/>
        </w:rPr>
        <w:t xml:space="preserve">DOI: </w:t>
      </w:r>
      <w:hyperlink r:id="rId1255">
        <w:r>
          <w:rPr>
            <w:color w:val="1155CC"/>
            <w:u w:val="single"/>
          </w:rPr>
          <w:t>10.1038/s41557-026-02152-3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金属稳定的低价氮物种的分离和表征仍然是推进氮原子转移化学的核心挑战。尽管金已成为 C-N 键形成的强大催化剂，但所提出的机制一直绕过金氮宾作为关键中间体，使其化学性质在很大程度上未知。在这里，我们报告了通过光化学 N 形成的真正光环氮烯的表征</w:t>
      </w:r>
      <w:r>
        <w:rPr>
          <w:vertAlign w:val="subscript"/>
        </w:rPr>
        <w:t>2</w:t>
      </w:r>
      <w:r>
        <w:t>从金（III）叠氮化物络合物中挤出。在晶体和固态分析中，揭示了多种反应性景观，包括通过 O 进行氮烯到硝基的转化</w:t>
      </w:r>
      <w:r>
        <w:rPr>
          <w:vertAlign w:val="subscript"/>
        </w:rPr>
        <w:t>2</w:t>
      </w:r>
      <w:r>
        <w:t>活化、分子内和分子间 C-H 键活化、CO 固定和炔加成/σ重排。计算研究证实了三重态基态，氮烯最好被描述为以氮为中心的双自由基</w:t>
      </w:r>
      <w:r>
        <w:t xml:space="preserve"> </w:t>
      </w:r>
      <w:r>
        <w:t>σ</w:t>
      </w:r>
      <w:r>
        <w:t xml:space="preserve"> </w:t>
      </w:r>
      <w:r>
        <w:t>-与正式的金（III）中心结合。这些发现突出了金（III）金属氮烯的双重亲电子和双自由基特征，并建立了超越传统机械范式的金介导的氮原子转移的概念框架。</w:t>
      </w:r>
    </w:p>
    <w:p>
      <w:pPr>
        <w:spacing w:before="0" w:after="200" w:lineRule="auto" w:line="276"/>
      </w:pPr>
      <w:r>
        <w:rPr>
          <w:b/>
        </w:rPr>
        <w:t xml:space="preserve">Abstract (EN): </w:t>
      </w:r>
      <w:r>
        <w:t>The isolation and characterization of metal-stabilized, low-valent nitrogen species remain central challenges in advancing nitrogen-atom transfer chemistry. Although gold has emerged as a powerful catalyst in C–N bond formation, proposed mechanisms have consistently bypassed gold nitrenes as key intermediates—leaving their chemistry largely uncharted. Here we report the characterization of a bona fide aura-nitrene, formed via photochemical N</w:t>
      </w:r>
      <w:r>
        <w:rPr>
          <w:vertAlign w:val="subscript"/>
        </w:rPr>
        <w:t>2</w:t>
      </w:r>
      <w:r>
        <w:t>extrusion from a gold(III) azide complex. In crystallo and solid-state analyses reveal a diverse reactivity landscape, including a nitrene-to-nitro transformation via O</w:t>
      </w:r>
      <w:r>
        <w:rPr>
          <w:vertAlign w:val="subscript"/>
        </w:rPr>
        <w:t>2</w:t>
      </w:r>
      <w:r>
        <w:t>activation, intra- and intermolecular C–H bond activation, CO fixation and alkyne addition/sigmatropic rearrangement. Computational investigations confirm a triplet ground state, with the nitrene best described as a nitrogen-centred diradical</w:t>
      </w:r>
      <w:r>
        <w:t xml:space="preserve"> </w:t>
      </w:r>
      <w:r>
        <w:t>σ</w:t>
      </w:r>
      <w:r>
        <w:t xml:space="preserve"> </w:t>
      </w:r>
      <w:r>
        <w:t>-bonded to a formal gold(III) centre. These findings highlight the dual electrophilic and diradical character of gold(III) metallonitrenes and establish a conceptual framework for gold-mediated nitrogen-atom transfer beyond conventional mechanistic paradigms.</w:t>
      </w:r>
    </w:p>
    <w:p>
      <w:pPr>
        <w:spacing w:before="120" w:after="120"/>
      </w:pPr>
      <w:r>
        <w:rPr>
          <w:sz w:val="18"/>
        </w:rPr>
        <w:t>——————————————————————————————————————————————————————————————————————</w:t>
      </w:r>
    </w:p>
    <w:p>
      <w:pPr>
        <w:spacing w:before="160" w:after="40" w:line="240" w:lineRule="auto"/>
      </w:pPr>
      <w:r>
        <w:rPr>
          <w:b/>
        </w:rPr>
        <w:t xml:space="preserve">[389] </w:t>
      </w:r>
      <w:hyperlink r:id="rId1256">
        <w:r>
          <w:rPr>
            <w:color w:val="1155CC"/>
            <w:u w:val="single"/>
          </w:rPr>
          <w:t>无载体肽纳米药物通过铁死亡和二硫死亡协调双重氧化还原疗法</w:t>
        </w:r>
      </w:hyperlink>
    </w:p>
    <w:p>
      <w:pPr>
        <w:spacing w:before="0" w:after="80"/>
      </w:pPr>
      <w:r>
        <w:rPr>
          <w:i/>
          <w:sz w:val="20"/>
        </w:rPr>
        <w:t>EN: A Carrier-Free Peptide Nanomedicine Orchestrates Dual Redox Therapy via Ferroptosis and Disulfidptosis</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257">
        <w:r>
          <w:rPr>
            <w:color w:val="1155CC"/>
            <w:u w:val="single"/>
          </w:rPr>
          <w:t>10.1021/acsami.6c08792</w:t>
        </w:r>
      </w:hyperlink>
    </w:p>
    <w:p>
      <w:pPr>
        <w:spacing w:before="0" w:after="120"/>
      </w:pPr>
      <w:r>
        <w:rPr>
          <w:b/>
        </w:rPr>
        <w:t xml:space="preserve">Notes: </w:t>
      </w:r>
      <w:r>
        <w:t>abstract_source=pubmed</w:t>
      </w:r>
    </w:p>
    <w:p>
      <w:pPr>
        <w:spacing w:before="0" w:after="80" w:lineRule="auto" w:line="276"/>
      </w:pPr>
      <w:r>
        <w:rPr>
          <w:b/>
        </w:rPr>
        <w:t xml:space="preserve">摘要（ZH）: </w:t>
      </w:r>
      <w:r>
        <w:t>无载体纳米药物提供了一种有前途的策略，可以简化配方，同时最大化治疗功能。在这里，我们报道了一种含二硫键的自组装肽，Fmoc-Cys(StBu)-Phe-Phe-Tyr-Lys-Cys(StBu) (Fmoc-S-S)，作为双重氧化还原癌症治疗的极简纳米药物。 Fmoc-S-S 自发形成均匀的球形纳米粒子，具有良好的血液相容性、谷胱甘肽响应性结构转变和增强体内肿瘤积累。从机制上讲，Fmoc-S-S 通过消耗谷胱甘肽、改变 NADP+/NADPH 平衡、抑制 SLC7A11 和 GPX4、促进脂质过氧化和降低线粒体膜电位来破坏细胞内氧化还原稳态，与铁死亡诱导一致。同时，细胞内二硫键应激的生化证据，包括半胱氨酸水平降低，以及二硫苏糖醇的部分拯救和显着的F-肌动蛋白破坏，支持二硫键下垂的参与。在MC38荷瘤小鼠中，Fmoc-S-S纳米颗粒显着抑制肿瘤生长，且没有明显的全身毒性。蛋白质组学分析进一步揭示了与谷胱甘肽代谢、线粒体功能、氧化磷酸化和细胞骨架组织相关途径的协调失调。总之，这项工作提出了一种自组装肽生物材料，该材料将纳米结构形成、肿瘤递送以及铁死亡和二硫下垂的双重诱导集成在单个无载体系统中，为氧化还原导向的癌症治疗提供了新策略。</w:t>
      </w:r>
    </w:p>
    <w:p>
      <w:pPr>
        <w:spacing w:before="0" w:after="200" w:lineRule="auto" w:line="276"/>
      </w:pPr>
      <w:r>
        <w:rPr>
          <w:b/>
        </w:rPr>
        <w:t xml:space="preserve">Abstract (EN): </w:t>
      </w:r>
      <w:r>
        <w:t>Carrier-free nanomedicines offer a promising strategy to simplify formulation while maximizing therapeutic function. Here, we report a disulfide-containing self-assembling peptide, Fmoc-Cys(StBu)-Phe-Phe-Tyr-Lys-Cys(StBu) (Fmoc-S-S), as a minimalist nanomedicine for dual redox cancer therapy. Fmoc-S-S spontaneously formed uniform spherical nanoparticles with favorable hemocompatibility, glutathione-responsive structural transformation, and enhanced tumor accumulation in vivo. Mechanistically, Fmoc-S-S disrupted intracellular redox homeostasis by depleting glutathione, altering the NADP+/NADPH balance, suppressing SLC7A11 and GPX4, promoting lipid peroxidation, and reducing mitochondrial membrane potential, consistent with ferroptosis induction. Meanwhile, biochemical evidence of intracellular disulfide stress, including decreased cysteine levels, together with partial rescue by dithiothreitol and marked F-actin disruption, supported the involvement of disulfidptosis. In MC38 tumor-bearing mice, Fmoc-S-S nanoparticles significantly inhibited tumor growth without obvious systemic toxicity. Proteomic analysis further revealed coordinated dysregulation of pathways associated with glutathione metabolism, mitochondrial function, oxidative phosphorylation, and cytoskeletal organization. Together, this work presents a self-assembled peptide biomaterial that integrates nanostructure formation, tumor delivery, and dual induction of ferroptosis and disulfidptosis within a single carrier-free system, providing a new strategy for redox-directed cancer therapy.</w:t>
      </w:r>
    </w:p>
    <w:p>
      <w:pPr>
        <w:spacing w:before="120" w:after="120"/>
      </w:pPr>
      <w:r>
        <w:rPr>
          <w:sz w:val="18"/>
        </w:rPr>
        <w:t>——————————————————————————————————————————————————————————————————————</w:t>
      </w:r>
    </w:p>
    <w:p>
      <w:pPr>
        <w:spacing w:before="160" w:after="40" w:line="240" w:lineRule="auto"/>
      </w:pPr>
      <w:r>
        <w:rPr>
          <w:b/>
        </w:rPr>
        <w:t xml:space="preserve">[390] </w:t>
      </w:r>
      <w:hyperlink r:id="rId1258">
        <w:r>
          <w:rPr>
            <w:color w:val="1155CC"/>
            <w:u w:val="single"/>
          </w:rPr>
          <w:t>从地球上发现的最暗的行星一直隐藏在众目睽睽之下</w:t>
        </w:r>
      </w:hyperlink>
    </w:p>
    <w:p>
      <w:pPr>
        <w:spacing w:before="0" w:after="80"/>
      </w:pPr>
      <w:r>
        <w:rPr>
          <w:i/>
          <w:sz w:val="20"/>
        </w:rPr>
        <w:t>EN: Faintest planet ever spotted from Earth has been hiding in plain sight</w:t>
      </w:r>
    </w:p>
    <w:p>
      <w:pPr>
        <w:spacing w:before="0" w:after="120"/>
      </w:pPr>
      <w:r>
        <w:rPr>
          <w:b/>
        </w:rPr>
        <w:t xml:space="preserve">Source: </w:t>
      </w:r>
      <w:r>
        <w:t>Nature</w:t>
      </w:r>
      <w:r>
        <w:t xml:space="preserve">    </w:t>
      </w:r>
      <w:r>
        <w:rPr>
          <w:b/>
        </w:rPr>
        <w:t xml:space="preserve">Pub date: </w:t>
      </w:r>
      <w:r>
        <w:t>2026-07-21 00:00:00+00:00</w:t>
      </w:r>
      <w:r>
        <w:t xml:space="preserve">    </w:t>
      </w:r>
      <w:r>
        <w:rPr>
          <w:b/>
        </w:rPr>
        <w:t xml:space="preserve">DOI: </w:t>
      </w:r>
      <w:hyperlink r:id="rId1259">
        <w:r>
          <w:rPr>
            <w:color w:val="1155CC"/>
            <w:u w:val="single"/>
          </w:rPr>
          <w:t>10.1038/d41586-026-02210-3</w:t>
        </w:r>
      </w:hyperlink>
    </w:p>
    <w:p>
      <w:pPr>
        <w:spacing w:before="0" w:after="120"/>
      </w:pPr>
      <w:r>
        <w:rPr>
          <w:b/>
        </w:rPr>
        <w:t xml:space="preserve">Notes: </w:t>
      </w:r>
      <w:r>
        <w:t>abstract_source=rss_nature</w:t>
      </w:r>
    </w:p>
    <w:p>
      <w:pPr>
        <w:spacing w:before="0" w:after="80" w:lineRule="auto" w:line="276"/>
      </w:pPr>
      <w:r>
        <w:rPr>
          <w:b/>
        </w:rPr>
        <w:t xml:space="preserve">摘要（ZH）: </w:t>
      </w:r>
      <w:r>
        <w:t>用于发现名为 Beta Pictoris d 系外行星的方法可能会揭示其他非常暗淡的系外行星。</w:t>
      </w:r>
    </w:p>
    <w:p>
      <w:pPr>
        <w:spacing w:before="0" w:after="200" w:lineRule="auto" w:line="276"/>
      </w:pPr>
      <w:r>
        <w:rPr>
          <w:b/>
        </w:rPr>
        <w:t xml:space="preserve">Abstract (EN): </w:t>
      </w:r>
      <w:r>
        <w:t>Method used to discover an exoplanet called Beta Pictoris d might reveal other very dim exoplanets.</w:t>
      </w:r>
    </w:p>
    <w:p>
      <w:pPr>
        <w:spacing w:before="120" w:after="120"/>
      </w:pPr>
      <w:r>
        <w:rPr>
          <w:sz w:val="18"/>
        </w:rPr>
        <w:t>——————————————————————————————————————————————————————————————————————</w:t>
      </w:r>
    </w:p>
    <w:p>
      <w:pPr>
        <w:spacing w:before="160" w:after="40" w:line="240" w:lineRule="auto"/>
      </w:pPr>
      <w:r>
        <w:rPr>
          <w:b/>
        </w:rPr>
        <w:t xml:space="preserve">[391] </w:t>
      </w:r>
      <w:hyperlink r:id="rId1260">
        <w:r>
          <w:rPr>
            <w:color w:val="1155CC"/>
            <w:u w:val="single"/>
          </w:rPr>
          <w:t>茚并茚并二苯并噻吩双自由基中的自旋振动耦合</w:t>
        </w:r>
      </w:hyperlink>
    </w:p>
    <w:p>
      <w:pPr>
        <w:spacing w:before="0" w:after="80"/>
      </w:pPr>
      <w:r>
        <w:rPr>
          <w:i/>
          <w:sz w:val="20"/>
        </w:rPr>
        <w:t>EN: Spin-Vibronic Coupling in Indenoindenodibenzothiophene Diradicaloids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261">
        <w:r>
          <w:rPr>
            <w:color w:val="1155CC"/>
            <w:u w:val="single"/>
          </w:rPr>
          <w:t>10.1021/jacs.6c03953</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部分链接已复制！了解分子结构如何控制有机双自由基中的光诱导自旋演化对于自旋响应分子材料的合理设计至关重要。在这里，我们使用变温稳态和瞬态吸收光谱研究了顺式和反式茚并二苯并噻吩 ( IIDBT ) 双自由基的温度依赖性激发态弛豫动力学。高能非前沿轨道 π-π 跃迁吸收和低能前沿轨道跃迁吸收中的电子振动级数一方面促使电子激发与分子振动之​​间的强耦合。在超快光谱的帮助下，我们确定了多步激发态弛豫途径，包括低能或高能激发后的“热”单重激发态、混合电子和自旋特征的中间态以及长寿命的三重激发态。值得注意的是，IIDBT双基类中的系间跨越（ISC）是通过振动激活的自旋轨道耦合实现的，其中自旋振动耦合增强了沿核坐标的单重态-三重态混合，从而导致单重态和三重态激发态之间快速有效的相互转换。还强调了对电子振动耦合强度和自旋演化的分子控制。这项工作在有机双自由基中的分子振动和自旋依赖性激发态动力学之间建立了清晰的实验联系，为理解和控制提供了一个通用框架。</w:t>
      </w:r>
    </w:p>
    <w:p>
      <w:pPr>
        <w:spacing w:before="0" w:after="200" w:lineRule="auto" w:line="276"/>
      </w:pPr>
      <w:r>
        <w:rPr>
          <w:b/>
        </w:rPr>
        <w:t xml:space="preserve">Abstract (EN): </w:t>
      </w:r>
      <w:r>
        <w:t>Click to copy section link Section link copied! Understanding how molecular structure governs photoinduced spin evolution in organic diradicals is essential for the rational design of spin-responsive molecular materials. Here, we investigate temperature-dependent excited-state relaxation dynamics of syn - and anti -indenoindenodibenzothiophene ( IIDBT ) diradicaloids using variable-temperature steady-state and transient absorption spectroscopies. Vibronic progressions in the high-energy, nonfrontier-orbital π–π transition absorptions and low-energy frontier-orbital transition absorptions prompt strong couplings between electronic excitation, on one hand, and molecular vibrations, on the other hand. With the help of ultrafast spectroscopy, we identified multistep excited-state relaxation pathways including a “hot” singlet excited state, an intermediate state of mixed electronic and spin character, and a long-lived triplet excited state, following either low- or high-energy excitations. Notably, intersystem crossing (ISC) in IIDBT diradicaloids is enabled by vibrationally activated spin–orbit coupling, in which spin-vibronic coupling enhances singlet–triplet mixing along nuclear coordinates, leading to a fast and efficient interconversion between singlet and triplet excited states. Molecular control over both the vibronic coupling strength and spin evolution is also emphasized. This work establishes a clear experimental link between molecular vibration and spin-dependent excited-state dynamics in organic diradicals, providing a general framework for understanding and controlling ISC in open-shell organic systems. ACS Publications © 2026 American Chemical Society</w:t>
      </w:r>
    </w:p>
    <w:p>
      <w:pPr>
        <w:spacing w:before="120" w:after="120"/>
      </w:pPr>
      <w:r>
        <w:rPr>
          <w:sz w:val="18"/>
        </w:rPr>
        <w:t>——————————————————————————————————————————————————————————————————————</w:t>
      </w:r>
    </w:p>
    <w:p>
      <w:pPr>
        <w:spacing w:before="160" w:after="40" w:line="240" w:lineRule="auto"/>
      </w:pPr>
      <w:r>
        <w:rPr>
          <w:b/>
        </w:rPr>
        <w:t xml:space="preserve">[392] </w:t>
      </w:r>
      <w:hyperlink r:id="rId1262">
        <w:r>
          <w:rPr>
            <w:color w:val="1155CC"/>
            <w:u w:val="single"/>
          </w:rPr>
          <w:t>生命系统中带负电的蛋白质侧链的生物正交调节</w:t>
        </w:r>
      </w:hyperlink>
    </w:p>
    <w:p>
      <w:pPr>
        <w:spacing w:before="0" w:after="80"/>
      </w:pPr>
      <w:r>
        <w:rPr>
          <w:i/>
          <w:sz w:val="20"/>
        </w:rPr>
        <w:t>EN: Bioorthogonal Regulation of Negatively Charged Protein Side Chains in Living Systems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263">
        <w:r>
          <w:rPr>
            <w:color w:val="1155CC"/>
            <w:u w:val="single"/>
          </w:rPr>
          <w:t>10.1021/jacs.6c07245</w:t>
        </w:r>
      </w:hyperlink>
    </w:p>
    <w:p>
      <w:pPr>
        <w:spacing w:before="0" w:after="120"/>
      </w:pPr>
      <w:r>
        <w:rPr>
          <w:b/>
        </w:rPr>
        <w:t xml:space="preserve">Notes: </w:t>
      </w:r>
      <w:r>
        <w:t>abstract_source=pubmed</w:t>
      </w:r>
    </w:p>
    <w:p>
      <w:pPr>
        <w:spacing w:before="0" w:after="80" w:lineRule="auto" w:line="276"/>
      </w:pPr>
      <w:r>
        <w:rPr>
          <w:b/>
        </w:rPr>
        <w:t xml:space="preserve">摘要（ZH）: </w:t>
      </w:r>
      <w:r>
        <w:t>带负电的氨基酸侧链是蛋白质结构和功能的重要决定因素，但它们在生命系统中的精确时间调节仍然具有挑战性。尽管将遗传密码扩展策略与生物正交脱腐反应相结合已经能够对各种残基进行条件控制，但带负电的天冬氨酸和谷氨酸侧链的调节主要依赖于光触发的光脱腐，而补充化学脱腐方法对于涉及有限光穿透或潜在光损伤问题的应用仍然有限。在这里，我们通过计算引导的分子设计和定向进化的结合开发了对叠氮基天冬氨酸酯（PABD），建立了一种小分子触发的生物正交方法，用于跨不同生物环境的负电荷的位点特异性调节。 PABD 介导的解降解可在生理条件下在分子、细胞和生物体水平上有效且无痕地恢复天然天冬氨酸侧链。利用这种策略，我们证明了哺乳动物细胞中 Cas9 介导的基因组编辑和 ALKBH1 依赖性 RNA 表观遗传修饰的化学调节，甚至是活体动物中酶的受控激活。这项工作提供了一个可推广的生物正交平台，用于操纵带负电的蛋白质侧链，为复杂生物环境中的功能获得研究提供了多功能化学工具。</w:t>
      </w:r>
    </w:p>
    <w:p>
      <w:pPr>
        <w:spacing w:before="0" w:after="200" w:lineRule="auto" w:line="276"/>
      </w:pPr>
      <w:r>
        <w:rPr>
          <w:b/>
        </w:rPr>
        <w:t xml:space="preserve">Abstract (EN): </w:t>
      </w:r>
      <w:r>
        <w:t>Negatively charged amino acid side chains are essential determinants of protein structure and function, yet their precise temporal regulation in living systems remains challenging. Although coupling the genetic code expansion strategy with bioorthogonal decaging reaction has enabled conditional control over various residues, the regulation of negatively charged aspartic acid and glutamic acid side chains has primarily relied on light-triggered photodecaging, while complementary chemical-decaging methods remain limited for applications involving limited light penetration or concerns regarding potential photodamage. Here, we developed para-azidobenzyl aspartate (PABD) through the combination of computationally guided molecular design and directed evolution, establishing a small molecule-triggered, bioorthogonal approach for site-specific regulation of negative charges across diverse biological contexts. PABD-mediated decaging provides efficient and traceless restoration of native aspartate side chains under physiological conditions at molecular, cellular, and organismal levels. Using this strategy, we demonstrate chemical regulation of Cas9-mediated genome editing and ALKBH1-dependent RNA epigenetic modification in mammalian cells, and even the controlled activation of an enzyme in live animals. This work provides a generalizable bioorthogonal platform for manipulating negatively charged protein side chains, offering a versatile chemical tool for gain-of-function studies in complex biological environments.</w:t>
      </w:r>
    </w:p>
    <w:p>
      <w:pPr>
        <w:spacing w:before="120" w:after="120"/>
      </w:pPr>
      <w:r>
        <w:rPr>
          <w:sz w:val="18"/>
        </w:rPr>
        <w:t>——————————————————————————————————————————————————————————————————————</w:t>
      </w:r>
    </w:p>
    <w:p>
      <w:pPr>
        <w:spacing w:before="160" w:after="40" w:line="240" w:lineRule="auto"/>
      </w:pPr>
      <w:r>
        <w:rPr>
          <w:b/>
        </w:rPr>
        <w:t xml:space="preserve">[393] </w:t>
      </w:r>
      <w:hyperlink r:id="rId1264">
        <w:r>
          <w:rPr>
            <w:color w:val="1155CC"/>
            <w:u w:val="single"/>
          </w:rPr>
          <w:t>具有不同性能的氨基酸基聚醚酰胺的位点选择性三模聚合</w:t>
        </w:r>
      </w:hyperlink>
    </w:p>
    <w:p>
      <w:pPr>
        <w:spacing w:before="0" w:after="80"/>
      </w:pPr>
      <w:r>
        <w:rPr>
          <w:i/>
          <w:sz w:val="20"/>
        </w:rPr>
        <w:t>EN: Site-Selective Trimodular Polymerization to Amino Acid-Based Poly(ether amide)s with Divergent Properties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265">
        <w:r>
          <w:rPr>
            <w:color w:val="1155CC"/>
            <w:u w:val="single"/>
          </w:rPr>
          <w:t>10.1021/jacs.6c09368</w:t>
        </w:r>
      </w:hyperlink>
    </w:p>
    <w:p>
      <w:pPr>
        <w:spacing w:before="0" w:after="120"/>
      </w:pPr>
      <w:r>
        <w:rPr>
          <w:b/>
        </w:rPr>
        <w:t xml:space="preserve">Notes: </w:t>
      </w:r>
      <w:r>
        <w:t>abstract_source=pubmed</w:t>
      </w:r>
    </w:p>
    <w:p>
      <w:pPr>
        <w:spacing w:before="0" w:after="80" w:lineRule="auto" w:line="276"/>
      </w:pPr>
      <w:r>
        <w:rPr>
          <w:b/>
        </w:rPr>
        <w:t xml:space="preserve">摘要（ZH）: </w:t>
      </w:r>
      <w:r>
        <w:t>酰胺基团普遍存在于天然和合成聚合物中，并赋予重要的生理和物理化学性质。传统的主链酰胺聚合物（聚酰胺）通常依赖于恶劣的条件或高反应性单体在聚合过程中形成酰胺键。在这里，我们报告了一种温和且原子经济的聚（醚酰胺）（PEA）途径，通过由氨基醇（主要衍生自天然氨基酸）和反应性溶剂γ-丁内酯原位形成的二环氧化合物和带有酰胺的伯二醇的线性步骤聚合。路易斯对（有机）催化剂独特的化学选择性使得伯羟基能够在含有仲/叔羟基和酰胺基的多质子系统中优先活化伯羟基以实现环氧环开环。三模块合成和丰富的起始材料可以很好地用于PEA的结构多样化和性能细化，正如它们在两个不同方向上的高界面性能所展示的那样：（1）对于较亲水的PEA具有广谱蛋白质耐受性，以及（2）对于较疏水的PEA，即使经过10次重复使用循环或在液氮温度下，在各种基材上仍具有牢固的粘附力。</w:t>
      </w:r>
    </w:p>
    <w:p>
      <w:pPr>
        <w:spacing w:before="0" w:after="200" w:lineRule="auto" w:line="276"/>
      </w:pPr>
      <w:r>
        <w:rPr>
          <w:b/>
        </w:rPr>
        <w:t xml:space="preserve">Abstract (EN): </w:t>
      </w:r>
      <w:r>
        <w:t>Amido groups are ubiquitous in natural and synthetic polymers and impart critical physiological and physicochemical properties. Conventional access to backbone-amido polymers, polyamides, generally relies on harsh conditions or highly reactive monomers to form amide bonds during polymerization. Here, we report a mild and atom-economic pathway to poly(ether amide)s (PEAs) through the linear step polymerization of diepoxides and amide-bearing primary diols formed in situ by amino alcohols, mostly derived from natural amino acids, and a reactive solvent, γ-butyrolactone. The unique chemoselectivity of the Lewis pair (organo)catalyst enables preferential activation of primary hydroxyl groups toward epoxy ring opening in this multiprotonic system containing secondary/tertiary hydroxyl and amido groups. The trimodular synthesis and abundant starting materials can be well-utilized for structural diversification and property refinement of PEAs, as showcased by their high interfacial performance in two divergent directions: (1) broad-spectrum protein resistance for the more hydrophilic ones, and (2) robust adhesion on various substrates even after 10 reuse cycles or at liquid nitrogen temperature, for the more hydrophobic ones.</w:t>
      </w:r>
    </w:p>
    <w:p>
      <w:pPr>
        <w:spacing w:before="120" w:after="120"/>
      </w:pPr>
      <w:r>
        <w:rPr>
          <w:sz w:val="18"/>
        </w:rPr>
        <w:t>——————————————————————————————————————————————————————————————————————</w:t>
      </w:r>
    </w:p>
    <w:p>
      <w:pPr>
        <w:spacing w:before="160" w:after="40" w:line="240" w:lineRule="auto"/>
      </w:pPr>
      <w:r>
        <w:rPr>
          <w:b/>
        </w:rPr>
        <w:t xml:space="preserve">[394] </w:t>
      </w:r>
      <w:hyperlink r:id="rId1266">
        <w:r>
          <w:rPr>
            <w:color w:val="1155CC"/>
            <w:u w:val="single"/>
          </w:rPr>
          <w:t>通过 C(sp 3 )–N 键断裂的光驱动脱氨正式亲核取代：烷基胺的亲核转氨基作用</w:t>
        </w:r>
      </w:hyperlink>
    </w:p>
    <w:p>
      <w:pPr>
        <w:spacing w:before="0" w:after="80"/>
      </w:pPr>
      <w:r>
        <w:rPr>
          <w:i/>
          <w:sz w:val="20"/>
        </w:rPr>
        <w:t>EN: Light-Driven Deaminative Formal Nucleophilic Substitution Via C(sp 3 )–N Bond Cleavage: Nucleophilic Transamination of Alkyl Amines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267">
        <w:r>
          <w:rPr>
            <w:color w:val="1155CC"/>
            <w:u w:val="single"/>
          </w:rPr>
          <w:t>10.1021/jacs.6c07828</w:t>
        </w:r>
      </w:hyperlink>
    </w:p>
    <w:p>
      <w:pPr>
        <w:spacing w:before="0" w:after="120"/>
      </w:pPr>
      <w:r>
        <w:rPr>
          <w:b/>
        </w:rPr>
        <w:t xml:space="preserve">Notes: </w:t>
      </w:r>
      <w:r>
        <w:t>abstract_source=pubmed</w:t>
      </w:r>
    </w:p>
    <w:p>
      <w:pPr>
        <w:spacing w:before="0" w:after="80" w:lineRule="auto" w:line="276"/>
      </w:pPr>
      <w:r>
        <w:rPr>
          <w:b/>
        </w:rPr>
        <w:t xml:space="preserve">摘要（ZH）: </w:t>
      </w:r>
      <w:r>
        <w:t>在此，我们报告了一种光氧化还原催化氨基转移策略，该策略能够实现胺与胺的直接互变，而无需预功能化。该反应通过极性反转途径进行，其中一种胺转化为与第二种胺亲核试剂偶联的亲电亚胺中间体。该方法适用于苄胺、未活化胺和叔胺。机理研究支持亚胺物种的中介作用，并揭示选择性受两个关键原则控制：反应方向性由相对亲核性控制，而 C(sp3)-N 键断裂的位点选择性由电子活化或空间可达性决定。这项工作建立了天然胺的直接催化转氨基策略，在复杂和生物活性分子的后期修饰中具有潜在的应用。</w:t>
      </w:r>
    </w:p>
    <w:p>
      <w:pPr>
        <w:spacing w:before="0" w:after="200" w:lineRule="auto" w:line="276"/>
      </w:pPr>
      <w:r>
        <w:rPr>
          <w:b/>
        </w:rPr>
        <w:t xml:space="preserve">Abstract (EN): </w:t>
      </w:r>
      <w:r>
        <w:t>Herein, we report a photoredox-enabled catalytic transamination strategy that enables direct amine-to-amine interconversion without prefunctionalization. The reaction proceeds via a polarity inversion pathway, in which one amine is converted into an electrophilic iminium intermediate that couples with a second amine nucleophile. The method exhibits broad scope across benzylic, unactivated, and tertiary amines. Mechanistic studies support the intermediacy of iminium species and reveal that selectivity is governed by two key principles: reaction directionality is controlled by relative nucleophilicity, while site selectivity in C(sp3)-N bond cleavage is dictated by electronic activation or steric accessibility. This work establishes a direct catalytic transamination strategy for native amines, with potential applications in the late-stage modification of complex and bioactive molecules.</w:t>
      </w:r>
    </w:p>
    <w:p>
      <w:pPr>
        <w:spacing w:before="120" w:after="120"/>
      </w:pPr>
      <w:r>
        <w:rPr>
          <w:sz w:val="18"/>
        </w:rPr>
        <w:t>——————————————————————————————————————————————————————————————————————</w:t>
      </w:r>
    </w:p>
    <w:p>
      <w:pPr>
        <w:spacing w:before="160" w:after="40" w:line="240" w:lineRule="auto"/>
      </w:pPr>
      <w:r>
        <w:rPr>
          <w:b/>
        </w:rPr>
        <w:t xml:space="preserve">[395] </w:t>
      </w:r>
      <w:hyperlink r:id="rId1268">
        <w:r>
          <w:rPr>
            <w:color w:val="1155CC"/>
            <w:u w:val="single"/>
          </w:rPr>
          <w:t>用于骨再生和光热肿瘤治疗的多功能 Nb 2 C MXene 增强型 3D 多孔 Si 3 N 4 支架</w:t>
        </w:r>
      </w:hyperlink>
    </w:p>
    <w:p>
      <w:pPr>
        <w:spacing w:before="0" w:after="80"/>
      </w:pPr>
      <w:r>
        <w:rPr>
          <w:i/>
          <w:sz w:val="20"/>
        </w:rPr>
        <w:t>EN: Multifunctional Nb 2 C MXene-Enhanced 3D Porous Si 3 N 4 Scaffolds for Bone Regeneration and Photothermal Tumor Therapy</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269">
        <w:r>
          <w:rPr>
            <w:color w:val="1155CC"/>
            <w:u w:val="single"/>
          </w:rPr>
          <w:t>10.1021/acsami.6c09285</w:t>
        </w:r>
      </w:hyperlink>
    </w:p>
    <w:p>
      <w:pPr>
        <w:spacing w:before="0" w:after="120"/>
      </w:pPr>
      <w:r>
        <w:rPr>
          <w:b/>
        </w:rPr>
        <w:t xml:space="preserve">Notes: </w:t>
      </w:r>
      <w:r>
        <w:t>abstract_source=pubmed</w:t>
      </w:r>
    </w:p>
    <w:p>
      <w:pPr>
        <w:spacing w:before="0" w:after="80" w:lineRule="auto" w:line="276"/>
      </w:pPr>
      <w:r>
        <w:rPr>
          <w:b/>
        </w:rPr>
        <w:t xml:space="preserve">摘要（ZH）: </w:t>
      </w:r>
      <w:r>
        <w:t>骨肿瘤治疗通常涉及手术切除，这可能导致严重的骨缺损，需要结构性植入物来恢复功能和美观。然而，开发能够准确消除残留肿瘤细胞同时驱动骨缺损重建的支架仍然是一个重大的临床挑战。为了满足这一双重需求，我们设计了一种仿生多功能多孔氮化硅 (Si3N4) 支架，与超薄碳化铌 (Nb2C) MXene 纳米片集成。具体来说，这种 Nb2C MXene 涂层多孔 Si3N4 支架 (MPSNS) 是通过将 Nb2C MXene 纳米片附着到三维 (3D) 打印的 Si3N4 支架上而创建的，从而改变其表面理化性质，改善其生物相互作用，并实现靶向肿瘤消融。该支架具有高度稳定的亲水性生物界面，具有优异的生物相容性和卓越的骨诱导活性。此外，Nb2C MXene 纳米涂层的光热转换特性能够实现靶向肿瘤消融和抑制，同时促进骨缺损修复。总的来说，这项综合研究凸显了将 Nb2C MXene 纳米片与 3D 打印 Si3N4 陶瓷相结合的变革潜力。通过表现出卓越的机械完整性、生物相容性、成骨性能和光热杀肿瘤功效，MPSNS 为再生医学建立了一个有前景的先进生物材料平台。</w:t>
      </w:r>
    </w:p>
    <w:p>
      <w:pPr>
        <w:spacing w:before="0" w:after="200" w:lineRule="auto" w:line="276"/>
      </w:pPr>
      <w:r>
        <w:rPr>
          <w:b/>
        </w:rPr>
        <w:t xml:space="preserve">Abstract (EN): </w:t>
      </w:r>
      <w:r>
        <w:t>Bone tumor treatment often involves surgical resection, which can lead to critical bone defects requiring structural implants for functional and aesthetic restoration. However, the development of scaffolds capable of accurately eliminating residual tumor cells while simultaneously driving bone defect reconstruction remains a significant clinical challenge. To address this dual need, we engineered a biomimetic, multifunctional porous silicon nitride (Si3N4) scaffold integrated with ultrathin niobium carbide (Nb2C) MXene nanosheets. Specifically, this Nb2C MXene-coated porous Si3N4 scaffold (MPSNS) was created by attaching Nb2C MXene nanosheets onto three dimensional (3D)-printed Si3N4 scaffolds, thereby altering its surface physicochemical properties, improving its biological interactions, and enabling targeted tumor ablation. This scaffold exhibits a highly stable, hydrophilic bio-interface that confers excellent biocompatibility and superior osteoinductive activity. Furthermore, the photothermal conversion properties of the Nb2C MXene nanocoating enable targeted tumor ablation and suppression while concurrently promoting bone defect repair. Collectively, this comprehensive study highlights the transformative potential of integrating Nb2C MXene nanosheets with 3D-printed Si3N4 ceramics. By exhibiting superior mechanical integrity, biocompatibility, osteogenic performance, and photothermal tumoricidal efficacy, the MPSNS establishes a promising advanced biomaterial platform for regenerative medicine.</w:t>
      </w:r>
    </w:p>
    <w:p>
      <w:pPr>
        <w:spacing w:before="120" w:after="120"/>
      </w:pPr>
      <w:r>
        <w:rPr>
          <w:sz w:val="18"/>
        </w:rPr>
        <w:t>——————————————————————————————————————————————————————————————————————</w:t>
      </w:r>
    </w:p>
    <w:p>
      <w:pPr>
        <w:spacing w:before="160" w:after="40" w:line="240" w:lineRule="auto"/>
      </w:pPr>
      <w:r>
        <w:rPr>
          <w:b/>
        </w:rPr>
        <w:t xml:space="preserve">[396] </w:t>
      </w:r>
      <w:hyperlink r:id="rId1270">
        <w:r>
          <w:rPr>
            <w:color w:val="1155CC"/>
            <w:u w:val="single"/>
          </w:rPr>
          <w:t>不要让人工智能偷走所有的快乐：科学家不会放弃聊天机器人</w:t>
        </w:r>
      </w:hyperlink>
    </w:p>
    <w:p>
      <w:pPr>
        <w:spacing w:before="0" w:after="80"/>
      </w:pPr>
      <w:r>
        <w:rPr>
          <w:i/>
          <w:sz w:val="20"/>
        </w:rPr>
        <w:t>EN: Don’t let AI steal all the joy: what scientists won’t give up to chatbots</w:t>
      </w:r>
    </w:p>
    <w:p>
      <w:pPr>
        <w:spacing w:before="0" w:after="120"/>
      </w:pPr>
      <w:r>
        <w:rPr>
          <w:b/>
        </w:rPr>
        <w:t xml:space="preserve">Source: </w:t>
      </w:r>
      <w:r>
        <w:t>Nature</w:t>
      </w:r>
      <w:r>
        <w:t xml:space="preserve">    </w:t>
      </w:r>
      <w:r>
        <w:rPr>
          <w:b/>
        </w:rPr>
        <w:t xml:space="preserve">Pub date: </w:t>
      </w:r>
      <w:r>
        <w:t>2026-07-21 00:00:00+00:00</w:t>
      </w:r>
      <w:r>
        <w:t xml:space="preserve">    </w:t>
      </w:r>
      <w:r>
        <w:rPr>
          <w:b/>
        </w:rPr>
        <w:t xml:space="preserve">DOI: </w:t>
      </w:r>
      <w:hyperlink r:id="rId1271">
        <w:r>
          <w:rPr>
            <w:color w:val="1155CC"/>
            <w:u w:val="single"/>
          </w:rPr>
          <w:t>10.1038/d41586-026-02213-0</w:t>
        </w:r>
      </w:hyperlink>
    </w:p>
    <w:p>
      <w:pPr>
        <w:spacing w:before="0" w:after="120"/>
      </w:pPr>
      <w:r>
        <w:rPr>
          <w:b/>
        </w:rPr>
        <w:t xml:space="preserve">Notes: </w:t>
      </w:r>
      <w:r>
        <w:t>abstract_source=rss_nature</w:t>
      </w:r>
    </w:p>
    <w:p>
      <w:pPr>
        <w:spacing w:before="0" w:after="80" w:lineRule="auto" w:line="276"/>
      </w:pPr>
      <w:r>
        <w:rPr>
          <w:b/>
        </w:rPr>
        <w:t xml:space="preserve">摘要（ZH）: </w:t>
      </w:r>
      <w:r>
        <w:t>《自然》杂志询问《自然简报》的读者他们喜欢自己的工作哪些方面不想放弃。</w:t>
      </w:r>
    </w:p>
    <w:p>
      <w:pPr>
        <w:spacing w:before="0" w:after="200" w:lineRule="auto" w:line="276"/>
      </w:pPr>
      <w:r>
        <w:rPr>
          <w:b/>
        </w:rPr>
        <w:t xml:space="preserve">Abstract (EN): </w:t>
      </w:r>
      <w:r>
        <w:t>Nature asked readers of the Nature Briefing what they like about their job and don’t want to hand over.</w:t>
      </w:r>
    </w:p>
    <w:p>
      <w:pPr>
        <w:spacing w:before="120" w:after="120"/>
      </w:pPr>
      <w:r>
        <w:rPr>
          <w:sz w:val="18"/>
        </w:rPr>
        <w:t>——————————————————————————————————————————————————————————————————————</w:t>
      </w:r>
    </w:p>
    <w:p>
      <w:pPr>
        <w:spacing w:before="160" w:after="40" w:line="240" w:lineRule="auto"/>
      </w:pPr>
      <w:r>
        <w:rPr>
          <w:b/>
        </w:rPr>
        <w:t xml:space="preserve">[397] </w:t>
      </w:r>
      <w:hyperlink r:id="rId1272">
        <w:r>
          <w:rPr>
            <w:color w:val="1155CC"/>
            <w:u w:val="single"/>
          </w:rPr>
          <w:t>氮纳米气泡对的离子调制奥斯特瓦尔德成熟动力学</w:t>
        </w:r>
      </w:hyperlink>
    </w:p>
    <w:p>
      <w:pPr>
        <w:spacing w:before="0" w:after="80"/>
      </w:pPr>
      <w:r>
        <w:rPr>
          <w:i/>
          <w:sz w:val="20"/>
        </w:rPr>
        <w:t>EN: Ion-Modulated Ostwald Ripening Dynamics of Nitrogen Nanobubble Pairs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273">
        <w:r>
          <w:rPr>
            <w:color w:val="1155CC"/>
            <w:u w:val="single"/>
          </w:rPr>
          <w:t>10.1021/jacs.6c08865</w:t>
        </w:r>
      </w:hyperlink>
    </w:p>
    <w:p>
      <w:pPr>
        <w:spacing w:before="0" w:after="120"/>
      </w:pPr>
      <w:r>
        <w:rPr>
          <w:b/>
        </w:rPr>
        <w:t xml:space="preserve">Notes: </w:t>
      </w:r>
      <w:r>
        <w:t>abstract_source=pubmed</w:t>
      </w:r>
    </w:p>
    <w:p>
      <w:pPr>
        <w:spacing w:before="0" w:after="80" w:lineRule="auto" w:line="276"/>
      </w:pPr>
      <w:r>
        <w:rPr>
          <w:b/>
        </w:rPr>
        <w:t xml:space="preserve">摘要（ZH）: </w:t>
      </w:r>
      <w:r>
        <w:t>了解块状纳米气泡的稳定性，特别是电解质离子如何影响其粗化动力学，对于广泛的实际应用具有重要意义，但基本的微观机制仍未完全理解，需要进一步研究。在这项工作中，我们利用机器学习分子动力学模拟，捕获了块状纳米气泡的奥斯特瓦尔德熟化，这与实验观察结果一致，并系统地研究了其在中性、酸性、碱性和盐水条件下的行为。值得注意的是，成熟率呈现出依赖于系统的顺序：酸性&gt;碱性≈纯水&gt;盐水。进一步的分析表明，反离子通过水合和静电效应关键地调节界面水分子和离子的取向排列和氢键。此外，在盐水体系中，Na+和Cl-离子的耦合导致界面附近“平躺”离子对的富集，形成致密的水化层。基于这些界面结构变化如何调节气体扩散以影响气泡成熟速率，我们建立了一种基于焓和熵的相对主导地位的离子调制微观机制。该框架结合了特定离子效应，为在不同环境中观察到的不同成熟率提供了自洽的解释。最终，这些发现将原子界面重组与热力学原理联系起来，为理解原子界面重组提供了全面的物理化学景观。</w:t>
      </w:r>
    </w:p>
    <w:p>
      <w:pPr>
        <w:spacing w:before="0" w:after="200" w:lineRule="auto" w:line="276"/>
      </w:pPr>
      <w:r>
        <w:rPr>
          <w:b/>
        </w:rPr>
        <w:t xml:space="preserve">Abstract (EN): </w:t>
      </w:r>
      <w:r>
        <w:t>Understanding the stability of bulk nanobubbles, especially how electrolyte ions influence their coarsening dynamics, holds significant importance for widespread practical applications, but the fundamental microscopic mechanisms remain not fully understood and warrant further investigation. In this work, using machine-learning molecular dynamics simulations, we captured the Ostwald ripening of bulk nanobubbles, which is consistent with experimental observations, and systematically investigated its behavior under neutral, acidic, alkaline, and saline conditions. Notably, the ripening rates exhibit a system-dependent order: acidic &gt; alkaline ≈ pure water &gt; saline. Further analyses reveal that counterions critically regulate the orientational alignment and hydrogen bonding of interfacial water molecules and ions through hydration and electrostatic effects. Furthermore, in the saline system, the coupling of Na+ and Cl- ions leads to the enrichment of "lying-flat" ion pairs near the interface, forming a dense hydration layer. Based on how these interfacial structural alterations regulate gas diffusion to impact the bubble ripening rate, we established an ion-modulated microscopic mechanism grounded in the relative dominance of enthalpy and entropy. This framework, which incorporates specific-ion effects, provides a self-consistent explanation for the divergent ripening rates observed across various environments. Ultimately, these findings bridge atomistic interfacial restructuring with thermodynamic principles, providing a comprehensive physicochemical landscape for understanding ion-modulated nanobubble coarsening dynamics.</w:t>
      </w:r>
    </w:p>
    <w:p>
      <w:pPr>
        <w:spacing w:before="120" w:after="120"/>
      </w:pPr>
      <w:r>
        <w:rPr>
          <w:sz w:val="18"/>
        </w:rPr>
        <w:t>——————————————————————————————————————————————————————————————————————</w:t>
      </w:r>
    </w:p>
    <w:p>
      <w:pPr>
        <w:spacing w:before="160" w:after="40" w:line="240" w:lineRule="auto"/>
      </w:pPr>
      <w:r>
        <w:rPr>
          <w:b/>
        </w:rPr>
        <w:t xml:space="preserve">[398] </w:t>
      </w:r>
      <w:hyperlink r:id="rId1274">
        <w:r>
          <w:rPr>
            <w:color w:val="1155CC"/>
            <w:u w:val="single"/>
          </w:rPr>
          <w:t>通过合并脱芳香功能化和骨架编辑对苯进行可编程三重功能化</w:t>
        </w:r>
      </w:hyperlink>
    </w:p>
    <w:p>
      <w:pPr>
        <w:spacing w:before="0" w:after="80"/>
      </w:pPr>
      <w:r>
        <w:rPr>
          <w:i/>
          <w:sz w:val="20"/>
        </w:rPr>
        <w:t>EN: Programmable Triple Functionalization of Benzenes by Merging Dearomative Functionalization and Skeletal Editing</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275">
        <w:r>
          <w:rPr>
            <w:color w:val="1155CC"/>
            <w:u w:val="single"/>
          </w:rPr>
          <w:t>10.1021/jacs.6c11244</w:t>
        </w:r>
      </w:hyperlink>
    </w:p>
    <w:p>
      <w:pPr>
        <w:spacing w:before="0" w:after="120"/>
      </w:pPr>
      <w:r>
        <w:rPr>
          <w:b/>
        </w:rPr>
        <w:t xml:space="preserve">Notes: </w:t>
      </w:r>
      <w:r>
        <w:t>abstract_source=pubmed</w:t>
      </w:r>
    </w:p>
    <w:p>
      <w:pPr>
        <w:spacing w:before="0" w:after="80" w:lineRule="auto" w:line="276"/>
      </w:pPr>
      <w:r>
        <w:rPr>
          <w:b/>
        </w:rPr>
        <w:t xml:space="preserve">摘要（ZH）: </w:t>
      </w:r>
      <w:r>
        <w:t>多取代苯在生物活性分子和功能材料中普遍存在，但从未修饰的苯中直接选择性地构建它们仍然难以捉摸。在此，我们通过将脱芳香功能化与双原子交换相结合，报告了简单芳烃的可编程三重功能化。三个新安装的取代基中的每一个都可以独立改变，并且区域选择性可预见地受到电子效应的控制。无需预先安装活化或导向基团，即可耐受多种芳烃、亲核试剂和亲二烯试剂，从而有效地递送三至六取代的苯衍生物。通过简洁合成新型内酯型六苯并晕烯纳米石墨烯，该纳米石墨烯表现出较大的斯托克斯位移和增强的荧光，进一步凸显了其实用性。关键中间体的分离和同位素标记实验支持涉及脱芳香官能化、环加成和环化回复的级联反应。通过克服预功能化手柄的长期限制，这项工作为药物化学和材料科学感兴趣的密集功能化领域提供了一种经济且可编程的1,2,3-三功能化平台。</w:t>
      </w:r>
    </w:p>
    <w:p>
      <w:pPr>
        <w:spacing w:before="0" w:after="200" w:lineRule="auto" w:line="276"/>
      </w:pPr>
      <w:r>
        <w:rPr>
          <w:b/>
        </w:rPr>
        <w:t xml:space="preserve">Abstract (EN): </w:t>
      </w:r>
      <w:r>
        <w:t>Polysubstituted benzenes are ubiquitous in bioactive molecules and functional materials, yet their direct and selective construction from unadorned benzene remains elusive. Herein, we report a programmable triple functionalization of simple arenes by merging dearomative functionalization with double-atom swap. Each of the three newly installed substituents can be altered independently, and the regioselectivity is predictably governed by electronic effects. Diverse arenes, nucleophiles, and dienophiles are tolerated without preinstalled activating or directing groups, efficiently delivering tri- to hexa-substituted benzene derivatives. Its utility is further highlighted by the concise synthesis of a novel lactone-type hexabenzocoronene nanographene that exhibits a large Stokes shift and enhanced fluorescence. Isolation of key intermediates and isotopic labeling experiments support a cascade involving dearomative functionalization, cycloaddition, and cycloreversion. By overcoming the long-standing limitation of prefunctionalized handles, this work provides a step-economic and programmable 1,2,3-trifunctionalization platform for densely functionalized arenes of interest to medicinal chemistry and materials science.</w:t>
      </w:r>
    </w:p>
    <w:p>
      <w:pPr>
        <w:spacing w:before="120" w:after="120"/>
      </w:pPr>
      <w:r>
        <w:rPr>
          <w:sz w:val="18"/>
        </w:rPr>
        <w:t>——————————————————————————————————————————————————————————————————————</w:t>
      </w:r>
    </w:p>
    <w:p>
      <w:pPr>
        <w:spacing w:before="160" w:after="40" w:line="240" w:lineRule="auto"/>
      </w:pPr>
      <w:r>
        <w:rPr>
          <w:b/>
        </w:rPr>
        <w:t xml:space="preserve">[399] </w:t>
      </w:r>
      <w:hyperlink r:id="rId1276">
        <w:r>
          <w:rPr>
            <w:color w:val="1155CC"/>
            <w:u w:val="single"/>
          </w:rPr>
          <w:t>通过磁记录离子迁移进行电和光伏开关</w:t>
        </w:r>
      </w:hyperlink>
    </w:p>
    <w:p>
      <w:pPr>
        <w:spacing w:before="0" w:after="80"/>
      </w:pPr>
      <w:r>
        <w:rPr>
          <w:i/>
          <w:sz w:val="20"/>
        </w:rPr>
        <w:t>EN: Electric and Photovoltaic Switching by Ionic Migration with a Magnetic Record</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277">
        <w:r>
          <w:rPr>
            <w:color w:val="1155CC"/>
            <w:u w:val="single"/>
          </w:rPr>
          <w:t>10.1021/acsami.6c02910</w:t>
        </w:r>
      </w:hyperlink>
    </w:p>
    <w:p>
      <w:pPr>
        <w:spacing w:before="0" w:after="120"/>
      </w:pPr>
      <w:r>
        <w:rPr>
          <w:b/>
        </w:rPr>
        <w:t xml:space="preserve">Notes: </w:t>
      </w:r>
      <w:r>
        <w:t>abstract_source=pubmed</w:t>
      </w:r>
    </w:p>
    <w:p>
      <w:pPr>
        <w:spacing w:before="0" w:after="80" w:lineRule="auto" w:line="276"/>
      </w:pPr>
      <w:r>
        <w:rPr>
          <w:b/>
        </w:rPr>
        <w:t xml:space="preserve">摘要（ZH）: </w:t>
      </w:r>
      <w:r>
        <w:t>将光学和磁性功能组合到忆阻器中是将应用扩展到图像识别、信息存储和低功耗处理的一个有吸引力的选择。在这里，我们制造了铁磁-富勒烯-锰氧化物结构，该结构表现出磁滞、非线性 I-V 特性和光伏效应，其光电流取决于磁化强度和光偏振矢量的相对排列。可逆的、电压诱导的氧从氧化锰迁移到分子层中，使器件的电阻率降低了几个数量级，消除了非线性传输，并淬灭了光伏响应，从而产生了光敏忆阻器，其中光电流取决于器件的电历史和磁历史。密度泛函理论计算将这些效应的根源归因于费米能级电子结构的变化以及离子迁移时界面偶极子的减少。这些结果为具有光激发、电读出和磁传感功能的单分子级忆阻存储器开辟了研究途径。</w:t>
      </w:r>
    </w:p>
    <w:p>
      <w:pPr>
        <w:spacing w:before="0" w:after="200" w:lineRule="auto" w:line="276"/>
      </w:pPr>
      <w:r>
        <w:rPr>
          <w:b/>
        </w:rPr>
        <w:t xml:space="preserve">Abstract (EN): </w:t>
      </w:r>
      <w:r>
        <w:t>Combining optical and magnetic functionalities into memristors is an attractive option to expand applications into image recognition, information storage, and low power processing. Here, we have fabricated ferromagnetic-fullerene-manganese oxide structures that display a hysteretic, nonlinear I-V characteristic and a photovoltaic effect with a photocurrent dependent on the relative alignment of the magnetization and the light polarization vector. Reversible, voltage-induced oxygen migration from manganese oxide into the molecular layer reduces the resistivity of the device by several orders of magnitude, eliminates the nonlinear transport, and quenches the photovoltaic response, giving rise to an optically sensitive memristor where the photocurrent is dependent on both the electrical and magnetic history of the device. Density functional theory calculations attribute the origin of these effects to changes in the electronic structure at the Fermi level and a reduction of the interface dipole upon ionic migration. These results open research pathways towards single-molecule scale memristive memories with optical excitation, electrical readout and magnetic sensing functionalities.</w:t>
      </w:r>
    </w:p>
    <w:p>
      <w:pPr>
        <w:spacing w:before="120" w:after="120"/>
      </w:pPr>
      <w:r>
        <w:rPr>
          <w:sz w:val="18"/>
        </w:rPr>
        <w:t>——————————————————————————————————————————————————————————————————————</w:t>
      </w:r>
    </w:p>
    <w:p>
      <w:pPr>
        <w:spacing w:before="160" w:after="40" w:line="240" w:lineRule="auto"/>
      </w:pPr>
      <w:r>
        <w:rPr>
          <w:b/>
        </w:rPr>
        <w:t xml:space="preserve">[400] </w:t>
      </w:r>
      <w:hyperlink r:id="rId1278">
        <w:r>
          <w:rPr>
            <w:color w:val="1155CC"/>
            <w:u w:val="single"/>
          </w:rPr>
          <w:t>用于三维细胞培养的明胶甲基丙烯酰 (GelMA) 水凝胶制剂的模型辅助优先级排序</w:t>
        </w:r>
      </w:hyperlink>
    </w:p>
    <w:p>
      <w:pPr>
        <w:spacing w:before="0" w:after="80"/>
      </w:pPr>
      <w:r>
        <w:rPr>
          <w:i/>
          <w:sz w:val="20"/>
        </w:rPr>
        <w:t>EN: Model-Assisted Prioritization of Gelatin Methacryloyl (GelMA) Hydrogel Formulations for Three-Dimensional Cell Culture</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279">
        <w:r>
          <w:rPr>
            <w:color w:val="1155CC"/>
            <w:u w:val="single"/>
          </w:rPr>
          <w:t>10.1021/acsami.6c11606</w:t>
        </w:r>
      </w:hyperlink>
    </w:p>
    <w:p>
      <w:pPr>
        <w:spacing w:before="0" w:after="120"/>
      </w:pPr>
      <w:r>
        <w:rPr>
          <w:b/>
        </w:rPr>
        <w:t xml:space="preserve">Notes: </w:t>
      </w:r>
      <w:r>
        <w:t>abstract_source=pubmed</w:t>
      </w:r>
    </w:p>
    <w:p>
      <w:pPr>
        <w:spacing w:before="0" w:after="80" w:lineRule="auto" w:line="276"/>
      </w:pPr>
      <w:r>
        <w:rPr>
          <w:b/>
        </w:rPr>
        <w:t xml:space="preserve">摘要（ZH）: </w:t>
      </w:r>
      <w:r>
        <w:t>由于力学性能高度可调，甲基丙烯酰明胶 (GelMA) 水凝胶被广泛用于三维 (3D) 细胞培养，而有限的实验采样限制了有效的配方筛选。在这项工作中，我们开发了一种基于 BNN 的建模流程，将具有各种交联参数的 GelMA 水凝胶映射到线性粘弹性模量和非线性临界应力，从而将所有测试的配方分类为低/中/高稳定机械窗口。 C2C12 成肌细胞形态的校准证实，非线性临界应力补充了线性流变参数，以完善细胞相容性水凝胶配方的筛选优先级。随后对原代心肌细胞的验证表明，形态学趋势与预定义的机械窗口相匹配，并且边界公式不明确。我们的研究结果构建了一种有限的优先策略，以在稀疏的实验条件下快速选择 GelMA 组合物，在广泛预测用于不同的组织工程场景之前需要进一步的前瞻性验证。</w:t>
      </w:r>
    </w:p>
    <w:p>
      <w:pPr>
        <w:spacing w:before="0" w:after="200" w:lineRule="auto" w:line="276"/>
      </w:pPr>
      <w:r>
        <w:rPr>
          <w:b/>
        </w:rPr>
        <w:t xml:space="preserve">Abstract (EN): </w:t>
      </w:r>
      <w:r>
        <w:t>Owing to highly tunable mechanics, gelatin methacryloyl (GelMA) hydrogels are widely exploited for three-dimensional (3D) cell culture, whereas limited experimental sampling restricts efficient formulation screening. In this work, we developed a BNN-based modeling pipeline to map GelMA hydrogels with various cross-linking parameters toward linear viscoelastic moduli and nonlinear critical stress, thereby categorizing all tested formulations into low/intermediate/high stable mechanical windows. Calibration on C2C12 myoblast morphologies confirmed that nonlinear critical stress complements linear rheological parameters to refine the screening priority of cell-compatible hydrogel recipes. Subsequent validation with primary cardiomyocytes demonstrated consistent morphological trends matching the predefined mechanical windows, alongside ambiguous boundary formulations. Our findings construct a bounded prioritization strategy to rapidly select GelMA compositions under sparse experimental conditions, with further prospective validations demanded before generalized predictive use for diverse tissue engineering scenarios.</w:t>
      </w:r>
    </w:p>
    <w:p>
      <w:pPr>
        <w:spacing w:before="120" w:after="120"/>
      </w:pPr>
      <w:r>
        <w:rPr>
          <w:sz w:val="18"/>
        </w:rPr>
        <w:t>——————————————————————————————————————————————————————————————————————</w:t>
      </w:r>
    </w:p>
    <w:p>
      <w:pPr>
        <w:spacing w:before="160" w:after="40" w:line="240" w:lineRule="auto"/>
      </w:pPr>
      <w:r>
        <w:rPr>
          <w:b/>
        </w:rPr>
        <w:t xml:space="preserve">[401] </w:t>
      </w:r>
      <w:hyperlink r:id="rId1280">
        <w:r>
          <w:rPr>
            <w:color w:val="1155CC"/>
            <w:u w:val="single"/>
          </w:rPr>
          <w:t>柔性无机纳米纤维：机理、调控策略和评价方法</w:t>
        </w:r>
      </w:hyperlink>
    </w:p>
    <w:p>
      <w:pPr>
        <w:spacing w:before="0" w:after="80"/>
      </w:pPr>
      <w:r>
        <w:rPr>
          <w:i/>
          <w:sz w:val="20"/>
        </w:rPr>
        <w:t>EN: Flexible Inorganic Nanofibers: Mechanisms, Regulation Strategies, and Evaluation Methods</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281">
        <w:r>
          <w:rPr>
            <w:color w:val="1155CC"/>
            <w:u w:val="single"/>
          </w:rPr>
          <w:t>10.1021/acsami.6c07312</w:t>
        </w:r>
      </w:hyperlink>
    </w:p>
    <w:p>
      <w:pPr>
        <w:spacing w:before="0" w:after="120"/>
      </w:pPr>
      <w:r>
        <w:rPr>
          <w:b/>
        </w:rPr>
        <w:t xml:space="preserve">Notes: </w:t>
      </w:r>
      <w:r>
        <w:t>abstract_source=pubmed</w:t>
      </w:r>
    </w:p>
    <w:p>
      <w:pPr>
        <w:spacing w:before="0" w:after="80" w:lineRule="auto" w:line="276"/>
      </w:pPr>
      <w:r>
        <w:rPr>
          <w:b/>
        </w:rPr>
        <w:t xml:space="preserve">摘要（ZH）: </w:t>
      </w:r>
      <w:r>
        <w:t>柔性无机纳米纤维利用无机材料固有的稳定性和纳米尺度赋予的柔性功能的协同优势，在隔热、光电子、催化、生物医学等高端领域展现出巨大的应用潜力，成为交叉学科的研究热点。然而，其灵活性的根源涉及多尺度结构耦合和多种机制的协同作用。现有研究尚未建立通用的理论体系，制约了柔性无机材料的精准设计和工业化应用。本文系统综述了柔性无机纳米纤维的内在机制（缺陷调节、动态界面调节、表面原子重构和微观键变形）。它阐明了构建柔性材料的逻辑框架，该框架“基于纳米级表面/界面效应的基石，以上述四种内在机制为支撑，并通过多尺度调控策略来实现”。总结了柔性调节的两个核心策略，即内在结构定制和界面工程调制，并概述了柔性评估和测试方法的现状。本文旨在构建“机制-调控-评价”的一体化认知框架，为柔性无机材料的高性能设计和应用突破提供理论支撑。</w:t>
      </w:r>
    </w:p>
    <w:p>
      <w:pPr>
        <w:spacing w:before="0" w:after="200" w:lineRule="auto" w:line="276"/>
      </w:pPr>
      <w:r>
        <w:rPr>
          <w:b/>
        </w:rPr>
        <w:t xml:space="preserve">Abstract (EN): </w:t>
      </w:r>
      <w:r>
        <w:t>Flexible inorganic nanofibers, leveraging the synergistic advantages of the inherent stability of inorganic materials and the flexible functionality conferred on the nanoscale, have demonstrated significant application potential in high-end fields such as thermal insulation, optoelectronics, catalysis, and biomedicine, emerging as a research hotspot in interdisciplinary science. However, the origin of their flexibility involves multiscale structural coupling and the synergistic action of multiple mechanisms. Existing research has yet to establish a universal theoretical system, which restricts the precise design and industrial application of flexible inorganic materials. This paper systematically reviews the intrinsic mechanisms of flexible inorganic nanofibers (defect regulation, dynamic interfacial regulation, surface atomic reconstruction, and microscopic bond distortion). It elucidates the logical framework for constructing flexible materials, which is "based on the cornerstones of nanoscale surface/interface effects, supported by the four intrinsic mechanisms listed above, and realized through multi-scale regulation strategies". Two core strategies for flexibility regulation, namely, intrinsic structure tailoring and interfacial engineering modulation, are summarized, along with an overview of the current state of flexibility evaluation and testing methods. This review aims to construct an integrated cognitive framework of "mechanism-regulation-evaluation" to provide theoretical support for the high-performance design and application breakthroughs of flexible inorganic nanofibers. Furthermore, future development directions are discussed, including interdisciplinary integration, innovation in in situ characterization techniques, and the establishment of standardized evaluation systems.</w:t>
      </w:r>
    </w:p>
    <w:p>
      <w:pPr>
        <w:spacing w:before="120" w:after="120"/>
      </w:pPr>
      <w:r>
        <w:rPr>
          <w:sz w:val="18"/>
        </w:rPr>
        <w:t>——————————————————————————————————————————————————————————————————————</w:t>
      </w:r>
    </w:p>
    <w:p>
      <w:pPr>
        <w:spacing w:before="160" w:after="40" w:line="240" w:lineRule="auto"/>
      </w:pPr>
      <w:r>
        <w:rPr>
          <w:b/>
        </w:rPr>
        <w:t xml:space="preserve">[402] </w:t>
      </w:r>
      <w:hyperlink r:id="rId1282">
        <w:r>
          <w:rPr>
            <w:color w:val="1155CC"/>
            <w:u w:val="single"/>
          </w:rPr>
          <w:t>通过联合递送 β 受体阻滞剂和 aTIM-3 与超声响应仿生纳米颗粒，通过交感神经-T 细胞相互作用阻断，增强压力下胰腺导管腺癌的免疫治疗</w:t>
        </w:r>
      </w:hyperlink>
    </w:p>
    <w:p>
      <w:pPr>
        <w:spacing w:before="0" w:after="80"/>
      </w:pPr>
      <w:r>
        <w:rPr>
          <w:i/>
          <w:sz w:val="20"/>
        </w:rPr>
        <w:t>EN: Enhancing Pancreatic Ductal Adenocarcinoma Immunotherapy under Stress through Sympathetic Nerve–T cell Interaction Blockade via Co-delivery of β-Blockers and aTIM-3 with Ultrasound-Responsive Bionic Nanoparticles</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283">
        <w:r>
          <w:rPr>
            <w:color w:val="1155CC"/>
            <w:u w:val="single"/>
          </w:rPr>
          <w:t>10.1021/acsami.6c11946</w:t>
        </w:r>
      </w:hyperlink>
    </w:p>
    <w:p>
      <w:pPr>
        <w:spacing w:before="0" w:after="120"/>
      </w:pPr>
      <w:r>
        <w:rPr>
          <w:b/>
        </w:rPr>
        <w:t xml:space="preserve">Notes: </w:t>
      </w:r>
      <w:r>
        <w:t>abstract_source=pubmed</w:t>
      </w:r>
    </w:p>
    <w:p>
      <w:pPr>
        <w:spacing w:before="0" w:after="80" w:lineRule="auto" w:line="276"/>
      </w:pPr>
      <w:r>
        <w:rPr>
          <w:b/>
        </w:rPr>
        <w:t xml:space="preserve">摘要（ZH）: </w:t>
      </w:r>
      <w:r>
        <w:t>胰腺导管腺癌 (PDAC) 是一种难治性冷肿瘤，其特点是致密的细胞外基质 (ECM) 和应激触发的神经免疫串扰，导致 T 细胞耗竭，抗 T 细胞免疫球蛋白和粘蛋白结构域 3 抗体 (aTIM-3) 单一疗法疗效不佳。在这里，我们报道了一种蔗糖杂交、Pan02胰腺肿瘤细胞膜涂层超声（US）响应仿生纳米载体（CT@SM），共同负载卡维地洛（β-阻滞剂）和aTIM-3。 Pan02肿瘤细胞膜壳能够实现同源肿瘤靶向、延长循环并减少脱靶分布，而插入的蔗糖调节囊泡声阻抗以产生超声触发的惯性空化。 US 激活空化作用，破坏 ECM 并在肿瘤深处共同释放物质：卡维地洛缓解去甲肾上腺素介导的 T 细胞耗竭，aTIM-3 抑制 M2 型肿瘤相关巨噬细胞。因此，与游离的aTIM-3相比，CT@SM + US组中肿瘤区域的aTIM-3增加了高达11.23倍。通过重新激活 T 细胞，免疫治疗效果显着增强，从而抑制 PDAC 小鼠应激模型中的肿瘤生长并延长生存期。总体而言，这项研究为 PDAC 和其他冷肿瘤的免疫治疗提供了一种基于双改良仿生声学传递平台的有前途的策略。</w:t>
      </w:r>
    </w:p>
    <w:p>
      <w:pPr>
        <w:spacing w:before="0" w:after="200" w:lineRule="auto" w:line="276"/>
      </w:pPr>
      <w:r>
        <w:rPr>
          <w:b/>
        </w:rPr>
        <w:t xml:space="preserve">Abstract (EN): </w:t>
      </w:r>
      <w:r>
        <w:t>Pancreatic ductal adenocarcinoma (PDAC), a refractory cold tumor, is characterized by a dense extracellular matrix (ECM) and stress-triggered neuroimmune crosstalk, which cause T cell exhaustion and poor efficacy of anti-T cell immunoglobulin and mucin domain-3 antibody (aTIM-3) monotherapy. Here, we report a sucrose-hybridized, Pan02 pancreatic tumor cell membrane-coated ultrasound (US)-responsive biomimetic nanocarrier (CT@SM) co-loading carvedilol (β-blocker) and aTIM-3. The Pan02 tumor cell membrane shell enables homologous tumor targeting, prolonged circulation, and reduced off-target distribution, while intercalated sucrose modulates vesicle acoustic impedance to generate US-triggered inertial cavitation. US activates cavitation to disrupt the ECM and co-releases cargos deep in tumors: carvedilol relieves norepinephrine-mediated T cell exhaustion, and aTIM-3 suppresses M2-type tumor-associated macrophages. Consequently, compared to free aTIM-3, up to an 11.23-fold increase of aTIM-3 in the tumor region was obtained in the CT@SM + US group. Immunotherapy efficacy was significantly enhanced by reactivating T cells, leading to suppressed tumor growth and prolonged survival in the PDAC mice stress model. Overall, this study offers a promising strategy based on a dual-modified biomimetic acoustic delivery platform for immunotherapy in PDAC and other cold tumors.</w:t>
      </w:r>
    </w:p>
    <w:p>
      <w:pPr>
        <w:spacing w:before="120" w:after="120"/>
      </w:pPr>
      <w:r>
        <w:rPr>
          <w:sz w:val="18"/>
        </w:rPr>
        <w:t>——————————————————————————————————————————————————————————————————————</w:t>
      </w:r>
    </w:p>
    <w:p>
      <w:pPr>
        <w:spacing w:before="160" w:after="40" w:line="240" w:lineRule="auto"/>
      </w:pPr>
      <w:r>
        <w:rPr>
          <w:b/>
        </w:rPr>
        <w:t xml:space="preserve">[403] </w:t>
      </w:r>
      <w:hyperlink r:id="rId1284">
        <w:r>
          <w:rPr>
            <w:color w:val="1155CC"/>
            <w:u w:val="single"/>
          </w:rPr>
          <w:t>还原氧化石墨烯膜的缺陷选择性刻蚀工程</w:t>
        </w:r>
      </w:hyperlink>
    </w:p>
    <w:p>
      <w:pPr>
        <w:spacing w:before="0" w:after="80"/>
      </w:pPr>
      <w:r>
        <w:rPr>
          <w:i/>
          <w:sz w:val="20"/>
        </w:rPr>
        <w:t>EN: Defect-Selective Etching Engineering of Reduced Graphene Oxide Membranes</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285">
        <w:r>
          <w:rPr>
            <w:color w:val="1155CC"/>
            <w:u w:val="single"/>
          </w:rPr>
          <w:t>10.1021/acsami.6c09671</w:t>
        </w:r>
      </w:hyperlink>
    </w:p>
    <w:p>
      <w:pPr>
        <w:spacing w:before="0" w:after="120"/>
      </w:pPr>
      <w:r>
        <w:rPr>
          <w:b/>
        </w:rPr>
        <w:t xml:space="preserve">Notes: </w:t>
      </w:r>
      <w:r>
        <w:t>abstract_source=pubmed</w:t>
      </w:r>
    </w:p>
    <w:p>
      <w:pPr>
        <w:spacing w:before="0" w:after="80" w:lineRule="auto" w:line="276"/>
      </w:pPr>
      <w:r>
        <w:rPr>
          <w:b/>
        </w:rPr>
        <w:t xml:space="preserve">摘要（ZH）: </w:t>
      </w:r>
      <w:r>
        <w:t>二维层状膜在先进水处理方面具有广阔的前景，但本质上受到渗透性与选择性权衡的限制。在此，我们报告了一种纳米级“缺陷挖掘”策略，通过在分子水平上设计双重运输途径来克服还原氧化石墨烯（rGO）膜的这一限制。通过温和的 KOH 蚀刻产生的垂直纳米孔选择性地针对容易出现缺陷的 sp3 杂化碳域，在层状结构中开辟高速捷径。为了补充动力学纳米蚀刻，我们还引入了涉及离子液体嵌入的热力学稳定步骤，其中这些超分子铆钉通过强大的阳离子-π相互作用锚定扩大的层间距。这种协同整合创建了一个双纳米级传输网络，重塑了受限二维纳米通道内水分子的传输。优化后的膜（KOH-IL-rGO膜）表现出455 L m-2 h-1 bar-1的超高透水性和99.68%的亚甲基蓝截留率。分子动力学模拟进一步阐明了协同传输机制，提供了关键的定量见解：垂直捷径显着增强了整体水渗透性，而引起的扩大的层间距直接支撑了观察到的超高渗透性和选择性排斥。总体而言，这项工作提供了一种合理的材料设计方法，用于构建高性能、节能的膜，以实现可持续的水净化和回收。</w:t>
      </w:r>
    </w:p>
    <w:p>
      <w:pPr>
        <w:spacing w:before="0" w:after="200" w:lineRule="auto" w:line="276"/>
      </w:pPr>
      <w:r>
        <w:rPr>
          <w:b/>
        </w:rPr>
        <w:t xml:space="preserve">Abstract (EN): </w:t>
      </w:r>
      <w:r>
        <w:t>Two-dimensional laminar membranes hold great promise for advanced water treatment but are inherently limited by a permeability-selectivity trade-off. Herein, we report a nanoscale "defect-excavation" strategy to overcome this limitation in reduced graphene oxide (rGO) membranes by engineering dual transport pathways at the molecular level. Vertical nanopores created by mild KOH etching selectively targeted defect-prone sp3-hybridized carbon domains, carving high-speed shortcuts through the laminar structure. To complement the kinetic nanoetching, we also introduced a thermodynamic stabilization step involving ionic-liquid intercalation, wherein these supramolecular rivets anchor expanded interlayer spacings through robust cation-π interactions. This synergistic integration created a dual nanoscale transport network that reshaped the transport of water molecules within confined two-dimensional nanochannels. The optimized membrane (KOH-IL-rGO membrane) exhibited an ultrahigh water permeance of 455 L m-2 h-1 bar-1 and a methylene blue rejection of 99.68%. Molecular dynamics simulations further elucidated the cooperative transport mechanism, which provided critical quantitative insights: the vertical shortcuts significantly enhanced the overall water permeance, and the expanded interlayer spacing induced directly underpins the ultrahigh permeance and selective rejection observed. Overall, this work provides a rational materials design approach for constructing high-performance, energy-efficient membranes for sustainable water purification and recovery.</w:t>
      </w:r>
    </w:p>
    <w:p>
      <w:pPr>
        <w:spacing w:before="120" w:after="120"/>
      </w:pPr>
      <w:r>
        <w:rPr>
          <w:sz w:val="18"/>
        </w:rPr>
        <w:t>——————————————————————————————————————————————————————————————————————</w:t>
      </w:r>
    </w:p>
    <w:p>
      <w:pPr>
        <w:spacing w:before="160" w:after="40" w:line="240" w:lineRule="auto"/>
      </w:pPr>
      <w:r>
        <w:rPr>
          <w:b/>
        </w:rPr>
        <w:t xml:space="preserve">[404] </w:t>
      </w:r>
      <w:hyperlink r:id="rId1286">
        <w:r>
          <w:rPr>
            <w:color w:val="1155CC"/>
            <w:u w:val="single"/>
          </w:rPr>
          <w:t>迈向灵活的神经形态自旋电子学：聚酰亚胺基底上合成反铁磁体的无场切换</w:t>
        </w:r>
      </w:hyperlink>
    </w:p>
    <w:p>
      <w:pPr>
        <w:spacing w:before="0" w:after="80"/>
      </w:pPr>
      <w:r>
        <w:rPr>
          <w:i/>
          <w:sz w:val="20"/>
        </w:rPr>
        <w:t>EN: Toward Flexible Neuromorphic Spintronics: Field-Free Switching of Synthetic Antiferromagnets on Polyimide Substrates</w:t>
      </w:r>
    </w:p>
    <w:p>
      <w:pPr>
        <w:spacing w:before="0" w:after="120"/>
      </w:pPr>
      <w:r>
        <w:rPr>
          <w:b/>
        </w:rPr>
        <w:t xml:space="preserve">Source: </w:t>
      </w:r>
      <w:r>
        <w:t>ACS Applied Materials &amp; Interfaces: Latest Articles (ACS Publications)</w:t>
      </w:r>
      <w:r>
        <w:t xml:space="preserve">    </w:t>
      </w:r>
      <w:r>
        <w:rPr>
          <w:b/>
        </w:rPr>
        <w:t xml:space="preserve">Pub date: </w:t>
      </w:r>
      <w:r>
        <w:t>2026-07-21 00:00:00+00:00</w:t>
      </w:r>
      <w:r>
        <w:t xml:space="preserve">    </w:t>
      </w:r>
      <w:r>
        <w:rPr>
          <w:b/>
        </w:rPr>
        <w:t xml:space="preserve">DOI: </w:t>
      </w:r>
      <w:hyperlink r:id="rId1287">
        <w:r>
          <w:rPr>
            <w:color w:val="1155CC"/>
            <w:u w:val="single"/>
          </w:rPr>
          <w:t>10.1021/acsami.6c07557</w:t>
        </w:r>
      </w:hyperlink>
    </w:p>
    <w:p>
      <w:pPr>
        <w:spacing w:before="0" w:after="120"/>
      </w:pPr>
      <w:r>
        <w:rPr>
          <w:b/>
        </w:rPr>
        <w:t xml:space="preserve">Notes: </w:t>
      </w:r>
      <w:r>
        <w:t>abstract_source=pubmed</w:t>
      </w:r>
    </w:p>
    <w:p>
      <w:pPr>
        <w:spacing w:before="0" w:after="80" w:lineRule="auto" w:line="276"/>
      </w:pPr>
      <w:r>
        <w:rPr>
          <w:b/>
        </w:rPr>
        <w:t xml:space="preserve">摘要（ZH）: </w:t>
      </w:r>
      <w:r>
        <w:t>实现在柔性基板上生长的磁补偿合成反铁磁体的完全电控磁化切换将显着推进高密度可穿戴存储器和神经形态自旋电子应用。在这里，我们展示了在聚酰亚胺基底上生长的高质量 Pt/CoPt/Ru/CoTb 合成反铁磁体中的无场自旋轨道扭矩 (SOT) 驱动的垂直磁化开关，该磁体表现出室温补偿磁化强度和增强的剩磁反常霍尔电阻。 3% 的拉伸应变会导致层间交换耦合场发生 390 Oe 的偏移，并将无场 SOT 切换率降低至~28%。至关重要的是，这种无场 SOT 切换的近线性非易失性突触可塑性和神经元非线性在弯曲、拉伸和拉伸疲劳下得以保留。利用这些实验测量的突触和神经元特征，我们通过计算实现了一个完全连接的神经网络，实现了手写数字的模拟识别准确率超过 95.8%，时尚产品的模拟识别准确率超过 86.2%。这些结果为开发柔性自旋电子器件提供了一种有效的方法。</w:t>
      </w:r>
    </w:p>
    <w:p>
      <w:pPr>
        <w:spacing w:before="0" w:after="200" w:lineRule="auto" w:line="276"/>
      </w:pPr>
      <w:r>
        <w:rPr>
          <w:b/>
        </w:rPr>
        <w:t xml:space="preserve">Abstract (EN): </w:t>
      </w:r>
      <w:r>
        <w:t>Achieving fully electrically controlled magnetization switching of magnetically compensated synthetic antiferromagnets grown on flexible substrates would significantly advance high-density wearable memory and neuromorphic spintronic applications. Here, we illustrate the field-free spin-orbit-torque (SOT)-driven perpendicular magnetization switching in high-quality Pt/CoPt/Ru/CoTb synthetic antiferromagnets grown on polyimide substrates, which exhibit room-temperature compensated magnetization and enhanced anomalous Hall resistance at remanence. A 3% tensile strain induces a 390 Oe shift in the interlayer exchange coupling field and reduces the field-free SOT switching ratio to ∼28%. Crucially, the near-linear nonvolatile synaptic plasticity and neuronal nonlinearity of this field-free SOT switching are preserved under bending, stretching, and tensile fatigue. Leveraging these experimentally measured synaptic and neuronal characteristics, we computationally implemented a fully connected neural network, achieving simulated recognition accuracies exceeding 95.8% for handwritten digits and 86.2% for fashion products. These results offer an effective method for developing flexible spintronic devices.</w:t>
      </w:r>
    </w:p>
    <w:p>
      <w:pPr>
        <w:spacing w:before="120" w:after="120"/>
      </w:pPr>
      <w:r>
        <w:rPr>
          <w:sz w:val="18"/>
        </w:rPr>
        <w:t>——————————————————————————————————————————————————————————————————————</w:t>
      </w:r>
    </w:p>
    <w:p>
      <w:pPr>
        <w:spacing w:before="160" w:after="40" w:line="240" w:lineRule="auto"/>
      </w:pPr>
      <w:r>
        <w:rPr>
          <w:b/>
        </w:rPr>
        <w:t xml:space="preserve">[405] </w:t>
      </w:r>
      <w:hyperlink r:id="rId1288">
        <w:r>
          <w:rPr>
            <w:color w:val="1155CC"/>
            <w:u w:val="single"/>
          </w:rPr>
          <w:t>中国最新的人工智能模型最终能与美国竞争对手相媲美吗？科学家的想法</w:t>
        </w:r>
      </w:hyperlink>
    </w:p>
    <w:p>
      <w:pPr>
        <w:spacing w:before="0" w:after="80"/>
      </w:pPr>
      <w:r>
        <w:rPr>
          <w:i/>
          <w:sz w:val="20"/>
        </w:rPr>
        <w:t>EN: Does China’s latest AI model finally equal US rivals? What scientists think</w:t>
      </w:r>
    </w:p>
    <w:p>
      <w:pPr>
        <w:spacing w:before="0" w:after="120"/>
      </w:pPr>
      <w:r>
        <w:rPr>
          <w:b/>
        </w:rPr>
        <w:t xml:space="preserve">Source: </w:t>
      </w:r>
      <w:r>
        <w:t>Nature</w:t>
      </w:r>
      <w:r>
        <w:t xml:space="preserve">    </w:t>
      </w:r>
      <w:r>
        <w:rPr>
          <w:b/>
        </w:rPr>
        <w:t xml:space="preserve">Pub date: </w:t>
      </w:r>
      <w:r>
        <w:t>2026-07-21 00:00:00+00:00</w:t>
      </w:r>
      <w:r>
        <w:t xml:space="preserve">    </w:t>
      </w:r>
      <w:r>
        <w:rPr>
          <w:b/>
        </w:rPr>
        <w:t xml:space="preserve">DOI: </w:t>
      </w:r>
      <w:hyperlink r:id="rId1289">
        <w:r>
          <w:rPr>
            <w:color w:val="1155CC"/>
            <w:u w:val="single"/>
          </w:rPr>
          <w:t>10.1038/d41586-026-02281-2</w:t>
        </w:r>
      </w:hyperlink>
    </w:p>
    <w:p>
      <w:pPr>
        <w:spacing w:before="0" w:after="120"/>
      </w:pPr>
      <w:r>
        <w:rPr>
          <w:b/>
        </w:rPr>
        <w:t xml:space="preserve">Notes: </w:t>
      </w:r>
      <w:r>
        <w:t>abstract_source=rss_nature</w:t>
      </w:r>
    </w:p>
    <w:p>
      <w:pPr>
        <w:spacing w:before="0" w:after="80" w:lineRule="auto" w:line="276"/>
      </w:pPr>
      <w:r>
        <w:rPr>
          <w:b/>
        </w:rPr>
        <w:t xml:space="preserve">摘要（ZH）: </w:t>
      </w:r>
      <w:r>
        <w:t>Moonshot AI 表示，“Kimi K3”可以匹配或超越尖端模型。但它的大尺寸可能会限制其吸收。</w:t>
      </w:r>
    </w:p>
    <w:p>
      <w:pPr>
        <w:spacing w:before="0" w:after="200" w:lineRule="auto" w:line="276"/>
      </w:pPr>
      <w:r>
        <w:rPr>
          <w:b/>
        </w:rPr>
        <w:t xml:space="preserve">Abstract (EN): </w:t>
      </w:r>
      <w:r>
        <w:t>‘Kimi K3’ can match or outperform cutting-edge models, says Moonshot AI. But its large size might limit uptake.</w:t>
      </w:r>
    </w:p>
    <w:p>
      <w:pPr>
        <w:spacing w:before="120" w:after="120"/>
      </w:pPr>
      <w:r>
        <w:rPr>
          <w:sz w:val="18"/>
        </w:rPr>
        <w:t>——————————————————————————————————————————————————————————————————————</w:t>
      </w:r>
    </w:p>
    <w:p>
      <w:pPr>
        <w:spacing w:before="160" w:after="40" w:line="240" w:lineRule="auto"/>
      </w:pPr>
      <w:r>
        <w:rPr>
          <w:b/>
        </w:rPr>
        <w:t xml:space="preserve">[406] </w:t>
      </w:r>
      <w:hyperlink r:id="rId1290">
        <w:r>
          <w:rPr>
            <w:color w:val="1155CC"/>
            <w:u w:val="single"/>
          </w:rPr>
          <w:t>量化未来海平面上升至 2300°C 时英国沿海洪水风险</w:t>
        </w:r>
      </w:hyperlink>
    </w:p>
    <w:p>
      <w:pPr>
        <w:spacing w:before="0" w:after="80"/>
      </w:pPr>
      <w:r>
        <w:rPr>
          <w:i/>
          <w:sz w:val="20"/>
        </w:rPr>
        <w:t>EN: Quantifying UK coastal flood exposure under future sea-level rise to 2300</w:t>
      </w:r>
    </w:p>
    <w:p>
      <w:pPr>
        <w:spacing w:before="0" w:after="120"/>
      </w:pPr>
      <w:r>
        <w:rPr>
          <w:b/>
        </w:rPr>
        <w:t xml:space="preserve">Source: </w:t>
      </w:r>
      <w:r>
        <w:t>Earth and environmental sciences : Nature Communications subject feeds</w:t>
      </w:r>
      <w:r>
        <w:t xml:space="preserve">    </w:t>
      </w:r>
      <w:r>
        <w:rPr>
          <w:b/>
        </w:rPr>
        <w:t xml:space="preserve">Pub date: </w:t>
      </w:r>
      <w:r>
        <w:t>2026-07-21 00:00:00+00:00</w:t>
      </w:r>
    </w:p>
    <w:p>
      <w:pPr>
        <w:spacing w:before="0" w:after="120"/>
      </w:pPr>
      <w:r>
        <w:rPr>
          <w:b/>
        </w:rPr>
        <w:t xml:space="preserve">Notes: </w:t>
      </w:r>
      <w:r>
        <w:t>abstract_source=nature_html</w:t>
      </w:r>
    </w:p>
    <w:p>
      <w:pPr>
        <w:spacing w:before="0" w:after="80" w:lineRule="auto" w:line="276"/>
      </w:pPr>
      <w:r>
        <w:rPr>
          <w:b/>
        </w:rPr>
        <w:t xml:space="preserve">摘要（ZH）: </w:t>
      </w:r>
      <w:r>
        <w:t>最新的政府间气候变化专门委员会评估报告强调，到 2300 年，全球海平面可能上升超过 15 m。在这项研究中，我们通过将国家规模的洪水模型与英国海平面上升的基于物理的故事情节相结合，探讨了对英国沿海洪水暴露的影响。到 2100 年，所有故事情节都显示出大致相似的结果，至少有 50 万人遭受了 200 年一遇的不设防洪水的影响，这比现在增加了 25%。根据最悲观的情况，到 2300 年，冰盖将出现严重不稳定，另外 1300 万人可能会遭受 200 年一遇的无防备洪水事件的影响。这意味着未来几个世纪可能需要大规模人口和定居点远离海岸。考虑到目前的全球排放承诺，到 2300 年，接触风险的人数将增加 170 万人，但如果实现《巴黎协定》的温室气体排放目标，则可避免多达 100 万人的接触。</w:t>
      </w:r>
    </w:p>
    <w:p>
      <w:pPr>
        <w:spacing w:before="0" w:after="200" w:lineRule="auto" w:line="276"/>
      </w:pPr>
      <w:r>
        <w:rPr>
          <w:b/>
        </w:rPr>
        <w:t xml:space="preserve">Abstract (EN): </w:t>
      </w:r>
      <w:r>
        <w:t>The latest Intergovernmental Panel on Climate Change assessment report highlighted the potential for more than 15 m of global sea-level rise by 2300. In this study, we explore the implications for UK coastal flood exposure by combining national-scale flood modelling with physically-based storylines of UK sea-level rise. By 2100 all storylines show broadly similar results with at least an additional 0.5 million people exposed to the 1-in-200 year undefended flood extent, which represents a 25% increase compared to present day. Under the most pessimistic storyline by 2300 involving significant ice-sheet instability, an additional 13 million people could be exposed to the 1-in-200 year undefended flood event. This would imply the potential need for large-scale movement of populations and settlements away from the coast in the coming centuries. Given current global emissions pledges, exposure increases by 1.7 million people by 2300, however up to 1 million could be avoided if Paris Agreement targets for greenhouse gas emissions are met.</w:t>
      </w:r>
    </w:p>
    <w:p>
      <w:pPr>
        <w:spacing w:before="120" w:after="120"/>
      </w:pPr>
      <w:r>
        <w:rPr>
          <w:sz w:val="18"/>
        </w:rPr>
        <w:t>——————————————————————————————————————————————————————————————————————</w:t>
      </w:r>
    </w:p>
    <w:p>
      <w:pPr>
        <w:spacing w:before="160" w:after="40" w:line="240" w:lineRule="auto"/>
      </w:pPr>
      <w:r>
        <w:rPr>
          <w:b/>
        </w:rPr>
        <w:t xml:space="preserve">[407] </w:t>
      </w:r>
      <w:hyperlink r:id="rId1291">
        <w:r>
          <w:rPr>
            <w:color w:val="1155CC"/>
            <w:u w:val="single"/>
          </w:rPr>
          <w:t>十年来绘制组织中的基因表达图谱</w:t>
        </w:r>
      </w:hyperlink>
    </w:p>
    <w:p>
      <w:pPr>
        <w:spacing w:before="0" w:after="80"/>
      </w:pPr>
      <w:r>
        <w:rPr>
          <w:i/>
          <w:sz w:val="20"/>
        </w:rPr>
        <w:t>EN: Ten years of mapping gene expression in tissues</w:t>
      </w:r>
    </w:p>
    <w:p>
      <w:pPr>
        <w:spacing w:before="0" w:after="120"/>
      </w:pPr>
      <w:r>
        <w:rPr>
          <w:b/>
        </w:rPr>
        <w:t xml:space="preserve">Source: </w:t>
      </w:r>
      <w:r>
        <w:t>Nature</w:t>
      </w:r>
      <w:r>
        <w:t xml:space="preserve">    </w:t>
      </w:r>
      <w:r>
        <w:rPr>
          <w:b/>
        </w:rPr>
        <w:t xml:space="preserve">Pub date: </w:t>
      </w:r>
      <w:r>
        <w:t>2026-07-21 00:00:00+00:00</w:t>
      </w:r>
      <w:r>
        <w:t xml:space="preserve">    </w:t>
      </w:r>
      <w:r>
        <w:rPr>
          <w:b/>
        </w:rPr>
        <w:t xml:space="preserve">DOI: </w:t>
      </w:r>
      <w:hyperlink r:id="rId1292">
        <w:r>
          <w:rPr>
            <w:color w:val="1155CC"/>
            <w:u w:val="single"/>
          </w:rPr>
          <w:t>10.1038/d41586-026-02212-1</w:t>
        </w:r>
      </w:hyperlink>
    </w:p>
    <w:p>
      <w:pPr>
        <w:spacing w:before="0" w:after="120"/>
      </w:pPr>
      <w:r>
        <w:rPr>
          <w:b/>
        </w:rPr>
        <w:t xml:space="preserve">Notes: </w:t>
      </w:r>
      <w:r>
        <w:t>abstract_source=rss_nature</w:t>
      </w:r>
    </w:p>
    <w:p>
      <w:pPr>
        <w:spacing w:before="0" w:after="80" w:lineRule="auto" w:line="276"/>
      </w:pPr>
      <w:r>
        <w:rPr>
          <w:b/>
        </w:rPr>
        <w:t xml:space="preserve">摘要（ZH）: </w:t>
      </w:r>
      <w:r>
        <w:t>空间解析转录组技术通过学术界和工业界的反馈循环继续增强对发育和疾病的理解。</w:t>
      </w:r>
    </w:p>
    <w:p>
      <w:pPr>
        <w:spacing w:before="0" w:after="200" w:lineRule="auto" w:line="276"/>
      </w:pPr>
      <w:r>
        <w:rPr>
          <w:b/>
        </w:rPr>
        <w:t xml:space="preserve">Abstract (EN): </w:t>
      </w:r>
      <w:r>
        <w:t>Spatially resolved transcriptomic technologies continue to enhance understanding of development and disease through a feedback loop involving academia and industry.</w:t>
      </w:r>
    </w:p>
    <w:p>
      <w:pPr>
        <w:spacing w:before="120" w:after="120"/>
      </w:pPr>
      <w:r>
        <w:rPr>
          <w:sz w:val="18"/>
        </w:rPr>
        <w:t>——————————————————————————————————————————————————————————————————————</w:t>
      </w:r>
    </w:p>
    <w:p>
      <w:pPr>
        <w:spacing w:before="160" w:after="40" w:line="240" w:lineRule="auto"/>
      </w:pPr>
      <w:r>
        <w:rPr>
          <w:b/>
        </w:rPr>
        <w:t xml:space="preserve">[408] </w:t>
      </w:r>
      <w:hyperlink r:id="rId1293">
        <w:r>
          <w:rPr>
            <w:color w:val="1155CC"/>
            <w:u w:val="single"/>
          </w:rPr>
          <w:t>2-烷基呋喃经历放射分解氧化蛋白交联</w:t>
        </w:r>
      </w:hyperlink>
    </w:p>
    <w:p>
      <w:pPr>
        <w:spacing w:before="0" w:after="80"/>
      </w:pPr>
      <w:r>
        <w:rPr>
          <w:i/>
          <w:sz w:val="20"/>
        </w:rPr>
        <w:t>EN: 2-Alkyl Furans Undergo Radiolytic Oxidative Protein Cross-Linking</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294">
        <w:r>
          <w:rPr>
            <w:color w:val="1155CC"/>
            <w:u w:val="single"/>
          </w:rPr>
          <w:t>10.1021/jacs.6c03350</w:t>
        </w:r>
      </w:hyperlink>
    </w:p>
    <w:p>
      <w:pPr>
        <w:spacing w:before="0" w:after="120"/>
      </w:pPr>
      <w:r>
        <w:rPr>
          <w:b/>
        </w:rPr>
        <w:t xml:space="preserve">Notes: </w:t>
      </w:r>
      <w:r>
        <w:t>abstract_source=pubmed</w:t>
      </w:r>
    </w:p>
    <w:p>
      <w:pPr>
        <w:spacing w:before="0" w:after="80" w:lineRule="auto" w:line="276"/>
      </w:pPr>
      <w:r>
        <w:rPr>
          <w:b/>
        </w:rPr>
        <w:t xml:space="preserve">摘要（ZH）: </w:t>
      </w:r>
      <w:r>
        <w:t>诱导共价键形成或交联是询问和调节生物系统的强大策略。目前的策略主要依赖于光化学过程，这通常限制其在细胞或其他光学可访问环境中的使用。拓宽交联引发事件的化学基础可以将这些方法扩展到更复杂的生物系统。电离辐射——癌症治疗的基石——是共价化学的一个有吸引力但未经探索的触发因素。在这里，我们详细介绍了一系列合理设计的放射解交联候选物的系统比较。这些研究表明，2-烷基呋喃以辐射剂量依赖性方式有效地标记代表性蛋白质。机理分析表明，辐射分解诱导羟基自由基介导的呋喃氧化，产生亲电二羰基中间体，该中间体与赖氨酸残基反应形成稳定的加合物。我们应用这种策略来强制共价捕获细胞中原本可逆的小分子-蛋白质相互作用。总之，这些发现确立了电离辐射作为共价化学的有效触发因素，扩大了放射分解化学的范围，包括键的形成。这项工作为未来利用空间定向辐射进行目标识别或开发下一代治疗策略的应用奠定了基础。</w:t>
      </w:r>
    </w:p>
    <w:p>
      <w:pPr>
        <w:spacing w:before="0" w:after="200" w:lineRule="auto" w:line="276"/>
      </w:pPr>
      <w:r>
        <w:rPr>
          <w:b/>
        </w:rPr>
        <w:t xml:space="preserve">Abstract (EN): </w:t>
      </w:r>
      <w:r>
        <w:t>Induced covalent bond formation, or cross-linking, is a powerful strategy for interrogating and modulating biological systems. Current strategies rely largely on photochemical processes, which generally restrict their use to cellular or other optically accessible settings. Broadening the chemistry underlying the cross-linking-initiating event could extend these approaches to more complex biological systems. Ionizing radiation─a cornerstone of cancer therapy─is an attractive but unexplored trigger for covalent chemistry. Here, we detail the systematic comparison of a series of rationally designed radiolytic cross-linking candidates. These studies reveal that 2-alkyl furans efficiently label a representative protein in a radiation dose-dependent manner. Mechanistic analyses suggest that radiolysis induces hydroxyl radical-mediated oxidation of the furan, generating an electrophilic dicarbonyl intermediate that reacts with lysine residues to form stable adducts. We apply this strategy to enforce the covalent capture of an otherwise reversible small-molecule-protein interaction in cells. Together, these findings establish ionizing radiation as an effective trigger for covalent chemistry, expanding the scope of radiolytic chemistry to include bond formation. This work provides a foundation for future applications leveraging spatially targeted radiation for target identification or the development of next-generation therapeutic strategies.</w:t>
      </w:r>
    </w:p>
    <w:p>
      <w:pPr>
        <w:spacing w:before="120" w:after="120"/>
      </w:pPr>
      <w:r>
        <w:rPr>
          <w:sz w:val="18"/>
        </w:rPr>
        <w:t>——————————————————————————————————————————————————————————————————————</w:t>
      </w:r>
    </w:p>
    <w:p>
      <w:pPr>
        <w:spacing w:before="160" w:after="40" w:line="240" w:lineRule="auto"/>
      </w:pPr>
      <w:r>
        <w:rPr>
          <w:b/>
        </w:rPr>
        <w:t xml:space="preserve">[409] </w:t>
      </w:r>
      <w:hyperlink r:id="rId1295">
        <w:r>
          <w:rPr>
            <w:color w:val="1155CC"/>
            <w:u w:val="single"/>
          </w:rPr>
          <w:t>玻色对称保护拓扑相的非阿贝尔统计</w:t>
        </w:r>
      </w:hyperlink>
    </w:p>
    <w:p>
      <w:pPr>
        <w:spacing w:before="0" w:after="80"/>
      </w:pPr>
      <w:r>
        <w:rPr>
          <w:i/>
          <w:sz w:val="20"/>
        </w:rPr>
        <w:t>EN: Non-Abelian statistics for bosonic symmetry-protected topological phases</w:t>
      </w:r>
    </w:p>
    <w:p>
      <w:pPr>
        <w:spacing w:before="0" w:after="120"/>
      </w:pPr>
      <w:r>
        <w:rPr>
          <w:b/>
        </w:rPr>
        <w:t xml:space="preserve">Source: </w:t>
      </w:r>
      <w:r>
        <w:t>National Science Review Advance Access</w:t>
      </w:r>
      <w:r>
        <w:t xml:space="preserve">    </w:t>
      </w:r>
      <w:r>
        <w:rPr>
          <w:b/>
        </w:rPr>
        <w:t xml:space="preserve">Pub date: </w:t>
      </w:r>
      <w:r>
        <w:t>2026-07-21 00:00:00+00:00</w:t>
      </w:r>
      <w:r>
        <w:t xml:space="preserve">    </w:t>
      </w:r>
      <w:r>
        <w:rPr>
          <w:b/>
        </w:rPr>
        <w:t xml:space="preserve">DOI: </w:t>
      </w:r>
      <w:hyperlink r:id="rId1296">
        <w:r>
          <w:rPr>
            <w:color w:val="1155CC"/>
            <w:u w:val="single"/>
          </w:rPr>
          <w:t>10.1093/nsr/nwag444</w:t>
        </w:r>
      </w:hyperlink>
    </w:p>
    <w:p>
      <w:pPr>
        <w:spacing w:before="0" w:after="120"/>
      </w:pPr>
      <w:r>
        <w:rPr>
          <w:b/>
        </w:rPr>
        <w:t xml:space="preserve">Notes: </w:t>
      </w:r>
      <w:r>
        <w:t>abstract_source=rss_oup</w:t>
      </w:r>
    </w:p>
    <w:p>
      <w:pPr>
        <w:spacing w:before="0" w:after="80" w:lineRule="auto" w:line="276"/>
      </w:pPr>
      <w:r>
        <w:rPr>
          <w:b/>
        </w:rPr>
        <w:t xml:space="preserve">摘要（ZH）: </w:t>
      </w:r>
      <w:r>
        <w:t>对称保护的非阿贝尔（SPNA）统计开辟了量子统计的新领域，并丰富了拓扑量子计算的方案。在这项工作中，我们在一维相关玻色对称保护拓扑（SPT）相中提出了 SPNA 统计的新范式，并通过系统研究揭示了奇异的普遍特征。特别是，我们表明，对于真实哈密顿量描述的通用玻色子 SPT 相，拓扑零模态的 SPNA 统计分为两个不同的类别。第一类展示了硬核玻色子零模式的传统编织。此外，我们发现了第二类非常规编织统计，其特征是非线性变换，其特征是第一类的分数化，让人想起对称保护马约拉纳对的非阿贝尔统计。这两类不同的统计数据在对实哈密尔顿系统的编织过程的非阿贝尔贝里相进行分类方面具有拓扑起源，通过完整学是否涉及反射运算来区分。为了说明这一点，我们重点关注具有粒子孔对称性的特定玻色子 SPT 相，并证明两类编织统计数据都可以分别在有或没有受控缺陷的帮助下在三结中实现。给出了分析和数值结果。我们演示了如何使用两类 SPNA 统计数据对逻辑量子位进行编码并实现单量子位门和双量子位门。最后，我们提出了可行的实验方案来观察这些预测，并且我</w:t>
      </w:r>
    </w:p>
    <w:p>
      <w:pPr>
        <w:spacing w:before="0" w:after="200" w:lineRule="auto" w:line="276"/>
      </w:pPr>
      <w:r>
        <w:rPr>
          <w:b/>
        </w:rPr>
        <w:t xml:space="preserve">Abstract (EN): </w:t>
      </w:r>
      <w:r>
        <w:t>Symmetry-protected non-Abelian (SPNA) statistics opens new frontiers in quantum statistics and enriches the schemes for topological quantum computing. In this work, we propose a new paradigm of SPNA statistics in one-dimensional correlated bosonic symmetry-protected topological (SPT) phases and uncover exotic universal features from a systematic investigation. In particular, we show that for generic bosonic SPT phases described by real Hamiltonians, the SPNA statistics of topological zero modes fall into two distinct classes. The first class exhibits conventional braiding of hard-core bosonic zero modes. Furthermore, we discover a second class of unconventional braiding statistics characterized by a nonlinear transformation, featuring a fractionalization of the first class and reminiscent of the non-Abelian statistics of symmetry-protected Majorana pairs. The two distinct classes of statistics have topological origin in classifying non-Abelian Berry phases for braiding processes of real-Hamiltonian systems, distinguished by whether the holonomy involves a reflection operation. To illustrate, we focus on a specific bosonic SPT phase with particle-hole symmetry, and demonstrate that both classes of braiding statistics can be feasibly realized in tri-junctions with and without the aid of a controlled defect, respectively. Analytic and numerical results are given. We demonstrate how to encode logical qubits and implement both single- and two-qubit gates using the two classes of SPNA statistics. Finally, we propose feasible experimental schemes to observe these predictions and identify the parameter regimes for the high-fidelity braiding, paving the way for the experimental observation of our results in the near future.</w:t>
      </w:r>
    </w:p>
    <w:p>
      <w:pPr>
        <w:spacing w:before="120" w:after="120"/>
      </w:pPr>
      <w:r>
        <w:rPr>
          <w:sz w:val="18"/>
        </w:rPr>
        <w:t>——————————————————————————————————————————————————————————————————————</w:t>
      </w:r>
    </w:p>
    <w:p>
      <w:pPr>
        <w:spacing w:before="160" w:after="40" w:line="240" w:lineRule="auto"/>
      </w:pPr>
      <w:r>
        <w:rPr>
          <w:b/>
        </w:rPr>
        <w:t xml:space="preserve">[410] </w:t>
      </w:r>
      <w:hyperlink r:id="rId1297">
        <w:r>
          <w:rPr>
            <w:color w:val="1155CC"/>
            <w:u w:val="single"/>
          </w:rPr>
          <w:t>摩擦学“自我进化”研究平台的需求</w:t>
        </w:r>
      </w:hyperlink>
    </w:p>
    <w:p>
      <w:pPr>
        <w:spacing w:before="0" w:after="80"/>
      </w:pPr>
      <w:r>
        <w:rPr>
          <w:i/>
          <w:sz w:val="20"/>
        </w:rPr>
        <w:t>EN: The need of a ‘self-evolving’ research platform in tribology</w:t>
      </w:r>
    </w:p>
    <w:p>
      <w:pPr>
        <w:spacing w:before="0" w:after="120"/>
      </w:pPr>
      <w:r>
        <w:rPr>
          <w:b/>
        </w:rPr>
        <w:t xml:space="preserve">Source: </w:t>
      </w:r>
      <w:r>
        <w:t>National Science Review Advance Access</w:t>
      </w:r>
      <w:r>
        <w:t xml:space="preserve">    </w:t>
      </w:r>
      <w:r>
        <w:rPr>
          <w:b/>
        </w:rPr>
        <w:t xml:space="preserve">Pub date: </w:t>
      </w:r>
      <w:r>
        <w:t>2026-07-21 00:00:00+00:00</w:t>
      </w:r>
      <w:r>
        <w:t xml:space="preserve">    </w:t>
      </w:r>
      <w:r>
        <w:rPr>
          <w:b/>
        </w:rPr>
        <w:t xml:space="preserve">DOI: </w:t>
      </w:r>
      <w:hyperlink r:id="rId1298">
        <w:r>
          <w:rPr>
            <w:color w:val="1155CC"/>
            <w:u w:val="single"/>
          </w:rPr>
          <w:t>10.1093/nsr/nwag447</w:t>
        </w:r>
      </w:hyperlink>
    </w:p>
    <w:p>
      <w:pPr>
        <w:spacing w:before="0" w:after="120"/>
      </w:pPr>
      <w:r>
        <w:rPr>
          <w:b/>
        </w:rPr>
        <w:t xml:space="preserve">Notes: </w:t>
      </w:r>
      <w:r>
        <w:t>abstract_source=openalex</w:t>
      </w:r>
    </w:p>
    <w:p>
      <w:pPr>
        <w:spacing w:before="0" w:after="80" w:lineRule="auto" w:line="276"/>
      </w:pPr>
      <w:r>
        <w:rPr>
          <w:b/>
        </w:rPr>
        <w:t xml:space="preserve">摘要（ZH）: </w:t>
      </w:r>
      <w:r>
        <w:t>丹尼尔·迪尼；摩擦学“自我进化”研究平台的需求，国家科学评论，nwag447，https://doi.org/10.1093/nsr/nwag447</w:t>
      </w:r>
    </w:p>
    <w:p>
      <w:pPr>
        <w:spacing w:before="0" w:after="200" w:lineRule="auto" w:line="276"/>
      </w:pPr>
      <w:r>
        <w:rPr>
          <w:b/>
        </w:rPr>
        <w:t xml:space="preserve">Abstract (EN): </w:t>
      </w:r>
      <w:r>
        <w:t>Daniele Dini; The need of a ‘self-evolving’ research platform in tribology, National Science Review, , nwag447, https://doi.org/10.1093/nsr/nwag447</w:t>
      </w:r>
    </w:p>
    <w:p>
      <w:pPr>
        <w:spacing w:before="120" w:after="120"/>
      </w:pPr>
      <w:r>
        <w:rPr>
          <w:sz w:val="18"/>
        </w:rPr>
        <w:t>——————————————————————————————————————————————————————————————————————</w:t>
      </w:r>
    </w:p>
    <w:p>
      <w:pPr>
        <w:spacing w:before="160" w:after="40" w:line="240" w:lineRule="auto"/>
      </w:pPr>
      <w:r>
        <w:rPr>
          <w:b/>
        </w:rPr>
        <w:t xml:space="preserve">[411] </w:t>
      </w:r>
      <w:hyperlink r:id="rId1299">
        <w:r>
          <w:rPr>
            <w:color w:val="1155CC"/>
            <w:u w:val="single"/>
          </w:rPr>
          <w:t>手性量子切割</w:t>
        </w:r>
      </w:hyperlink>
    </w:p>
    <w:p>
      <w:pPr>
        <w:spacing w:before="0" w:after="80"/>
      </w:pPr>
      <w:r>
        <w:rPr>
          <w:i/>
          <w:sz w:val="20"/>
        </w:rPr>
        <w:t>EN: Chiral Quantum-Cutting</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00">
        <w:r>
          <w:rPr>
            <w:color w:val="1155CC"/>
            <w:u w:val="single"/>
          </w:rPr>
          <w:t>10.1021/jacs.6c07991</w:t>
        </w:r>
      </w:hyperlink>
    </w:p>
    <w:p>
      <w:pPr>
        <w:spacing w:before="0" w:after="120"/>
      </w:pPr>
      <w:r>
        <w:rPr>
          <w:b/>
        </w:rPr>
        <w:t xml:space="preserve">Notes: </w:t>
      </w:r>
      <w:r>
        <w:t>abstract_source=pubmed</w:t>
      </w:r>
    </w:p>
    <w:p>
      <w:pPr>
        <w:spacing w:before="0" w:after="80" w:lineRule="auto" w:line="276"/>
      </w:pPr>
      <w:r>
        <w:rPr>
          <w:b/>
        </w:rPr>
        <w:t xml:space="preserve">摘要（ZH）: </w:t>
      </w:r>
      <w:r>
        <w:t>近红外圆偏振发光（NIR-CPL）为先进光子应用带来了巨大前景，然而，由于能隙定律，在近红外区域同时实现高光致发光量子产率（PLQY）和大不对称因子（glum）仍然具有挑战性。在此，我们提出了一种基于稀土离子掺杂手性钙钛矿量子点（PeQD）的手性量子切割策略。具体来说，所获得的手性PeQD在985 nm处表现出很强的NIR-CPL，具有0.092的大glum和157.2%的高PLQY，导致优异的品质因数（FM = |glum| × PLQY）为0.145，代表了已报道的手性钙钛矿中的最高值。飞秒瞬态吸收光谱证实，由于手性诱导自旋选择性（CISS）效应，超快的能量转移伴随着有效的自旋保存，从而导致 Yb3+ 离子的自旋群体不平衡，从而实现高效的 NIR-CPL。因此，我们首次提出并论证了手性量子切割效应的概念，并基于CISS效应揭示了能量和手性转移过程中自旋翻转和保存的机制。我们的工作为设计具有大glum和高PLQY的高效NIR-CPL材料提供了一种新颖的策略，为在NIR区域开发高性能手性光电和自旋电子器件开辟了新途径。</w:t>
      </w:r>
    </w:p>
    <w:p>
      <w:pPr>
        <w:spacing w:before="0" w:after="200" w:lineRule="auto" w:line="276"/>
      </w:pPr>
      <w:r>
        <w:rPr>
          <w:b/>
        </w:rPr>
        <w:t xml:space="preserve">Abstract (EN): </w:t>
      </w:r>
      <w:r>
        <w:t>Near-infrared circularly polarized luminescence (NIR-CPL) holds great promise for advanced photonic applications, however, simultaneously achieving both high photoluminescence quantum yield (PLQY) and large asymmetry factor (glum) in the NIR region remains challenging owing to the energy-gap law. Herein, we propose a chiral quantum-cutting strategy based on rare-earth ion-doped chiral perovskite quantum dots (PeQDs). Specifically, the obtained chiral PeQDs exhibit strong NIR-CPL at 985 nm with both a large glum of 0.092 and high PLQY of 157.2%, resulting in an exceptional figure of merit (FM = |glum| × PLQY) of 0.145, representing the highest value among the reported chiral perovskites. The femtosecond-transient absorption spectra confirmed an ultrafast energy transfer accompanied by efficient spin preservation owing to the chirality-induced spin selectivity (CISS) effect, which resulted in the imbalanced spin population of Yb3+ ions and enabled efficient NIR-CPL. Therefore, for the first time, we proposed and demonstrated the concept of chiral quantum-cutting effect and revealed the mechanism of spin flip and preservation during energy and chirality transfer based on the CISS effect. Our work provides a novel strategy for designing efficient NIR-CPL materials with large glum and high PLQY, opening new avenues for developing high-performance chiral optoelectronic and spintronic devices in the NIR region.</w:t>
      </w:r>
    </w:p>
    <w:p>
      <w:pPr>
        <w:spacing w:before="120" w:after="120"/>
      </w:pPr>
      <w:r>
        <w:rPr>
          <w:sz w:val="18"/>
        </w:rPr>
        <w:t>——————————————————————————————————————————————————————————————————————</w:t>
      </w:r>
    </w:p>
    <w:p>
      <w:pPr>
        <w:spacing w:before="160" w:after="40" w:line="240" w:lineRule="auto"/>
      </w:pPr>
      <w:r>
        <w:rPr>
          <w:b/>
        </w:rPr>
        <w:t xml:space="preserve">[412] </w:t>
      </w:r>
      <w:hyperlink r:id="rId1301">
        <w:r>
          <w:rPr>
            <w:color w:val="1155CC"/>
            <w:u w:val="single"/>
          </w:rPr>
          <w:t>“AND”逻辑门控近红外荧光探针同时感应超氧阴离子和粘度，可实现早期动脉粥样硬化监测</w:t>
        </w:r>
      </w:hyperlink>
    </w:p>
    <w:p>
      <w:pPr>
        <w:spacing w:before="0" w:after="80"/>
      </w:pPr>
      <w:r>
        <w:rPr>
          <w:i/>
          <w:sz w:val="20"/>
        </w:rPr>
        <w:t>EN: An “AND” Logic Gated Near-Infrared Fluorescent Probe Simultaneously Sensing Superoxide Anion and Viscosity Enables Early Atherosclerosis Monitoring</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02">
        <w:r>
          <w:rPr>
            <w:color w:val="1155CC"/>
            <w:u w:val="single"/>
          </w:rPr>
          <w:t>10.1021/jacs.6c09763</w:t>
        </w:r>
      </w:hyperlink>
    </w:p>
    <w:p>
      <w:pPr>
        <w:spacing w:before="0" w:after="120"/>
      </w:pPr>
      <w:r>
        <w:rPr>
          <w:b/>
        </w:rPr>
        <w:t xml:space="preserve">Notes: </w:t>
      </w:r>
      <w:r>
        <w:t>abstract_source=pubmed</w:t>
      </w:r>
    </w:p>
    <w:p>
      <w:pPr>
        <w:spacing w:before="0" w:after="80" w:lineRule="auto" w:line="276"/>
      </w:pPr>
      <w:r>
        <w:rPr>
          <w:b/>
        </w:rPr>
        <w:t xml:space="preserve">摘要（ZH）: </w:t>
      </w:r>
      <w:r>
        <w:t>动脉粥样硬化 (AS) 的早期阶段涉及巨噬细胞脂质摄取和氧化应激，创造了一个驱动斑块形成的动态微环境。监测病变中复杂的化学和物理变化对于了解疾病和制定早期诊断策略至关重要。然而，对关键分子事件的实时和特异性监测仍然具有挑战性。在这里，我们构建了一种近红外 (NIR) 双锁荧光探针 PLAQ-SCAN（通过超氧化物和粘度共激活分析进行斑块定位和鉴定）。荧光的开启依赖于两种刺激的共存，精确匹配早期AS的“双重失调”微环境，有效避免单一刺激诱发的假阳性信号。结果表明，PLAQ-SCAN 仅在两种信号均存在的情况下才表现出强荧光，并成功监测巨噬细胞泡沫形成过程中超氧阴离子 (O2•-) 和粘度的失调。值得注意的是，PLAQ-SCAN 能够追踪主动脉斑块的 AS 进展，并在第 8 周检测血清信号变化，先于传统的组织病理学证据。总之，PLAQ-SCAN 提供了一个强大的平台来实时监测发病过程中的 O2•- 和粘度，从而实现早期 AS 监测和协同机制探索。</w:t>
      </w:r>
    </w:p>
    <w:p>
      <w:pPr>
        <w:spacing w:before="0" w:after="200" w:lineRule="auto" w:line="276"/>
      </w:pPr>
      <w:r>
        <w:rPr>
          <w:b/>
        </w:rPr>
        <w:t xml:space="preserve">Abstract (EN): </w:t>
      </w:r>
      <w:r>
        <w:t>Early stages of atherosclerosis (AS) involve macrophage lipid uptake and oxidative stress, creating a dynamic microenvironment that drives plaque initiation. Monitoring the complex chemical and physical changes in the lesion is essential for understanding disease and developing early diagnostic strategies. However, real-time and specific monitoring of key molecular events remain challenging. Here, we constructed a near-infrared (NIR) dual-locked fluorescent probe, PLAQ-SCAN (Plaque Localization and Qualification via Superoxide and Viscosity Co-activated Analysis). The fluorescence turn on depends on the coexistence of both stimuli, precisely matching the "dual dysregulation" microenvironment of early AS and effectively avoiding false positive signals induced by a single stimulus. The results demonstrated that PLAQ-SCAN exhibits strong fluorescence only in the presence of both signals and successfully monitors the dysregulation of superoxide anion (O2•-) and viscosity during macrophage foam formation. Notably, PLAQ-SCAN was able to track the AS progression of aortic plaques and detect serum signals changes as week 8, preceding conventional histopathological evidence. In summary, PLAQ-SCAN provides a powerful platform to real-time monitor O2•- and viscosity during pathogenesis, enabling early AS monitoring and synergistic mechanistic exploration.</w:t>
      </w:r>
    </w:p>
    <w:p>
      <w:pPr>
        <w:spacing w:before="120" w:after="120"/>
      </w:pPr>
      <w:r>
        <w:rPr>
          <w:sz w:val="18"/>
        </w:rPr>
        <w:t>——————————————————————————————————————————————————————————————————————</w:t>
      </w:r>
    </w:p>
    <w:p>
      <w:pPr>
        <w:spacing w:before="160" w:after="40" w:line="240" w:lineRule="auto"/>
      </w:pPr>
      <w:r>
        <w:rPr>
          <w:b/>
        </w:rPr>
        <w:t xml:space="preserve">[413] </w:t>
      </w:r>
      <w:hyperlink r:id="rId1303">
        <w:r>
          <w:rPr>
            <w:color w:val="1155CC"/>
            <w:u w:val="single"/>
          </w:rPr>
          <w:t>用于氮原子转移化学的金氮宾</w:t>
        </w:r>
      </w:hyperlink>
    </w:p>
    <w:p>
      <w:pPr>
        <w:spacing w:before="0" w:after="80"/>
      </w:pPr>
      <w:r>
        <w:rPr>
          <w:i/>
          <w:sz w:val="20"/>
        </w:rPr>
        <w:t>EN: A gold nitrene for nitrogen-atom transfer chemistry</w:t>
      </w:r>
    </w:p>
    <w:p>
      <w:pPr>
        <w:spacing w:before="0" w:after="120"/>
      </w:pPr>
      <w:r>
        <w:rPr>
          <w:b/>
        </w:rPr>
        <w:t xml:space="preserve">Source: </w:t>
      </w:r>
      <w:r>
        <w:t>Nature Chemistry</w:t>
      </w:r>
      <w:r>
        <w:t xml:space="preserve">    </w:t>
      </w:r>
      <w:r>
        <w:rPr>
          <w:b/>
        </w:rPr>
        <w:t xml:space="preserve">Pub date: </w:t>
      </w:r>
      <w:r>
        <w:t>2026-07-21 00:00:00+00:00</w:t>
      </w:r>
      <w:r>
        <w:t xml:space="preserve">    </w:t>
      </w:r>
      <w:r>
        <w:rPr>
          <w:b/>
        </w:rPr>
        <w:t xml:space="preserve">DOI: </w:t>
      </w:r>
      <w:hyperlink r:id="rId1304">
        <w:r>
          <w:rPr>
            <w:color w:val="1155CC"/>
            <w:u w:val="single"/>
          </w:rPr>
          <w:t>10.1038/s41557-026-02216-4</w:t>
        </w:r>
      </w:hyperlink>
    </w:p>
    <w:p>
      <w:pPr>
        <w:spacing w:before="0" w:after="120"/>
      </w:pPr>
      <w:r>
        <w:rPr>
          <w:b/>
        </w:rPr>
        <w:t xml:space="preserve">Notes: </w:t>
      </w:r>
      <w:r>
        <w:t>abstract_source=rss_nature</w:t>
      </w:r>
    </w:p>
    <w:p>
      <w:pPr>
        <w:spacing w:before="0" w:after="80" w:lineRule="auto" w:line="276"/>
      </w:pPr>
      <w:r>
        <w:rPr>
          <w:b/>
        </w:rPr>
        <w:t xml:space="preserve">摘要（ZH）: </w:t>
      </w:r>
      <w:r>
        <w:t>通过光化学从叠氮化金络合物中挤出 N2，在晶体中捕获了难以捉摸的光环氮烯。计算研究证实了三线态基态及其与 O2、CO、醛和炔的反应性，使金成为氮烯原子转移化学的可行平台。</w:t>
      </w:r>
    </w:p>
    <w:p>
      <w:pPr>
        <w:spacing w:before="0" w:after="200" w:lineRule="auto" w:line="276"/>
      </w:pPr>
      <w:r>
        <w:rPr>
          <w:b/>
        </w:rPr>
        <w:t xml:space="preserve">Abstract (EN): </w:t>
      </w:r>
      <w:r>
        <w:t>An elusive aura-nitrene has been captured in crystallo by the photochemical extrusion of N2 from a gold(III) azide complex. Computational investigations confirm a triplet ground state and its reactivity with O2, CO, aldehydes and alkynes establish gold as a viable platform for nitrene atom-transfer chemistry.</w:t>
      </w:r>
    </w:p>
    <w:p>
      <w:pPr>
        <w:spacing w:before="120" w:after="120"/>
      </w:pPr>
      <w:r>
        <w:rPr>
          <w:sz w:val="18"/>
        </w:rPr>
        <w:t>——————————————————————————————————————————————————————————————————————</w:t>
      </w:r>
    </w:p>
    <w:p>
      <w:pPr>
        <w:spacing w:before="160" w:after="40" w:line="240" w:lineRule="auto"/>
      </w:pPr>
      <w:r>
        <w:rPr>
          <w:b/>
        </w:rPr>
        <w:t xml:space="preserve">[414] </w:t>
      </w:r>
      <w:hyperlink r:id="rId1305">
        <w:r>
          <w:rPr>
            <w:color w:val="1155CC"/>
            <w:u w:val="single"/>
          </w:rPr>
          <w:t>耐力运动教会我成为一名更好的研究员的七种方式</w:t>
        </w:r>
      </w:hyperlink>
    </w:p>
    <w:p>
      <w:pPr>
        <w:spacing w:before="0" w:after="80"/>
      </w:pPr>
      <w:r>
        <w:rPr>
          <w:i/>
          <w:sz w:val="20"/>
        </w:rPr>
        <w:t>EN: Seven ways endurance sports have taught me to be a better researcher</w:t>
      </w:r>
    </w:p>
    <w:p>
      <w:pPr>
        <w:spacing w:before="0" w:after="120"/>
      </w:pPr>
      <w:r>
        <w:rPr>
          <w:b/>
        </w:rPr>
        <w:t xml:space="preserve">Source: </w:t>
      </w:r>
      <w:r>
        <w:t>Nature</w:t>
      </w:r>
      <w:r>
        <w:t xml:space="preserve">    </w:t>
      </w:r>
      <w:r>
        <w:rPr>
          <w:b/>
        </w:rPr>
        <w:t xml:space="preserve">Pub date: </w:t>
      </w:r>
      <w:r>
        <w:t>2026-07-21 00:00:00+00:00</w:t>
      </w:r>
      <w:r>
        <w:t xml:space="preserve">    </w:t>
      </w:r>
      <w:r>
        <w:rPr>
          <w:b/>
        </w:rPr>
        <w:t xml:space="preserve">DOI: </w:t>
      </w:r>
      <w:hyperlink r:id="rId1306">
        <w:r>
          <w:rPr>
            <w:color w:val="1155CC"/>
            <w:u w:val="single"/>
          </w:rPr>
          <w:t>10.1038/d41586-026-02215-y</w:t>
        </w:r>
      </w:hyperlink>
    </w:p>
    <w:p>
      <w:pPr>
        <w:spacing w:before="0" w:after="120"/>
      </w:pPr>
      <w:r>
        <w:rPr>
          <w:b/>
        </w:rPr>
        <w:t xml:space="preserve">Notes: </w:t>
      </w:r>
      <w:r>
        <w:t>abstract_source=nature_html</w:t>
      </w:r>
    </w:p>
    <w:p>
      <w:pPr>
        <w:spacing w:before="0" w:after="80" w:lineRule="auto" w:line="276"/>
      </w:pPr>
      <w:r>
        <w:rPr>
          <w:b/>
        </w:rPr>
        <w:t xml:space="preserve">摘要（ZH）: </w:t>
      </w:r>
      <w:r>
        <w:t>“24 小时规则”和其他运动技巧可以改善实验室生活。</w:t>
      </w:r>
    </w:p>
    <w:p>
      <w:pPr>
        <w:spacing w:before="0" w:after="200" w:lineRule="auto" w:line="276"/>
      </w:pPr>
      <w:r>
        <w:rPr>
          <w:b/>
        </w:rPr>
        <w:t xml:space="preserve">Abstract (EN): </w:t>
      </w:r>
      <w:r>
        <w:t>The ‘24-hour rule’ and other tips from sport can improve lab life.</w:t>
      </w:r>
    </w:p>
    <w:p>
      <w:pPr>
        <w:spacing w:before="120" w:after="120"/>
      </w:pPr>
      <w:r>
        <w:rPr>
          <w:sz w:val="18"/>
        </w:rPr>
        <w:t>——————————————————————————————————————————————————————————————————————</w:t>
      </w:r>
    </w:p>
    <w:p>
      <w:pPr>
        <w:spacing w:before="160" w:after="40" w:line="240" w:lineRule="auto"/>
      </w:pPr>
      <w:r>
        <w:rPr>
          <w:b/>
        </w:rPr>
        <w:t xml:space="preserve">[415] </w:t>
      </w:r>
      <w:hyperlink r:id="rId1307">
        <w:r>
          <w:rPr>
            <w:color w:val="1155CC"/>
            <w:u w:val="single"/>
          </w:rPr>
          <w:t>拓扑门控 λ 核酸外切酶可实现无扩增信号增强</w:t>
        </w:r>
      </w:hyperlink>
    </w:p>
    <w:p>
      <w:pPr>
        <w:spacing w:before="0" w:after="80"/>
      </w:pPr>
      <w:r>
        <w:rPr>
          <w:i/>
          <w:sz w:val="20"/>
        </w:rPr>
        <w:t>EN: Topology-Gated λ Exonuclease Enables Amplification-Free Signal Boosting</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08">
        <w:r>
          <w:rPr>
            <w:color w:val="1155CC"/>
            <w:u w:val="single"/>
          </w:rPr>
          <w:t>10.1021/jacs.6c11250</w:t>
        </w:r>
      </w:hyperlink>
    </w:p>
    <w:p>
      <w:pPr>
        <w:spacing w:before="0" w:after="120"/>
      </w:pPr>
      <w:r>
        <w:rPr>
          <w:b/>
        </w:rPr>
        <w:t xml:space="preserve">Notes: </w:t>
      </w:r>
      <w:r>
        <w:t>abstract_source=pubmed</w:t>
      </w:r>
    </w:p>
    <w:p>
      <w:pPr>
        <w:spacing w:before="0" w:after="80" w:lineRule="auto" w:line="276"/>
      </w:pPr>
      <w:r>
        <w:rPr>
          <w:b/>
        </w:rPr>
        <w:t xml:space="preserve">摘要（ZH）: </w:t>
      </w:r>
      <w:r>
        <w:t>无扩增检测仍然是基于 CRISPR 的 RNA 诊断的基本挑战。在这里，我们发现了 λ 外切核酸酶以前未被认识的拓扑特性，即两端带有 5' 磷酸盐的双链体底物经历自我持续的循环切割重整过程。这种拓扑门控行为无需外部放大即可实现信号更新。通过系统的生化和结构分析，我们阐明了潜在的机制，并将 λ 核酸外切酶建立为拓扑驱动的信号放大器。然后，我们设计了一种拓扑门控哑铃探针，将 5' 磷酸盐隔离在双 RNA 发夹环内。目标识别后，CRISPR/Cas13 特异性切割环，暴露隐藏的磷酸盐，从而激活 λ 核酸外切酶介导的循环反应。由此产生的级联被称为 Topo-CRISPR（拓扑门控 λ 核酸外切酶，无需预扩增即可实现 CRISPR 扩增），无需预扩增即可在 25 分钟内实现阿托摩尔级灵敏度。应用于临床样本时，Topo-CRISPR 能够对肠道病毒 RNA、miR-21 和 ciR1445 进行稳定且特异性的检测，表现出与 RT-qPCR 相当的性能。我们通过适体介导的构象门控进一步将 Topo-CRISPR 扩展到非核酸靶标。这项工作揭示了以前被忽视的酶拓扑结构，将 λ 核酸外切酶定位为循环信号传感器，并为超灵敏分子传感提供了通用框架。</w:t>
      </w:r>
    </w:p>
    <w:p>
      <w:pPr>
        <w:spacing w:before="0" w:after="200" w:lineRule="auto" w:line="276"/>
      </w:pPr>
      <w:r>
        <w:rPr>
          <w:b/>
        </w:rPr>
        <w:t xml:space="preserve">Abstract (EN): </w:t>
      </w:r>
      <w:r>
        <w:t>Amplification-free detection remains a fundamental challenge in CRISPR-based RNA diagnostics. Here, we identify a previously unrecognized topological property of λ exonuclease, whereby duplex substrates bearing 5' phosphates at both termini undergo a self-sustained cyclic cleavage-reforming process. This topology-gated behavior enables signal renewal without external amplification. Through systematic biochemical and structural analyses, we elucidate the underlying mechanism and establish λ exonuclease as a topology-driven signal amplifier. Then, we design a topology-gated dumbbell probe that sequesters 5' phosphates within dual RNA hairpin loops. Upon target recognition, CRISPR/Cas13 specifically cleaves the loops, exposing the hidden phosphates and thereby activating the λ exonuclease-mediated cyclic reaction. The resulting cascade, termed Topo-CRISPR (Topology-gated λ exonuclease enables CRISPR amplification-free), achieves attomolar sensitivity within 25 min without preamplification. Applied to clinical samples, Topo-CRISPR enables robust and specific detection of enterovirus RNA, miR-21, and ciR1445, demonstrating performance comparable to RT-qPCR. We further extend the Topo-CRISPR to non-nucleic-acid targets via aptamer-mediated conformational gating. This work uncovers a previously overlooked enzymatic topology, positioning λ exonuclease as a cyclic signal transducer and offering a general framework for ultrasensitive molecular sensing.</w:t>
      </w:r>
    </w:p>
    <w:p>
      <w:pPr>
        <w:spacing w:before="120" w:after="120"/>
      </w:pPr>
      <w:r>
        <w:rPr>
          <w:sz w:val="18"/>
        </w:rPr>
        <w:t>——————————————————————————————————————————————————————————————————————</w:t>
      </w:r>
    </w:p>
    <w:p>
      <w:pPr>
        <w:spacing w:before="160" w:after="40" w:line="240" w:lineRule="auto"/>
      </w:pPr>
      <w:r>
        <w:rPr>
          <w:b/>
        </w:rPr>
        <w:t xml:space="preserve">[416] </w:t>
      </w:r>
      <w:hyperlink r:id="rId1309">
        <w:r>
          <w:rPr>
            <w:color w:val="1155CC"/>
            <w:u w:val="single"/>
          </w:rPr>
          <w:t>使用负载型钴单原子催化剂通过末端烯烃双官能化合成 γ-芳基氨基醇</w:t>
        </w:r>
      </w:hyperlink>
    </w:p>
    <w:p>
      <w:pPr>
        <w:spacing w:before="0" w:after="80"/>
      </w:pPr>
      <w:r>
        <w:rPr>
          <w:i/>
          <w:sz w:val="20"/>
        </w:rPr>
        <w:t>EN: General Synthesis of γ-Arylamino Alcohols via Difunctionalization of Terminal Alkenes Using a Supported Cobalt Single-Atom Catalyst</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10">
        <w:r>
          <w:rPr>
            <w:color w:val="1155CC"/>
            <w:u w:val="single"/>
          </w:rPr>
          <w:t>10.1021/jacs.6c11412</w:t>
        </w:r>
      </w:hyperlink>
    </w:p>
    <w:p>
      <w:pPr>
        <w:spacing w:before="0" w:after="120"/>
      </w:pPr>
      <w:r>
        <w:rPr>
          <w:b/>
        </w:rPr>
        <w:t xml:space="preserve">Notes: </w:t>
      </w:r>
      <w:r>
        <w:t>abstract_source=pubmed</w:t>
      </w:r>
    </w:p>
    <w:p>
      <w:pPr>
        <w:spacing w:before="0" w:after="80" w:lineRule="auto" w:line="276"/>
      </w:pPr>
      <w:r>
        <w:rPr>
          <w:b/>
        </w:rPr>
        <w:t xml:space="preserve">摘要（ZH）: </w:t>
      </w:r>
      <w:r>
        <w:t>尽管γ-氨基醇具有广泛的用途，但从廉价、丰富的原料中直接、多样化地合成它们仍然具有挑战性。在这里，通过开发一种负载在分级有序多孔碳基质（Co-N4/HPC）上的双功能单原子钴催化剂，它能够使用 HCOOH 还原剂将未活化的末端烯烃与硝基芳烃和甲醛进行羟氨甲基化。该双官能化反应具有操作简单、原子/步骤经济性高、底物范围广、优异的官能度耐受性、高选择性和催化剂可重复使用性等特点，为大宗化学品合成γ-芳基氨基醇提供了实用的平台。值得注意的是，Co-N4位点介导轻度还原，而介孔N掺杂碳载体通过物理吸附富集甲醛，促进捕获硝基芳烃还原原位形成的羟胺。随后所得硝酮与烯烃进行 1,3-偶极环加成，然后还原环加合物，得到所需的产物。利用金属-载体协同作用进行温和还原和高效中间体转化的概念将为通过合理的催化剂设计进一步开发有用的串联反应打开一扇大门。</w:t>
      </w:r>
    </w:p>
    <w:p>
      <w:pPr>
        <w:spacing w:before="0" w:after="200" w:lineRule="auto" w:line="276"/>
      </w:pPr>
      <w:r>
        <w:rPr>
          <w:b/>
        </w:rPr>
        <w:t xml:space="preserve">Abstract (EN): </w:t>
      </w:r>
      <w:r>
        <w:t>Despite the broad utility of γ-amino alcohols, their direct and diverse synthesis from cheap, abundant feedstocks remains challenging. Here, by developing a bifunctional single-atom cobalt catalyst supported on hierarchical ordered porous carbon matrix (Co-N4/HPC), it enables hydroxyaminomethylation of nonactivated terminal alkenes with nitroarenes and formaldehyde using HCOOH reductant. This difunctionalization reaction features operational simplicity, high atom/step economy, broad substrate scope, excellent functionality tolerance, high selectivity, and catalyst reusability, offering a practical platform for the general synthesis of γ-arylamino alcohols from bulk chemicals. Notably, the Co-N4 sites mediate mild reduction, while the mesoporous N-doped carbon support enriches formaldehyde via physical adsorption, facilitating the capture of hydroxylamines formed in situ from nitroarene reduction. Subsequent 1,3-dipolar cycloaddition of the resulting nitrones with alkenes, followed by reduction of the cycloadducts, delivers the desired products. The concept of exploiting metal-support synergy for mild reduction and efficient intermediate conversion will open a door to the further development of useful tandem reactions through rational catalyst design.</w:t>
      </w:r>
    </w:p>
    <w:p>
      <w:pPr>
        <w:spacing w:before="120" w:after="120"/>
      </w:pPr>
      <w:r>
        <w:rPr>
          <w:sz w:val="18"/>
        </w:rPr>
        <w:t>——————————————————————————————————————————————————————————————————————</w:t>
      </w:r>
    </w:p>
    <w:p>
      <w:pPr>
        <w:spacing w:before="160" w:after="40" w:line="240" w:lineRule="auto"/>
      </w:pPr>
      <w:r>
        <w:rPr>
          <w:b/>
        </w:rPr>
        <w:t xml:space="preserve">[417] </w:t>
      </w:r>
      <w:hyperlink r:id="rId1311">
        <w:r>
          <w:rPr>
            <w:color w:val="1155CC"/>
            <w:u w:val="single"/>
          </w:rPr>
          <w:t>晚古生代冰河时期广泛的热带气旋活动</w:t>
        </w:r>
      </w:hyperlink>
    </w:p>
    <w:p>
      <w:pPr>
        <w:spacing w:before="0" w:after="80"/>
      </w:pPr>
      <w:r>
        <w:rPr>
          <w:i/>
          <w:sz w:val="20"/>
        </w:rPr>
        <w:t>EN: Widespread tropical cyclone activity during the Late Paleozoic Ice Age</w:t>
      </w:r>
    </w:p>
    <w:p>
      <w:pPr>
        <w:spacing w:before="0" w:after="120"/>
      </w:pPr>
      <w:r>
        <w:rPr>
          <w:b/>
        </w:rPr>
        <w:t xml:space="preserve">Source: </w:t>
      </w:r>
      <w:r>
        <w:t>Earth and environmental sciences : Nature Communications subject feeds</w:t>
      </w:r>
      <w:r>
        <w:t xml:space="preserve">    </w:t>
      </w:r>
      <w:r>
        <w:rPr>
          <w:b/>
        </w:rPr>
        <w:t xml:space="preserve">Pub date: </w:t>
      </w:r>
      <w:r>
        <w:t>2026-07-21 00:00:00+00:00</w:t>
      </w:r>
    </w:p>
    <w:p>
      <w:pPr>
        <w:spacing w:before="0" w:after="120"/>
      </w:pPr>
      <w:r>
        <w:rPr>
          <w:b/>
        </w:rPr>
        <w:t xml:space="preserve">Notes: </w:t>
      </w:r>
      <w:r>
        <w:t>abstract_source=nature_html</w:t>
      </w:r>
    </w:p>
    <w:p>
      <w:pPr>
        <w:spacing w:before="0" w:after="80" w:lineRule="auto" w:line="276"/>
      </w:pPr>
      <w:r>
        <w:rPr>
          <w:b/>
        </w:rPr>
        <w:t xml:space="preserve">摘要（ZH）: </w:t>
      </w:r>
      <w:r>
        <w:t>由于沉积证据的缺乏和模糊性，热带气旋（TC）活动是否盛行于晚古生代冰河期（LPIA）——显生宙最长的冰库——仍然存在争议。为了帮助解决这一冲突，我们将跨越 LPIA（约 360-260 Ma）的 126 个风暴记录的全球汇编与高分辨率（约 25 公里）TC 解析模拟结合起来。我们揭示了LPIA期间热带地区TC发生的准对称经向分布，TC轨迹延伸至高纬度地区（&gt;60°N/°S）。这种模式与亚热带和热带地区广泛分布的风暴沉积物一致。在二氧化碳驱动的LPIA内冰期-间冰期转变期间，我们观察到全球热带气旋频率降低和强度增强，这与热带气旋活动向极地移动相一致。这些变化与空间异质变暖模式和大气环流的相关变化有关。我们的研究结果有助于调和有关冰室热带气旋行为的争议，并强调变暖引起的热带气旋活动向极地迁移可能是地球系统与气候状态无关的特征。</w:t>
      </w:r>
    </w:p>
    <w:p>
      <w:pPr>
        <w:spacing w:before="0" w:after="200" w:lineRule="auto" w:line="276"/>
      </w:pPr>
      <w:r>
        <w:rPr>
          <w:b/>
        </w:rPr>
        <w:t xml:space="preserve">Abstract (EN): </w:t>
      </w:r>
      <w:r>
        <w:t>Whether tropical cyclone (TC) activity prevailed during the Late Paleozoic Ice Age (LPIA)—the longest icehouse of the Phanerozoic—remains debated, owing to the paucity and ambiguity of sedimentary evidence. To help resolve this conflict, we combine a global compilation of 126 storm records spanning the LPIA ( ~ 360–260 Ma) with high-resolution (~25-km) TC-resolving simulations. We reveal a quasi-symmetric meridional distribution of TC genesis across the tropics during the LPIA, with TC tracks extending into high latitudes (&gt;60°N/°S). This pattern aligns with the compiled widespread storm deposits from subtropical and tropical regions. During CO₂-driven glacial–interglacial transitions within the LPIA, we observe reduced global TC frequency and enhanced intensity, coinciding with poleward shifts in TC activity. The shifts are linked to spatially heterogeneous warming patterns and associated changes in atmospheric circulation. Our results help reconcile controversies regarding icehouse TC behavior and highlight that warming-induced poleward migration of TC activity is likely a climate state-independent characteristic of the Earth system.</w:t>
      </w:r>
    </w:p>
    <w:p>
      <w:pPr>
        <w:spacing w:before="120" w:after="120"/>
      </w:pPr>
      <w:r>
        <w:rPr>
          <w:sz w:val="18"/>
        </w:rPr>
        <w:t>——————————————————————————————————————————————————————————————————————</w:t>
      </w:r>
    </w:p>
    <w:p>
      <w:pPr>
        <w:spacing w:before="160" w:after="40" w:line="240" w:lineRule="auto"/>
      </w:pPr>
      <w:r>
        <w:rPr>
          <w:b/>
        </w:rPr>
        <w:t xml:space="preserve">[418] </w:t>
      </w:r>
      <w:hyperlink r:id="rId1312">
        <w:r>
          <w:rPr>
            <w:color w:val="1155CC"/>
            <w:u w:val="single"/>
          </w:rPr>
          <w:t>神经丝光尾部无序突变重塑其自组装网络结构</w:t>
        </w:r>
      </w:hyperlink>
    </w:p>
    <w:p>
      <w:pPr>
        <w:spacing w:before="0" w:after="80"/>
      </w:pPr>
      <w:r>
        <w:rPr>
          <w:i/>
          <w:sz w:val="20"/>
        </w:rPr>
        <w:t>EN: Neurofilament Light Disordered Tail Mutations Reshape Its Self-Assembled Network Structure</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13">
        <w:r>
          <w:rPr>
            <w:color w:val="1155CC"/>
            <w:u w:val="single"/>
          </w:rPr>
          <w:t>10.1021/jacs.6c03785</w:t>
        </w:r>
      </w:hyperlink>
    </w:p>
    <w:p>
      <w:pPr>
        <w:spacing w:before="0" w:after="120"/>
      </w:pPr>
      <w:r>
        <w:rPr>
          <w:b/>
        </w:rPr>
        <w:t xml:space="preserve">Notes: </w:t>
      </w:r>
      <w:r>
        <w:t>abstract_source=pubmed</w:t>
      </w:r>
    </w:p>
    <w:p>
      <w:pPr>
        <w:spacing w:before="0" w:after="80" w:lineRule="auto" w:line="276"/>
      </w:pPr>
      <w:r>
        <w:rPr>
          <w:b/>
        </w:rPr>
        <w:t xml:space="preserve">摘要（ZH）: </w:t>
      </w:r>
      <w:r>
        <w:t>具有本质无序区域（IDR）的蛋白质尽管缺乏稳定的结构，但仍能发挥重要的细胞功能，这挑战了传统的结构-功能范式。神经丝轻 (NFL) 蛋白自组装成洗瓶刷丝，其紊乱的尾部结构域介导向列型水凝胶的形成，这对于神经元的完整性至关重要。 NFL 的突变与腓骨肌萎缩症 (CMT) 相关，但其分子效应仍不清楚。在这里，为了深入了解这些分子机制，我们结合小角度 X 射线散射、显微镜和深度学习构象分析来研究 CMT 相关的 NFL 尾部突变。我们发现这些突变压缩了水凝胶，通过产生微域来破坏细丝向列顺序，并通过改变序列依赖性构象整体来改变保水动力学，从而导致宏观网络重排。这些发现证明了 IDR 中微妙的序列变化如何调节蛋白质网络组织和功能，为 IDR 相关病理学提供了结构见解。</w:t>
      </w:r>
    </w:p>
    <w:p>
      <w:pPr>
        <w:spacing w:before="0" w:after="200" w:lineRule="auto" w:line="276"/>
      </w:pPr>
      <w:r>
        <w:rPr>
          <w:b/>
        </w:rPr>
        <w:t xml:space="preserve">Abstract (EN): </w:t>
      </w:r>
      <w:r>
        <w:t>Proteins with intrinsically disordered regions (IDRs) perform essential cellular functions despite lacking stable structures, challenging the traditional structure-function paradigm. Neurofilament-light (NFL) proteins self-assemble into bottlebrush filaments, whose disordered tail domains mediate nematic hydrogel formation critical for neuronal integrity. Mutations in NFL are linked to Charcot-Marie-Tooth (CMT) disease, yet their molecular effects remain unclear. Here, aiming to gain insight into these molecular mechanisms, we combine small-angle X-ray scattering, microscopy, and deep-learning conformational analysis to investigate CMT-associated NFL tail mutations. We find that these mutations compact the hydrogel, disrupt filament nematic order by generating microdomains, and alter water retention dynamics by shifting sequence-dependent conformational ensembles, leading to macroscopic network rearrangements. These findings demonstrate how subtle sequence changes in IDRs modulate protein network organization and function, offering structural insights into IDR-related pathologies.</w:t>
      </w:r>
    </w:p>
    <w:p>
      <w:pPr>
        <w:spacing w:before="120" w:after="120"/>
      </w:pPr>
      <w:r>
        <w:rPr>
          <w:sz w:val="18"/>
        </w:rPr>
        <w:t>——————————————————————————————————————————————————————————————————————</w:t>
      </w:r>
    </w:p>
    <w:p>
      <w:pPr>
        <w:spacing w:before="160" w:after="40" w:line="240" w:lineRule="auto"/>
      </w:pPr>
      <w:r>
        <w:rPr>
          <w:b/>
        </w:rPr>
        <w:t xml:space="preserve">[419] </w:t>
      </w:r>
      <w:hyperlink r:id="rId1314">
        <w:r>
          <w:rPr>
            <w:color w:val="1155CC"/>
            <w:u w:val="single"/>
          </w:rPr>
          <w:t>丙烯醛多步/多通道光异构化和解离的实时探测</w:t>
        </w:r>
      </w:hyperlink>
    </w:p>
    <w:p>
      <w:pPr>
        <w:spacing w:before="0" w:after="80"/>
      </w:pPr>
      <w:r>
        <w:rPr>
          <w:i/>
          <w:sz w:val="20"/>
        </w:rPr>
        <w:t>EN: Real-Time Probing of the Multistep/Multichannel Photoisomerization and Dissociation of Propenal</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15">
        <w:r>
          <w:rPr>
            <w:color w:val="1155CC"/>
            <w:u w:val="single"/>
          </w:rPr>
          <w:t>10.1021/jacs.6c08146</w:t>
        </w:r>
      </w:hyperlink>
    </w:p>
    <w:p>
      <w:pPr>
        <w:spacing w:before="0" w:after="120"/>
      </w:pPr>
      <w:r>
        <w:rPr>
          <w:b/>
        </w:rPr>
        <w:t xml:space="preserve">Notes: </w:t>
      </w:r>
      <w:r>
        <w:t>abstract_source=pubmed</w:t>
      </w:r>
    </w:p>
    <w:p>
      <w:pPr>
        <w:spacing w:before="0" w:after="80" w:lineRule="auto" w:line="276"/>
      </w:pPr>
      <w:r>
        <w:rPr>
          <w:b/>
        </w:rPr>
        <w:t xml:space="preserve">摘要（ZH）: </w:t>
      </w:r>
      <w:r>
        <w:t>丙烯醛（最简单的不饱和有机羰基）的光引发单分子分解在我们的大气层和星际介质中具有潜在意义。协同实验和理论研究揭示了复杂的多步动力学，涉及异构化为甲基乙烯酮，随后消除 CO 形成乙叉基 CH3CH，即难以捉摸的乙烯高能卡宾异构体 CH2CH2。对甲基乙烯酮反应中间体的能量分辨实时监测产生的衰变常数非常符合最先进的第一原理 RRKM 计算，适用于相对较长时间范围内发生的一系列反应步骤。异构化主要涉及通过甲基甲酰卡宾的两个连续的 α-H 原子迁移，而不是直接的 3 中心 H 原子转移。由于形成三线态亚乙基的势垒高度和形成电子激发的单线态亚乙基的吸能性几乎一致，两个通道在宽范围的能量上竞争，对应于340和370 nm之间的激发波长。</w:t>
      </w:r>
    </w:p>
    <w:p>
      <w:pPr>
        <w:spacing w:before="0" w:after="200" w:lineRule="auto" w:line="276"/>
      </w:pPr>
      <w:r>
        <w:rPr>
          <w:b/>
        </w:rPr>
        <w:t xml:space="preserve">Abstract (EN): </w:t>
      </w:r>
      <w:r>
        <w:t>The photoinitiated unimolecular decomposition of propenal, the simplest unsaturated organic carbonyl, is of potential significance in our atmosphere and in the interstellar medium. Synergistic experimental and theoretical studies reveal complex multistep dynamics involving isomerization to methylketene and subsequent elimination of CO to form ethylidene, CH3CH, the elusive high energy carbene isomer of ethylene, CH2CH2. Energy-resolved real-time monitoring of methylketene reaction intermediates yields decay constants that are in excellent accordance with state-of-the-art first-principles RRKM calculations for a sequence of reaction steps occurring over relatively long timescales. Isomerization primarily involves two sequential α-H atom migrations via methylformylcarbene, rather than from direct 3-center H atom transfer. Due to near coincidence of the barrier height for formation of triplet ethylidene and the endoergicity for formation of electronically excited singlet ethylidene, both channels compete over a wide range of energies, corresponding to excitation wavelengths between 340 and 370 nm.</w:t>
      </w:r>
    </w:p>
    <w:p>
      <w:pPr>
        <w:spacing w:before="120" w:after="120"/>
      </w:pPr>
      <w:r>
        <w:rPr>
          <w:sz w:val="18"/>
        </w:rPr>
        <w:t>——————————————————————————————————————————————————————————————————————</w:t>
      </w:r>
    </w:p>
    <w:p>
      <w:pPr>
        <w:spacing w:before="160" w:after="40" w:line="240" w:lineRule="auto"/>
      </w:pPr>
      <w:r>
        <w:rPr>
          <w:b/>
        </w:rPr>
        <w:t xml:space="preserve">[420] </w:t>
      </w:r>
      <w:hyperlink r:id="rId1316">
        <w:r>
          <w:rPr>
            <w:color w:val="1155CC"/>
            <w:u w:val="single"/>
          </w:rPr>
          <w:t>细胞外囊泡的催化谱图改变了癌症代谢</w:t>
        </w:r>
      </w:hyperlink>
    </w:p>
    <w:p>
      <w:pPr>
        <w:spacing w:before="0" w:after="80"/>
      </w:pPr>
      <w:r>
        <w:rPr>
          <w:i/>
          <w:sz w:val="20"/>
        </w:rPr>
        <w:t>EN: Catalytic profiling of extracellular vesicles maps altered cancer metabolism</w:t>
      </w:r>
    </w:p>
    <w:p>
      <w:pPr>
        <w:spacing w:before="0" w:after="120"/>
      </w:pPr>
      <w:r>
        <w:rPr>
          <w:b/>
        </w:rPr>
        <w:t xml:space="preserve">Source: </w:t>
      </w:r>
      <w:r>
        <w:t>Nature Nanotechnology</w:t>
      </w:r>
      <w:r>
        <w:t xml:space="preserve">    </w:t>
      </w:r>
      <w:r>
        <w:rPr>
          <w:b/>
        </w:rPr>
        <w:t xml:space="preserve">Pub date: </w:t>
      </w:r>
      <w:r>
        <w:t>2026-07-21 00:00:00+00:00</w:t>
      </w:r>
      <w:r>
        <w:t xml:space="preserve">    </w:t>
      </w:r>
      <w:r>
        <w:rPr>
          <w:b/>
        </w:rPr>
        <w:t xml:space="preserve">DOI: </w:t>
      </w:r>
      <w:hyperlink r:id="rId1317">
        <w:r>
          <w:rPr>
            <w:color w:val="1155CC"/>
            <w:u w:val="single"/>
          </w:rPr>
          <w:t>10.1038/s41565-026-02230-0</w:t>
        </w:r>
      </w:hyperlink>
    </w:p>
    <w:p>
      <w:pPr>
        <w:spacing w:before="0" w:after="120"/>
      </w:pPr>
      <w:r>
        <w:rPr>
          <w:b/>
        </w:rPr>
        <w:t xml:space="preserve">Notes: </w:t>
      </w:r>
      <w:r>
        <w:t>abstract_source=pubmed</w:t>
      </w:r>
    </w:p>
    <w:p>
      <w:pPr>
        <w:spacing w:before="0" w:after="80" w:lineRule="auto" w:line="276"/>
      </w:pPr>
      <w:r>
        <w:rPr>
          <w:b/>
        </w:rPr>
        <w:t xml:space="preserve">摘要（ZH）: </w:t>
      </w:r>
      <w:r>
        <w:t>目前用于测量癌症代谢的技术的临床实用性有限，因为它们需要侵入性组织采样并且缺乏分析多功能性。在这里，我们报告了一个可编程纳米技术平台，该平台可以直接分析患者生物液中的细胞外囊泡（EV），以全面捕获肿瘤环境内的代谢变化。这项技术被称为用于分析细胞外囊泡代谢物的原子配置催化混合体（ACTIVE），采用基于缺陷工程过渡金属二硫化物过氧化物酶的双匹配生物-非生物纳米混合体来催化量化 EV 相关代谢物。每个杂交体都包含在代谢物响应性生物氧化酶上原位生长的仿生过氧化物酶。通过在空间和能量上对齐其氧化还原中心以实现直接电子转移，这些杂化物建立了有效的串联催化级联，可检测复杂样品中的低丰度代谢物，实现比野生型催化剂高30倍以上的催化效率。在 EV 分析应用中，ACTIVE 能够在天然生物流体中进行测量（改进超过 103 倍），捕获来自不同细胞系统的 EV 亚群的广泛代谢物（包括其转化动态），并反映细胞重编程过程中代谢途径的动态变化。在临床样本中，仅使用 5 µl 天然腹水，ACTIVE 即可揭示肿瘤环境中独特的代谢重编程特征，从而能够对患者预后进行分层。</w:t>
      </w:r>
    </w:p>
    <w:p>
      <w:pPr>
        <w:spacing w:before="0" w:after="200" w:lineRule="auto" w:line="276"/>
      </w:pPr>
      <w:r>
        <w:rPr>
          <w:b/>
        </w:rPr>
        <w:t xml:space="preserve">Abstract (EN): </w:t>
      </w:r>
      <w:r>
        <w:t>Current technologies for measuring cancer metabolism have limited clinical utility, as they require invasive tissue sampling and lack analytical versatility. Here, we report a programmable nanotechnology platform that directly profiles extracellular vesicles (EVs) in patient biofluids to comprehensively capture metabolic alterations within the tumour milieu. This technology, termed atomically configured catalytic hybrids for profiling extracellular vesicle metabolites (ACTIVE), employs dual-matched biotic-abiotic nanohybrids based on defect-engineered transition-metal dichalcogenide peroxidase to catalytically quantify EV-associated metabolites. Each hybrid comprises a biomimetic peroxidase grown in situ on a metabolite-responsive biological oxidase. By spatially and energetically aligning their redox centres to enable direct electron transfer, these hybrids establish efficient tandem catalytic cascades that detect low-abundance metabolites in complex samples, achieving &gt;30-times-higher catalytic efficiency than wild-type catalysts. In EV profiling applications, ACTIVE enables measurements in native biofluids (&gt;103-fold improvement), captures a broad spectrum of metabolites (including their conversion dynamics) across EV subpopulations from diverse cellular systems and reflects dynamic changes in metabolic pathways during cellular reprogramming. In clinical specimens, using only 5 µl of native ascites fluid, ACTIVE reveals distinct metabolic reprogramming signatures within the tumour milieu, enabling stratification of patient prognosis.</w:t>
      </w:r>
    </w:p>
    <w:p>
      <w:pPr>
        <w:spacing w:before="120" w:after="120"/>
      </w:pPr>
      <w:r>
        <w:rPr>
          <w:sz w:val="18"/>
        </w:rPr>
        <w:t>——————————————————————————————————————————————————————————————————————</w:t>
      </w:r>
    </w:p>
    <w:p>
      <w:pPr>
        <w:spacing w:before="160" w:after="40" w:line="240" w:lineRule="auto"/>
      </w:pPr>
      <w:r>
        <w:rPr>
          <w:b/>
        </w:rPr>
        <w:t xml:space="preserve">[421] </w:t>
      </w:r>
      <w:hyperlink r:id="rId1318">
        <w:r>
          <w:rPr>
            <w:color w:val="1155CC"/>
            <w:u w:val="single"/>
          </w:rPr>
          <w:t>对抗恶病质的新希望——癌症的致命同谋</w:t>
        </w:r>
      </w:hyperlink>
    </w:p>
    <w:p>
      <w:pPr>
        <w:spacing w:before="0" w:after="80"/>
      </w:pPr>
      <w:r>
        <w:rPr>
          <w:i/>
          <w:sz w:val="20"/>
        </w:rPr>
        <w:t>EN: New hope in the fight against cachexia — cancer’s deadly co-conspirator</w:t>
      </w:r>
    </w:p>
    <w:p>
      <w:pPr>
        <w:spacing w:before="0" w:after="120"/>
      </w:pPr>
      <w:r>
        <w:rPr>
          <w:b/>
        </w:rPr>
        <w:t xml:space="preserve">Source: </w:t>
      </w:r>
      <w:r>
        <w:t>Nature</w:t>
      </w:r>
      <w:r>
        <w:t xml:space="preserve">    </w:t>
      </w:r>
      <w:r>
        <w:rPr>
          <w:b/>
        </w:rPr>
        <w:t xml:space="preserve">Pub date: </w:t>
      </w:r>
      <w:r>
        <w:t>2026-07-21 00:00:00+00:00</w:t>
      </w:r>
      <w:r>
        <w:t xml:space="preserve">    </w:t>
      </w:r>
      <w:r>
        <w:rPr>
          <w:b/>
        </w:rPr>
        <w:t xml:space="preserve">DOI: </w:t>
      </w:r>
      <w:hyperlink r:id="rId1319">
        <w:r>
          <w:rPr>
            <w:color w:val="1155CC"/>
            <w:u w:val="single"/>
          </w:rPr>
          <w:t>10.1038/d41586-026-02228-7</w:t>
        </w:r>
      </w:hyperlink>
    </w:p>
    <w:p>
      <w:pPr>
        <w:spacing w:before="0" w:after="120"/>
      </w:pPr>
      <w:r>
        <w:rPr>
          <w:b/>
        </w:rPr>
        <w:t xml:space="preserve">Notes: </w:t>
      </w:r>
      <w:r>
        <w:t>abstract_source=rss_nature</w:t>
      </w:r>
    </w:p>
    <w:p>
      <w:pPr>
        <w:spacing w:before="0" w:after="80" w:lineRule="auto" w:line="276"/>
      </w:pPr>
      <w:r>
        <w:rPr>
          <w:b/>
        </w:rPr>
        <w:t xml:space="preserve">摘要（ZH）: </w:t>
      </w:r>
      <w:r>
        <w:t>科学家们越来越了解癌症常常伴随的消瘦和疲劳。治疗方法可能即将出现。</w:t>
      </w:r>
    </w:p>
    <w:p>
      <w:pPr>
        <w:spacing w:before="0" w:after="200" w:lineRule="auto" w:line="276"/>
      </w:pPr>
      <w:r>
        <w:rPr>
          <w:b/>
        </w:rPr>
        <w:t xml:space="preserve">Abstract (EN): </w:t>
      </w:r>
      <w:r>
        <w:t>Scientists are getting closer to understanding the wasting and fatigue that often accompanies cancer. Treatments could be on the horizon.</w:t>
      </w:r>
    </w:p>
    <w:p>
      <w:pPr>
        <w:spacing w:before="120" w:after="120"/>
      </w:pPr>
      <w:r>
        <w:rPr>
          <w:sz w:val="18"/>
        </w:rPr>
        <w:t>——————————————————————————————————————————————————————————————————————</w:t>
      </w:r>
    </w:p>
    <w:p>
      <w:pPr>
        <w:spacing w:before="160" w:after="40" w:line="240" w:lineRule="auto"/>
      </w:pPr>
      <w:r>
        <w:rPr>
          <w:b/>
        </w:rPr>
        <w:t xml:space="preserve">[422] </w:t>
      </w:r>
      <w:hyperlink r:id="rId1320">
        <w:r>
          <w:rPr>
            <w:color w:val="1155CC"/>
            <w:u w:val="single"/>
          </w:rPr>
          <w:t>石油和天然气钻探正在转向深海——这就是利害攸关的地方</w:t>
        </w:r>
      </w:hyperlink>
    </w:p>
    <w:p>
      <w:pPr>
        <w:spacing w:before="0" w:after="80"/>
      </w:pPr>
      <w:r>
        <w:rPr>
          <w:i/>
          <w:sz w:val="20"/>
        </w:rPr>
        <w:t>EN: Oil and gas drilling is shifting to the deep sea — here’s what is at stake</w:t>
      </w:r>
    </w:p>
    <w:p>
      <w:pPr>
        <w:spacing w:before="0" w:after="120"/>
      </w:pPr>
      <w:r>
        <w:rPr>
          <w:b/>
        </w:rPr>
        <w:t xml:space="preserve">Source: </w:t>
      </w:r>
      <w:r>
        <w:t>Nature</w:t>
      </w:r>
      <w:r>
        <w:t xml:space="preserve">    </w:t>
      </w:r>
      <w:r>
        <w:rPr>
          <w:b/>
        </w:rPr>
        <w:t xml:space="preserve">Pub date: </w:t>
      </w:r>
      <w:r>
        <w:t>2026-07-21 00:00:00+00:00</w:t>
      </w:r>
      <w:r>
        <w:t xml:space="preserve">    </w:t>
      </w:r>
      <w:r>
        <w:rPr>
          <w:b/>
        </w:rPr>
        <w:t xml:space="preserve">DOI: </w:t>
      </w:r>
      <w:hyperlink r:id="rId1321">
        <w:r>
          <w:rPr>
            <w:color w:val="1155CC"/>
            <w:u w:val="single"/>
          </w:rPr>
          <w:t>10.1038/d41586-026-02232-x</w:t>
        </w:r>
      </w:hyperlink>
    </w:p>
    <w:p>
      <w:pPr>
        <w:spacing w:before="0" w:after="120"/>
      </w:pPr>
      <w:r>
        <w:rPr>
          <w:b/>
        </w:rPr>
        <w:t xml:space="preserve">Notes: </w:t>
      </w:r>
      <w:r>
        <w:t>abstract_source=rss_nature</w:t>
      </w:r>
    </w:p>
    <w:p>
      <w:pPr>
        <w:spacing w:before="0" w:after="80" w:lineRule="auto" w:line="276"/>
      </w:pPr>
      <w:r>
        <w:rPr>
          <w:b/>
        </w:rPr>
        <w:t xml:space="preserve">摘要（ZH）: </w:t>
      </w:r>
      <w:r>
        <w:t>技术正在将化石燃料的搜寻带入海洋最深处。工程师必须保持生态风险可控。</w:t>
      </w:r>
    </w:p>
    <w:p>
      <w:pPr>
        <w:spacing w:before="0" w:after="200" w:lineRule="auto" w:line="276"/>
      </w:pPr>
      <w:r>
        <w:rPr>
          <w:b/>
        </w:rPr>
        <w:t xml:space="preserve">Abstract (EN): </w:t>
      </w:r>
      <w:r>
        <w:t>Technologies are taking the search for fossil fuels to the deepest parts of the ocean. Engineers must keep ecological risks manageable.</w:t>
      </w:r>
    </w:p>
    <w:p>
      <w:pPr>
        <w:spacing w:before="120" w:after="120"/>
      </w:pPr>
      <w:r>
        <w:rPr>
          <w:sz w:val="18"/>
        </w:rPr>
        <w:t>——————————————————————————————————————————————————————————————————————</w:t>
      </w:r>
    </w:p>
    <w:p>
      <w:pPr>
        <w:spacing w:before="160" w:after="40" w:line="240" w:lineRule="auto"/>
      </w:pPr>
      <w:r>
        <w:rPr>
          <w:b/>
        </w:rPr>
        <w:t xml:space="preserve">[423] </w:t>
      </w:r>
      <w:hyperlink r:id="rId1322">
        <w:r>
          <w:rPr>
            <w:color w:val="1155CC"/>
            <w:u w:val="single"/>
          </w:rPr>
          <w:t>通过多重参考方法解析AlM 2 O 4 + (M = Fe, Co)的结构</w:t>
        </w:r>
      </w:hyperlink>
    </w:p>
    <w:p>
      <w:pPr>
        <w:spacing w:before="0" w:after="80"/>
      </w:pPr>
      <w:r>
        <w:rPr>
          <w:i/>
          <w:sz w:val="20"/>
        </w:rPr>
        <w:t>EN: Resolving the Structures of AlM 2 O 4 + (M = Fe, Co) through Multireference Methods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23">
        <w:r>
          <w:rPr>
            <w:color w:val="1155CC"/>
            <w:u w:val="single"/>
          </w:rPr>
          <w:t>10.1021/jacs.6c09504</w:t>
        </w:r>
      </w:hyperlink>
    </w:p>
    <w:p>
      <w:pPr>
        <w:spacing w:before="0" w:after="120"/>
      </w:pPr>
      <w:r>
        <w:rPr>
          <w:b/>
        </w:rPr>
        <w:t xml:space="preserve">Notes: </w:t>
      </w:r>
      <w:r>
        <w:t>abstract_source=pubmed</w:t>
      </w:r>
    </w:p>
    <w:p>
      <w:pPr>
        <w:spacing w:before="0" w:after="80" w:lineRule="auto" w:line="276"/>
      </w:pPr>
      <w:r>
        <w:rPr>
          <w:b/>
        </w:rPr>
        <w:t xml:space="preserve">摘要（ZH）: </w:t>
      </w:r>
      <w:r>
        <w:t>多中心过渡金属簇通常表现出由配体场分裂和自旋耦合的相互作用产生的密集的低位电子态。加上结构和价态异构性，这些因素使得振动光谱分配具有挑战性。 AlM2O4+（M = Fe、Co）的红外光解 (IRPD) 光谱无法解释，因为预测的光谱对异构体及其电子态敏感。在这里，我们通过在局部主动空间框架中采用多参考方法来识别低能结构及其基态电子配置，然后使用 Kohn-Sham 密度泛函理论进行振动分析来解决分配问题。我们表明，实验 IRPD 光谱源自两种结构异构体的共存，每种异构体均处于低自旋基态。针对已识别基态计算的振动光谱再现了实验 IRPD 特征，而替代态的振动光谱则不然。该分配与报告的实验观察结果一致，即 IRPD 光谱、离子迁移率分布和不存在甲烷反应性。对电子结构的分析表明，在塑造这些团簇的能量学和振动光谱方面，配体场效应比自旋耦合占主导地位。这些结果显示了多参考方法能够处理大活性空间的能力，这通常是双核复合物所需要的。</w:t>
      </w:r>
    </w:p>
    <w:p>
      <w:pPr>
        <w:spacing w:before="0" w:after="200" w:lineRule="auto" w:line="276"/>
      </w:pPr>
      <w:r>
        <w:rPr>
          <w:b/>
        </w:rPr>
        <w:t xml:space="preserve">Abstract (EN): </w:t>
      </w:r>
      <w:r>
        <w:t>Multicenter transition metal clusters often exhibit a dense manifold of low-lying electronic states arising from the interplay of ligand-field splitting and spin coupling. Together with structural and valence isomerism, these factors make vibrational spectral assignments challenging. The infrared photodissociation (IRPD) spectra of AlM2O4+ (M = Fe, Co) have resisted interpretation because the predicted spectra are sensitive to the isomer and its electronic state. Here we settle the assignment by employing multireference methods in a localized active space framework to identify the low-energy structures and their ground-state electronic configurations, followed by vibrational analysis using Kohn-Sham density functional theory. We show that the experimental IRPD spectra arise from the coexistence of two structural isomers, each in a low-spin ground state. Vibrational spectra calculated for the identified ground states reproduce the experimental IRPD features, whereas those of alternative states do not. This assignment is consistent with reported experimental observations, namely the IRPD spectra, the ion mobility distributions, and the absence of methane reactivity. Analysis of the electronic structure reveals that ligand-field effects dominate over spin coupling in shaping both energetics and vibrational spectra of these clusters. These results show the power of multireference methods capable of treating large active spaces, which are often required for binuclear complexes.</w:t>
      </w:r>
    </w:p>
    <w:p>
      <w:pPr>
        <w:spacing w:before="120" w:after="120"/>
      </w:pPr>
      <w:r>
        <w:rPr>
          <w:sz w:val="18"/>
        </w:rPr>
        <w:t>——————————————————————————————————————————————————————————————————————</w:t>
      </w:r>
    </w:p>
    <w:p>
      <w:pPr>
        <w:spacing w:before="160" w:after="40" w:line="240" w:lineRule="auto"/>
      </w:pPr>
      <w:r>
        <w:rPr>
          <w:b/>
        </w:rPr>
        <w:t xml:space="preserve">[424] </w:t>
      </w:r>
      <w:hyperlink r:id="rId1324">
        <w:r>
          <w:rPr>
            <w:color w:val="1155CC"/>
            <w:u w:val="single"/>
          </w:rPr>
          <w:t>移动地板可防止建筑物随风摇晃</w:t>
        </w:r>
      </w:hyperlink>
    </w:p>
    <w:p>
      <w:pPr>
        <w:spacing w:before="0" w:after="80"/>
      </w:pPr>
      <w:r>
        <w:rPr>
          <w:i/>
          <w:sz w:val="20"/>
        </w:rPr>
        <w:t>EN: Moving floors keep buildings from swaying with the wind</w:t>
      </w:r>
    </w:p>
    <w:p>
      <w:pPr>
        <w:spacing w:before="0" w:after="120"/>
      </w:pPr>
      <w:r>
        <w:rPr>
          <w:b/>
        </w:rPr>
        <w:t xml:space="preserve">Source: </w:t>
      </w:r>
      <w:r>
        <w:t>Nature</w:t>
      </w:r>
      <w:r>
        <w:t xml:space="preserve">    </w:t>
      </w:r>
      <w:r>
        <w:rPr>
          <w:b/>
        </w:rPr>
        <w:t xml:space="preserve">Pub date: </w:t>
      </w:r>
      <w:r>
        <w:t>2026-07-21 00:00:00+00:00</w:t>
      </w:r>
      <w:r>
        <w:t xml:space="preserve">    </w:t>
      </w:r>
      <w:r>
        <w:rPr>
          <w:b/>
        </w:rPr>
        <w:t xml:space="preserve">DOI: </w:t>
      </w:r>
      <w:hyperlink r:id="rId1325">
        <w:r>
          <w:rPr>
            <w:color w:val="1155CC"/>
            <w:u w:val="single"/>
          </w:rPr>
          <w:t>10.1038/d41586-026-02258-1</w:t>
        </w:r>
      </w:hyperlink>
    </w:p>
    <w:p>
      <w:pPr>
        <w:spacing w:before="0" w:after="120"/>
      </w:pPr>
      <w:r>
        <w:rPr>
          <w:b/>
        </w:rPr>
        <w:t xml:space="preserve">Notes: </w:t>
      </w:r>
      <w:r>
        <w:t>abstract_source=rss_nature</w:t>
      </w:r>
    </w:p>
    <w:p>
      <w:pPr>
        <w:spacing w:before="0" w:after="80" w:lineRule="auto" w:line="276"/>
      </w:pPr>
      <w:r>
        <w:rPr>
          <w:b/>
        </w:rPr>
        <w:t xml:space="preserve">摘要（ZH）: </w:t>
      </w:r>
      <w:r>
        <w:t>受日本传统宝塔启发的建筑设计有助于确保现代塔楼的安全。</w:t>
      </w:r>
    </w:p>
    <w:p>
      <w:pPr>
        <w:spacing w:before="0" w:after="200" w:lineRule="auto" w:line="276"/>
      </w:pPr>
      <w:r>
        <w:rPr>
          <w:b/>
        </w:rPr>
        <w:t xml:space="preserve">Abstract (EN): </w:t>
      </w:r>
      <w:r>
        <w:t>A construction design inspired by traditional Japanese pagodas could help to keep modern towers safe.</w:t>
      </w:r>
    </w:p>
    <w:p>
      <w:pPr>
        <w:spacing w:before="120" w:after="120"/>
      </w:pPr>
      <w:r>
        <w:rPr>
          <w:sz w:val="18"/>
        </w:rPr>
        <w:t>——————————————————————————————————————————————————————————————————————</w:t>
      </w:r>
    </w:p>
    <w:p>
      <w:pPr>
        <w:spacing w:before="160" w:after="40" w:line="240" w:lineRule="auto"/>
      </w:pPr>
      <w:r>
        <w:rPr>
          <w:b/>
        </w:rPr>
        <w:t xml:space="preserve">[425] </w:t>
      </w:r>
      <w:hyperlink r:id="rId1326">
        <w:r>
          <w:rPr>
            <w:color w:val="1155CC"/>
            <w:u w:val="single"/>
          </w:rPr>
          <w:t>计算引导设计生物活性纳米结构，用于靶向清除阿尔茨海默病中的淀粉样蛋白-β聚集体</w:t>
        </w:r>
      </w:hyperlink>
    </w:p>
    <w:p>
      <w:pPr>
        <w:spacing w:before="0" w:after="80"/>
      </w:pPr>
      <w:r>
        <w:rPr>
          <w:i/>
          <w:sz w:val="20"/>
        </w:rPr>
        <w:t>EN: Computationally guided design of bioactive nanostructures for targeted clearance of amyloid-β aggregates in Alzheimer’s disease</w:t>
      </w:r>
    </w:p>
    <w:p>
      <w:pPr>
        <w:spacing w:before="0" w:after="120"/>
      </w:pPr>
      <w:r>
        <w:rPr>
          <w:b/>
        </w:rPr>
        <w:t xml:space="preserve">Source: </w:t>
      </w:r>
      <w:r>
        <w:t>Nature Nanotechnology</w:t>
      </w:r>
      <w:r>
        <w:t xml:space="preserve">    </w:t>
      </w:r>
      <w:r>
        <w:rPr>
          <w:b/>
        </w:rPr>
        <w:t xml:space="preserve">Pub date: </w:t>
      </w:r>
      <w:r>
        <w:t>2026-07-21 00:00:00+00:00</w:t>
      </w:r>
      <w:r>
        <w:t xml:space="preserve">    </w:t>
      </w:r>
      <w:r>
        <w:rPr>
          <w:b/>
        </w:rPr>
        <w:t xml:space="preserve">DOI: </w:t>
      </w:r>
      <w:hyperlink r:id="rId1327">
        <w:r>
          <w:rPr>
            <w:color w:val="1155CC"/>
            <w:u w:val="single"/>
          </w:rPr>
          <w:t>10.1038/s41565-026-02225-x</w:t>
        </w:r>
      </w:hyperlink>
    </w:p>
    <w:p>
      <w:pPr>
        <w:spacing w:before="0" w:after="120"/>
      </w:pPr>
      <w:r>
        <w:rPr>
          <w:b/>
        </w:rPr>
        <w:t xml:space="preserve">Notes: </w:t>
      </w:r>
      <w:r>
        <w:t>abstract_source=pubmed</w:t>
      </w:r>
    </w:p>
    <w:p>
      <w:pPr>
        <w:spacing w:before="0" w:after="80" w:lineRule="auto" w:line="276"/>
      </w:pPr>
      <w:r>
        <w:rPr>
          <w:b/>
        </w:rPr>
        <w:t xml:space="preserve">摘要（ZH）: </w:t>
      </w:r>
      <w:r>
        <w:t>靶向清除预先存在的淀粉样蛋白-β (Aβ) 聚集仍然是阿尔茨海默病 (AD) 治疗中的一个核心挑战。在这里，我们报告了一种计算引导的蛋白质-金混合纳米结构，Aβ3FTnAu，它将Aβ识别基序集成到自组装的人铁蛋白纳米笼中，该纳米笼含有结构明确的金纳米簇，该纳米簇由12个金原子组成，Au-Au距离为2.4-4.5 Å，能够选择性识别和分解聚集的人类Aβ。结构分析、诱变和分子模拟确定了 Aβ3FTnAu（H118、T122、C130）内的金配位残基与 Aβ 的 Met35 残基之间的关键相互作用，揭示了多价接合破坏纤维界面稳定并促进渐进斑块解体的机制。在 5 ×  家族性 AD 转基因小鼠中，全身施用 Aβ3FTnAu 可减少脑淀粉样蛋白负荷，保留突触完整性并改善认知能力。这项工作建立了一种合理设计的生物活性纳米材料，用于靶向重塑病理蛋白聚集体。</w:t>
      </w:r>
    </w:p>
    <w:p>
      <w:pPr>
        <w:spacing w:before="0" w:after="200" w:lineRule="auto" w:line="276"/>
      </w:pPr>
      <w:r>
        <w:rPr>
          <w:b/>
        </w:rPr>
        <w:t xml:space="preserve">Abstract (EN): </w:t>
      </w:r>
      <w:r>
        <w:t>Targeted clearance of pre-existing amyloid-β (Aβ) aggregation remains a central challenge in Alzheimer's disease (AD) therapy. Here we report a computationally guided protein-gold hybrid nanostructure, Aβ3FTnAu, that integrates Aβ-recognition motifs into self-assembled human ferritin nanocages containing structurally defined gold nanoclusters composed of 12 gold atoms with Au-Au distances of 2.4-4.5 Å, enabling the selective recognition and disassembly of aggregated human Aβ. Structural analysis, mutagenesis and molecular simulations identify key interactions between gold-coordinating residues within Aβ3FTnAu (H118, T122, C130) and the Met35 residue of Aβ, revealing a mechanism in which multivalent engagement destabilizes fibrillar interfaces and promotes progressive plaque disassembly. In 5 × familial AD transgenic mice, systemic administration of Aβ3FTnAu reduced cerebral amyloid burden, preserved synaptic integrity and improved cognitive performance. This work establishes a rationally designed bioactive nanomaterial for targeted remodelling of pathological protein aggregates.</w:t>
      </w:r>
    </w:p>
    <w:p>
      <w:pPr>
        <w:spacing w:before="120" w:after="120"/>
      </w:pPr>
      <w:r>
        <w:rPr>
          <w:sz w:val="18"/>
        </w:rPr>
        <w:t>——————————————————————————————————————————————————————————————————————</w:t>
      </w:r>
    </w:p>
    <w:p>
      <w:pPr>
        <w:spacing w:before="160" w:after="40" w:line="240" w:lineRule="auto"/>
      </w:pPr>
      <w:r>
        <w:rPr>
          <w:b/>
        </w:rPr>
        <w:t xml:space="preserve">[426] </w:t>
      </w:r>
      <w:hyperlink r:id="rId1328">
        <w:r>
          <w:rPr>
            <w:color w:val="1155CC"/>
            <w:u w:val="single"/>
          </w:rPr>
          <w:t>后顶叶皮层介导稀有性引起的决策偏差</w:t>
        </w:r>
      </w:hyperlink>
    </w:p>
    <w:p>
      <w:pPr>
        <w:spacing w:before="0" w:after="80"/>
      </w:pPr>
      <w:r>
        <w:rPr>
          <w:i/>
          <w:sz w:val="20"/>
        </w:rPr>
        <w:t>EN: Posterior parietal cortex mediates rarity-induced decision bias</w:t>
      </w:r>
    </w:p>
    <w:p>
      <w:pPr>
        <w:spacing w:before="0" w:after="120"/>
      </w:pPr>
      <w:r>
        <w:rPr>
          <w:b/>
        </w:rPr>
        <w:t xml:space="preserve">Source: </w:t>
      </w:r>
      <w:r>
        <w:t>National Science Review Advance Access</w:t>
      </w:r>
      <w:r>
        <w:t xml:space="preserve">    </w:t>
      </w:r>
      <w:r>
        <w:rPr>
          <w:b/>
        </w:rPr>
        <w:t xml:space="preserve">Pub date: </w:t>
      </w:r>
      <w:r>
        <w:t>2026-07-21 00:00:00+00:00</w:t>
      </w:r>
      <w:r>
        <w:t xml:space="preserve">    </w:t>
      </w:r>
      <w:r>
        <w:rPr>
          <w:b/>
        </w:rPr>
        <w:t xml:space="preserve">DOI: </w:t>
      </w:r>
      <w:hyperlink r:id="rId1329">
        <w:r>
          <w:rPr>
            <w:color w:val="1155CC"/>
            <w:u w:val="single"/>
          </w:rPr>
          <w:t>10.1093/nsr/nwag449</w:t>
        </w:r>
      </w:hyperlink>
    </w:p>
    <w:p>
      <w:pPr>
        <w:spacing w:before="0" w:after="120"/>
      </w:pPr>
      <w:r>
        <w:rPr>
          <w:b/>
        </w:rPr>
        <w:t xml:space="preserve">Notes: </w:t>
      </w:r>
      <w:r>
        <w:t>abstract_source=rss_oup</w:t>
      </w:r>
    </w:p>
    <w:p>
      <w:pPr>
        <w:spacing w:before="0" w:after="80" w:lineRule="auto" w:line="276"/>
      </w:pPr>
      <w:r>
        <w:rPr>
          <w:b/>
        </w:rPr>
        <w:t xml:space="preserve">摘要（ZH）: </w:t>
      </w:r>
      <w:r>
        <w:t>不确定性下的最优决策对于生存至关重要，但现实世界的决策常常偏离最优性。在这里，我们报告了人类和小鼠中稀有性引起的偏差，其中稀有事件比常见事件对后续决策产生更强、更持久的影响。光遗传学操作揭示了后顶叶皮层 (PPC) 的独特的、学习阶段特定的作用：在幼稚阶段，PPC 会驱动稀有性引起的偏差并干扰最佳决策；在专家阶段，PPC 对于基于刺激的决策至关重要。体内</w:t>
      </w:r>
    </w:p>
    <w:p>
      <w:pPr>
        <w:spacing w:before="0" w:after="200" w:lineRule="auto" w:line="276"/>
      </w:pPr>
      <w:r>
        <w:rPr>
          <w:b/>
        </w:rPr>
        <w:t xml:space="preserve">Abstract (EN): </w:t>
      </w:r>
      <w:r>
        <w:t>Optimal decision-making under uncertainty is critical for survival, yet real-world decisions often deviate from optimality. Here, we report a rarity-induced bias in humans and mice, where rare events exert a stronger and more persistent impact on subsequent decisions than common events. Optogenetic manipulations reveal distinct, learning stage-specific roles of the posterior parietal cortex (PPC): in the naïve stage, PPC drives the rarity-induced bias and interferes with optimal decisions; in the expert stage, PPC becomes essential for stimulus-based decisions. In vivo</w:t>
      </w:r>
    </w:p>
    <w:p>
      <w:pPr>
        <w:spacing w:before="120" w:after="120"/>
      </w:pPr>
      <w:r>
        <w:rPr>
          <w:sz w:val="18"/>
        </w:rPr>
        <w:t>——————————————————————————————————————————————————————————————————————</w:t>
      </w:r>
    </w:p>
    <w:p>
      <w:pPr>
        <w:spacing w:before="160" w:after="40" w:line="240" w:lineRule="auto"/>
      </w:pPr>
      <w:r>
        <w:rPr>
          <w:b/>
        </w:rPr>
        <w:t xml:space="preserve">[427] </w:t>
      </w:r>
      <w:hyperlink r:id="rId1330">
        <w:r>
          <w:rPr>
            <w:color w:val="1155CC"/>
            <w:u w:val="single"/>
          </w:rPr>
          <w:t>使用扫描隧道显微镜对胶体合成金纳米立方体进行原子尺度成像和表征</w:t>
        </w:r>
      </w:hyperlink>
    </w:p>
    <w:p>
      <w:pPr>
        <w:spacing w:before="0" w:after="80"/>
      </w:pPr>
      <w:r>
        <w:rPr>
          <w:i/>
          <w:sz w:val="20"/>
        </w:rPr>
        <w:t>EN: Atomic-Scale Imaging and Characterization of Colloidally Synthesized Gold Nanocubes Using Scanning Tunneling Microscopy</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31">
        <w:r>
          <w:rPr>
            <w:color w:val="1155CC"/>
            <w:u w:val="single"/>
          </w:rPr>
          <w:t>10.1021/jacs.6c11668</w:t>
        </w:r>
      </w:hyperlink>
    </w:p>
    <w:p>
      <w:pPr>
        <w:spacing w:before="0" w:after="120"/>
      </w:pPr>
      <w:r>
        <w:rPr>
          <w:b/>
        </w:rPr>
        <w:t xml:space="preserve">Notes: </w:t>
      </w:r>
      <w:r>
        <w:t>abstract_source=pubmed</w:t>
      </w:r>
    </w:p>
    <w:p>
      <w:pPr>
        <w:spacing w:before="0" w:after="80" w:lineRule="auto" w:line="276"/>
      </w:pPr>
      <w:r>
        <w:rPr>
          <w:b/>
        </w:rPr>
        <w:t xml:space="preserve">摘要（ZH）: </w:t>
      </w:r>
      <w:r>
        <w:t>配体介导的胶体合成能够控制金属纳米粒子的生长，其特性不同于其本体对应物，但直接获取其原子级表面结构仍然有限。在这里，我们使用超高真空扫描隧道显微镜和光谱学实现了单个湿法合成金纳米立方体的原子分辨成像和光谱学。去除溶液相配体后，原子分辨的形貌揭示了超高真空中顶部立方面上未重构的 Au(100)-(1 × 1) 表面。退火后，出现准六方重构域，与 (1 × 1) 相共存。除了结构转变之外，扫描隧道光谱还揭示了未重构 Au(100) 表面 +1.2 eV 附近的未占据表面态共振，该共振通过重构、缺陷和配体残留物进行了局部修改，从而将局域电子密度与异质原子结构相关联。场发射光谱揭示了配体覆盖区域中功函数的系统降低。互补振动作用光谱进一步揭示了残余配体的C-H伸缩模式。这些结果共同建立了一个原子级精确的平台，将胶体合成与纳米材料的纳米级结构、电子和振动表征直接联系起来。</w:t>
      </w:r>
    </w:p>
    <w:p>
      <w:pPr>
        <w:spacing w:before="0" w:after="200" w:lineRule="auto" w:line="276"/>
      </w:pPr>
      <w:r>
        <w:rPr>
          <w:b/>
        </w:rPr>
        <w:t xml:space="preserve">Abstract (EN): </w:t>
      </w:r>
      <w:r>
        <w:t>Ligand-mediated colloidal synthesis enables controlled growth of metal nanoparticles with properties distinct from their bulk counterparts, yet direct access to their atomic-scale surface structure remains limited. Here, we achieve atomically resolved imaging and spectroscopy of individual wet-synthesized gold nanocubes using ultrahigh vacuum scanning tunneling microscopy and spectroscopy. Following solution phase ligand removal, atomically resolved topographies reveal an unreconstructed Au(100)-(1 × 1) surface on the top cubic facet in ultrahigh vacuum. Upon annealing, quasi-hexagonal reconstructed domains emerge, coexisting with the (1 × 1) phase. Besides structural transition, scanning tunneling spectroscopy reveals an unoccupied surface-state resonance near +1.2 eV of unreconstructed Au(100) surface, which is locally modified by the reconstruction, defects, and ligand residues, thereby correlating the local electron density of states with the heterogeneous atomic structure. Field-emission spectroscopy reveals systematic lowering of the work function in the ligand covered regions. Complementary vibrational action spectroscopy further reveals the C-H stretching mode of the residual ligands. Together, these results establish an atomically precise platform directly linking colloidal synthesis to nanoscale structural, electronic, and vibrational characterization of nanomaterials.</w:t>
      </w:r>
    </w:p>
    <w:p>
      <w:pPr>
        <w:spacing w:before="120" w:after="120"/>
      </w:pPr>
      <w:r>
        <w:rPr>
          <w:sz w:val="18"/>
        </w:rPr>
        <w:t>——————————————————————————————————————————————————————————————————————</w:t>
      </w:r>
    </w:p>
    <w:p>
      <w:pPr>
        <w:spacing w:before="160" w:after="40" w:line="240" w:lineRule="auto"/>
      </w:pPr>
      <w:r>
        <w:rPr>
          <w:b/>
        </w:rPr>
        <w:t xml:space="preserve">[428] </w:t>
      </w:r>
      <w:hyperlink r:id="rId1332">
        <w:r>
          <w:rPr>
            <w:color w:val="1155CC"/>
            <w:u w:val="single"/>
          </w:rPr>
          <w:t>UNFCCC进程中主要参与者的改革偏好</w:t>
        </w:r>
      </w:hyperlink>
    </w:p>
    <w:p>
      <w:pPr>
        <w:spacing w:before="0" w:after="80"/>
      </w:pPr>
      <w:r>
        <w:rPr>
          <w:i/>
          <w:sz w:val="20"/>
        </w:rPr>
        <w:t>EN: Reform preferences of key actors in the UNFCCC process</w:t>
      </w:r>
    </w:p>
    <w:p>
      <w:pPr>
        <w:spacing w:before="0" w:after="120"/>
      </w:pPr>
      <w:r>
        <w:rPr>
          <w:b/>
        </w:rPr>
        <w:t xml:space="preserve">Source: </w:t>
      </w:r>
      <w:r>
        <w:t>Nature Climate Change</w:t>
      </w:r>
      <w:r>
        <w:t xml:space="preserve">    </w:t>
      </w:r>
      <w:r>
        <w:rPr>
          <w:b/>
        </w:rPr>
        <w:t xml:space="preserve">Pub date: </w:t>
      </w:r>
      <w:r>
        <w:t>2026-07-21 00:00:00+00:00</w:t>
      </w:r>
      <w:r>
        <w:t xml:space="preserve">    </w:t>
      </w:r>
      <w:r>
        <w:rPr>
          <w:b/>
        </w:rPr>
        <w:t xml:space="preserve">DOI: </w:t>
      </w:r>
      <w:hyperlink r:id="rId1333">
        <w:r>
          <w:rPr>
            <w:color w:val="1155CC"/>
            <w:u w:val="single"/>
          </w:rPr>
          <w:t>10.1038/s41558-026-02723-9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改革联合国缔约方会议（COP）气候谈判的呼声日益高涨，但有关主要参与者改革偏好的系统经验证据仍然有限。在这里，通过一项涉及国家和非国家精英受访者的联合调查实验，对假设的改革提案进行比较，我们发现了对提高透明度并为推动气候行动提供更强有力的实施重点的改革的广泛支持。我们看到非国家行为者更支持限制化石燃料公司参与并扩大观察员参与机会的改革。此外，大多数其他机构改革提案并未得到实质性支持。这些结果确定了两种可能的改革路径：加强透明度和问责制，或调整缔约方会议的方向，以加强现有承诺的实施。更具争议性的改革，包括改变共识规则、缔约方会议主席和利益相关者代表，成功的可能性较小。</w:t>
      </w:r>
    </w:p>
    <w:p>
      <w:pPr>
        <w:spacing w:before="0" w:after="200" w:lineRule="auto" w:line="276"/>
      </w:pPr>
      <w:r>
        <w:rPr>
          <w:b/>
        </w:rPr>
        <w:t xml:space="preserve">Abstract (EN): </w:t>
      </w:r>
      <w:r>
        <w:t>Calls to reform the United Nations Conferences of the Parties (COPs) climate negotiations have intensified, yet systematic empirical evidence on the reform preferences of key participants remains limited. Here, using a conjoint survey experiment involving state and non-state elite respondents comparing pairs of hypothetical reform proposals, we find broad support for reforms that enhance transparency and provide a stronger implementation focus to drive climate action. We see that non-state actors are more supportive of reforms that limit fossil fuel company participation and expand opportunities for observer engagement. Furthermore, most other institutional reform proposals do not draw substantial support. These results identify two possible reform pathways: to strengthen transparency and accountability, or to reorient COPs towards strengthening the implementation of existing commitments. More contested reforms, including changes to the consensus rule, the COP presidency and stakeholder representation, are less likely to succeed.</w:t>
      </w:r>
    </w:p>
    <w:p>
      <w:pPr>
        <w:spacing w:before="120" w:after="120"/>
      </w:pPr>
      <w:r>
        <w:rPr>
          <w:sz w:val="18"/>
        </w:rPr>
        <w:t>——————————————————————————————————————————————————————————————————————</w:t>
      </w:r>
    </w:p>
    <w:p>
      <w:pPr>
        <w:spacing w:before="160" w:after="40" w:line="240" w:lineRule="auto"/>
      </w:pPr>
      <w:r>
        <w:rPr>
          <w:b/>
        </w:rPr>
        <w:t xml:space="preserve">[429] </w:t>
      </w:r>
      <w:hyperlink r:id="rId1334">
        <w:r>
          <w:rPr>
            <w:color w:val="1155CC"/>
            <w:u w:val="single"/>
          </w:rPr>
          <w:t>大胆和好战有关系吗？</w:t>
        </w:r>
      </w:hyperlink>
    </w:p>
    <w:p>
      <w:pPr>
        <w:spacing w:before="0" w:after="80"/>
      </w:pPr>
      <w:r>
        <w:rPr>
          <w:i/>
          <w:sz w:val="20"/>
        </w:rPr>
        <w:t>EN: Are boldness and belligerence related?</w:t>
      </w:r>
    </w:p>
    <w:p>
      <w:pPr>
        <w:spacing w:before="0" w:after="120"/>
      </w:pPr>
      <w:r>
        <w:rPr>
          <w:b/>
        </w:rPr>
        <w:t xml:space="preserve">Source: </w:t>
      </w:r>
      <w:r>
        <w:t>Nature</w:t>
      </w:r>
      <w:r>
        <w:t xml:space="preserve">    </w:t>
      </w:r>
      <w:r>
        <w:rPr>
          <w:b/>
        </w:rPr>
        <w:t xml:space="preserve">Pub date: </w:t>
      </w:r>
      <w:r>
        <w:t>2026-07-21 00:00:00+00:00</w:t>
      </w:r>
      <w:r>
        <w:t xml:space="preserve">    </w:t>
      </w:r>
      <w:r>
        <w:rPr>
          <w:b/>
        </w:rPr>
        <w:t xml:space="preserve">DOI: </w:t>
      </w:r>
      <w:hyperlink r:id="rId1335">
        <w:r>
          <w:rPr>
            <w:color w:val="1155CC"/>
            <w:u w:val="single"/>
          </w:rPr>
          <w:t>10.1038/d41586-026-02103-5</w:t>
        </w:r>
      </w:hyperlink>
    </w:p>
    <w:p>
      <w:pPr>
        <w:spacing w:before="0" w:after="120"/>
      </w:pPr>
      <w:r>
        <w:rPr>
          <w:b/>
        </w:rPr>
        <w:t xml:space="preserve">Notes: </w:t>
      </w:r>
      <w:r>
        <w:t>abstract_source=rss_nature</w:t>
      </w:r>
    </w:p>
    <w:p>
      <w:pPr>
        <w:spacing w:before="0" w:after="80" w:lineRule="auto" w:line="276"/>
      </w:pPr>
      <w:r>
        <w:rPr>
          <w:b/>
        </w:rPr>
        <w:t xml:space="preserve">摘要（ZH）: </w:t>
      </w:r>
      <w:r>
        <w:t>本周从《自然》档案中挑选的文章中，展示了刺鱼的不同类型的攻击行为，以及日落时看到的光柱。</w:t>
      </w:r>
    </w:p>
    <w:p>
      <w:pPr>
        <w:spacing w:before="0" w:after="200" w:lineRule="auto" w:line="276"/>
      </w:pPr>
      <w:r>
        <w:rPr>
          <w:b/>
        </w:rPr>
        <w:t xml:space="preserve">Abstract (EN): </w:t>
      </w:r>
      <w:r>
        <w:t>Different types of aggression in stickleback fish, and a pillar of light seen at sunset, in this week’s pick from the Nature archive.</w:t>
      </w:r>
    </w:p>
    <w:p>
      <w:pPr>
        <w:spacing w:before="120" w:after="120"/>
      </w:pPr>
      <w:r>
        <w:rPr>
          <w:sz w:val="18"/>
        </w:rPr>
        <w:t>——————————————————————————————————————————————————————————————————————</w:t>
      </w:r>
    </w:p>
    <w:p>
      <w:pPr>
        <w:spacing w:before="160" w:after="40" w:line="240" w:lineRule="auto"/>
      </w:pPr>
      <w:r>
        <w:rPr>
          <w:b/>
        </w:rPr>
        <w:t xml:space="preserve">[430] </w:t>
      </w:r>
      <w:hyperlink r:id="rId1336">
        <w:r>
          <w:rPr>
            <w:color w:val="1155CC"/>
            <w:u w:val="single"/>
          </w:rPr>
          <w:t>异质人工光系统 I：Zr-金属-有机框架中的光诱导质子耦合电子转移</w:t>
        </w:r>
      </w:hyperlink>
    </w:p>
    <w:p>
      <w:pPr>
        <w:spacing w:before="0" w:after="80"/>
      </w:pPr>
      <w:r>
        <w:rPr>
          <w:i/>
          <w:sz w:val="20"/>
        </w:rPr>
        <w:t>EN: Heterogeneous Artificial Photosystem I: Photoinduced Proton-Coupled Electron Transfer in Zr–Metal–Organic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37">
        <w:r>
          <w:rPr>
            <w:color w:val="1155CC"/>
            <w:u w:val="single"/>
          </w:rPr>
          <w:t>10.1021/jacs.6c02964</w:t>
        </w:r>
      </w:hyperlink>
    </w:p>
    <w:p>
      <w:pPr>
        <w:spacing w:before="0" w:after="120"/>
      </w:pPr>
      <w:r>
        <w:rPr>
          <w:b/>
        </w:rPr>
        <w:t xml:space="preserve">Notes: </w:t>
      </w:r>
      <w:r>
        <w:t>abstract_source=pubmed</w:t>
      </w:r>
    </w:p>
    <w:p>
      <w:pPr>
        <w:spacing w:before="0" w:after="80" w:lineRule="auto" w:line="276"/>
      </w:pPr>
      <w:r>
        <w:rPr>
          <w:b/>
        </w:rPr>
        <w:t xml:space="preserve">摘要（ZH）: </w:t>
      </w:r>
      <w:r>
        <w:t>光系统 I 通过质子耦合电子转移 (PCET) 生成 NADH 作为主要光产物，弥补了超快能量转换和慢得多的化学键形成之间的差距； NADH 随后充当下游多电子反应的氧化还原梭。在人工系统中复制这样一个优雅的蓝图或其功能和机制仍然具有挑战性。本研究展示了基于芘的锆氧金属有机框架 (MOF) NU-1000 中的光诱导 PCET 过程，在单线态流形中运行，直接产生 NADH 模型类似物 (HNH-H) 以及 2[芘•+]─[Zr-氧节点-O-] 对，无需任何助催化剂。光谱分析（包括稳态、时间分辨和瞬态方法）表明，在逐步的两个 1e- 还原过程中，极性二甲基甲酰胺溶剂中节点结合羟基和水配体的质子转移并不直接参与速率决定步骤，这一点可以通过在非常低的 [HNH+] 下 1 的动力学同位素效应 (KIE) 来证明。然而，随着从阴离子节点连续去质子化的难度越来越大，在较高的 [HNH+] 下观察到逆 KIE (0.75)。基于密度泛函理论的计算支持预平衡质子转移到第一个1e-还原自由基中间体HNH·，然后是第二次电子转移，这与该吸能过程的总体ET-PTET机制一致。在不支持质子转移的非极性溶剂中，HNH•中间体反而会发生不可逆的二聚化。减少的 HNH-H 航天飞机是前</w:t>
      </w:r>
    </w:p>
    <w:p>
      <w:pPr>
        <w:spacing w:before="0" w:after="200" w:lineRule="auto" w:line="276"/>
      </w:pPr>
      <w:r>
        <w:rPr>
          <w:b/>
        </w:rPr>
        <w:t xml:space="preserve">Abstract (EN): </w:t>
      </w:r>
      <w:r>
        <w:t>Photosystem I bridges the disparity between ultrafast energy transduction and much slower chemical bond formation by generating NADH as the primary photoproduct via proton-coupled electron transfer (PCET); NADH subsequently serves as a redox shuttle for downstream multielectron reactions. Replicating such an elegant blueprint, or its function and mechanism within artificial systems, remains challenging. This study demonstrates a photoinduced PCET process in a pyrene-based zirconium-oxo metal-organic framework (MOF) NU-1000, operating in the singlet manifold, directly producing an NADH model analogue (HNH-H) along with a 2[pyrene•+]─[Zr-oxo node-O-] pair, without any cocatalysts. Spectroscopic analyses─including steady-state, time-resolved, and transient methods─reveal that in a stepwise two 1e- reduction process, the proton transfer from node-bound hydroxyl and aqua ligands in polar dimethylformamide solvent is not directly involved in the rate-defining step, evidenced by a kinetic isotope effect (KIE) of 1 at a very low [HNH+]. However, with increasing difficulty in the successive deprotonation from the anionic node, an inverse KIE (0.75) was observed at higher [HNH+]. Density functional theory-based computation supports a pre-equilibrium proton transfer to the first 1e- reduced radical intermediate HNH•, followed by the second electron transfer, consistent with an overall ET-PTET mechanism for this endoergic process. In nonpolar solvents that do not support proton transfer, the HNH• intermediate instead undergoes irreversible dimerization. The reduced HNH-H shuttle was exploited in the photocatalytic multielectron PCET-based reduction of maleate to succinate, achieving ∼30% consumption of maleate and ∼12% conversion to succinate in aprotic media without any external hole scavengers and proton source, relying solely on node-bound protons in NU-1000. Under these conditions, the benchmark photocatalyst Ru(bpy)32+ was ineffective. Introduction of ethanol as a regenerator establishes a fully catalytic, recyclable system with NU-1000. These results highlight the potential of Zr-oxo MOFs as platforms for entirely artificial, bioinspired photosystem I analogues.</w:t>
      </w:r>
    </w:p>
    <w:p>
      <w:pPr>
        <w:spacing w:before="120" w:after="120"/>
      </w:pPr>
      <w:r>
        <w:rPr>
          <w:sz w:val="18"/>
        </w:rPr>
        <w:t>——————————————————————————————————————————————————————————————————————</w:t>
      </w:r>
    </w:p>
    <w:p>
      <w:pPr>
        <w:spacing w:before="160" w:after="40" w:line="240" w:lineRule="auto"/>
      </w:pPr>
      <w:r>
        <w:rPr>
          <w:b/>
        </w:rPr>
        <w:t xml:space="preserve">[431] </w:t>
      </w:r>
      <w:hyperlink r:id="rId1338">
        <w:r>
          <w:rPr>
            <w:color w:val="1155CC"/>
            <w:u w:val="single"/>
          </w:rPr>
          <w:t>迈向技术智能型绿色产业政策</w:t>
        </w:r>
      </w:hyperlink>
    </w:p>
    <w:p>
      <w:pPr>
        <w:spacing w:before="0" w:after="80"/>
      </w:pPr>
      <w:r>
        <w:rPr>
          <w:i/>
          <w:sz w:val="20"/>
        </w:rPr>
        <w:t>EN: Towards technology-smart green industrial policy</w:t>
      </w:r>
    </w:p>
    <w:p>
      <w:pPr>
        <w:spacing w:before="0" w:after="120"/>
      </w:pPr>
      <w:r>
        <w:rPr>
          <w:b/>
        </w:rPr>
        <w:t xml:space="preserve">Source: </w:t>
      </w:r>
      <w:r>
        <w:t>Nature Energy</w:t>
      </w:r>
      <w:r>
        <w:t xml:space="preserve">    </w:t>
      </w:r>
      <w:r>
        <w:rPr>
          <w:b/>
        </w:rPr>
        <w:t xml:space="preserve">Pub date: </w:t>
      </w:r>
      <w:r>
        <w:t>2026-07-21 00:00:00+00:00</w:t>
      </w:r>
      <w:r>
        <w:t xml:space="preserve">    </w:t>
      </w:r>
      <w:r>
        <w:rPr>
          <w:b/>
        </w:rPr>
        <w:t xml:space="preserve">DOI: </w:t>
      </w:r>
      <w:hyperlink r:id="rId1339">
        <w:r>
          <w:rPr>
            <w:color w:val="1155CC"/>
            <w:u w:val="single"/>
          </w:rPr>
          <w:t>10.1038/s41560-026-02110-w</w:t>
        </w:r>
      </w:hyperlink>
    </w:p>
    <w:p>
      <w:pPr>
        <w:spacing w:before="0" w:after="120"/>
      </w:pPr>
      <w:r>
        <w:rPr>
          <w:b/>
        </w:rPr>
        <w:t xml:space="preserve">Notes: </w:t>
      </w:r>
      <w:r>
        <w:t>abstract_source=rss_nature</w:t>
      </w:r>
    </w:p>
    <w:p>
      <w:pPr>
        <w:spacing w:before="0" w:after="80" w:lineRule="auto" w:line="276"/>
      </w:pPr>
      <w:r>
        <w:rPr>
          <w:b/>
        </w:rPr>
        <w:t xml:space="preserve">摘要（ZH）: </w:t>
      </w:r>
      <w:r>
        <w:t>随着政府制定绿色产业政策，确定未来获胜的能源技术变得越来越重要。通过评估技术特征，政策制定者可以战略性地选择既能带来全球成本竞争力又能带来国内经济回报的制胜技术。</w:t>
      </w:r>
    </w:p>
    <w:p>
      <w:pPr>
        <w:spacing w:before="0" w:after="200" w:lineRule="auto" w:line="276"/>
      </w:pPr>
      <w:r>
        <w:rPr>
          <w:b/>
        </w:rPr>
        <w:t xml:space="preserve">Abstract (EN): </w:t>
      </w:r>
      <w:r>
        <w:t>Identifying future winning energy technologies is increasingly important as governments design green industrial policy. By evaluating technology characteristics, policymakers can strategically pick winning technologies that deliver both global cost-competitiveness and domestic economic payoffs.</w:t>
      </w:r>
    </w:p>
    <w:p>
      <w:pPr>
        <w:spacing w:before="120" w:after="120"/>
      </w:pPr>
      <w:r>
        <w:rPr>
          <w:sz w:val="18"/>
        </w:rPr>
        <w:t>——————————————————————————————————————————————————————————————————————</w:t>
      </w:r>
    </w:p>
    <w:p>
      <w:pPr>
        <w:spacing w:before="160" w:after="40" w:line="240" w:lineRule="auto"/>
      </w:pPr>
      <w:r>
        <w:rPr>
          <w:b/>
        </w:rPr>
        <w:t xml:space="preserve">[432] </w:t>
      </w:r>
      <w:hyperlink r:id="rId1340">
        <w:r>
          <w:rPr>
            <w:color w:val="1155CC"/>
            <w:u w:val="single"/>
          </w:rPr>
          <w:t>美国气候变化新闻的时间范围</w:t>
        </w:r>
      </w:hyperlink>
    </w:p>
    <w:p>
      <w:pPr>
        <w:spacing w:before="0" w:after="80"/>
      </w:pPr>
      <w:r>
        <w:rPr>
          <w:i/>
          <w:sz w:val="20"/>
        </w:rPr>
        <w:t>EN: Temporal horizons in US climate change news</w:t>
      </w:r>
    </w:p>
    <w:p>
      <w:pPr>
        <w:spacing w:before="0" w:after="120"/>
      </w:pPr>
      <w:r>
        <w:rPr>
          <w:b/>
        </w:rPr>
        <w:t xml:space="preserve">Source: </w:t>
      </w:r>
      <w:r>
        <w:t>Nature Climate Change</w:t>
      </w:r>
      <w:r>
        <w:t xml:space="preserve">    </w:t>
      </w:r>
      <w:r>
        <w:rPr>
          <w:b/>
        </w:rPr>
        <w:t xml:space="preserve">Pub date: </w:t>
      </w:r>
      <w:r>
        <w:t>2026-07-21 00:00:00+00:00</w:t>
      </w:r>
      <w:r>
        <w:t xml:space="preserve">    </w:t>
      </w:r>
      <w:r>
        <w:rPr>
          <w:b/>
        </w:rPr>
        <w:t xml:space="preserve">DOI: </w:t>
      </w:r>
      <w:hyperlink r:id="rId1341">
        <w:r>
          <w:rPr>
            <w:color w:val="1155CC"/>
            <w:u w:val="single"/>
          </w:rPr>
          <w:t>10.1038/s41558-026-02716-8</w:t>
        </w:r>
      </w:hyperlink>
    </w:p>
    <w:p>
      <w:pPr>
        <w:spacing w:before="0" w:after="120"/>
      </w:pPr>
      <w:r>
        <w:rPr>
          <w:b/>
        </w:rPr>
        <w:t xml:space="preserve">Notes: </w:t>
      </w:r>
      <w:r>
        <w:t>abstract_source=rss_nature</w:t>
      </w:r>
    </w:p>
    <w:p>
      <w:pPr>
        <w:spacing w:before="0" w:after="80" w:lineRule="auto" w:line="276"/>
      </w:pPr>
      <w:r>
        <w:rPr>
          <w:b/>
        </w:rPr>
        <w:t xml:space="preserve">摘要（ZH）: </w:t>
      </w:r>
      <w:r>
        <w:t>新闻将气候变化描述为现在发生的事情还是未来发生的事情都会影响公众的风险认知和气候行动。最近的一项研究表明，在美国新闻中，预期气候影响的时间已经越来越近，但协调一致的气候行动始终推迟到未来。</w:t>
      </w:r>
    </w:p>
    <w:p>
      <w:pPr>
        <w:spacing w:before="0" w:after="200" w:lineRule="auto" w:line="276"/>
      </w:pPr>
      <w:r>
        <w:rPr>
          <w:b/>
        </w:rPr>
        <w:t xml:space="preserve">Abstract (EN): </w:t>
      </w:r>
      <w:r>
        <w:t>Whether news presents climate change as something happening now or in the future impacts public risk perceptions and climate action. A recent study shows that, in US news, the timing of anticipated climate impacts has got closer but coordinated climate actions are consistently deferred to the future.</w:t>
      </w:r>
    </w:p>
    <w:p>
      <w:pPr>
        <w:spacing w:before="120" w:after="120"/>
      </w:pPr>
      <w:r>
        <w:rPr>
          <w:sz w:val="18"/>
        </w:rPr>
        <w:t>——————————————————————————————————————————————————————————————————————</w:t>
      </w:r>
    </w:p>
    <w:p>
      <w:pPr>
        <w:spacing w:before="160" w:after="40" w:line="240" w:lineRule="auto"/>
      </w:pPr>
      <w:r>
        <w:rPr>
          <w:b/>
        </w:rPr>
        <w:t xml:space="preserve">[433] </w:t>
      </w:r>
      <w:hyperlink r:id="rId1342">
        <w:r>
          <w:rPr>
            <w:color w:val="1155CC"/>
            <w:u w:val="single"/>
          </w:rPr>
          <w:t>反芳香性作为磁增强手性光学各向异性的设计原理</w:t>
        </w:r>
      </w:hyperlink>
    </w:p>
    <w:p>
      <w:pPr>
        <w:spacing w:before="0" w:after="80"/>
      </w:pPr>
      <w:r>
        <w:rPr>
          <w:i/>
          <w:sz w:val="20"/>
        </w:rPr>
        <w:t>EN: Antiaromaticity as a Design Principle for Magnetically Enhanced Chiroptical Anisotropy</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43">
        <w:r>
          <w:rPr>
            <w:color w:val="1155CC"/>
            <w:u w:val="single"/>
          </w:rPr>
          <w:t>10.1021/jacs.6c07069</w:t>
        </w:r>
      </w:hyperlink>
    </w:p>
    <w:p>
      <w:pPr>
        <w:spacing w:before="0" w:after="120"/>
      </w:pPr>
      <w:r>
        <w:rPr>
          <w:b/>
        </w:rPr>
        <w:t xml:space="preserve">Notes: </w:t>
      </w:r>
      <w:r>
        <w:t>abstract_source=pubmed</w:t>
      </w:r>
    </w:p>
    <w:p>
      <w:pPr>
        <w:spacing w:before="0" w:after="80" w:lineRule="auto" w:line="276"/>
      </w:pPr>
      <w:r>
        <w:rPr>
          <w:b/>
        </w:rPr>
        <w:t xml:space="preserve">摘要（ZH）: </w:t>
      </w:r>
      <w:r>
        <w:t>增强低激发能下的手性光学响应仍然是小有机分子的主要挑战，因为它们的最低激发态通常由电偶极子特征主导。在这里，我们证明了反芳香性可以作为分子设计原理来利用，以获得具有增强磁性贡献的低能量激发。通过将平面对位 s-indacene (4nπ) 核心与 [5]helicene 支架融合，我们构建了一个螺旋手性反芳香系统，该系统在短波近红外区域表现出明显的不对称因子达到 10-2。结合 GIMIC/NICS 分析和多级电子结构计算表明，顺向环电流使前沿激发态流形偏向增强的磁贡献，而热感应对称性破缺使这些状态可以光学观测。这些发现支持将反芳香核与合适的手性融合拓扑相结合作为工程手性光学各向异性的可行策略。</w:t>
      </w:r>
    </w:p>
    <w:p>
      <w:pPr>
        <w:spacing w:before="0" w:after="200" w:lineRule="auto" w:line="276"/>
      </w:pPr>
      <w:r>
        <w:rPr>
          <w:b/>
        </w:rPr>
        <w:t xml:space="preserve">Abstract (EN): </w:t>
      </w:r>
      <w:r>
        <w:t>Enhancing chiroptical response at low excitation energies remains a central challenge for small organic molecules because their lowest excited states are typically dominated by an electric-dipole character. Here we demonstrate that antiaromaticity can be exploited as a molecular design principle to access low-energy excitations with enhanced magnetic contributions. By fusing a planar paratropic s-indacene (4nπ) core with [5]helicene scaffolds, we construct a helically chiral antiaromatic system that exhibits pronounced dissymmetry factors gabs reaching 10-2 in the short-wave near-infrared region. Combined GIMIC/NICS analysis and multilevel electronic-structure calculations reveal that paratropic ring currents bias the frontier excited-state manifold toward enhanced magnetic contributions, while thermally induced symmetry breaking renders these states optically observable. These findings support the integration of antiaromatic cores with suitable chiral fusion topologies as a viable strategy for engineering chiroptical anisotropy.</w:t>
      </w:r>
    </w:p>
    <w:p>
      <w:pPr>
        <w:spacing w:before="120" w:after="120"/>
      </w:pPr>
      <w:r>
        <w:rPr>
          <w:sz w:val="18"/>
        </w:rPr>
        <w:t>——————————————————————————————————————————————————————————————————————</w:t>
      </w:r>
    </w:p>
    <w:p>
      <w:pPr>
        <w:spacing w:before="160" w:after="40" w:line="240" w:lineRule="auto"/>
      </w:pPr>
      <w:r>
        <w:rPr>
          <w:b/>
        </w:rPr>
        <w:t xml:space="preserve">[434] </w:t>
      </w:r>
      <w:hyperlink r:id="rId1344">
        <w:r>
          <w:rPr>
            <w:color w:val="1155CC"/>
            <w:u w:val="single"/>
          </w:rPr>
          <w:t>非洲水研究超越冲突和稀缺的叙述</w:t>
        </w:r>
      </w:hyperlink>
    </w:p>
    <w:p>
      <w:pPr>
        <w:spacing w:before="0" w:after="80"/>
      </w:pPr>
      <w:r>
        <w:rPr>
          <w:i/>
          <w:sz w:val="20"/>
        </w:rPr>
        <w:t>EN: African water research beyond the narratives of conflict and scarcity</w:t>
      </w:r>
    </w:p>
    <w:p>
      <w:pPr>
        <w:spacing w:before="0" w:after="120"/>
      </w:pPr>
      <w:r>
        <w:rPr>
          <w:b/>
        </w:rPr>
        <w:t xml:space="preserve">Source: </w:t>
      </w:r>
      <w:r>
        <w:t>Nature Sustainability</w:t>
      </w:r>
      <w:r>
        <w:t xml:space="preserve">    </w:t>
      </w:r>
      <w:r>
        <w:rPr>
          <w:b/>
        </w:rPr>
        <w:t xml:space="preserve">Pub date: </w:t>
      </w:r>
      <w:r>
        <w:t>2026-07-21 00:00:00+00:00</w:t>
      </w:r>
      <w:r>
        <w:t xml:space="preserve">    </w:t>
      </w:r>
      <w:r>
        <w:rPr>
          <w:b/>
        </w:rPr>
        <w:t xml:space="preserve">DOI: </w:t>
      </w:r>
      <w:hyperlink r:id="rId1345">
        <w:r>
          <w:rPr>
            <w:color w:val="1155CC"/>
            <w:u w:val="single"/>
          </w:rPr>
          <w:t>10.1038/s41893-026-01895-8</w:t>
        </w:r>
      </w:hyperlink>
    </w:p>
    <w:p>
      <w:pPr>
        <w:spacing w:before="0" w:after="120"/>
      </w:pPr>
      <w:r>
        <w:rPr>
          <w:b/>
        </w:rPr>
        <w:t xml:space="preserve">Notes: </w:t>
      </w:r>
      <w:r>
        <w:t>abstract_source=rss_nature</w:t>
      </w:r>
    </w:p>
    <w:p>
      <w:pPr>
        <w:spacing w:before="0" w:after="80" w:lineRule="auto" w:line="276"/>
      </w:pPr>
      <w:r>
        <w:rPr>
          <w:b/>
        </w:rPr>
        <w:t xml:space="preserve">摘要（ZH）: </w:t>
      </w:r>
      <w:r>
        <w:t>可重复、可复制和强有力的非洲水研究在引人注目的科学期刊中仍然代表性不足，导致区域政策制定者转向咨询公司和利益集团。我们呼吁加强编辑对非洲水研究的参与，以利用其对解决跨境冲突的贡献。</w:t>
      </w:r>
    </w:p>
    <w:p>
      <w:pPr>
        <w:spacing w:before="0" w:after="200" w:lineRule="auto" w:line="276"/>
      </w:pPr>
      <w:r>
        <w:rPr>
          <w:b/>
        </w:rPr>
        <w:t xml:space="preserve">Abstract (EN): </w:t>
      </w:r>
      <w:r>
        <w:t>Reproducible, replicable and robust African water research remains underrepresented in highly visible scientific journals, leading regional policymakers to turn to consulting firms and interest groups. We call for stronger editorial engagement with African water research to leverage its contributions to transboundary conflict resolution.</w:t>
      </w:r>
    </w:p>
    <w:p>
      <w:pPr>
        <w:spacing w:before="120" w:after="120"/>
      </w:pPr>
      <w:r>
        <w:rPr>
          <w:sz w:val="18"/>
        </w:rPr>
        <w:t>——————————————————————————————————————————————————————————————————————</w:t>
      </w:r>
    </w:p>
    <w:p>
      <w:pPr>
        <w:spacing w:before="160" w:after="40" w:line="240" w:lineRule="auto"/>
      </w:pPr>
      <w:r>
        <w:rPr>
          <w:b/>
        </w:rPr>
        <w:t xml:space="preserve">[435] </w:t>
      </w:r>
      <w:hyperlink r:id="rId1346">
        <w:r>
          <w:rPr>
            <w:color w:val="1155CC"/>
            <w:u w:val="single"/>
          </w:rPr>
          <w:t>由 2-卤代苯并呋喃和吲哚氧化剂实现的跨宽 p K a 谱的碱促进的苄基 C–H 胺化反应</w:t>
        </w:r>
      </w:hyperlink>
    </w:p>
    <w:p>
      <w:pPr>
        <w:spacing w:before="0" w:after="80"/>
      </w:pPr>
      <w:r>
        <w:rPr>
          <w:i/>
          <w:sz w:val="20"/>
        </w:rPr>
        <w:t>EN: Base-Promoted Benzylic C–H Amination Reactions Across a Wide p K a Spectrum Enabled by 2-Halobenzofuran and -Indole Oxidants</w:t>
      </w:r>
    </w:p>
    <w:p>
      <w:pPr>
        <w:spacing w:before="0" w:after="120"/>
      </w:pPr>
      <w:r>
        <w:rPr>
          <w:b/>
        </w:rPr>
        <w:t xml:space="preserve">Source: </w:t>
      </w:r>
      <w:r>
        <w:t>Journal of the American Chemical Society: Latest Articles (ACS Publications)</w:t>
      </w:r>
      <w:r>
        <w:t xml:space="preserve">    </w:t>
      </w:r>
      <w:r>
        <w:rPr>
          <w:b/>
        </w:rPr>
        <w:t xml:space="preserve">Pub date: </w:t>
      </w:r>
      <w:r>
        <w:t>2026-07-21 00:00:00+00:00</w:t>
      </w:r>
      <w:r>
        <w:t xml:space="preserve">    </w:t>
      </w:r>
      <w:r>
        <w:rPr>
          <w:b/>
        </w:rPr>
        <w:t xml:space="preserve">DOI: </w:t>
      </w:r>
      <w:hyperlink r:id="rId1347">
        <w:r>
          <w:rPr>
            <w:color w:val="1155CC"/>
            <w:u w:val="single"/>
          </w:rPr>
          <w:t>10.1021/jacs.6c09674</w:t>
        </w:r>
      </w:hyperlink>
    </w:p>
    <w:p>
      <w:pPr>
        <w:spacing w:before="0" w:after="120"/>
      </w:pPr>
      <w:r>
        <w:rPr>
          <w:b/>
        </w:rPr>
        <w:t xml:space="preserve">Notes: </w:t>
      </w:r>
      <w:r>
        <w:t>abstract_source=pubmed</w:t>
      </w:r>
    </w:p>
    <w:p>
      <w:pPr>
        <w:spacing w:before="0" w:after="80" w:lineRule="auto" w:line="276"/>
      </w:pPr>
      <w:r>
        <w:rPr>
          <w:b/>
        </w:rPr>
        <w:t xml:space="preserve">摘要（ZH）: </w:t>
      </w:r>
      <w:r>
        <w:t>我们公开了一种碱促进的方法，使用2-卤代苯并呋喃和吲哚作为新型卤素氧化剂，将烷基（杂）芳烃的苄基C-H键与苯胺亲核试剂直接偶联。我们还将这种反应性扩展到双重使用六甲基二硅氮烷 (HMDS) 试剂作为碱和亲核氨替代物，通过简单的脱保护和分离方案获得伯苄胺。该方法利用卤素转移（X 转移）反应性将去质子化、卤化和亲核取代合并为一个协同过程，这对于反应成功至关重要。在这里，热力学上的去质子化事件产生瞬时的苄基碳负离子和卤化物中间体，从而避免了众所周知的金属化-卤化序列中的二聚化和苄基卤取代导致的胺过度烷基化的复杂性。与传统的 C-H 金属化化学和已建立的基于自由基或氮烯的 C-H 胺化策略相比，这些特性提供了新颖的范围和选择性机会。该方案的反应性以 C-H 酸度趋势为指导，对于聚烷基芳烃、难以氧化的烷基（杂）芳烃以及具有易氧化官能团的底物（这些官能团在替代机械方法中不适合或没有选择性）有效。新型苯并呋喃和吲哚 X 转移试剂 (XTR) 与胺亲核试剂和碱相容，可将 X 转移氧化偶联扩展到比以前更宽的 pKa 范围。这些易于制备的试剂的结构研究解释了</w:t>
      </w:r>
    </w:p>
    <w:p>
      <w:pPr>
        <w:spacing w:before="0" w:after="200" w:lineRule="auto" w:line="276"/>
      </w:pPr>
      <w:r>
        <w:rPr>
          <w:b/>
        </w:rPr>
        <w:t xml:space="preserve">Abstract (EN): </w:t>
      </w:r>
      <w:r>
        <w:t>We disclose a base-promoted method to directly couple benzylic C-H bonds of alkyl(hetero)arenes with aniline pronucleophiles using 2-halobenzofurans and -indoles as novel halogen oxidants. We also extend this reactivity to the dual use of hexamethyldisilazide (HMDS) reagents as bases and nucleophilic ammonia surrogates to access primary benzyl amines via a simple deprotection and isolation protocol. This methodology leverages halogen transfer (X-transfer) reactivity to merge deprotonation, halogenation, and nucleophilic substitution into one synergistic process that is critical for reaction success. Here, a thermodynamically uphill deprotonation event generates transient benzyl carbanionic and halide intermediates which circumvent well-known complications of dimerization in metalation-halogenation sequences and amine overalkylation from benzyl halide substitution. These features enable novel scope and selectivity opportunities over traditional C-H metalation chemistry and established radical- or nitrene-based C-H amination strategies. With reactivity guided by C-H acidity trends, this protocol is effective for polyalkylarenes, hard-to-oxidize alkyl(hetero)arenes, and substrates with oxidation-prone functional groups that are unsuitable or unselective in alternative mechanistic approaches. New benzofuran and indole X-transfer reagents (XTRs), which are compatible with amine nucleophiles and bases, allow the expansion of X-transfer oxidative coupling to a substantially wider pKa range than previously accessible. Structural studies of these easily-prepared reagents explain their enhanced productivity for C-H amination and provide guidelines for their continued application to other oxidative C-H coupling reactions.</w:t>
      </w:r>
    </w:p>
    <w:p>
      <w:pPr>
        <w:spacing w:before="120" w:after="120"/>
      </w:pPr>
      <w:r>
        <w:rPr>
          <w:sz w:val="18"/>
        </w:rPr>
        <w:t>——————————————————————————————————————————————————————————————————————</w:t>
      </w:r>
    </w:p>
    <w:p>
      <w:pPr>
        <w:spacing w:before="160" w:after="40" w:line="240" w:lineRule="auto"/>
      </w:pPr>
      <w:r>
        <w:rPr>
          <w:b/>
        </w:rPr>
        <w:t xml:space="preserve">[436] </w:t>
      </w:r>
      <w:hyperlink r:id="rId1348">
        <w:r>
          <w:rPr>
            <w:color w:val="1155CC"/>
            <w:u w:val="single"/>
          </w:rPr>
          <w:t>Kuyyamudi 等人的修正，异型细胞间粘附调节细胞间迁移的效率</w:t>
        </w:r>
      </w:hyperlink>
    </w:p>
    <w:p>
      <w:pPr>
        <w:spacing w:before="0" w:after="80"/>
      </w:pPr>
      <w:r>
        <w:rPr>
          <w:i/>
          <w:sz w:val="20"/>
        </w:rPr>
        <w:t>EN: Correction for Kuyyamudi et al., Heterotypic intercellular adhesion tunes efficiency of cell-on-cell migration</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49">
        <w:r>
          <w:rPr>
            <w:color w:val="1155CC"/>
            <w:u w:val="single"/>
          </w:rPr>
          <w:t>10.1073/pnas.2622604123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[437] </w:t>
      </w:r>
      <w:hyperlink r:id="rId1350">
        <w:r>
          <w:rPr>
            <w:color w:val="1155CC"/>
            <w:u w:val="single"/>
          </w:rPr>
          <w:t>FGFR2 是一种致癌驱动因素，对于人类伽马疱疹病毒潜伏感染和肿瘤发生的成功至关重要</w:t>
        </w:r>
      </w:hyperlink>
    </w:p>
    <w:p>
      <w:pPr>
        <w:spacing w:before="0" w:after="80"/>
      </w:pPr>
      <w:r>
        <w:rPr>
          <w:i/>
          <w:sz w:val="20"/>
        </w:rPr>
        <w:t>EN: FGFR2 is an oncogenic driver critical for successful human gammaherpesvirus latent infection and oncogenesis</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51">
        <w:r>
          <w:rPr>
            <w:color w:val="1155CC"/>
            <w:u w:val="single"/>
          </w:rPr>
          <w:t>10.1073/pnas.2602413123</w:t>
        </w:r>
      </w:hyperlink>
    </w:p>
    <w:p>
      <w:pPr>
        <w:spacing w:before="0" w:after="120"/>
      </w:pPr>
      <w:r>
        <w:rPr>
          <w:b/>
        </w:rPr>
        <w:t xml:space="preserve">Notes: </w:t>
      </w:r>
      <w:r>
        <w:t>abstract_source=crossref</w:t>
      </w:r>
    </w:p>
    <w:p>
      <w:pPr>
        <w:spacing w:before="0" w:after="80" w:lineRule="auto" w:line="276"/>
      </w:pPr>
      <w:r>
        <w:rPr>
          <w:b/>
        </w:rPr>
        <w:t xml:space="preserve">摘要（ZH）: </w:t>
      </w:r>
      <w:r>
        <w:t>爱泼斯坦-巴尔病毒（EBV）和卡波西肉瘤相关疱疹病毒（KSHV）可导致多种侵袭性淋巴瘤，但针对这些病毒相关恶性肿瘤的有效靶向治疗仍然有限。通过无偏倚的全激酶组筛选并结合病毒阳性患者肿瘤的分析，我们确定成纤维细胞生长因子受体 2 (FGFR2) 是 EBV 和 KSHV 相关淋巴瘤中选择性激活的宿主激酶。重要的是，FGFR2 是有效建立 EBV 潜伏感染所必需的，其敲低会显着损害病毒潜伏程序的形成。病毒潜伏蛋白 EBV 核抗原 2 (EBNA2) 和潜伏相关核抗原 (LANA) 将 STAT3 和 RBP-Jκ 招募到 FGFR2 启动子以驱动其转录，从而能够有效建立 EBV 潜伏期并激活下游 STAT3/AKT 信号传导。这种前馈信号回路抑制细胞凋亡、促进 S 期进展并维持受感染淋巴瘤细胞的增殖。使用临床相关抑制剂从基因或药理学上靶向 FGFR2 可在体外和体内显着抑制肿瘤生长。这项研究将 FGFR2 确定为 EBV 和 KSHV 感染的关键致癌驱动因素，强调了其作为抑制肿瘤生长和治疗相关病毒恶性肿瘤的治疗靶点的潜力。</w:t>
      </w:r>
    </w:p>
    <w:p>
      <w:pPr>
        <w:spacing w:before="0" w:after="200" w:lineRule="auto" w:line="276"/>
      </w:pPr>
      <w:r>
        <w:rPr>
          <w:b/>
        </w:rPr>
        <w:t xml:space="preserve">Abstract (EN): </w:t>
      </w:r>
      <w:r>
        <w:t>Epstein–Barr virus (EBV) and Kaposi’s sarcoma–associated herpesvirus (KSHV) drive multiple aggressive lymphomas, yet effective targeted therapies for these virus-associated malignancies remain limited. Using an unbiased kinome-wide screen combined with analysis of virus-positive patient tumors, we identified fibroblast growth factor receptor 2 (FGFR2) as a selectively activated host kinase in EBV- and KSHV-associated lymphomas. Importantly, FGFR2 is required for efficient establishment of EBV latent infection, and its knockdown markedly impairs the formation of viral latency programs. Viral latency proteins EBV nuclear antigen 2 (EBNA2) and latency-associated nuclear antigen (LANA) recruit STAT3 and RBP-Jκ to the FGFR2 promoter to drive its transcription, enabling efficient establishment of EBV latency and activation of downstream STAT3/AKT signaling. This feed-forward signaling circuit suppresses apoptosis, promotes S-phase progression, and sustains proliferation of infected lymphoma cells. Targeting FGFR2 genetically or pharmacologically using clinically relevant inhibitors markedly suppresses tumor growth in vitro and in vivo. This study identifies FGFR2 as a critical oncogenic driver in EBV and KSHV infections, highlighting its potential as a therapeutic target to inhibit tumor growth and treat associated viral malignancies.</w:t>
      </w:r>
    </w:p>
    <w:p>
      <w:pPr>
        <w:spacing w:before="120" w:after="120"/>
      </w:pPr>
      <w:r>
        <w:rPr>
          <w:sz w:val="18"/>
        </w:rPr>
        <w:t>——————————————————————————————————————————————————————————————————————</w:t>
      </w:r>
    </w:p>
    <w:p>
      <w:pPr>
        <w:spacing w:before="160" w:after="40" w:line="240" w:lineRule="auto"/>
      </w:pPr>
      <w:r>
        <w:rPr>
          <w:b/>
        </w:rPr>
        <w:t xml:space="preserve">[438] </w:t>
      </w:r>
      <w:hyperlink r:id="rId1352">
        <w:r>
          <w:rPr>
            <w:color w:val="1155CC"/>
            <w:u w:val="single"/>
          </w:rPr>
          <w:t>Cryo-EM 揭示大肠杆菌 tRNA 转糖基酶可以结合并作用于两个 tRNA</w:t>
        </w:r>
      </w:hyperlink>
    </w:p>
    <w:p>
      <w:pPr>
        <w:spacing w:before="0" w:after="80"/>
      </w:pPr>
      <w:r>
        <w:rPr>
          <w:i/>
          <w:sz w:val="20"/>
        </w:rPr>
        <w:t>EN: Cryo-EM reveals that Escherichia coli tRNA-transglycosylase can bind and act upon two tRNAs</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53">
        <w:r>
          <w:rPr>
            <w:color w:val="1155CC"/>
            <w:u w:val="single"/>
          </w:rPr>
          <w:t>10.1073/pnas.2601895123</w:t>
        </w:r>
      </w:hyperlink>
    </w:p>
    <w:p>
      <w:pPr>
        <w:spacing w:before="0" w:after="120"/>
      </w:pPr>
      <w:r>
        <w:rPr>
          <w:b/>
        </w:rPr>
        <w:t xml:space="preserve">Notes: </w:t>
      </w:r>
      <w:r>
        <w:t>abstract_source=crossref</w:t>
      </w:r>
    </w:p>
    <w:p>
      <w:pPr>
        <w:spacing w:before="0" w:after="80" w:lineRule="auto" w:line="276"/>
      </w:pPr>
      <w:r>
        <w:rPr>
          <w:b/>
        </w:rPr>
        <w:t xml:space="preserve">摘要（ZH）: </w:t>
      </w:r>
      <w:r>
        <w:t>细菌 tRNA-鸟嘌呤转糖基酶 (TGT) 是参与 tRNA 修饰的重要酶，有助于多种病原体的毒力。 TGT 来自</w:t>
      </w:r>
      <w:r>
        <w:t xml:space="preserve"> </w:t>
      </w:r>
      <w:r>
        <w:t>大肠杆菌</w:t>
      </w:r>
      <w:r>
        <w:t xml:space="preserve"> </w:t>
      </w:r>
      <w:r>
        <w:t>是该家族中第一个被分离和纯化的蛋白质，因此已成为 TGT 生化表征的模型酶。</w:t>
      </w:r>
      <w:r>
        <w:t xml:space="preserve"> </w:t>
      </w:r>
      <w:r>
        <w:t>大肠杆菌</w:t>
      </w:r>
      <w:r>
        <w:t xml:space="preserve"> </w:t>
      </w:r>
      <w:r>
        <w:t>TGT 也是与疾病最相关的 TGT 之一，与多种人类病原菌的 TGT 具有高度序列同一性，包括</w:t>
      </w:r>
      <w:r>
        <w:t xml:space="preserve"> </w:t>
      </w:r>
      <w:r>
        <w:t>志贺氏菌属</w:t>
      </w:r>
      <w:r>
        <w:t xml:space="preserve"> </w:t>
      </w:r>
      <w:r>
        <w:t>种。和</w:t>
      </w:r>
      <w:r>
        <w:t xml:space="preserve"> </w:t>
      </w:r>
      <w:r>
        <w:t>沙门氏菌</w:t>
      </w:r>
      <w:r>
        <w:t xml:space="preserve"> </w:t>
      </w:r>
      <w:r>
        <w:t>种。值得注意的是，一些 TGT</w:t>
      </w:r>
      <w:r>
        <w:t xml:space="preserve"> </w:t>
      </w:r>
      <w:r>
        <w:t>志贺氏菌属</w:t>
      </w:r>
      <w:r>
        <w:t xml:space="preserve"> </w:t>
      </w:r>
      <w:r>
        <w:t>菌株与序列相同</w:t>
      </w:r>
      <w:r>
        <w:t xml:space="preserve"> </w:t>
      </w:r>
      <w:r>
        <w:t>大肠杆菌</w:t>
      </w:r>
      <w:r>
        <w:t xml:space="preserve"> </w:t>
      </w:r>
      <w:r>
        <w:t>酶。此外，作为一种高度混杂的酶，</w:t>
      </w:r>
      <w:r>
        <w:t xml:space="preserve"> </w:t>
      </w:r>
      <w:r>
        <w:t>大肠杆菌</w:t>
      </w:r>
      <w:r>
        <w:t xml:space="preserve"> </w:t>
      </w:r>
      <w:r>
        <w:t>TGT 已在化学生物学中用作 RNA 修饰工具，可在体外和体内进行位点特异性共价 RNA 修饰。由于这些原因，人们对解决</w:t>
      </w:r>
      <w:r>
        <w:t xml:space="preserve"> </w:t>
      </w:r>
      <w:r>
        <w:t>大肠杆菌</w:t>
      </w:r>
      <w:r>
        <w:t xml:space="preserve"> </w:t>
      </w:r>
      <w:r>
        <w:t>TGT。然而，结晶</w:t>
      </w:r>
    </w:p>
    <w:p>
      <w:pPr>
        <w:spacing w:before="0" w:after="200" w:lineRule="auto" w:line="276"/>
      </w:pPr>
      <w:r>
        <w:rPr>
          <w:b/>
        </w:rPr>
        <w:t xml:space="preserve">Abstract (EN): </w:t>
      </w:r>
      <w:r>
        <w:t>Bacterial tRNA-guanine transglycosylases (TGT) are essential enzymes involved in tRNA modification, contributing to the virulence of multiple pathogens. TGT from</w:t>
      </w:r>
      <w:r>
        <w:t xml:space="preserve"> </w:t>
      </w:r>
      <w:r>
        <w:t>Escherichia coli</w:t>
      </w:r>
      <w:r>
        <w:t xml:space="preserve"> </w:t>
      </w:r>
      <w:r>
        <w:t>was the first protein of this family to be isolated and purified, and as such has served as a model enzyme for the biochemical characterization of TGTs.</w:t>
      </w:r>
      <w:r>
        <w:t xml:space="preserve"> </w:t>
      </w:r>
      <w:r>
        <w:t>E. coli</w:t>
      </w:r>
      <w:r>
        <w:t xml:space="preserve"> </w:t>
      </w:r>
      <w:r>
        <w:t>TGT is also one of the most disease-relevant TGTs, sharing high sequence identity with TGTs from several human pathogenic bacteria, including</w:t>
      </w:r>
      <w:r>
        <w:t xml:space="preserve"> </w:t>
      </w:r>
      <w:r>
        <w:t>Shigella</w:t>
      </w:r>
      <w:r>
        <w:t xml:space="preserve"> </w:t>
      </w:r>
      <w:r>
        <w:t>spp. and</w:t>
      </w:r>
      <w:r>
        <w:t xml:space="preserve"> </w:t>
      </w:r>
      <w:r>
        <w:t>Salmonella</w:t>
      </w:r>
      <w:r>
        <w:t xml:space="preserve"> </w:t>
      </w:r>
      <w:r>
        <w:t>spp. Notably, TGTs from some</w:t>
      </w:r>
      <w:r>
        <w:t xml:space="preserve"> </w:t>
      </w:r>
      <w:r>
        <w:t>Shigella</w:t>
      </w:r>
      <w:r>
        <w:t xml:space="preserve"> </w:t>
      </w:r>
      <w:r>
        <w:t>strains are sequence-identical to the</w:t>
      </w:r>
      <w:r>
        <w:t xml:space="preserve"> </w:t>
      </w:r>
      <w:r>
        <w:t>E. coli</w:t>
      </w:r>
      <w:r>
        <w:t xml:space="preserve"> </w:t>
      </w:r>
      <w:r>
        <w:t>enzyme. In addition, as a highly promiscuous enzyme,</w:t>
      </w:r>
      <w:r>
        <w:t xml:space="preserve"> </w:t>
      </w:r>
      <w:r>
        <w:t>E. coli</w:t>
      </w:r>
      <w:r>
        <w:t xml:space="preserve"> </w:t>
      </w:r>
      <w:r>
        <w:t>TGT has found use as an RNA-modification tool in chemical biology, enabling site-specific covalent RNA modification in vitro and in vivo. For these reasons, there has been significant interest in solving the structure of</w:t>
      </w:r>
      <w:r>
        <w:t xml:space="preserve"> </w:t>
      </w:r>
      <w:r>
        <w:t>E. coli</w:t>
      </w:r>
      <w:r>
        <w:t xml:space="preserve"> </w:t>
      </w:r>
      <w:r>
        <w:t>TGT. However, crystallization of</w:t>
      </w:r>
      <w:r>
        <w:t xml:space="preserve"> </w:t>
      </w:r>
      <w:r>
        <w:t>E. coli</w:t>
      </w:r>
      <w:r>
        <w:t xml:space="preserve"> </w:t>
      </w:r>
      <w:r>
        <w:t>TGT has proven difficult, and to date, structural insights have relied on surrogate TGT enzymes from other organisms. Here, we present the cryo-EM structure of</w:t>
      </w:r>
      <w:r>
        <w:t xml:space="preserve"> </w:t>
      </w:r>
      <w:r>
        <w:t>E. coli</w:t>
      </w:r>
      <w:r>
        <w:t xml:space="preserve"> </w:t>
      </w:r>
      <w:r>
        <w:t>TGT and its covalent intermediate with a full-length tRNA. Unexpectedly, the structure reveals that the</w:t>
      </w:r>
      <w:r>
        <w:t xml:space="preserve"> </w:t>
      </w:r>
      <w:r>
        <w:t>E. coli</w:t>
      </w:r>
      <w:r>
        <w:t xml:space="preserve"> </w:t>
      </w:r>
      <w:r>
        <w:t>TGT dimer binds and acts upon two tRNAs, which is unlike all other known TGTs. Closer analysis of the TGT–tRNA complex reveals several important interactions outside of the enzyme’s active site, that facilitate RNA binding and stabilize the conformational change of the tRNA anticodon loop. Based on these structural insights, we were able to design improved, high-affinity, TGT substrate RNA hairpins.</w:t>
      </w:r>
    </w:p>
    <w:p>
      <w:pPr>
        <w:spacing w:before="120" w:after="120"/>
      </w:pPr>
      <w:r>
        <w:rPr>
          <w:sz w:val="18"/>
        </w:rPr>
        <w:t>——————————————————————————————————————————————————————————————————————</w:t>
      </w:r>
    </w:p>
    <w:p>
      <w:pPr>
        <w:spacing w:before="160" w:after="40" w:line="240" w:lineRule="auto"/>
      </w:pPr>
      <w:r>
        <w:rPr>
          <w:b/>
        </w:rPr>
        <w:t xml:space="preserve">[439] </w:t>
      </w:r>
      <w:hyperlink r:id="rId1354">
        <w:r>
          <w:rPr>
            <w:color w:val="1155CC"/>
            <w:u w:val="single"/>
          </w:rPr>
          <w:t>ARHGAP32 亚型 PX-RICS 通过与 gephyrin 结合专门针对抑制性突触</w:t>
        </w:r>
      </w:hyperlink>
    </w:p>
    <w:p>
      <w:pPr>
        <w:spacing w:before="0" w:after="80"/>
      </w:pPr>
      <w:r>
        <w:rPr>
          <w:i/>
          <w:sz w:val="20"/>
        </w:rPr>
        <w:t>EN: The ARHGAP32 isoform PX-RICS is specifically targeted to inhibitory synapses by binding to gephyrin</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55">
        <w:r>
          <w:rPr>
            <w:color w:val="1155CC"/>
            <w:u w:val="single"/>
          </w:rPr>
          <w:t>10.1073/pnas.2601488123</w:t>
        </w:r>
      </w:hyperlink>
    </w:p>
    <w:p>
      <w:pPr>
        <w:spacing w:before="0" w:after="120"/>
      </w:pPr>
      <w:r>
        <w:rPr>
          <w:b/>
        </w:rPr>
        <w:t xml:space="preserve">Notes: </w:t>
      </w:r>
      <w:r>
        <w:t>abstract_source=crossref</w:t>
      </w:r>
    </w:p>
    <w:p>
      <w:pPr>
        <w:spacing w:before="0" w:after="80" w:lineRule="auto" w:line="276"/>
      </w:pPr>
      <w:r>
        <w:rPr>
          <w:b/>
        </w:rPr>
        <w:t xml:space="preserve">摘要（ZH）: </w:t>
      </w:r>
      <w:r>
        <w:t>兴奋-抑制平衡的精确调节对于神经回路功能至关重要，其破坏是自闭症谱系障碍 (ASD) 和癫痫等神经发育障碍的基础。 PX-RICS，主要</w:t>
      </w:r>
      <w:r>
        <w:t xml:space="preserve"> </w:t>
      </w:r>
      <w:r>
        <w:t>ARHGAP32</w:t>
      </w:r>
      <w:r>
        <w:t xml:space="preserve"> </w:t>
      </w:r>
      <w:r>
        <w:t>抑制性突触处富集的剪接变体与认知功能障碍有关；然而，其突触靶向和功能的分子基础仍然未知。在这里，我们将 gephyrin 确定为 PX-RICS 的主要突触锚，并确定了其复合物的 2.2 Å 晶体结构。我们的结构分析表明，N 端 gephyrin 结合区 (GBR) 通过保守的疏水相互作用与 gephyrin E 结构域结合，解释了 PX-RICS（但不是 RICS）对抑制性突触的亚型特异性靶向。该结合界面与 gephyrin 上的神经递质受体结合位点重叠，表明这些抑制性突触蛋白之间存在竞争性但动态的相互作用景观。</w:t>
      </w:r>
      <w:r>
        <w:t xml:space="preserve"> </w:t>
      </w:r>
      <w:r>
        <w:t>Arhgap32</w:t>
      </w:r>
      <w:r>
        <w:t xml:space="preserve"> </w:t>
      </w:r>
      <w:r>
        <w:t>ΔGBR</w:t>
      </w:r>
      <w:r>
        <w:t xml:space="preserve"> </w:t>
      </w:r>
      <w:r>
        <w:t>小鼠表现出的主要特征</w:t>
      </w:r>
      <w:r>
        <w:t xml:space="preserve"> </w:t>
      </w:r>
      <w:r>
        <w:t>ARHGAP32</w:t>
      </w:r>
      <w:r>
        <w:t xml:space="preserve"> </w:t>
      </w:r>
      <w:r>
        <w:t>相关疾病，包括社交新奇识别受损和癫痫易感性增加，表明 gephyrin 介导的锚定对于 PX-RICS 在抑制性突触中发挥作用至关重要。</w:t>
      </w:r>
    </w:p>
    <w:p>
      <w:pPr>
        <w:spacing w:before="0" w:after="200" w:lineRule="auto" w:line="276"/>
      </w:pPr>
      <w:r>
        <w:rPr>
          <w:b/>
        </w:rPr>
        <w:t xml:space="preserve">Abstract (EN): </w:t>
      </w:r>
      <w:r>
        <w:t>Precise regulation of excitatory–inhibitory balance is critical for neural circuit function, and its disruption underlies neurodevelopmental disorders such as autism spectrum disorder (ASD) and epilepsy. PX-RICS, a major</w:t>
      </w:r>
      <w:r>
        <w:t xml:space="preserve"> </w:t>
      </w:r>
      <w:r>
        <w:t>ARHGAP32</w:t>
      </w:r>
      <w:r>
        <w:t xml:space="preserve"> </w:t>
      </w:r>
      <w:r>
        <w:t>splice variant enriched at inhibitory synapses, has been linked to cognitive dysfunctions; however, the molecular basis of its synaptic targeting and function remains unknown. Here, we identify gephyrin as the primary synaptic anchor for PX-RICS and determine the 2.2 Å crystal structure of their complex. Our structural analysis reveals that the N-terminal gephyrin-binding region (GBR) engages gephyrin E-domain through conserved hydrophobic interactions, explaining the isoform-specific targeting of PX-RICS (but not RICS) to inhibitory synapses. This binding interface overlaps with the neurotransmitter receptor binding site on gephyrin, suggesting a competitive yet dynamic interaction landscape among these inhibitory synaptic proteins.</w:t>
      </w:r>
      <w:r>
        <w:t xml:space="preserve"> </w:t>
      </w:r>
      <w:r>
        <w:t>Arhgap32</w:t>
      </w:r>
      <w:r>
        <w:t xml:space="preserve"> </w:t>
      </w:r>
      <w:r>
        <w:t>ΔGBR</w:t>
      </w:r>
      <w:r>
        <w:t xml:space="preserve"> </w:t>
      </w:r>
      <w:r>
        <w:t>mice exhibit key features of</w:t>
      </w:r>
      <w:r>
        <w:t xml:space="preserve"> </w:t>
      </w:r>
      <w:r>
        <w:t>ARHGAP32</w:t>
      </w:r>
      <w:r>
        <w:t xml:space="preserve"> </w:t>
      </w:r>
      <w:r>
        <w:t>-related disorders, including impaired social novelty recognition and increased seizure susceptibility, indicating that gephyrin-mediated anchoring is critical for PX-RICS to function in inhibitory synapses.</w:t>
      </w:r>
    </w:p>
    <w:p>
      <w:pPr>
        <w:spacing w:before="120" w:after="120"/>
      </w:pPr>
      <w:r>
        <w:rPr>
          <w:sz w:val="18"/>
        </w:rPr>
        <w:t>——————————————————————————————————————————————————————————————————————</w:t>
      </w:r>
    </w:p>
    <w:p>
      <w:pPr>
        <w:spacing w:before="160" w:after="40" w:line="240" w:lineRule="auto"/>
      </w:pPr>
      <w:r>
        <w:rPr>
          <w:b/>
        </w:rPr>
        <w:t xml:space="preserve">[440] </w:t>
      </w:r>
      <w:hyperlink r:id="rId1356">
        <w:r>
          <w:rPr>
            <w:color w:val="1155CC"/>
            <w:u w:val="single"/>
          </w:rPr>
          <w:t>小鼠卵巢的单细胞图谱揭示了绝经期过渡期间衰老和衰老的分子驱动因素</w:t>
        </w:r>
      </w:hyperlink>
    </w:p>
    <w:p>
      <w:pPr>
        <w:spacing w:before="0" w:after="80"/>
      </w:pPr>
      <w:r>
        <w:rPr>
          <w:i/>
          <w:sz w:val="20"/>
        </w:rPr>
        <w:t>EN: Single-cell atlas of the mouse ovary reveals molecular drivers of aging and senescence during the estropausal transition</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57">
        <w:r>
          <w:rPr>
            <w:color w:val="1155CC"/>
            <w:u w:val="single"/>
          </w:rPr>
          <w:t>10.1073/pnas.2600323123</w:t>
        </w:r>
      </w:hyperlink>
    </w:p>
    <w:p>
      <w:pPr>
        <w:spacing w:before="0" w:after="120"/>
      </w:pPr>
      <w:r>
        <w:rPr>
          <w:b/>
        </w:rPr>
        <w:t xml:space="preserve">Notes: </w:t>
      </w:r>
      <w:r>
        <w:t>abstract_source=crossref</w:t>
      </w:r>
    </w:p>
    <w:p>
      <w:pPr>
        <w:spacing w:before="0" w:after="80" w:lineRule="auto" w:line="276"/>
      </w:pPr>
      <w:r>
        <w:rPr>
          <w:b/>
        </w:rPr>
        <w:t xml:space="preserve">摘要（ZH）: </w:t>
      </w:r>
      <w:r>
        <w:t>小鼠的生殖衰老会导致动情绝经，其特征是动情周期不规则并最终停止，但其潜在机制仍不清楚。在这里，我们展示了小鼠卵巢的全面单细胞图谱，涵盖了精确定义的生殖阶段——从年轻（规则周期）到动经期过渡（规则与不规则周期）到动经后（非周期）——以及由高衰老相关β-半乳糖苷酶活性定义的卵巢特异性衰老细胞。我们绘制了卵巢衰老的转录组动力学图谱，并表征了卵巢衰老细胞的分子特征。我们的分析显示，在绝经期过渡期间，与规律周期的卵巢相比，不规律周期的卵巢表现出加速衰老和细胞衰老的特征，包括转录噪音增加、保守的衰老途径改变，如氧化磷酸化和蛋白质稳态、颗粒细胞中激素失调以及衰老标记物表达升高</w:t>
      </w:r>
      <w:r>
        <w:t xml:space="preserve"> </w:t>
      </w:r>
      <w:r>
        <w:t>cdkn1a</w:t>
      </w:r>
      <w:r>
        <w:t xml:space="preserve"> </w:t>
      </w:r>
      <w:r>
        <w:t>和衰老相关的分泌表型因子。该图谱描绘了小鼠卵巢衰老和卵巢特异性衰老细胞的细胞和分子特征，为理解绝经期转变的机制提供了资源。</w:t>
      </w:r>
    </w:p>
    <w:p>
      <w:pPr>
        <w:spacing w:before="0" w:after="200" w:lineRule="auto" w:line="276"/>
      </w:pPr>
      <w:r>
        <w:rPr>
          <w:b/>
        </w:rPr>
        <w:t xml:space="preserve">Abstract (EN): </w:t>
      </w:r>
      <w:r>
        <w:t>Reproductive aging in mice leads to estropause, characterized by estrous cycle irregularity and eventual cessation, yet its underlying mechanism remains unclear. Here, we present a comprehensive single-cell atlas of mouse ovaries across precisely defined reproductive stages—from young (regular cycling) through the estropausal transition (regular vs. irregular cycling) to post-estropause (acyclic)—and of ovary-specific senescent cells defined by high senescence-associated β-galactosidase activity. We mapped transcriptomic dynamics of ovarian aging and characterized the molecular features of ovarian senescent cells. Our analyses revealed that during the estropausal transition, irregularly cycling ovaries exhibited accelerated aging and cellular senescence features compared with regularly cycling counterparts, including increased transcriptional noise, altered conserved aging pathways such as oxidative phosphorylation and proteostasis, hormone dysregulation in granulosa cells, and elevated expression of the senescence marker</w:t>
      </w:r>
      <w:r>
        <w:t xml:space="preserve"> </w:t>
      </w:r>
      <w:r>
        <w:t>Cdkn1a</w:t>
      </w:r>
      <w:r>
        <w:t xml:space="preserve"> </w:t>
      </w:r>
      <w:r>
        <w:t>and senescence-associated secretory phenotype factors. This atlas delineates the cellular and molecular hallmarks of mouse ovarian aging and ovary-specific senescent cells, providing a resource for understanding the mechanisms underlying the estropausal transition.</w:t>
      </w:r>
    </w:p>
    <w:p>
      <w:pPr>
        <w:spacing w:before="120" w:after="120"/>
      </w:pPr>
      <w:r>
        <w:rPr>
          <w:sz w:val="18"/>
        </w:rPr>
        <w:t>——————————————————————————————————————————————————————————————————————</w:t>
      </w:r>
    </w:p>
    <w:p>
      <w:pPr>
        <w:spacing w:before="160" w:after="40" w:line="240" w:lineRule="auto"/>
      </w:pPr>
      <w:r>
        <w:rPr>
          <w:b/>
        </w:rPr>
        <w:t xml:space="preserve">[441] </w:t>
      </w:r>
      <w:hyperlink r:id="rId1358">
        <w:r>
          <w:rPr>
            <w:color w:val="1155CC"/>
            <w:u w:val="single"/>
          </w:rPr>
          <w:t>关于科学家的儿童读物传达了令人沮丧的信息</w:t>
        </w:r>
      </w:hyperlink>
    </w:p>
    <w:p>
      <w:pPr>
        <w:spacing w:before="0" w:after="80"/>
      </w:pPr>
      <w:r>
        <w:rPr>
          <w:i/>
          <w:sz w:val="20"/>
        </w:rPr>
        <w:t>EN: Children’s books about scientists convey demotivating messages</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59">
        <w:r>
          <w:rPr>
            <w:color w:val="1155CC"/>
            <w:u w:val="single"/>
          </w:rPr>
          <w:t>10.1073/pnas.2612021123</w:t>
        </w:r>
      </w:hyperlink>
    </w:p>
    <w:p>
      <w:pPr>
        <w:spacing w:before="0" w:after="120"/>
      </w:pPr>
      <w:r>
        <w:rPr>
          <w:b/>
        </w:rPr>
        <w:t xml:space="preserve">Notes: </w:t>
      </w:r>
      <w:r>
        <w:t>abstract_source=crossref</w:t>
      </w:r>
    </w:p>
    <w:p>
      <w:pPr>
        <w:spacing w:before="0" w:after="80" w:lineRule="auto" w:line="276"/>
      </w:pPr>
      <w:r>
        <w:rPr>
          <w:b/>
        </w:rPr>
        <w:t xml:space="preserve">摘要（ZH）: </w:t>
      </w:r>
      <w:r>
        <w:t>科学家传记被广泛用于激发儿童的兴趣并扩大对科学的参与。在讲述成功科学家的故事时，这些书传达了隐含的“成功秘诀”——但还没有研究系统地检验这些秘诀是否符合动机研究的建议。在这里，我们首次对儿童科学传记中的激励信息进行了大规模分析（422 本畅销书，1,355 名主角）。出现了四项主要发现。首先，科学能力常常被描述为固定的和可塑的，这种模式不太可能支持动机。其次，对科学的兴趣绝大多数被描述为固定的：据说大多数科学家从小就对科学着迷。第三，物理学、工程学和计算机科学领域的科学家被描述为比其他领域的科学家更依赖固定能力。第四，即使在调整了她们所面临的障碍之后，女性科学家的传记也不成比例地强调努力，这与将女性的成功归因于努力工作而不是天赋的刻板印象相一致。这些发现表明，通过儿童科学传记中的榜样曝光来实现科学多样化的善意努力可能会失败。</w:t>
      </w:r>
    </w:p>
    <w:p>
      <w:pPr>
        <w:spacing w:before="0" w:after="200" w:lineRule="auto" w:line="276"/>
      </w:pPr>
      <w:r>
        <w:rPr>
          <w:b/>
        </w:rPr>
        <w:t xml:space="preserve">Abstract (EN): </w:t>
      </w:r>
      <w:r>
        <w:t>Biographies of scientists are widely used to spark children’s interest and broaden participation in science. In telling the stories of successful scientists, these books convey implicit “recipes for success”—yet no study has systematically examined whether these recipes align with what motivation research recommends. Here, we provide the first large-scale analysis of motivational messages in children’s science biographies (422 best-selling books, 1,355 protagonists). Four main findings emerged. First, scientific ability was portrayed equally often as fixed and as malleable, a pattern unlikely to support motivation. Second, interest in science was overwhelmingly portrayed as fixed: Most scientists were said to be captivated by science from a young age. Third, scientists in physics, engineering, and computer science were portrayed as more reliant on fixed ability than scientists in other fields. Fourth, biographies of female scientists disproportionately emphasized effort even after adjusting for the obstacles they faced, consistent with stereotypes attributing women’s success to hard work over talent. These findings suggest that well-intentioned efforts to diversify science through role model exposure in children’s science biographies may fall short.</w:t>
      </w:r>
    </w:p>
    <w:p>
      <w:pPr>
        <w:spacing w:before="120" w:after="120"/>
      </w:pPr>
      <w:r>
        <w:rPr>
          <w:sz w:val="18"/>
        </w:rPr>
        <w:t>——————————————————————————————————————————————————————————————————————</w:t>
      </w:r>
    </w:p>
    <w:p>
      <w:pPr>
        <w:spacing w:before="160" w:after="40" w:line="240" w:lineRule="auto"/>
      </w:pPr>
      <w:r>
        <w:rPr>
          <w:b/>
        </w:rPr>
        <w:t xml:space="preserve">[442] </w:t>
      </w:r>
      <w:hyperlink r:id="rId1360">
        <w:r>
          <w:rPr>
            <w:color w:val="1155CC"/>
            <w:u w:val="single"/>
          </w:rPr>
          <w:t>Sen 等人的修正，mTOR 信号通过 S6K1–RhoA 和 aPKC–Lgl2 轴控制上皮顶端突起的形成</w:t>
        </w:r>
      </w:hyperlink>
    </w:p>
    <w:p>
      <w:pPr>
        <w:spacing w:before="0" w:after="80"/>
      </w:pPr>
      <w:r>
        <w:rPr>
          <w:i/>
          <w:sz w:val="20"/>
        </w:rPr>
        <w:t>EN: Correction for Sen et al., mTOR signaling governs the formation of epithelial apical projections via S6K1–RhoA and aPKC–Lgl2 axes</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61">
        <w:r>
          <w:rPr>
            <w:color w:val="1155CC"/>
            <w:u w:val="single"/>
          </w:rPr>
          <w:t>10.1073/pnas.2622740123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[443] </w:t>
      </w:r>
      <w:hyperlink r:id="rId1362">
        <w:r>
          <w:rPr>
            <w:color w:val="1155CC"/>
            <w:u w:val="single"/>
          </w:rPr>
          <w:t>KCNQ1 变体的分类模型区分功能和运输效应，以增强致病性解释</w:t>
        </w:r>
      </w:hyperlink>
    </w:p>
    <w:p>
      <w:pPr>
        <w:spacing w:before="0" w:after="80"/>
      </w:pPr>
      <w:r>
        <w:rPr>
          <w:i/>
          <w:sz w:val="20"/>
        </w:rPr>
        <w:t>EN: Classification models for KCNQ1 variants distinguish functional and trafficking effects to enhance pathogenicity interpretation</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63">
        <w:r>
          <w:rPr>
            <w:color w:val="1155CC"/>
            <w:u w:val="single"/>
          </w:rPr>
          <w:t>10.1073/pnas.2537217123</w:t>
        </w:r>
      </w:hyperlink>
    </w:p>
    <w:p>
      <w:pPr>
        <w:spacing w:before="0" w:after="120"/>
      </w:pPr>
      <w:r>
        <w:rPr>
          <w:b/>
        </w:rPr>
        <w:t xml:space="preserve">Notes: </w:t>
      </w:r>
      <w:r>
        <w:t>abstract_source=crossref</w:t>
      </w:r>
    </w:p>
    <w:p>
      <w:pPr>
        <w:spacing w:before="0" w:after="80" w:lineRule="auto" w:line="276"/>
      </w:pPr>
      <w:r>
        <w:rPr>
          <w:b/>
        </w:rPr>
        <w:t xml:space="preserve">摘要（ZH）: </w:t>
      </w:r>
      <w:r>
        <w:t>钾通道 KCNQ1 中的错义变异是大多数先天性长 QT 综合征 (LQTS) 病例的基础，LQTS 是最常见的遗传性心律失常之一。变异会影响蛋白质的稳定性、运输和功能，这些都是支持变异解释的可测量特性。利用我们实验室生成的大量实验数据，我们开发了随机森林分类器，可以预测七个 KCNQ1 指标：四个电生理学指标和三个贩运测量指标。我们的分类器的功能将大型机器学习模型的预测与蛋白质特定的生物物理值相结合，其性能优于单独使用任一组功能。我们应用我们的分类器来解释意义不确定的 ClinVar 变异和 AlphaMissense 模糊变异，并开发了全局功能障碍和错误贩运评分，以区分良性变异和致病变异。全局评分补充了 AlphaMissense 预测，将变异与 LQTS 引发机制联系起来。虽然对 KCNQ1 有效，但我们的变异预测方法可推广到其他离子通道，我们建议像本工作中那样进行系统基准测试，以充分评估未来变异效应预测器的性能。</w:t>
      </w:r>
    </w:p>
    <w:p>
      <w:pPr>
        <w:spacing w:before="0" w:after="200" w:lineRule="auto" w:line="276"/>
      </w:pPr>
      <w:r>
        <w:rPr>
          <w:b/>
        </w:rPr>
        <w:t xml:space="preserve">Abstract (EN): </w:t>
      </w:r>
      <w:r>
        <w:t>Missense variants in the potassium channel KCNQ1 underlie most cases of congenital long QT syndrome (LQTS), one of the most common genetic arrhythmias. Variants affect protein stability, trafficking, and function, which are measurable properties that support variant interpretation. Leveraging the extensive experimental data generated by our laboratories, we developed random forest classifiers that predict seven KCNQ1 metrics: four electrophysiology and three trafficking measurements. The features for our classifiers integrate predictions from large machine learning models with protein-specific biophysical values, outperforming using either set of features alone. We applied our classifiers to interpret ClinVar variants of uncertain significance and AlphaMissense-ambiguous variants and developed global dysfunction and mistrafficking scores which distinguished benign from pathogenic variants. Global scores complemented AlphaMissense predictions, linking variants with LQTS-causing mechanisms. While effective for KCNQ1, our approach to variant prediction is generalizable to other ion channels and we recommend systematic benchmarking as done in this work to fully assess performance of future variant effect predictors.</w:t>
      </w:r>
    </w:p>
    <w:p>
      <w:pPr>
        <w:spacing w:before="120" w:after="120"/>
      </w:pPr>
      <w:r>
        <w:rPr>
          <w:sz w:val="18"/>
        </w:rPr>
        <w:t>——————————————————————————————————————————————————————————————————————</w:t>
      </w:r>
    </w:p>
    <w:p>
      <w:pPr>
        <w:spacing w:before="160" w:after="40" w:line="240" w:lineRule="auto"/>
      </w:pPr>
      <w:r>
        <w:rPr>
          <w:b/>
        </w:rPr>
        <w:t xml:space="preserve">[444] </w:t>
      </w:r>
      <w:hyperlink r:id="rId1364">
        <w:r>
          <w:rPr>
            <w:color w:val="1155CC"/>
            <w:u w:val="single"/>
          </w:rPr>
          <w:t>H2S介导的蛋白质过硫化调节氧化还原代谢通量，是水稻盐胁迫恢复能力的基础</w:t>
        </w:r>
      </w:hyperlink>
    </w:p>
    <w:p>
      <w:pPr>
        <w:spacing w:before="0" w:after="80"/>
      </w:pPr>
      <w:r>
        <w:rPr>
          <w:i/>
          <w:sz w:val="20"/>
        </w:rPr>
        <w:t>EN: H2S-mediated protein persulfidation regulates redox metabolic flux underlying salt-stress resilience in rice</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65">
        <w:r>
          <w:rPr>
            <w:color w:val="1155CC"/>
            <w:u w:val="single"/>
          </w:rPr>
          <w:t>10.1073/pnas.2608150123</w:t>
        </w:r>
      </w:hyperlink>
    </w:p>
    <w:p>
      <w:pPr>
        <w:spacing w:before="0" w:after="120"/>
      </w:pPr>
      <w:r>
        <w:rPr>
          <w:b/>
        </w:rPr>
        <w:t xml:space="preserve">Notes: </w:t>
      </w:r>
      <w:r>
        <w:t>abstract_source=crossref</w:t>
      </w:r>
    </w:p>
    <w:p>
      <w:pPr>
        <w:spacing w:before="0" w:after="80" w:lineRule="auto" w:line="276"/>
      </w:pPr>
      <w:r>
        <w:rPr>
          <w:b/>
        </w:rPr>
        <w:t xml:space="preserve">摘要（ZH）: </w:t>
      </w:r>
      <w:r>
        <w:t>硫化氢（H</w:t>
      </w:r>
      <w:r>
        <w:rPr>
          <w:vertAlign w:val="subscript"/>
        </w:rPr>
        <w:t>2</w:t>
      </w:r>
      <w:r>
        <w:t>S) 通过蛋白质半胱氨酸 (Cys) 残基的过硫化在植物胁迫反应中充当气体信号分子。尽管植物过硫组的全面的半胱氨酸位点特定图对于实现对半胱氨酸过硫化的生物学作用的系统级理解很重要，但一直缺乏。使用最先进的</w:t>
      </w:r>
      <w:r>
        <w:t xml:space="preserve"> </w:t>
      </w:r>
      <w:r>
        <w:t>氮</w:t>
      </w:r>
      <w:r>
        <w:t xml:space="preserve"> </w:t>
      </w:r>
      <w:r>
        <w:t>-基于乙基马来酰亚胺-生物素的蛋白质组学策略，我们生成了水稻中 1,691 个过硫化 Cys 位点的动态图谱（</w:t>
      </w:r>
      <w:r>
        <w:t xml:space="preserve"> </w:t>
      </w:r>
      <w:r>
        <w:t>水稻</w:t>
      </w:r>
      <w:r>
        <w:t xml:space="preserve"> </w:t>
      </w:r>
      <w:r>
        <w:t>）叶蛋白质组。我们的结果揭示了长期盐胁迫期间蛋白质过硫化的整体动态变化，对参与金属依赖性催化、氧化还原代谢和磷酸戊糖途径（PPP）的蛋白质产生显着影响。基于这些模式，我们研究了非氧化 PPP 中过硫化的功能相关性。 H</w:t>
      </w:r>
      <w:r>
        <w:rPr>
          <w:vertAlign w:val="subscript"/>
        </w:rPr>
        <w:t>2</w:t>
      </w:r>
      <w:r>
        <w:t>S介导的过硫化降低了代表性非氧化性PPP酶5-磷酸核糖异构酶的活性，导致NADPH产量增加并随后激活NADPH依赖性氧化还原酶，包括抗坏血酸-谷胱甘肽（AsA-GSH）循环的单脱氢抗坏血酸还原酶（MDHAR）亚型。过硫化保护 MDHAR3/5 免受氧化抑制和降解，从而维持 AsA-GSH 循环能力并支持活性氧清除。这种位点特异性的过硫化物组为研究提供了宝贵的资源</w:t>
      </w:r>
    </w:p>
    <w:p>
      <w:pPr>
        <w:spacing w:before="0" w:after="200" w:lineRule="auto" w:line="276"/>
      </w:pPr>
      <w:r>
        <w:rPr>
          <w:b/>
        </w:rPr>
        <w:t xml:space="preserve">Abstract (EN): </w:t>
      </w:r>
      <w:r>
        <w:t>Hydrogen sulfide (H</w:t>
      </w:r>
      <w:r>
        <w:rPr>
          <w:vertAlign w:val="subscript"/>
        </w:rPr>
        <w:t>2</w:t>
      </w:r>
      <w:r>
        <w:t>S) functions as a gaseous signaling molecule in plant stress responses through the persulfidation of protein cysteine (Cys) residues. A comprehensive, Cys site-specific map of the plant persulfidome has been lacking, despite its importance for achieving a systems-level understanding of the biological roles of Cys persulfidation. Using a state-of-the-art</w:t>
      </w:r>
      <w:r>
        <w:t xml:space="preserve"> </w:t>
      </w:r>
      <w:r>
        <w:t>N</w:t>
      </w:r>
      <w:r>
        <w:t xml:space="preserve"> </w:t>
      </w:r>
      <w:r>
        <w:t>-ethylmaleimide-biotin-based proteomics strategy, we generate a dynamic map of 1,691 persulfidated Cys sites in the rice (</w:t>
      </w:r>
      <w:r>
        <w:t xml:space="preserve"> </w:t>
      </w:r>
      <w:r>
        <w:t>Oryza sativa</w:t>
      </w:r>
      <w:r>
        <w:t xml:space="preserve"> </w:t>
      </w:r>
      <w:r>
        <w:t>) leaf proteome. Our results reveal a global dynamic changes in protein persulfidation during prolonged salt stress, with notable impacts on proteins involved in metal-dependent catalysis, redox metabolism, and the pentose phosphate pathway (PPP). Based on these patterns, we investigated the functional relevance of persulfidation within the nonoxidative PPP. H</w:t>
      </w:r>
      <w:r>
        <w:rPr>
          <w:vertAlign w:val="subscript"/>
        </w:rPr>
        <w:t>2</w:t>
      </w:r>
      <w:r>
        <w:t>S-mediated persulfidation decreased the activity of the representative nonoxidative PPP enzyme ribose-5-phosphate isomerase, leading to increased NADPH production and subsequent activation of NADPH-dependent redox enzymes, including monodehydroascorbate reductase (MDHAR) isoforms of the ascorbate-glutathione (AsA-GSH) cycle. Persulfidation protected MDHAR3/5 from oxidative inhibition and degradation, thereby sustaining AsA-GSH cycle capacity and supporting reactive oxygen species scavenging. This site-specific persulfidome provides a valuable resource for exploring plant redox regulation, and our functional analyses offer mechanistic insight into how H</w:t>
      </w:r>
      <w:r>
        <w:rPr>
          <w:vertAlign w:val="subscript"/>
        </w:rPr>
        <w:t>2</w:t>
      </w:r>
      <w:r>
        <w:t>S-dependent protein persulfidation modulates redox metabolic fluxes to bolster NADPH availability and maintain redox homeostasis during salt-stress adaptation.</w:t>
      </w:r>
    </w:p>
    <w:p>
      <w:pPr>
        <w:spacing w:before="120" w:after="120"/>
      </w:pPr>
      <w:r>
        <w:rPr>
          <w:sz w:val="18"/>
        </w:rPr>
        <w:t>——————————————————————————————————————————————————————————————————————</w:t>
      </w:r>
    </w:p>
    <w:p>
      <w:pPr>
        <w:spacing w:before="160" w:after="40" w:line="240" w:lineRule="auto"/>
      </w:pPr>
      <w:r>
        <w:rPr>
          <w:b/>
        </w:rPr>
        <w:t xml:space="preserve">[445] </w:t>
      </w:r>
      <w:hyperlink r:id="rId1366">
        <w:r>
          <w:rPr>
            <w:color w:val="1155CC"/>
            <w:u w:val="single"/>
          </w:rPr>
          <w:t>观测到大气边界层对亚中尺度海面温度锋面的快速调整</w:t>
        </w:r>
      </w:hyperlink>
    </w:p>
    <w:p>
      <w:pPr>
        <w:spacing w:before="0" w:after="80"/>
      </w:pPr>
      <w:r>
        <w:rPr>
          <w:i/>
          <w:sz w:val="20"/>
        </w:rPr>
        <w:t>EN: Observed rapid adjustment of the atmospheric boundary layer to submesoscale sea surface temperature fronts</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67">
        <w:r>
          <w:rPr>
            <w:color w:val="1155CC"/>
            <w:u w:val="single"/>
          </w:rPr>
          <w:t>10.1073/pnas.2605662123</w:t>
        </w:r>
      </w:hyperlink>
    </w:p>
    <w:p>
      <w:pPr>
        <w:spacing w:before="0" w:after="120"/>
      </w:pPr>
      <w:r>
        <w:rPr>
          <w:b/>
        </w:rPr>
        <w:t xml:space="preserve">Notes: </w:t>
      </w:r>
      <w:r>
        <w:t>abstract_source=crossref</w:t>
      </w:r>
    </w:p>
    <w:p>
      <w:pPr>
        <w:spacing w:before="0" w:after="80" w:lineRule="auto" w:line="276"/>
      </w:pPr>
      <w:r>
        <w:rPr>
          <w:b/>
        </w:rPr>
        <w:t xml:space="preserve">摘要（ZH）: </w:t>
      </w:r>
      <w:r>
        <w:t>目前对海洋变化在海气交换中的作用的理解仅限于大尺度和中尺度动力学。水平空间尺度为 0.1 至 10 公里的海洋锋和细丝（称为亚中尺度）由于其快速演变的流动和较小的时空尺度变化而难以观察。对亚中尺度海气通量的观测表明，大量的热量、水分和动量通量影响着上层大气的结构。在这里，利用亚尺度分辨船舶和机载测量研究了由海洋温度异常驱动的湍流大气边界层的调制，提供了大气对海洋亚尺度温度变化的响应的现场证据。观测表明，强烈的海气热通量和动量驱动了近地表湍流混合，改变了行星边界层的垂直结构。风速与海面温度异常之间的线性回归系数显示出与大尺度下相似的响应幅度，综合变化为0.23 m·s</w:t>
      </w:r>
      <w:r>
        <w:t xml:space="preserve"> </w:t>
      </w:r>
      <w:r>
        <w:t>−1</w:t>
      </w:r>
      <w:r>
        <w:t xml:space="preserve"> </w:t>
      </w:r>
      <w:r>
        <w:t>℃</w:t>
      </w:r>
      <w:r>
        <w:t xml:space="preserve"> </w:t>
      </w:r>
      <w:r>
        <w:t>−1</w:t>
      </w:r>
      <w:r>
        <w:t xml:space="preserve"> </w:t>
      </w:r>
      <w:r>
        <w:t>，但发生在较小的长度尺度上，意味着更尖锐的梯度。滞后相关性和标度分析意味着大气中水平平流和垂直动量湍流混合的综合影响，以前仅通过数值模拟进行描述。观察到的 200 m 低空的横向锋面风散度表明 coh</w:t>
      </w:r>
    </w:p>
    <w:p>
      <w:pPr>
        <w:spacing w:before="0" w:after="200" w:lineRule="auto" w:line="276"/>
      </w:pPr>
      <w:r>
        <w:rPr>
          <w:b/>
        </w:rPr>
        <w:t xml:space="preserve">Abstract (EN): </w:t>
      </w:r>
      <w:r>
        <w:t>Current understanding of the role of ocean variability in air–sea exchange is constrained to large and mesoscale dynamics. Oceanic fronts and filaments with horizontal spatial scales of order 0.1 to 10 km—denoted submesoscale—are challenging to observe due to their fast-evolving flow and small spatiotemporal scales of variability. Observations investigating the air–sea fluxes at the submesoscale have shown substantial fluxes of heat, moisture, and momentum, affecting the structure of the overlying atmosphere. Here, modulations of the turbulent atmospheric boundary layer driven by ocean temperature anomalies are investigated using submesoscale-resolving ship and airborne measurements, providing in situ evidence of the atmospheric response to ocean submesoscale temperature variability. Observations suggest near-surface turbulent mixing driven by strong air–sea fluxes of heat and momentum, modifying the vertical structure of the planetary boundary layer. Linear regression coefficients between wind speed and sea surface temperature anomalies reveal a response similar in magnitude to that seen at larger scales, with an integrated change of 0.23 m s</w:t>
      </w:r>
      <w:r>
        <w:t xml:space="preserve"> </w:t>
      </w:r>
      <w:r>
        <w:t>−1</w:t>
      </w:r>
      <w:r>
        <w:t xml:space="preserve"> </w:t>
      </w:r>
      <w:r>
        <w:t>°C</w:t>
      </w:r>
      <w:r>
        <w:t xml:space="preserve"> </w:t>
      </w:r>
      <w:r>
        <w:t>−1</w:t>
      </w:r>
      <w:r>
        <w:t xml:space="preserve"> </w:t>
      </w:r>
      <w:r>
        <w:t>, but occurring over smaller length-scales, implying sharper gradients. Lagged correlations and scaling analysis imply a combined influence of horizontal advection and vertical turbulent mixing of momentum in the atmosphere, previously only described by numerical simulations. Observed cross-frontal wind divergences over the lower 200 m suggest coherent circulations with vertical velocities of order 1 cm s</w:t>
      </w:r>
      <w:r>
        <w:t xml:space="preserve"> </w:t>
      </w:r>
      <w:r>
        <w:t>−1</w:t>
      </w:r>
      <w:r>
        <w:t xml:space="preserve"> </w:t>
      </w:r>
      <w:r>
        <w:t>. These observations confirm the rapid adjustment of the marine boundary layer to submesoscale ocean temperature variability and the importance of submesoscale-driven air–sea fluxes in changing the properties of the lower atmosphere, processes not resolved in most forecasting and prediction models.</w:t>
      </w:r>
    </w:p>
    <w:p>
      <w:pPr>
        <w:spacing w:before="120" w:after="120"/>
      </w:pPr>
      <w:r>
        <w:rPr>
          <w:sz w:val="18"/>
        </w:rPr>
        <w:t>——————————————————————————————————————————————————————————————————————</w:t>
      </w:r>
    </w:p>
    <w:p>
      <w:pPr>
        <w:spacing w:before="160" w:after="40" w:line="240" w:lineRule="auto"/>
      </w:pPr>
      <w:r>
        <w:rPr>
          <w:b/>
        </w:rPr>
        <w:t xml:space="preserve">[446] </w:t>
      </w:r>
      <w:hyperlink r:id="rId1368">
        <w:r>
          <w:rPr>
            <w:color w:val="1155CC"/>
            <w:u w:val="single"/>
          </w:rPr>
          <w:t>流体极性变化引发并放大富含粘土介质中的优先流动</w:t>
        </w:r>
      </w:hyperlink>
    </w:p>
    <w:p>
      <w:pPr>
        <w:spacing w:before="0" w:after="80"/>
      </w:pPr>
      <w:r>
        <w:rPr>
          <w:i/>
          <w:sz w:val="20"/>
        </w:rPr>
        <w:t>EN: Fluid polarity shifts initiate and amplify preferential flow in clay-rich media</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69">
        <w:r>
          <w:rPr>
            <w:color w:val="1155CC"/>
            <w:u w:val="single"/>
          </w:rPr>
          <w:t>10.1073/pnas.2536672123</w:t>
        </w:r>
      </w:hyperlink>
    </w:p>
    <w:p>
      <w:pPr>
        <w:spacing w:before="0" w:after="120"/>
      </w:pPr>
      <w:r>
        <w:rPr>
          <w:b/>
        </w:rPr>
        <w:t xml:space="preserve">Notes: </w:t>
      </w:r>
      <w:r>
        <w:t>abstract_source=crossref</w:t>
      </w:r>
    </w:p>
    <w:p>
      <w:pPr>
        <w:spacing w:before="0" w:after="80" w:lineRule="auto" w:line="276"/>
      </w:pPr>
      <w:r>
        <w:rPr>
          <w:b/>
        </w:rPr>
        <w:t xml:space="preserve">摘要（ZH）: </w:t>
      </w:r>
      <w:r>
        <w:t>优先流动控制着从微孔到区域流域的跨尺度流体和溶质的输送，但它通常归因于静态孔隙结构的异质性。在这里，我们表明流体极性可以主动重组孔隙网络并放大富含高岭石粘土介质中的优先流动。在渗透实验中，用低极性氢氟醚代替水会引发早期突破（约 0.4 天），渗透率比标准相对渗透率函数预测的高约 62.7 倍（低极性饱和度仅为 18.8%）。多尺度成像和孔隙率测定显示了从单峰微孔隙到连通孔隙-裂缝双峰结构的转变。界面测量表明，低极性流体削弱了颗粒间的静电斥力，从而通过减少无效孔隙和激活潜在连通性来重组孔隙空间。在跨尺度机制链的指导下，我们建立了一种将界面力与无效孔隙度联系起来的单参数关系，并将其集成到一个耦合框架中，该框架再现了 21 种富含粘土介质和 24 种流体的优先路径发育和渗透率演化。这些发现推进了极性驱动输运动力学的跨尺度框架，并为将流体极性纳入浅层富含粘土环境的预测地下输运模型提供了基础。</w:t>
      </w:r>
    </w:p>
    <w:p>
      <w:pPr>
        <w:spacing w:before="0" w:after="200" w:lineRule="auto" w:line="276"/>
      </w:pPr>
      <w:r>
        <w:rPr>
          <w:b/>
        </w:rPr>
        <w:t xml:space="preserve">Abstract (EN): </w:t>
      </w:r>
      <w:r>
        <w:t>Preferential flow governs fluid and solute transport across scales from micropores to regional watersheds, yet it is commonly attributed to static pore-structure heterogeneity. Here, we show that fluid polarity can actively reorganize pore networks and amplify preferential flow in kaolinite-rich clay media. In permeation experiments, replacing water with a low-polar hydrofluoroether triggers early breakthrough (~0.4 d) and permeability up to ~62.7× higher than predicted by standard relative permeability functions at only 18.8% low-polar saturation. Multiscale imaging and porosimetry show a transition from unimodal microporosity to connected pore-fracture bimodal architectures. Interfacial measurements indicate that low-polar fluids weaken interparticle electrostatic repulsion and thereby reorganize pore space by reducing ineffective pores and activating latent connectivity. Guided by the cross-scale mechanistic chain, we establish a one-parameter relationship linking interfacial forces to ineffective porosity and integrate it into a coupled framework that reproduces preferential path development and permeability evolution across 21 clay-rich media and 24 fluids. These findings advance a cross-scale framework for polarity-driven transport dynamics and provide a basis for incorporating fluid polarity into predictive subsurface transport models in shallow clay-rich environments.</w:t>
      </w:r>
    </w:p>
    <w:p>
      <w:pPr>
        <w:spacing w:before="120" w:after="120"/>
      </w:pPr>
      <w:r>
        <w:rPr>
          <w:sz w:val="18"/>
        </w:rPr>
        <w:t>——————————————————————————————————————————————————————————————————————</w:t>
      </w:r>
    </w:p>
    <w:p>
      <w:pPr>
        <w:spacing w:before="160" w:after="40" w:line="240" w:lineRule="auto"/>
      </w:pPr>
      <w:r>
        <w:rPr>
          <w:b/>
        </w:rPr>
        <w:t xml:space="preserve">[447] </w:t>
      </w:r>
      <w:hyperlink r:id="rId1370">
        <w:r>
          <w:rPr>
            <w:color w:val="1155CC"/>
            <w:u w:val="single"/>
          </w:rPr>
          <w:t>光和温度敏感的癫痫发作由中枢神经系统中空间上不同的皮质胶质细胞群调节</w:t>
        </w:r>
      </w:hyperlink>
    </w:p>
    <w:p>
      <w:pPr>
        <w:spacing w:before="0" w:after="80"/>
      </w:pPr>
      <w:r>
        <w:rPr>
          <w:i/>
          <w:sz w:val="20"/>
        </w:rPr>
        <w:t>EN: Light- and temperature-sensitive seizures are regulated by spatially distinct cortex glial populations in the central nervous system</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71">
        <w:r>
          <w:rPr>
            <w:color w:val="1155CC"/>
            <w:u w:val="single"/>
          </w:rPr>
          <w:t>10.1073/pnas.2605750123</w:t>
        </w:r>
      </w:hyperlink>
    </w:p>
    <w:p>
      <w:pPr>
        <w:spacing w:before="0" w:after="120"/>
      </w:pPr>
      <w:r>
        <w:rPr>
          <w:b/>
        </w:rPr>
        <w:t xml:space="preserve">Notes: </w:t>
      </w:r>
      <w:r>
        <w:t>abstract_source=crossref</w:t>
      </w:r>
    </w:p>
    <w:p>
      <w:pPr>
        <w:spacing w:before="0" w:after="80" w:lineRule="auto" w:line="276"/>
      </w:pPr>
      <w:r>
        <w:rPr>
          <w:b/>
        </w:rPr>
        <w:t xml:space="preserve">摘要（ZH）: </w:t>
      </w:r>
      <w:r>
        <w:t>癫痫的特征是由于神经元群体的异常神经元活动导致的反复发作。癫痫发作通常与癫痫病灶处的神经胶质细胞功能异常有关。研究表明，每种神经胶质细胞类型，例如星形胶质细胞，在其发育、分子特征和功能方面表现出显着程度的异质性，具体取决于它们所在的大脑区域。然而，尚不清楚这种异质性是否会不同地影响或导致癫痫发作。以前的研究</w:t>
      </w:r>
      <w:r>
        <w:t xml:space="preserve"> </w:t>
      </w:r>
      <w:r>
        <w:t>果蝇</w:t>
      </w:r>
      <w:r>
        <w:t xml:space="preserve"> </w:t>
      </w:r>
      <w:r>
        <w:t>研究表明，异常的皮质胶质细胞 (CG) 功能导致神经酰胺磷酸乙醇胺合酶的光诱导 (LI) 癫痫发作。</w:t>
      </w:r>
      <w:r>
        <w:t xml:space="preserve"> </w:t>
      </w:r>
      <w:r>
        <w:t>CPES</w:t>
      </w:r>
      <w:r>
        <w:t xml:space="preserve"> </w:t>
      </w:r>
      <w:r>
        <w:t>）和 zydeco 中的温度敏感（TS）癫痫发作（</w:t>
      </w:r>
      <w:r>
        <w:t xml:space="preserve"> </w:t>
      </w:r>
      <w:r>
        <w:t>齐德</w:t>
      </w:r>
      <w:r>
        <w:rPr>
          <w:vertAlign w:val="subscript"/>
        </w:rPr>
        <w:t>1</w:t>
      </w:r>
      <w:r>
        <w:t xml:space="preserve"> </w:t>
      </w:r>
      <w:r>
        <w:t>）突变体。在这里，我们优化了 Gal4/Split-Gal4/Gal80/LexA 驱动程序，以在大脑不同部位（包括视叶 (OL)、中枢脑 (CB) 和腹神经索 (VNC)）的 CG 亚群的整个发育过程中特异性表达感兴趣的基因。使用这些工具，我们进行了大脑区域特定的 CG 救援实验</w:t>
      </w:r>
      <w:r>
        <w:t xml:space="preserve"> </w:t>
      </w:r>
      <w:r>
        <w:t>CPES</w:t>
      </w:r>
      <w:r>
        <w:t xml:space="preserve"> </w:t>
      </w:r>
      <w:r>
        <w:t>和</w:t>
      </w:r>
      <w:r>
        <w:t xml:space="preserve"> </w:t>
      </w:r>
      <w:r>
        <w:t>齐德</w:t>
      </w:r>
      <w:r>
        <w:rPr>
          <w:vertAlign w:val="subscript"/>
        </w:rPr>
        <w:t>1</w:t>
      </w:r>
      <w:r>
        <w:t xml:space="preserve"> </w:t>
      </w:r>
      <w:r>
        <w:t>突变体。我们发现 CPES 的 OL 和 CB 特异性而非 VNC 特异性 CG 表达显着抑制了 LI 癫痫发作</w:t>
      </w:r>
      <w:r>
        <w:t xml:space="preserve"> </w:t>
      </w:r>
      <w:r>
        <w:t>CPES</w:t>
      </w:r>
    </w:p>
    <w:p>
      <w:pPr>
        <w:spacing w:before="0" w:after="200" w:lineRule="auto" w:line="276"/>
      </w:pPr>
      <w:r>
        <w:rPr>
          <w:b/>
        </w:rPr>
        <w:t xml:space="preserve">Abstract (EN): </w:t>
      </w:r>
      <w:r>
        <w:t>Epilepsy is characterized by recurrent seizures due to abnormal neuronal activity originating from a population of neurons. Seizures are often associated with abnormal glial cell function at the seizure focus. Studies have shown that each glial type, such as astrocytes, displays a significant degree of heterogeneity in their development, molecular signatures, and function depending on the brain region in which they are located. It is unknown, however, if such heterogeneity differentially influences or causes seizures. Previous studies in</w:t>
      </w:r>
      <w:r>
        <w:t xml:space="preserve"> </w:t>
      </w:r>
      <w:r>
        <w:t>Drosophila</w:t>
      </w:r>
      <w:r>
        <w:t xml:space="preserve"> </w:t>
      </w:r>
      <w:r>
        <w:t>have shown that aberrant Cortex glia (CG) function led to light-inducible (LI) seizures in Ceramide phosphoethanolamine synthase (</w:t>
      </w:r>
      <w:r>
        <w:t xml:space="preserve"> </w:t>
      </w:r>
      <w:r>
        <w:t>cpes</w:t>
      </w:r>
      <w:r>
        <w:t xml:space="preserve"> </w:t>
      </w:r>
      <w:r>
        <w:t>) and temperature-sensitive (TS) seizures in zydeco (</w:t>
      </w:r>
      <w:r>
        <w:t xml:space="preserve"> </w:t>
      </w:r>
      <w:r>
        <w:t>zyd</w:t>
      </w:r>
      <w:r>
        <w:rPr>
          <w:vertAlign w:val="subscript"/>
        </w:rPr>
        <w:t>1</w:t>
      </w:r>
      <w:r>
        <w:t xml:space="preserve"> </w:t>
      </w:r>
      <w:r>
        <w:t>) mutants. Here, we have optimized Gal4/Split-Gal4/Gal80/LexA drivers to specifically express a gene of interest throughout development in CG subpopulations in different parts of the brain including optic lobe (OL), central brain (CB), and ventral nerve cord (VNC). Using these tools, we performed brain region–specific CG rescue experiments in</w:t>
      </w:r>
      <w:r>
        <w:t xml:space="preserve"> </w:t>
      </w:r>
      <w:r>
        <w:t>cpes</w:t>
      </w:r>
      <w:r>
        <w:t xml:space="preserve"> </w:t>
      </w:r>
      <w:r>
        <w:t>and</w:t>
      </w:r>
      <w:r>
        <w:t xml:space="preserve"> </w:t>
      </w:r>
      <w:r>
        <w:t>zyd</w:t>
      </w:r>
      <w:r>
        <w:rPr>
          <w:vertAlign w:val="subscript"/>
        </w:rPr>
        <w:t>1</w:t>
      </w:r>
      <w:r>
        <w:t xml:space="preserve"> </w:t>
      </w:r>
      <w:r>
        <w:t>mutants. We found that OL- and CB-specific, but not VNC-specific CG expression of CPES significantly suppressed LI seizures in</w:t>
      </w:r>
      <w:r>
        <w:t xml:space="preserve"> </w:t>
      </w:r>
      <w:r>
        <w:t>cpes</w:t>
      </w:r>
      <w:r>
        <w:t xml:space="preserve"> </w:t>
      </w:r>
      <w:r>
        <w:t>mutants. In contrast, VNC- but not OL- or CB-specific CG expression of ZYD suppressed TS seizures. In a third model, expression and activation of transient receptor potential, dTRPA1, exclusively in the VNC-specific CG was sufficient to induce TS seizures in wild-type flies. Our findings suggest that regionally specialized CG subtypes differentially regulate seizure susceptibility in seizure models.</w:t>
      </w:r>
    </w:p>
    <w:p>
      <w:pPr>
        <w:spacing w:before="120" w:after="120"/>
      </w:pPr>
      <w:r>
        <w:rPr>
          <w:sz w:val="18"/>
        </w:rPr>
        <w:t>——————————————————————————————————————————————————————————————————————</w:t>
      </w:r>
    </w:p>
    <w:p>
      <w:pPr>
        <w:spacing w:before="160" w:after="40" w:line="240" w:lineRule="auto"/>
      </w:pPr>
      <w:r>
        <w:rPr>
          <w:b/>
        </w:rPr>
        <w:t xml:space="preserve">[448] </w:t>
      </w:r>
      <w:hyperlink r:id="rId1372">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73">
        <w:r>
          <w:rPr>
            <w:color w:val="1155CC"/>
            <w:u w:val="single"/>
          </w:rPr>
          <w:t>10.1073/iti2926123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[449] </w:t>
      </w:r>
      <w:hyperlink r:id="rId1374">
        <w:r>
          <w:rPr>
            <w:color w:val="1155CC"/>
            <w:u w:val="single"/>
          </w:rPr>
          <w:t>HSP90α 乳酰化协调 PGC1α 和 LRPGC1 核转位驱动线粒体生物发生</w:t>
        </w:r>
      </w:hyperlink>
    </w:p>
    <w:p>
      <w:pPr>
        <w:spacing w:before="0" w:after="80"/>
      </w:pPr>
      <w:r>
        <w:rPr>
          <w:i/>
          <w:sz w:val="20"/>
        </w:rPr>
        <w:t>EN: HSP90α lactylation orchestrates PGC1α and LRPGC1 nuclear translocation driving mitochondrial biogenesis</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75">
        <w:r>
          <w:rPr>
            <w:color w:val="1155CC"/>
            <w:u w:val="single"/>
          </w:rPr>
          <w:t>10.1073/pnas.2528979123</w:t>
        </w:r>
      </w:hyperlink>
    </w:p>
    <w:p>
      <w:pPr>
        <w:spacing w:before="0" w:after="120"/>
      </w:pPr>
      <w:r>
        <w:rPr>
          <w:b/>
        </w:rPr>
        <w:t xml:space="preserve">Notes: </w:t>
      </w:r>
      <w:r>
        <w:t>abstract_source=crossref</w:t>
      </w:r>
    </w:p>
    <w:p>
      <w:pPr>
        <w:spacing w:before="0" w:after="80" w:lineRule="auto" w:line="276"/>
      </w:pPr>
      <w:r>
        <w:rPr>
          <w:b/>
        </w:rPr>
        <w:t xml:space="preserve">摘要（ZH）: </w:t>
      </w:r>
      <w:r>
        <w:t>线粒体生物发生是确保卵巢细胞能量供应和支持类固醇生成的基本过程。最近，乳酸被确定为一种促进线粒体生物发生的信号代谢物。然而，基本的监管机制仍然不明确。在这里，我们将热休克蛋白 90 Alpha 家族 A 类成员 1 (HSP90α) 乳酰化确定为将糖酵解代谢与线粒体功能联系起来的关键介质。具体而言，HSP90α 在 K58 处的乳酰化会招募 ULK1，从而增强 S39 处的磷酸化； K616 处的乳酰化可防止 S596 处 CDK5 介导的磷酸化。这种双重调节促进过氧化物酶体增殖物激活受体 γ 共激活剂 1-α (PGC1α) 及其亚型 LRPGC1 的核转位，从而激活线粒体生物合成基因的 NRF1/2 依赖性转录，例如</w:t>
      </w:r>
      <w:r>
        <w:t xml:space="preserve"> </w:t>
      </w:r>
      <w:r>
        <w:t>tfb1m</w:t>
      </w:r>
      <w:r>
        <w:t xml:space="preserve"> </w:t>
      </w:r>
      <w:r>
        <w:t>,</w:t>
      </w:r>
      <w:r>
        <w:t xml:space="preserve"> </w:t>
      </w:r>
      <w:r>
        <w:t>tfb2m</w:t>
      </w:r>
      <w:r>
        <w:t xml:space="preserve"> </w:t>
      </w:r>
      <w:r>
        <w:t>, 和</w:t>
      </w:r>
      <w:r>
        <w:t xml:space="preserve"> </w:t>
      </w:r>
      <w:r>
        <w:t>特法姆</w:t>
      </w:r>
      <w:r>
        <w:t xml:space="preserve"> </w:t>
      </w:r>
      <w:r>
        <w:t>。从功能上讲，线粒体质量扩张既增强细胞能量代谢，又促进胆固醇输入线粒体，从而驱动雌激素生物合成。总之，这些发现揭示了乳酸-HSP90α-PGC1α/LRPGC1轴，该轴在代谢上将糖酵解与线粒体生物合成和生殖激素产生耦合起来，为卵泡发育的表观遗传调控提供了见解。</w:t>
      </w:r>
    </w:p>
    <w:p>
      <w:pPr>
        <w:spacing w:before="0" w:after="200" w:lineRule="auto" w:line="276"/>
      </w:pPr>
      <w:r>
        <w:rPr>
          <w:b/>
        </w:rPr>
        <w:t xml:space="preserve">Abstract (EN): </w:t>
      </w:r>
      <w:r>
        <w:t>Mitochondrial biogenesis is a fundamental process that ensures energy supply and supports steroidogenesis in ovarian cells. Lactate has recently been identified as a signaling metabolite that promotes mitochondrial biogenesis; however, the underlying regulatory mechanisms remain poorly defined. Here, we identify Heat Shock Protein 90 Alpha Family Class A Member 1 (HSP90α) lactylation as a key mediator that links glycolytic metabolism to mitochondrial function. Specifically, lactylation of HSP90α at K58 recruits ULK1, thereby enhancing phosphorylation at S39; lactylation at K616 prevents CDK5-mediated phosphorylation at S596. This dual regulation facilitates the nuclear translocation of peroxisome proliferator-activated receptor gamma coactivator 1-alpha (PGC1α) and its isoform LRPGC1, which activate NRF1/2-dependent transcription of mitochondrial biogenesis genes, such as</w:t>
      </w:r>
      <w:r>
        <w:t xml:space="preserve"> </w:t>
      </w:r>
      <w:r>
        <w:t>Tfb1m</w:t>
      </w:r>
      <w:r>
        <w:t xml:space="preserve"> </w:t>
      </w:r>
      <w:r>
        <w:t>,</w:t>
      </w:r>
      <w:r>
        <w:t xml:space="preserve"> </w:t>
      </w:r>
      <w:r>
        <w:t>Tfb2m</w:t>
      </w:r>
      <w:r>
        <w:t xml:space="preserve"> </w:t>
      </w:r>
      <w:r>
        <w:t>, and</w:t>
      </w:r>
      <w:r>
        <w:t xml:space="preserve"> </w:t>
      </w:r>
      <w:r>
        <w:t>Tfam</w:t>
      </w:r>
      <w:r>
        <w:t xml:space="preserve"> </w:t>
      </w:r>
      <w:r>
        <w:t>. Functionally, mitochondrial mass expansion both enhances cellular energy metabolism and promotes cholesterol import into mitochondria, thereby driving estrogen biosynthesis. Together, these findings reveal a lactate–HSP90α–PGC1α/LRPGC1 axis that metabolically couples glycolysis to mitochondrial biogenesis and reproductive hormone production, providing insights into the epigenetic regulation of follicular development.</w:t>
      </w:r>
    </w:p>
    <w:p>
      <w:pPr>
        <w:spacing w:before="120" w:after="120"/>
      </w:pPr>
      <w:r>
        <w:rPr>
          <w:sz w:val="18"/>
        </w:rPr>
        <w:t>——————————————————————————————————————————————————————————————————————</w:t>
      </w:r>
    </w:p>
    <w:p>
      <w:pPr>
        <w:spacing w:before="160" w:after="40" w:line="240" w:lineRule="auto"/>
      </w:pPr>
      <w:r>
        <w:rPr>
          <w:b/>
        </w:rPr>
        <w:t xml:space="preserve">[450] </w:t>
      </w:r>
      <w:hyperlink r:id="rId1376">
        <w:r>
          <w:rPr>
            <w:color w:val="1155CC"/>
            <w:u w:val="single"/>
          </w:rPr>
          <w:t>红藻光系统 I 中的激子能量转移揭示了蓝藻和植物之间的进化桥梁</w:t>
        </w:r>
      </w:hyperlink>
    </w:p>
    <w:p>
      <w:pPr>
        <w:spacing w:before="0" w:after="80"/>
      </w:pPr>
      <w:r>
        <w:rPr>
          <w:i/>
          <w:sz w:val="20"/>
        </w:rPr>
        <w:t>EN: Excitonic energy transfer in red algal Photosystem I reveals an evolutionary bridge between cyanobacteria and plants</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77">
        <w:r>
          <w:rPr>
            <w:color w:val="1155CC"/>
            <w:u w:val="single"/>
          </w:rPr>
          <w:t>10.1073/pnas.2530661123</w:t>
        </w:r>
      </w:hyperlink>
    </w:p>
    <w:p>
      <w:pPr>
        <w:spacing w:before="0" w:after="120"/>
      </w:pPr>
      <w:r>
        <w:rPr>
          <w:b/>
        </w:rPr>
        <w:t xml:space="preserve">Notes: </w:t>
      </w:r>
      <w:r>
        <w:t>abstract_source=crossref</w:t>
      </w:r>
    </w:p>
    <w:p>
      <w:pPr>
        <w:spacing w:before="0" w:after="80" w:lineRule="auto" w:line="276"/>
      </w:pPr>
      <w:r>
        <w:rPr>
          <w:b/>
        </w:rPr>
        <w:t xml:space="preserve">摘要（ZH）: </w:t>
      </w:r>
      <w:r>
        <w:t>光系统 I (PSI) 以接近统一的量子效率将光转化为化学能，但其能量转移和电荷分离机制仍存在争议。进化具有多样化的 PSI 结构：蓝藻 PSI 三聚体将红移色素限制在核心，而植物 PSI-光捕获复合物 I 超级复合物包含广泛的外围红色和电荷转移状态，可重塑捕获。单细胞红藻</w:t>
      </w:r>
      <w:r>
        <w:t xml:space="preserve"> </w:t>
      </w:r>
      <w:r>
        <w:t>梅罗拉氰藻</w:t>
      </w:r>
      <w:r>
        <w:t xml:space="preserve"> </w:t>
      </w:r>
      <w:r>
        <w:t>例证了不同进化分支的功能多样化，结合了光系统 II 和与不同数量的光捕获天线亚基（来自红色谱系的光捕获复合体（LHCR））相关的类植物单体 PSI 核心。这种混合组织在功能上连接了不同谱系的机械模型。我们在超低温（8 和 80 K）下应用二维电子光谱来解开重叠的激发路径</w:t>
      </w:r>
      <w:r>
        <w:t xml:space="preserve"> </w:t>
      </w:r>
      <w:r>
        <w:t>梅罗拉菌</w:t>
      </w:r>
      <w:r>
        <w:t xml:space="preserve"> </w:t>
      </w:r>
      <w:r>
        <w:t>PSI。低温测量抑制了热展宽，解决了五个动力学组件：核心-LHCR界面上的亚皮秒平衡（0.3至0.8 ps），随后的粒子群转移（2.6至4 ps）进入逐渐降低能量的流形，以及较慢地馈入分布在核心和天线上的红池（18至53 ps）。在最长的时间尺度（数百皮秒）上，持久的基态漂白意味着激子稳定在终端汇中。值得注意的是，8 K 和 80 K 光谱的比较表明，激发</w:t>
      </w:r>
    </w:p>
    <w:p>
      <w:pPr>
        <w:spacing w:before="0" w:after="200" w:lineRule="auto" w:line="276"/>
      </w:pPr>
      <w:r>
        <w:rPr>
          <w:b/>
        </w:rPr>
        <w:t xml:space="preserve">Abstract (EN): </w:t>
      </w:r>
      <w:r>
        <w:t>Photosystem I (PSI) converts light into chemical energy with near-unity quantum efficiency, yet its energy-transfer and charge-separation mechanisms remain debated. Evolution has diversified PSI architectures: Cyanobacterial PSI trimers confine red-shifted pigments to the core, whereas plant PSI-Light Harvesting Complex Isupercomplexes incorporate extensive peripheral red and charge-transfer states that reshape trapping. The unicellular red alga</w:t>
      </w:r>
      <w:r>
        <w:t xml:space="preserve"> </w:t>
      </w:r>
      <w:r>
        <w:t>Cyanidioschyzon merolae</w:t>
      </w:r>
      <w:r>
        <w:t xml:space="preserve"> </w:t>
      </w:r>
      <w:r>
        <w:t>exemplifies functional diversification across distinct evolutionary branches, combining a photosystem II and plant-like monomeric PSI core associated with a varying number of light harvesting antenna subunits, Light Harvesting Complexes from Red Lineage (LHCR). This hybrid organization functionally bridges mechanistic models across different lineages. We applied two-dimensional electronic spectroscopy at ultralow temperatures (8 and 80 K) to disentangle overlapping excitation pathways in</w:t>
      </w:r>
      <w:r>
        <w:t xml:space="preserve"> </w:t>
      </w:r>
      <w:r>
        <w:t>C. merolae</w:t>
      </w:r>
      <w:r>
        <w:t xml:space="preserve"> </w:t>
      </w:r>
      <w:r>
        <w:t>PSI. Cryogenic measurements suppressed thermal broadening, resolving five dynamical components: subpicosecond equilibration (0.3 to 0.8 ps) across the core–LHCR interface, subsequent population transfer (2.6 to 4 ps) into progressively lower-energy manifolds, and slower feeding (18 to 53 ps) into red pools distributed across both core and antenna. On the longest timescales (hundreds of ps), a persistent ground-state bleach signifies excitons stabilized in terminal sinks. Notably, comparison of 8 K and 80 K spectra reveals that excitations are heterogeneously partitioned among multiple sinks at low disorder, whereas modest thermal activation (kT</w:t>
      </w:r>
      <w:r>
        <w:t xml:space="preserve"> </w:t>
      </w:r>
      <w:r>
        <w:t>∼</w:t>
      </w:r>
      <w:r>
        <w:t xml:space="preserve"> </w:t>
      </w:r>
      <w:r>
        <w:t>55 cm</w:t>
      </w:r>
      <w:r>
        <w:t xml:space="preserve"> </w:t>
      </w:r>
      <w:r>
        <w:t>−1</w:t>
      </w:r>
      <w:r>
        <w:t xml:space="preserve"> </w:t>
      </w:r>
      <w:r>
        <w:t>) promotes selective convergence into core-associated red chlorophylls. Atomistic excitonic modeling with time-nonlocal master equations supports these observations, revealing temperature-dependent energy redistribution. Overall,</w:t>
      </w:r>
      <w:r>
        <w:t xml:space="preserve"> </w:t>
      </w:r>
      <w:r>
        <w:t>C. merolae</w:t>
      </w:r>
      <w:r>
        <w:t xml:space="preserve"> </w:t>
      </w:r>
      <w:r>
        <w:t>PSI expands the kinetic funnel by distributing trapping sites, enhancing spectral coverage while maintaining high efficiency, which is an important functional diversification during evolution.</w:t>
      </w:r>
    </w:p>
    <w:p>
      <w:pPr>
        <w:spacing w:before="120" w:after="120"/>
      </w:pPr>
      <w:r>
        <w:rPr>
          <w:sz w:val="18"/>
        </w:rPr>
        <w:t>——————————————————————————————————————————————————————————————————————</w:t>
      </w:r>
    </w:p>
    <w:p>
      <w:pPr>
        <w:spacing w:before="160" w:after="40" w:line="240" w:lineRule="auto"/>
      </w:pPr>
      <w:r>
        <w:rPr>
          <w:b/>
        </w:rPr>
        <w:t xml:space="preserve">[451] </w:t>
      </w:r>
      <w:hyperlink r:id="rId1378">
        <w:r>
          <w:rPr>
            <w:color w:val="1155CC"/>
            <w:u w:val="single"/>
          </w:rPr>
          <w:t>鹰蛾长鼻探测中侧化视觉运动轴的保护</w:t>
        </w:r>
      </w:hyperlink>
    </w:p>
    <w:p>
      <w:pPr>
        <w:spacing w:before="0" w:after="80"/>
      </w:pPr>
      <w:r>
        <w:rPr>
          <w:i/>
          <w:sz w:val="20"/>
        </w:rPr>
        <w:t>EN: Conservation of a lateralized visuomotor axis in hawkmoth proboscis probing</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79">
        <w:r>
          <w:rPr>
            <w:color w:val="1155CC"/>
            <w:u w:val="single"/>
          </w:rPr>
          <w:t>10.1073/pnas.2609365123</w:t>
        </w:r>
      </w:hyperlink>
    </w:p>
    <w:p>
      <w:pPr>
        <w:spacing w:before="0" w:after="120"/>
      </w:pPr>
      <w:r>
        <w:rPr>
          <w:b/>
        </w:rPr>
        <w:t xml:space="preserve">Notes: </w:t>
      </w:r>
      <w:r>
        <w:t>abstract_source=crossref</w:t>
      </w:r>
    </w:p>
    <w:p>
      <w:pPr>
        <w:spacing w:before="0" w:after="80" w:lineRule="auto" w:line="276"/>
      </w:pPr>
      <w:r>
        <w:rPr>
          <w:b/>
        </w:rPr>
        <w:t xml:space="preserve">摘要（ZH）: </w:t>
      </w:r>
      <w:r>
        <w:t>行为的偏侧化，包括运动控制和感觉处理，在两侧对称动物中普遍存在。在视觉引导任务中，它通常表现为在共享参考系内对齐眼睛、附肢和目标的轴，例如人类的眼手协调或鸟类的眼喙协调。虽然在一些脊椎动物系统中进行了深入研究，但类似的控制原理是否适用于无脊椎动物，以及更一般地说，感觉和运动偏侧化如何机械地联系起来，仍不清楚。利用蜂鸟天蛾的长鼻检查行为</w:t>
      </w:r>
      <w:r>
        <w:t xml:space="preserve"> </w:t>
      </w:r>
      <w:r>
        <w:t>星状巨舌兰</w:t>
      </w:r>
      <w:r>
        <w:t xml:space="preserve"> </w:t>
      </w:r>
      <w:r>
        <w:t>作为视觉附属引导的模型，我们的研究为无脊椎动物的侧化视觉运动控制提供了证据。结合高速摄像和无标记姿态估计，我们在天蛾不成对的附肢和眼睛之间建立了基础控制轴。我们证明个体表现出稳定的、特殊的长鼻偏侧化，这与他们视觉目标的瞬时视角紧密相关，从而形成持续的眼睛-长鼻-目标轴。该轴还对功能定位产生功能影响。使用单眼遮挡评估感觉运动可塑性，我们发现飞蛾通过在赏花过程中调整身体姿势来保留其侧化视觉运动几何形状。我们的研究结果表明，侧化视觉附属器引导的脊椎动物模型具有收敛控制原理，同时强调了感觉运动可塑性的明显差异</w:t>
      </w:r>
    </w:p>
    <w:p>
      <w:pPr>
        <w:spacing w:before="0" w:after="200" w:lineRule="auto" w:line="276"/>
      </w:pPr>
      <w:r>
        <w:rPr>
          <w:b/>
        </w:rPr>
        <w:t xml:space="preserve">Abstract (EN): </w:t>
      </w:r>
      <w:r>
        <w:t>Lateralization of behavior, including motor control and sensory processing, is widespread across bilaterians. In visually guided tasks it often manifests as an axis aligning eye, appendage, and a target within a shared reference frame, such as eye-hand coordination in humans or eye-beak coordination in birds. While studied intensively in a few vertebrate systems, whether similar control principles apply to invertebrates, and more generally, how sensory and motor lateralization are linked mechanistically, remains unclear. Using the proboscis inspection behavior of hummingbird hawkmoth</w:t>
      </w:r>
      <w:r>
        <w:t xml:space="preserve"> </w:t>
      </w:r>
      <w:r>
        <w:t>Macroglossum stellatarum</w:t>
      </w:r>
      <w:r>
        <w:t xml:space="preserve"> </w:t>
      </w:r>
      <w:r>
        <w:t>as a model for visual appendage guidance, our study provides evidence for lateralized visuo-motor control in an invertebrate. Combining high-speed videography and markerless pose estimation, we establish the underlying control axis between the hawkmoths’ unpaired appendage and its eye. We demonstrate that individuals displayed stable, idiosyncratic proboscis lateralization, which was tightly linked to their instantaneous viewing angle of visual targets, thus forming a persistent eye–proboscis–target axis. This axis also had functional consequences for feature-targeting. Assessing the sensory–motor plasticity using monocular occlusion, we found that moths preserved their lateralized visuo-motor geometry by adjusting body posture during flower inspection. Our findings suggest convergent control principles with vertebrate models of lateralized visual appendage guidance, while highlighting stark differences in sensory–motor plasticity, thus adding to our general understanding of how lateralization shapes control strategies across nervous systems.</w:t>
      </w:r>
    </w:p>
    <w:p>
      <w:pPr>
        <w:spacing w:before="120" w:after="120"/>
      </w:pPr>
      <w:r>
        <w:rPr>
          <w:sz w:val="18"/>
        </w:rPr>
        <w:t>——————————————————————————————————————————————————————————————————————</w:t>
      </w:r>
    </w:p>
    <w:p>
      <w:pPr>
        <w:spacing w:before="160" w:after="40" w:line="240" w:lineRule="auto"/>
      </w:pPr>
      <w:r>
        <w:rPr>
          <w:b/>
        </w:rPr>
        <w:t xml:space="preserve">[452] </w:t>
      </w:r>
      <w:hyperlink r:id="rId1380">
        <w:r>
          <w:rPr>
            <w:color w:val="1155CC"/>
            <w:u w:val="single"/>
          </w:rPr>
          <w:t>ZNF263–NuRD 介导的 STAT1 抑制可减少前列腺癌中 MHC-I 抗原呈递和 IFN-γ 功效</w:t>
        </w:r>
      </w:hyperlink>
    </w:p>
    <w:p>
      <w:pPr>
        <w:spacing w:before="0" w:after="80"/>
      </w:pPr>
      <w:r>
        <w:rPr>
          <w:i/>
          <w:sz w:val="20"/>
        </w:rPr>
        <w:t>EN: ZNF263–NuRD-mediated repression of STAT1 curtails MHC-I antigen presentation and IFN-γ efficacy in prostate cancer</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81">
        <w:r>
          <w:rPr>
            <w:color w:val="1155CC"/>
            <w:u w:val="single"/>
          </w:rPr>
          <w:t>10.1073/pnas.2603231123</w:t>
        </w:r>
      </w:hyperlink>
    </w:p>
    <w:p>
      <w:pPr>
        <w:spacing w:before="0" w:after="120"/>
      </w:pPr>
      <w:r>
        <w:rPr>
          <w:b/>
        </w:rPr>
        <w:t xml:space="preserve">Notes: </w:t>
      </w:r>
      <w:r>
        <w:t>abstract_source=crossref</w:t>
      </w:r>
    </w:p>
    <w:p>
      <w:pPr>
        <w:spacing w:before="0" w:after="80" w:lineRule="auto" w:line="276"/>
      </w:pPr>
      <w:r>
        <w:rPr>
          <w:b/>
        </w:rPr>
        <w:t xml:space="preserve">摘要（ZH）: </w:t>
      </w:r>
      <w:r>
        <w:t>主要组织相容性复合物 (MHC)-I 的丧失是前列腺癌 (PCa) 免疫逃避和免疫治疗失败的标志。在这里，我们将 ZNF263 确定为一种转录阻遏蛋白，它通过将核小体重塑和脱乙酰酶 (NuRD) 招募到 STAT1 启动子来沉默 MHC-I，从而减少 STAT1 和 MHC-I 的表达。缺氧通过 ZNF263 的两种修饰增强这种抑制：磷酸化驱动的相分离增强 NuRD 相互作用，以及 S662 上的 O-GlcNAc 酰化有助于 STAT1 启动子结合。 O-GlcNAcylation 还促进与蛋白激酶、DNA 激活催化亚基 (PRKDC) 的相互作用，从而放大磷酸化。 ZNF263 缺失后，干扰素γ (IFN-γ) 诱导的 MHC-I 诱导作用增强。通过计算机对接，确定 Viroptic 是一种 Krüppel 相关盒 (KRAB) 口袋结合物，可破坏 ZNF263-NuRD、去抑制 STAT1 并增强体内 IFN-γ 抗肿瘤免疫力。高 ZNF263 与低 MHC-I、稀缺 CD8+ T 细胞和较差的生存率相关，这为在 PCa 免疫治疗中靶向 ZNF263 提供了理论基础。</w:t>
      </w:r>
    </w:p>
    <w:p>
      <w:pPr>
        <w:spacing w:before="0" w:after="200" w:lineRule="auto" w:line="276"/>
      </w:pPr>
      <w:r>
        <w:rPr>
          <w:b/>
        </w:rPr>
        <w:t xml:space="preserve">Abstract (EN): </w:t>
      </w:r>
      <w:r>
        <w:t>Loss of major histocompatibility complex (MHC)-I is a hallmark of prostate cancer (PCa) immune evasion and immunotherapy failure. Here, we identify ZNF263 as a transcriptional repressor that silences MHC-I by recruiting nucleosome-remodeling and deacetylase (NuRD) to the STAT1 promoter, reducing STAT1 and MHC-I expression. Hypoxia enhances this repression through two ZNF263 modifications: phosphorylation-driven phase separation that strengthens NuRD interaction and O-GlcNAcylation at S662 that aids STAT1 promoter binding. O-GlcNAcylation also promotes interaction with protein kinase, DNA‑activated catalytic subunit (PRKDC), amplifying phosphorylation. Interferon‑gamma (IFN‑γ)‑induced MHC-I induction is augmented upon ZNF263 loss. In silico docking identified Viroptic as a Krüppel‑associated box (KRAB) pocket binder disrupting ZNF263–NuRD, derepressing STAT1, and potentiating IFN-γ antitumor immunity in vivo. High ZNF263 correlates with low MHC-I, scarce CD8+ T cells, and poor survival, providing rationale for targeting ZNF263 in PCa immunotherapy.</w:t>
      </w:r>
    </w:p>
    <w:p>
      <w:pPr>
        <w:spacing w:before="120" w:after="120"/>
      </w:pPr>
      <w:r>
        <w:rPr>
          <w:sz w:val="18"/>
        </w:rPr>
        <w:t>——————————————————————————————————————————————————————————————————————</w:t>
      </w:r>
    </w:p>
    <w:p>
      <w:pPr>
        <w:spacing w:before="160" w:after="40" w:line="240" w:lineRule="auto"/>
      </w:pPr>
      <w:r>
        <w:rPr>
          <w:b/>
        </w:rPr>
        <w:t xml:space="preserve">[453] </w:t>
      </w:r>
      <w:hyperlink r:id="rId1382">
        <w:r>
          <w:rPr>
            <w:color w:val="1155CC"/>
            <w:u w:val="single"/>
          </w:rPr>
          <w:t>生物钟通过 BMAL1/CK1ε/REV-ERBα/transgelin 信号通路控制肝星状细胞活化</w:t>
        </w:r>
      </w:hyperlink>
    </w:p>
    <w:p>
      <w:pPr>
        <w:spacing w:before="0" w:after="80"/>
      </w:pPr>
      <w:r>
        <w:rPr>
          <w:i/>
          <w:sz w:val="20"/>
        </w:rPr>
        <w:t>EN: The circadian clock controls hepatic stellate cell activation via a BMAL1/CK1ε/REV-ERBα/transgelin signaling pathway</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83">
        <w:r>
          <w:rPr>
            <w:color w:val="1155CC"/>
            <w:u w:val="single"/>
          </w:rPr>
          <w:t>10.1073/pnas.2611767123</w:t>
        </w:r>
      </w:hyperlink>
    </w:p>
    <w:p>
      <w:pPr>
        <w:spacing w:before="0" w:after="120"/>
      </w:pPr>
      <w:r>
        <w:rPr>
          <w:b/>
        </w:rPr>
        <w:t xml:space="preserve">Notes: </w:t>
      </w:r>
      <w:r>
        <w:t>abstract_source=crossref</w:t>
      </w:r>
    </w:p>
    <w:p>
      <w:pPr>
        <w:spacing w:before="0" w:after="80" w:lineRule="auto" w:line="276"/>
      </w:pPr>
      <w:r>
        <w:rPr>
          <w:b/>
        </w:rPr>
        <w:t xml:space="preserve">摘要（ZH）: </w:t>
      </w:r>
      <w:r>
        <w:t>肝纤维化是一种进行性且危及生命的疾病，目前尚无有效的靶向治疗方法。越来越多的证据表明昼夜节律和纤维发生之间存在双向关系，尽管所涉及的具体分子信号传导途径仍不清楚。分子钟控制昼夜节律，调节代谢和细胞功能，其药理操作已显示出治疗器官纤维化的潜力。尽管肝脏的分子时钟似乎对人类慢性肝病从脂肪变性到纤维化的进展具有弹性，但在肥胖人群中观察到时钟基因每日振幅的可检测变化。我们发现了一个时钟控制的信号通路，可以驱动肝星状细胞（HSC）激活，这是纤维化进展的关键起始事件。通过破坏核心调节因子 CLOCK:BMAL1 或激活核受体 REV-ERB 来干扰该通路，可显着降低 HSC 的激活。我们还确定转凝胶蛋白是时钟调节的 HSC 收缩性的下游效应器，这是 HSC 激活的一个特征。 Transgelin 受 BMAL1-CK1ε 信号通路间接调节，并受 REV-ERBα 直接调节。我们的研究结果确定了一种迄今为止未被描述的机制，该机制将分子钟与 HSC 激活和细胞收缩功能联系起来，这与人类纤维化疾病相关。该途径为药物靶向和破坏原发纤维化信号传导提供了多个切入点。通过将生物钟生物学与细胞过程联系起来</w:t>
      </w:r>
    </w:p>
    <w:p>
      <w:pPr>
        <w:spacing w:before="0" w:after="200" w:lineRule="auto" w:line="276"/>
      </w:pPr>
      <w:r>
        <w:rPr>
          <w:b/>
        </w:rPr>
        <w:t xml:space="preserve">Abstract (EN): </w:t>
      </w:r>
      <w:r>
        <w:t>Liver fibrosis is a progressive and life-threatening condition with no effective targeted treatments. Growing evidence indicates a two-way relationship between circadian rhythm and fibrogenesis, although the specific molecular signaling pathways involved are still not well understood. The molecular clock, which governs circadian rhythms, regulates metabolic and cellular functions, and its pharmacological manipulation has shown potential as a therapy for organ fibrosis. Although the liver’s molecular clock appeared resilient to the progression of chronic liver disease in humans from steatosis to fibrosis, detectable changes in the daily amplitude of clock genes were observed in a cohort of people living with obesity. We found a clock-controlled signaling pathway that drives hepatic stellate cell (HSC) activation, a key initiating event in fibrosis progression. Interfering with this pathway, either by disrupting the core regulator CLOCK:BMAL1 or activating the nuclear receptors REV-ERBs, significantly reduced HSC activation. We also identified transgelin as the downstream effector of clock-regulated HSC contractility, a characteristic of HSC activation. Transgelin is regulated indirectly by a BMAL1-CK1ε signaling pathway and directly by REV-ERBα. Our findings identify a hitherto undescribed mechanism that links the molecular clock to HSC activation and cell contractile function, which is relevant to human fibrotic diseases. This pathway provides several entry points for drugs to target and disrupt primary fibrogenic signaling. By connecting clock biology to the cellular processes that cause fibrosis, our work also offers a mechanistic basis for chronotherapeutic strategies against chronic liver disease.</w:t>
      </w:r>
    </w:p>
    <w:p>
      <w:pPr>
        <w:spacing w:before="120" w:after="120"/>
      </w:pPr>
      <w:r>
        <w:rPr>
          <w:sz w:val="18"/>
        </w:rPr>
        <w:t>——————————————————————————————————————————————————————————————————————</w:t>
      </w:r>
    </w:p>
    <w:p>
      <w:pPr>
        <w:spacing w:before="160" w:after="40" w:line="240" w:lineRule="auto"/>
      </w:pPr>
      <w:r>
        <w:rPr>
          <w:b/>
        </w:rPr>
        <w:t xml:space="preserve">[454] </w:t>
      </w:r>
      <w:hyperlink r:id="rId1384">
        <w:r>
          <w:rPr>
            <w:color w:val="1155CC"/>
            <w:u w:val="single"/>
          </w:rPr>
          <w:t>最小尾流涡流模型解释了扑动鸟类的编队飞行</w:t>
        </w:r>
      </w:hyperlink>
    </w:p>
    <w:p>
      <w:pPr>
        <w:spacing w:before="0" w:after="80"/>
      </w:pPr>
      <w:r>
        <w:rPr>
          <w:i/>
          <w:sz w:val="20"/>
        </w:rPr>
        <w:t>EN: A minimal wake–vortex model explains formation flight of flapping birds</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85">
        <w:r>
          <w:rPr>
            <w:color w:val="1155CC"/>
            <w:u w:val="single"/>
          </w:rPr>
          <w:t>10.1073/pnas.2606668123</w:t>
        </w:r>
      </w:hyperlink>
    </w:p>
    <w:p>
      <w:pPr>
        <w:spacing w:before="0" w:after="120"/>
      </w:pPr>
      <w:r>
        <w:rPr>
          <w:b/>
        </w:rPr>
        <w:t xml:space="preserve">Notes: </w:t>
      </w:r>
      <w:r>
        <w:t>abstract_source=crossref</w:t>
      </w:r>
    </w:p>
    <w:p>
      <w:pPr>
        <w:spacing w:before="0" w:after="80" w:lineRule="auto" w:line="276"/>
      </w:pPr>
      <w:r>
        <w:rPr>
          <w:b/>
        </w:rPr>
        <w:t xml:space="preserve">摘要（ZH）: </w:t>
      </w:r>
      <w:r>
        <w:t>生物类群中出现了集体运动模式：昆虫群、鱼群和鸟群。特别是，许多大型候鸟会形成明显有序的 V 形队形，实验和直接数值模拟已证明这种队形在长途飞行期间提供了巨大的能量益处。然而，这些益处背后的精确空气动力学和形态机制仍不清楚。在这项工作中，我们开发了两只串联飞行的扑动鸟类之间的尾流-涡流相互作用的降阶模型。该模型保留了基本的不稳定扑动动力学，同时保持了计算上的易处理性。通过对六维状态空间（包括跟随者的三维相对位置以及三个独立的扑动参数）进行优化，我们确定了北秃鹮的能量最佳领导者-跟随者配置（</w:t>
      </w:r>
      <w:r>
        <w:t xml:space="preserve"> </w:t>
      </w:r>
      <w:r>
        <w:t>隐士</w:t>
      </w:r>
      <w:r>
        <w:t xml:space="preserve"> </w:t>
      </w:r>
      <w:r>
        <w:t>）。预测的最佳值在数量上与活禽测量结果一致。由于其简单性，该模型允许直接询问负责此优化的物理机制。特别是，它精确地隔离了跟随器的机翼运动学如何与引导器的尾流相互作用，以提高空气动力效率。该模型预测编队飞行中随动件的总机械功率将减少 11%（与实验估计一致），并表明这种节省来自于感应功率和轮廓功率的减少，主要是由于主翼的轮廓功率降低所致。</w:t>
      </w:r>
    </w:p>
    <w:p>
      <w:pPr>
        <w:spacing w:before="0" w:after="200" w:lineRule="auto" w:line="276"/>
      </w:pPr>
      <w:r>
        <w:rPr>
          <w:b/>
        </w:rPr>
        <w:t xml:space="preserve">Abstract (EN): </w:t>
      </w:r>
      <w:r>
        <w:t>Collective patterns of motion emerge across biological taxa: insects swarm, fish school, and birds flock. In particular, many large migratory bird species form distinctly ordered V-shaped formations, which experiments and direct numerical simulations have demonstrated provide substantial energetic benefits during long-distance flight. However, the precise aerodynamic and morphological mechanisms which underlie these benefits remain unclear. In this work, we develop a reduced-order model of the wake–vortex interactions between two flapping birds flying in tandem. The model retains essential unsteady flapping dynamics while remaining computationally tractable. By optimizing over a six-dimensional state space, which comprises the follower’s three-dimensional relative position as well as three independent flapping parameters, we identify the energetically optimal leader–follower configuration of northern bald ibises (</w:t>
      </w:r>
      <w:r>
        <w:t xml:space="preserve"> </w:t>
      </w:r>
      <w:r>
        <w:t>Geronticus eremita</w:t>
      </w:r>
      <w:r>
        <w:t xml:space="preserve"> </w:t>
      </w:r>
      <w:r>
        <w:t>). The predicted optimum agrees quantitatively with live-bird measurements. Because of its simplicity, the model allows for direct interrogation of the physical mechanisms responsible for this optimum. In particular, it isolates precisely how the follower’s wing kinematics interact with the leader’s wake to enhance aerodynamic efficiency. The model predicts an 11% reduction in total mechanical power for a follower in formation flight—consistent with experimental estimates—and shows that this saving arises from reductions in both induced and profile power, dominated by decreased profile power enabled primarily through reduced flapping amplitude and, secondarily, reduced upstroke flexion. These results provide a mechanistic explanation for the structure of V-formations and offer insight into the aerodynamic principles governing collective flight.</w:t>
      </w:r>
    </w:p>
    <w:p>
      <w:pPr>
        <w:spacing w:before="120" w:after="120"/>
      </w:pPr>
      <w:r>
        <w:rPr>
          <w:sz w:val="18"/>
        </w:rPr>
        <w:t>——————————————————————————————————————————————————————————————————————</w:t>
      </w:r>
    </w:p>
    <w:p>
      <w:pPr>
        <w:spacing w:before="160" w:after="40" w:line="240" w:lineRule="auto"/>
      </w:pPr>
      <w:r>
        <w:rPr>
          <w:b/>
        </w:rPr>
        <w:t xml:space="preserve">[455] </w:t>
      </w:r>
      <w:hyperlink r:id="rId1386">
        <w:r>
          <w:rPr>
            <w:color w:val="1155CC"/>
            <w:u w:val="single"/>
          </w:rPr>
          <w:t>地球内核超离子氢的径向梯度</w:t>
        </w:r>
      </w:hyperlink>
    </w:p>
    <w:p>
      <w:pPr>
        <w:spacing w:before="0" w:after="80"/>
      </w:pPr>
      <w:r>
        <w:rPr>
          <w:i/>
          <w:sz w:val="20"/>
        </w:rPr>
        <w:t>EN: Radial gradient of superionic hydrogen in the Earth’s inner core</w:t>
      </w:r>
    </w:p>
    <w:p>
      <w:pPr>
        <w:spacing w:before="0" w:after="120"/>
      </w:pPr>
      <w:r>
        <w:rPr>
          <w:b/>
        </w:rPr>
        <w:t xml:space="preserve">Source: </w:t>
      </w:r>
      <w:r>
        <w:t>Proceedings of the National Academy of Sciences: Keyword search for query</w:t>
      </w:r>
      <w:r>
        <w:t xml:space="preserve">    </w:t>
      </w:r>
      <w:r>
        <w:rPr>
          <w:b/>
        </w:rPr>
        <w:t xml:space="preserve">Pub date: </w:t>
      </w:r>
      <w:r>
        <w:t>2026-07-21 07:00:00+00:00</w:t>
      </w:r>
      <w:r>
        <w:t xml:space="preserve">    </w:t>
      </w:r>
      <w:r>
        <w:rPr>
          <w:b/>
        </w:rPr>
        <w:t xml:space="preserve">DOI: </w:t>
      </w:r>
      <w:hyperlink r:id="rId1387">
        <w:r>
          <w:rPr>
            <w:color w:val="1155CC"/>
            <w:u w:val="single"/>
          </w:rPr>
          <w:t>10.1073/pnas.2604621123</w:t>
        </w:r>
      </w:hyperlink>
    </w:p>
    <w:p>
      <w:pPr>
        <w:spacing w:before="0" w:after="120"/>
      </w:pPr>
      <w:r>
        <w:rPr>
          <w:b/>
        </w:rPr>
        <w:t xml:space="preserve">Notes: </w:t>
      </w:r>
      <w:r>
        <w:t>abstract_source=crossref</w:t>
      </w:r>
    </w:p>
    <w:p>
      <w:pPr>
        <w:spacing w:before="0" w:after="80" w:lineRule="auto" w:line="276"/>
      </w:pPr>
      <w:r>
        <w:rPr>
          <w:b/>
        </w:rPr>
        <w:t xml:space="preserve">摘要（ZH）: </w:t>
      </w:r>
      <w:r>
        <w:t>氢被认为是地核中的关键轻元素，但其超离子相的热力学及其在内核中的分布仍不清楚。在这里，我们计算了液体和超离子 hcp 和 bcc Fe-H 相的从头算吉布斯自由能，并构建了与地球内核相关的压力-温度条件下的超离子-液相图。我们发现，当温度按纯铁的熔化温度缩放时，不同内核压力下的相图会崩溃，这表明固液分配主要由相对于铁熔化的降低温度控制，并且对压力较弱敏感。这种比例关系进一步协调了先前报道的理论研究中分配系数的差异，并与低压下可用的实验数据取得了良好的一致性。通过应用热化学约束，我们的自由能结果揭示了内核内的径向氢梯度。这些结果表明，内核中超离子氢的成分梯度自然地从平衡热力学中产生，并提出了控制地球内核内轻元素随深度变化的分布的一般机制。</w:t>
      </w:r>
    </w:p>
    <w:p>
      <w:pPr>
        <w:spacing w:before="0" w:after="200" w:lineRule="auto" w:line="276"/>
      </w:pPr>
      <w:r>
        <w:rPr>
          <w:b/>
        </w:rPr>
        <w:t xml:space="preserve">Abstract (EN): </w:t>
      </w:r>
      <w:r>
        <w:t>Hydrogen is considered a key light element in Earth’s core, yet the thermodynamics of its superionic phase and its distribution in the inner core remain unclear. Here, we compute ab initio Gibbs free energies for liquid and superionic hcp and bcc Fe–H phases and construct the superionic–liquid phase diagram over pressure–temperature conditions relevant to the Earth’s inner core. We find that phase diagrams at different inner-core pressures collapse when temperatures are scaled by the melting temperature of pure iron, indicating that solid–liquid partitioning is controlled primarily by a reduced temperature relative to iron melting and is weakly sensitive to pressure. This scaling relation further reconciles previously reported discrepancies in partition coefficients among theoretical studies and yields good agreement with available experimental data at low pressures. By applying thermochemical constraints, our free-energy results reveal a radial hydrogen gradient within the inner core. These results demonstrate that compositional gradients of superionic hydrogen in the inner core emerge naturally from equilibrium thermodynamics and suggest a general mechanism governing the depth-dependent distribution of light elements within Earth’s inner core.</w:t>
      </w:r>
    </w:p>
    <w:p>
      <w:pPr>
        <w:spacing w:before="120" w:after="120"/>
      </w:pPr>
      <w:r>
        <w:rPr>
          <w:sz w:val="18"/>
        </w:rPr>
        <w:t>——————————————————————————————————————————————————————————————————————</w:t>
      </w:r>
    </w:p>
    <w:p>
      <w:pPr>
        <w:spacing w:before="160" w:after="40" w:line="240" w:lineRule="auto"/>
      </w:pPr>
      <w:r>
        <w:rPr>
          <w:b/>
        </w:rPr>
        <w:t xml:space="preserve">[456] </w:t>
      </w:r>
      <w:hyperlink r:id="rId1388">
        <w:r>
          <w:rPr>
            <w:color w:val="1155CC"/>
            <w:u w:val="single"/>
          </w:rPr>
          <w:t>基于布尔逻辑的重组蛋白生物材料降解性和治疗递送控制</w:t>
        </w:r>
      </w:hyperlink>
    </w:p>
    <w:p>
      <w:pPr>
        <w:spacing w:before="0" w:after="80"/>
      </w:pPr>
      <w:r>
        <w:rPr>
          <w:i/>
          <w:sz w:val="20"/>
        </w:rPr>
        <w:t>EN: Boolean Logic‐Based Control Over Recombinant Protein Biomaterial Degradability and Therapeutic Delivery</w:t>
      </w:r>
    </w:p>
    <w:p>
      <w:pPr>
        <w:spacing w:before="0" w:after="120"/>
      </w:pPr>
      <w:r>
        <w:rPr>
          <w:b/>
        </w:rPr>
        <w:t xml:space="preserve">Source: </w:t>
      </w:r>
      <w:r>
        <w:t>Wiley: Advanced Materials: Table of Contents</w:t>
      </w:r>
      <w:r>
        <w:t xml:space="preserve">    </w:t>
      </w:r>
      <w:r>
        <w:rPr>
          <w:b/>
        </w:rPr>
        <w:t xml:space="preserve">Pub date: </w:t>
      </w:r>
      <w:r>
        <w:t>2026-07-21 08:37:01+00:00</w:t>
      </w:r>
      <w:r>
        <w:t xml:space="preserve">    </w:t>
      </w:r>
      <w:r>
        <w:rPr>
          <w:b/>
        </w:rPr>
        <w:t xml:space="preserve">DOI: </w:t>
      </w:r>
      <w:hyperlink r:id="rId1389">
        <w:r>
          <w:rPr>
            <w:color w:val="1155CC"/>
            <w:u w:val="single"/>
          </w:rPr>
          <w:t>10.1002/adma.74038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重组蛋白的生物材料为材料设计和控制治疗递送提供了令人兴奋的机会。尽管它们的前体可以通过可扩展的发酵过程轻松合成，具有近乎完美的单分散性和序列特异性，但重组蛋白材料尚未达到与合成材料相同水平的多重刺激响应性。集成化学生物学的尖端工具，我们自主编译了拓扑指定的蛋白质交联剂，这些交联剂可以按照用户可编程的布尔逻辑进行降解。这些连接体共价逐步聚合成蛋白质水凝胶，产生智能材料，其货物（例如生物活性蛋白质、细胞治疗剂）可以在响应用户指定的输入组合而大量降解后释放。为了证明这种方法的多功能性，我们在响应 3 输入蛋白酶操作符集的所有 17 种可能的 YES/OR/AND 逻辑输出后释放荧光蛋白 mGreenLantern，在先进的生物计算后递送表皮生长因子，同时保持天然生物活性，并展示活细胞的多重递送，所有这些都来自完全重组的基于蛋白质的水凝胶。将先进的智能融入蛋白质生物材料的响应能力中，我们预计这些方法将极大地扩展在组织工程和精准医学中的潜在应用。</w:t>
      </w:r>
    </w:p>
    <w:p>
      <w:pPr>
        <w:spacing w:before="0" w:after="200" w:lineRule="auto" w:line="276"/>
      </w:pPr>
      <w:r>
        <w:rPr>
          <w:b/>
        </w:rPr>
        <w:t xml:space="preserve">Abstract (EN): </w:t>
      </w:r>
      <w:r>
        <w:t>Recombinant protein‐based biomaterials offer exciting opportunities in materials design and controlled therapeutic delivery. Though their precursors can be readily synthesized with near‐perfect monodispersity and sequence specificity through scalable fermentation processes, recombinant protein materials have yet to achieve the same level of multi‐stimuli‐responsiveness as their synthetic counterparts. Integrating cutting‐edge tools from chemical biology, we autonomously compile topologically specified protein crosslinkers that can be degraded following user‐programmable Boolean logic. Covalent step polymerization of these linkers into protein hydrogels yields smart materials whose cargo (e.g., bioactive proteins, cellular therapeutics) can be liberated following bulk degradation in response to user‐specified input combinations. Demonstrating the versatility of this approach, we release fluorescent protein mGreenLantern following all 17 possible YES/OR/AND logic outputs in response to a 3‐input protease operator set, deliver epidermal growth factor following advanced biocomputation while maintaining native bioactivity, and showcase multiplexed delivery of living cells, all from fully recombinant protein‐based hydrogels. Incorporating advanced intelligence into protein biomaterial responsiveness, we anticipate these methods will dramatically expand potential applications in tissue engineering and precision medicine.</w:t>
      </w:r>
    </w:p>
    <w:p>
      <w:pPr>
        <w:spacing w:before="120" w:after="120"/>
      </w:pPr>
      <w:r>
        <w:rPr>
          <w:sz w:val="18"/>
        </w:rPr>
        <w:t>——————————————————————————————————————————————————————————————————————</w:t>
      </w:r>
    </w:p>
    <w:p>
      <w:pPr>
        <w:spacing w:before="160" w:after="40" w:line="240" w:lineRule="auto"/>
      </w:pPr>
      <w:r>
        <w:rPr>
          <w:b/>
        </w:rPr>
        <w:t xml:space="preserve">[457] </w:t>
      </w:r>
      <w:hyperlink r:id="rId1390">
        <w:r>
          <w:rPr>
            <w:color w:val="1155CC"/>
            <w:u w:val="single"/>
          </w:rPr>
          <w:t>通过基于溶液的生物物理分析解决靶向脂质纳米颗粒的异质性</w:t>
        </w:r>
      </w:hyperlink>
    </w:p>
    <w:p>
      <w:pPr>
        <w:spacing w:before="0" w:after="80"/>
      </w:pPr>
      <w:r>
        <w:rPr>
          <w:i/>
          <w:sz w:val="20"/>
        </w:rPr>
        <w:t>EN: Resolving Heterogeneity of Targeted Lipid Nanoparticles Through Solution‐Based Biophysical Analyses</w:t>
      </w:r>
    </w:p>
    <w:p>
      <w:pPr>
        <w:spacing w:before="0" w:after="120"/>
      </w:pPr>
      <w:r>
        <w:rPr>
          <w:b/>
        </w:rPr>
        <w:t xml:space="preserve">Source: </w:t>
      </w:r>
      <w:r>
        <w:t>Wiley: Advanced Materials: Table of Contents</w:t>
      </w:r>
      <w:r>
        <w:t xml:space="preserve">    </w:t>
      </w:r>
      <w:r>
        <w:rPr>
          <w:b/>
        </w:rPr>
        <w:t xml:space="preserve">Pub date: </w:t>
      </w:r>
      <w:r>
        <w:t>2026-07-21 08:40:41+00:00</w:t>
      </w:r>
      <w:r>
        <w:t xml:space="preserve">    </w:t>
      </w:r>
      <w:r>
        <w:rPr>
          <w:b/>
        </w:rPr>
        <w:t xml:space="preserve">DOI: </w:t>
      </w:r>
      <w:hyperlink r:id="rId1391">
        <w:r>
          <w:rPr>
            <w:color w:val="1155CC"/>
            <w:u w:val="single"/>
          </w:rPr>
          <w:t>10.1002/adma.73984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靶向脂质纳米颗粒 (tLNP) 通过驱动受体介导的 LNP 摄取的靶向配体共价连接，实现细胞特异性核酸递送。 tLNP 在妊娠相关应用中具有潜在前景，在这些应用中需要精确输送以最大程度地减少母体毒性并保护胎儿健康。然而，合理的 tLNP 设计受到对物理化学特性如何影响生物性能的不完全理解的限制。传统的分析方法仅报告整体平均特性，而未能解决 tLNP 的纳米级异质性。在这里，我们利用不对称流场流分级分离与在线紫外光谱分析、光散射和同步加速器小角度 X 射线散射 (AF4-UV-DLS-MALS-SAXS) 来解析大小、形状、组成和相对丰度不同的配体依赖性 tLNP 亚群。蛋白质缀合保留了基础 LNP 的内部脂质-RNA 纳米结构，但显着增加了颗粒异质性，特别是对于较大的多价配体。尽管异质性增加，但用更高亲合力配体功能化的 tLNP 在小鼠体内实现了更有效的靶向胎盘 RNA 递送。化学计量 SAXS 分析表明，只有 SAXS 解析的 tLNP 亚群（而不是整体平均参数）与体内靶向胎盘转染相关，而大量物理化学指标与非特异性肝脏递送相关性更强。总之，这项工作利用分离耦合生物物理平台来解决</w:t>
      </w:r>
    </w:p>
    <w:p>
      <w:pPr>
        <w:spacing w:before="0" w:after="200" w:lineRule="auto" w:line="276"/>
      </w:pPr>
      <w:r>
        <w:rPr>
          <w:b/>
        </w:rPr>
        <w:t xml:space="preserve">Abstract (EN): </w:t>
      </w:r>
      <w:r>
        <w:t>Targeted lipid nanoparticles (tLNPs) enable cell‐specific nucleic acid delivery through covalent attachment of targeting ligands that drive receptor‐mediated LNP uptake. tLNPs are potentially promising for pregnancy‑associated applications where precise delivery is required to minimize maternal toxicity and protect fetal health. Yet, rational tLNP design is limited by an incomplete understanding of how physicochemical properties influence biological performance. Traditional analytical methods report only ensemble‐averaged properties, leaving the nanoscale heterogeneity of tLNPs unresolved. Here, we utilize asymmetric flow field‐flow fractionation integrated with in‐line UV spectral analysis, light scattering, and synchrotron small‐angle X‐ray scattering (AF4‐UV‐DLS‐MALS‐SAXS) to resolve ligand‐dependent tLNP subpopulations that differ in size, shape, composition, and relative abundance. Protein conjugation preserves the internal lipid–RNA nanostructure of base LNPs but substantially increases particle heterogeneity, particularly for larger and multivalent ligands. Despite increased heterogeneity, tLNPs functionalized with higher‐avidity ligands achieve more effective targeted placental RNA delivery in mice. Chemometric SAXS analyses reveal that only SAXS‐resolved tLNP subpopulations, not ensemble‐averaged parameters, correlate with targeted placental transfection in vivo, whereas bulk physicochemical metrics more strongly associate with nonspecific hepatic delivery. Together, this work harnesses a separation‐coupled biophysical platform to resolve previously inaccessible tLNP subpopulations and provides insights to inform rational engineering of next‐generation targeted RNA therapeutics.</w:t>
      </w:r>
    </w:p>
    <w:p>
      <w:pPr>
        <w:spacing w:before="120" w:after="120"/>
      </w:pPr>
      <w:r>
        <w:rPr>
          <w:sz w:val="18"/>
        </w:rPr>
        <w:t>——————————————————————————————————————————————————————————————————————</w:t>
      </w:r>
    </w:p>
    <w:p>
      <w:pPr>
        <w:spacing w:before="160" w:after="40" w:line="240" w:lineRule="auto"/>
      </w:pPr>
      <w:r>
        <w:rPr>
          <w:b/>
        </w:rPr>
        <w:t xml:space="preserve">[458] </w:t>
      </w:r>
      <w:hyperlink r:id="rId1392">
        <w:r>
          <w:rPr>
            <w:color w:val="1155CC"/>
            <w:u w:val="single"/>
          </w:rPr>
          <w:t>用于电磁波吸收的大气集水泡沫中的耦合离子传导损耗和偶极子极化损耗</w:t>
        </w:r>
      </w:hyperlink>
    </w:p>
    <w:p>
      <w:pPr>
        <w:spacing w:before="0" w:after="80"/>
      </w:pPr>
      <w:r>
        <w:rPr>
          <w:i/>
          <w:sz w:val="20"/>
        </w:rPr>
        <w:t>EN: Coupled Ionic Conduction Loss and Dipole Polarization Loss in Atmospheric Water Harvesting Foams for Electromagnetic Wave Absorption</w:t>
      </w:r>
    </w:p>
    <w:p>
      <w:pPr>
        <w:spacing w:before="0" w:after="120"/>
      </w:pPr>
      <w:r>
        <w:rPr>
          <w:b/>
        </w:rPr>
        <w:t xml:space="preserve">Source: </w:t>
      </w:r>
      <w:r>
        <w:t>Wiley: Advanced Materials: Table of Contents</w:t>
      </w:r>
      <w:r>
        <w:t xml:space="preserve">    </w:t>
      </w:r>
      <w:r>
        <w:rPr>
          <w:b/>
        </w:rPr>
        <w:t xml:space="preserve">Pub date: </w:t>
      </w:r>
      <w:r>
        <w:t>2026-07-21 08:41:23+00:00</w:t>
      </w:r>
      <w:r>
        <w:t xml:space="preserve">    </w:t>
      </w:r>
      <w:r>
        <w:rPr>
          <w:b/>
        </w:rPr>
        <w:t xml:space="preserve">DOI: </w:t>
      </w:r>
      <w:hyperlink r:id="rId1393">
        <w:r>
          <w:rPr>
            <w:color w:val="1155CC"/>
            <w:u w:val="single"/>
          </w:rPr>
          <w:t>10.1002/adma.74174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水是一种丰富的资源，约为 1.3 × 10</w:t>
      </w:r>
      <w:r>
        <w:rPr>
          <w:vertAlign w:val="subscript"/>
        </w:rPr>
        <w:t>16</w:t>
      </w:r>
      <w:r>
        <w:t>由于持续存在的技术挑战，包括封装困难、阻抗失配和单一损耗机制的限制，大气中存在的对维持生命至关重要的微量元素长期以来一直具有未开发的电磁波吸收（EWA）潜力。为了解决这些限制，本研究通过大气集水（AWH）开发了一种多相系统，其中表面张力和毛细管作用将无机溶液限制在泡沫表面，形成超薄液膜，使空气/水/聚合物相之间能够协同相互作用，并增强阻抗匹配。实验结果表明，在 283~323 K 的温度范围内，CaCl</w:t>
      </w:r>
      <w:r>
        <w:rPr>
          <w:vertAlign w:val="subscript"/>
        </w:rPr>
        <w:t>2</w:t>
      </w:r>
      <w:r>
        <w:t>‐PI@H</w:t>
      </w:r>
      <w:r>
        <w:rPr>
          <w:vertAlign w:val="subscript"/>
        </w:rPr>
        <w:t>2</w:t>
      </w:r>
      <w:r>
        <w:t>O 达到最小反射损耗 (</w:t>
      </w:r>
      <w:r>
        <w:t xml:space="preserve"> </w:t>
      </w:r>
      <w:r>
        <w:t>右</w:t>
      </w:r>
      <w:r>
        <w:t xml:space="preserve"> </w:t>
      </w:r>
      <w:r>
        <w:t>L</w:t>
      </w:r>
      <w:r>
        <w:t xml:space="preserve"> </w:t>
      </w:r>
      <w:r>
        <w:t>）在 4 mm（30% RH ‐ 40% RH）处为 −44.6 dB，有效吸收带宽 (EAB) 完美覆盖 X 频段 (7.4–12.6 GHz)。而LiCl-PI@H</w:t>
      </w:r>
      <w:r>
        <w:rPr>
          <w:vertAlign w:val="subscript"/>
        </w:rPr>
        <w:t>2</w:t>
      </w:r>
      <w:r>
        <w:t>O 实现了</w:t>
      </w:r>
      <w:r>
        <w:t xml:space="preserve"> </w:t>
      </w:r>
      <w:r>
        <w:t>右</w:t>
      </w:r>
      <w:r>
        <w:t xml:space="preserve"> </w:t>
      </w:r>
      <w:r>
        <w:t>L</w:t>
      </w:r>
      <w:r>
        <w:t xml:space="preserve"> </w:t>
      </w:r>
      <w:r>
        <w:t>在 4 mm（60% RH ‐70% RH）处为 −40.4 dB，EAB 显着展宽至 8.4–18.0 GHz。关键的创新在于将水纳入受限的盐溶液膜中，解决了水作为吸收介质固有的阻抗失配和单损耗机制的限制，从而提供了</w:t>
      </w:r>
    </w:p>
    <w:p>
      <w:pPr>
        <w:spacing w:before="0" w:after="200" w:lineRule="auto" w:line="276"/>
      </w:pPr>
      <w:r>
        <w:rPr>
          <w:b/>
        </w:rPr>
        <w:t xml:space="preserve">Abstract (EN): </w:t>
      </w:r>
      <w:r>
        <w:t>Water, an abundant resource with approximately 1.3 × 10</w:t>
      </w:r>
      <w:r>
        <w:rPr>
          <w:vertAlign w:val="subscript"/>
        </w:rPr>
        <w:t>16</w:t>
      </w:r>
      <w:r>
        <w:t>liters present in the atmosphere and essential for sustaining life, has long held untapped potential for electromagnetic wave absorption (EWA) due to persistent technical challenges, including difficulties in encapsulation, impedance mismatch, and restriction on a single loss mechanism. To address these limitations, this study develops a multi‐phase system via atmospheric water harvesting (AWH), wherein surface tension and capillary action confine inorganic solution to foam surfaces, forming ultrathin liquid films that enable synergistic interaction among the air/water/polymer phases and enhance impedance matching. Experimental results reveal that, within the temperature range of 283–323 K, CaCl</w:t>
      </w:r>
      <w:r>
        <w:rPr>
          <w:vertAlign w:val="subscript"/>
        </w:rPr>
        <w:t>2</w:t>
      </w:r>
      <w:r>
        <w:t>‐PI@H</w:t>
      </w:r>
      <w:r>
        <w:rPr>
          <w:vertAlign w:val="subscript"/>
        </w:rPr>
        <w:t>2</w:t>
      </w:r>
      <w:r>
        <w:t>O attains a minimum reflection loss (</w:t>
      </w:r>
      <w:r>
        <w:t xml:space="preserve"> </w:t>
      </w:r>
      <w:r>
        <w:t>R</w:t>
      </w:r>
      <w:r>
        <w:t xml:space="preserve"> </w:t>
      </w:r>
      <w:r>
        <w:t>L</w:t>
      </w:r>
      <w:r>
        <w:t xml:space="preserve"> </w:t>
      </w:r>
      <w:r>
        <w:t>) of −44.6 dB at 4 mm (30% RH ‐ 40% RH), effective absorption bandwidth (EAB) perfectly covers the X band (7.4–12.6 GHz). Whereas LiCl‐PI@H</w:t>
      </w:r>
      <w:r>
        <w:rPr>
          <w:vertAlign w:val="subscript"/>
        </w:rPr>
        <w:t>2</w:t>
      </w:r>
      <w:r>
        <w:t>O achieves an</w:t>
      </w:r>
      <w:r>
        <w:t xml:space="preserve"> </w:t>
      </w:r>
      <w:r>
        <w:t>R</w:t>
      </w:r>
      <w:r>
        <w:t xml:space="preserve"> </w:t>
      </w:r>
      <w:r>
        <w:t>L</w:t>
      </w:r>
      <w:r>
        <w:t xml:space="preserve"> </w:t>
      </w:r>
      <w:r>
        <w:t>of −40.4 dB at 4 mm (60% RH ‐70% RH), EAB remarkably broadens to 8.4–18.0 GHz. The key innovation lies in the incorporation of water into a confined salt‐solution film, handling the inherent impedance mismatch and single‐loss mechanism limitation of water as an absorbing medium, thereby offering a novel and promising strategy for fabricating high‐performance liquid‐based EWA materials.</w:t>
      </w:r>
    </w:p>
    <w:p>
      <w:pPr>
        <w:spacing w:before="120" w:after="120"/>
      </w:pPr>
      <w:r>
        <w:rPr>
          <w:sz w:val="18"/>
        </w:rPr>
        <w:t>——————————————————————————————————————————————————————————————————————</w:t>
      </w:r>
    </w:p>
    <w:p>
      <w:pPr>
        <w:spacing w:before="160" w:after="40" w:line="240" w:lineRule="auto"/>
      </w:pPr>
      <w:r>
        <w:rPr>
          <w:b/>
        </w:rPr>
        <w:t xml:space="preserve">[459] </w:t>
      </w:r>
      <w:hyperlink r:id="rId1394">
        <w:r>
          <w:rPr>
            <w:color w:val="1155CC"/>
            <w:u w:val="single"/>
          </w:rPr>
          <w:t>受水母启发的水凝胶可实现变压器辅助多模式海洋生物电子学的协同防污和低漂移</w:t>
        </w:r>
      </w:hyperlink>
    </w:p>
    <w:p>
      <w:pPr>
        <w:spacing w:before="0" w:after="80"/>
      </w:pPr>
      <w:r>
        <w:rPr>
          <w:i/>
          <w:sz w:val="20"/>
        </w:rPr>
        <w:t>EN: Jellyfish‐Inspired Hydrogels Enabling Synergistic Antifouling and Low‐Drift for Transformer‐Assisted Multimodal Marine Bioelectronics</w:t>
      </w:r>
    </w:p>
    <w:p>
      <w:pPr>
        <w:spacing w:before="0" w:after="120"/>
      </w:pPr>
      <w:r>
        <w:rPr>
          <w:b/>
        </w:rPr>
        <w:t xml:space="preserve">Source: </w:t>
      </w:r>
      <w:r>
        <w:t>Wiley: Advanced Materials: Table of Contents</w:t>
      </w:r>
      <w:r>
        <w:t xml:space="preserve">    </w:t>
      </w:r>
      <w:r>
        <w:rPr>
          <w:b/>
        </w:rPr>
        <w:t xml:space="preserve">Pub date: </w:t>
      </w:r>
      <w:r>
        <w:t>2026-07-21 08:42:38+00:00</w:t>
      </w:r>
      <w:r>
        <w:t xml:space="preserve">    </w:t>
      </w:r>
      <w:r>
        <w:rPr>
          <w:b/>
        </w:rPr>
        <w:t xml:space="preserve">DOI: </w:t>
      </w:r>
      <w:hyperlink r:id="rId1395">
        <w:r>
          <w:rPr>
            <w:color w:val="1155CC"/>
            <w:u w:val="single"/>
          </w:rPr>
          <w:t>10.1002/adma.74213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凝胶已成为软电子和生物集成电子产品的多功能材料平台。然而，海水条件下可靠的水凝胶生物电子学受到界面生物污垢、高盐度膨胀引起的漂移和噪声鲁棒时间解码的限制。在这里，我们提出了一种水合锁定渗透策略来设计一种受水母启发的水凝胶，该水凝胶将协同防污与抗漂移传导相结合，用于人工智能辅助的多模式海洋生物电子学。构建的水合多酚网络抑制非特异性吸附和早期生物膜演化，实现协同防污系统，排斥和灭活污染生物。同时，跨基底湿锚定和局部膨胀抑制稳定了电子渗流路径，从而实现了长期稳定的高电导率（22 S m</w:t>
      </w:r>
      <w:r>
        <w:t xml:space="preserve"> </w:t>
      </w:r>
      <w:r>
        <w:t>-</w:t>
      </w:r>
      <w:r>
        <w:rPr>
          <w:vertAlign w:val="subscript"/>
        </w:rPr>
        <w:t>1</w:t>
      </w:r>
      <w:r>
        <w:t>）和海水中高信噪比的生理信号采集。值得注意的是，将 Transformer 编码器与多层感知器集成的定制多模态解码框架通过捕获长程时间依赖性和跨模态相关性，进一步实现了复杂生理信号的准确解释（98.5% 准确度）。高性能仿生水凝胶与 Transformer 辅助解码的集成为长期、高保真海洋生物电子学铺平了道路。</w:t>
      </w:r>
    </w:p>
    <w:p>
      <w:pPr>
        <w:spacing w:before="0" w:after="200" w:lineRule="auto" w:line="276"/>
      </w:pPr>
      <w:r>
        <w:rPr>
          <w:b/>
        </w:rPr>
        <w:t xml:space="preserve">Abstract (EN): </w:t>
      </w:r>
      <w:r>
        <w:t>Hydrogels have emerged as a versatile materials platform for soft and biointegrated electronics. However, reliable hydrogel bioelectronics under seawater conditions is limited by biofouling at interfaces, high‐salinity swelling‐induced drift, and noise‐robust temporal decoding. Here, we present a hydration‐locked percolation strategy to engineer a jellyfish‐inspired hydrogel that combines synergistic antifouling with drift‐resistant conduction for AI‐assisted multimodal marine bioelectronics. The constructed hydration‐polyphenol network suppresses nonspecific adsorption and early biofilm evolution, achieving a synergistic antifouling system that repels and inactivates fouling organisms. Meanwhile, cross‐substrate wet anchoring and localized swelling suppression stabilize electron‐percolation pathways, thereby enabling long‐term stable high conductivity (22 S m</w:t>
      </w:r>
      <w:r>
        <w:t xml:space="preserve"> </w:t>
      </w:r>
      <w:r>
        <w:t>−</w:t>
      </w:r>
      <w:r>
        <w:rPr>
          <w:vertAlign w:val="subscript"/>
        </w:rPr>
        <w:t>1</w:t>
      </w:r>
      <w:r>
        <w:t>) and physiological signal acquisition with high signal‐to‐noise ratio in seawater. Notably, a tailored multimodal decoding framework integrating Transformer encoder with multilayer perceptron further enables accurate interpretation of complex physiological signals (98.5% accuracy) by capturing long‐range temporal dependencies and cross‐modal correlations. This integration of high‐performance bioinspired hydrogels with Transformer‐assisted decoding paves the way for long‐term, high‐fidelity marine bioelectronics.</w:t>
      </w:r>
    </w:p>
    <w:p>
      <w:pPr>
        <w:spacing w:before="120" w:after="120"/>
      </w:pPr>
      <w:r>
        <w:rPr>
          <w:sz w:val="18"/>
        </w:rPr>
        <w:t>——————————————————————————————————————————————————————————————————————</w:t>
      </w:r>
    </w:p>
    <w:p>
      <w:pPr>
        <w:spacing w:before="160" w:after="40" w:line="240" w:lineRule="auto"/>
      </w:pPr>
      <w:r>
        <w:rPr>
          <w:b/>
        </w:rPr>
        <w:t xml:space="preserve">[460] </w:t>
      </w:r>
      <w:hyperlink r:id="rId1396">
        <w:r>
          <w:rPr>
            <w:color w:val="1155CC"/>
            <w:u w:val="single"/>
          </w:rPr>
          <w:t>生物医学应用铁氧体基材料的最新进展：综合综述</w:t>
        </w:r>
      </w:hyperlink>
    </w:p>
    <w:p>
      <w:pPr>
        <w:spacing w:before="0" w:after="80"/>
      </w:pPr>
      <w:r>
        <w:rPr>
          <w:i/>
          <w:sz w:val="20"/>
        </w:rPr>
        <w:t>EN: Recent Advances in Ferrite‐Based Materials for Biomedical Applications: A Comprehensive Review</w:t>
      </w:r>
    </w:p>
    <w:p>
      <w:pPr>
        <w:spacing w:before="0" w:after="120"/>
      </w:pPr>
      <w:r>
        <w:rPr>
          <w:b/>
        </w:rPr>
        <w:t xml:space="preserve">Source: </w:t>
      </w:r>
      <w:r>
        <w:t>Wiley: Advanced Materials: Table of Contents</w:t>
      </w:r>
      <w:r>
        <w:t xml:space="preserve">    </w:t>
      </w:r>
      <w:r>
        <w:rPr>
          <w:b/>
        </w:rPr>
        <w:t xml:space="preserve">Pub date: </w:t>
      </w:r>
      <w:r>
        <w:t>2026-07-21 08:52:58+00:00</w:t>
      </w:r>
      <w:r>
        <w:t xml:space="preserve">    </w:t>
      </w:r>
      <w:r>
        <w:rPr>
          <w:b/>
        </w:rPr>
        <w:t xml:space="preserve">DOI: </w:t>
      </w:r>
      <w:hyperlink r:id="rId1397">
        <w:r>
          <w:rPr>
            <w:color w:val="1155CC"/>
            <w:u w:val="single"/>
          </w:rPr>
          <w:t>10.1002/adma.74149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氧体基纳米材料已从简单的磁性造影剂发展成为能够主动调节生物微环境的复杂的多功能平台。这篇全面的综述批判性地审视了尖晶石和六方铁氧体合理设计的最新进展，阐明了控制其生物医学性能的基本结构-性能-生物活性关系。我们探索如何操纵原子级工程，特别是阳离子分布、缺陷调制和形态各向异性，以定制热疗的磁化率、催化活性（纳米酶）和比吸收率（SAR）。除了 MRI 和药物输送的传统应用之外，我们还重点介绍了新兴前沿领域，包括粘度无关的磁热疗、ROS 介导的抗菌疗法和磁性组织工程 (Mag-TE)。至关重要的是，这篇综述解决了高性能实验室原型与临床现实之间日益扩大的转化差距。我们批判性地分析了阻碍商业化的障碍，例如胶体和细胞内加热效率之间的差异、蛋白质电晕形成的复杂性以及可扩展、符合 GMP 合成的挑战。最后，我们提出了一个未来路线图，将人工智能驱动的材料发现和绿色化学结合起来，以开发下一代磁治疗系统，将铁氧体纳米平台定位为未来精准医疗的核心组成部分。</w:t>
      </w:r>
    </w:p>
    <w:p>
      <w:pPr>
        <w:spacing w:before="0" w:after="200" w:lineRule="auto" w:line="276"/>
      </w:pPr>
      <w:r>
        <w:rPr>
          <w:b/>
        </w:rPr>
        <w:t xml:space="preserve">Abstract (EN): </w:t>
      </w:r>
      <w:r>
        <w:t>Ferrite‐based nanomaterials have evolved from simple magnetic contrast agents into sophisticated, multifunctional platforms capable of actively regulating biological microenvironments. This comprehensive review critically examines the recent advances in the rational design of spinel and hexagonal ferrites, elucidating the fundamental structure–property–bioactivity relationships that govern their biomedical performance. We explore how atomic‐level engineering, specifically cation distribution, defect modulation, and morphological anisotropy, can be manipulated to tailor magnetic susceptibility, catalytic activity (nanozymes), and specific absorption rates (SAR) for hyperthermia. Beyond traditional applications in MRI and drug delivery, we highlight emerging frontiers including viscosity‐independent magnetic hyperthermia, ROS‐mediated antimicrobial therapy, and magnetic tissue engineering (Mag‐TE). Crucially, this review addresses the widening translational gap between high‐performance laboratory prototypes and clinical reality. We critically analyze the barriers impeding commercialization, such as the discrepancy between colloidal and intracellular heating efficiency, the complexity of protein corona formation, and the challenges of scalable, GMP‐compliant synthesis. Finally, we propose a future roadmap integrating AI‐driven material discovery and green chemistry to develop next‐generation magnetotheranostic systems, positioning ferrite nanoplatforms as central components in the future of precision medicine.</w:t>
      </w:r>
    </w:p>
    <w:p>
      <w:pPr>
        <w:spacing w:before="120" w:after="120"/>
      </w:pPr>
      <w:r>
        <w:rPr>
          <w:sz w:val="18"/>
        </w:rPr>
        <w:t>——————————————————————————————————————————————————————————————————————</w:t>
      </w:r>
    </w:p>
    <w:p>
      <w:pPr>
        <w:spacing w:before="160" w:after="40" w:line="240" w:lineRule="auto"/>
      </w:pPr>
      <w:r>
        <w:rPr>
          <w:b/>
        </w:rPr>
        <w:t xml:space="preserve">[461] </w:t>
      </w:r>
      <w:hyperlink r:id="rId1398">
        <w:r>
          <w:rPr>
            <w:color w:val="1155CC"/>
            <w:u w:val="single"/>
          </w:rPr>
          <w:t>基于薄膜晶体管的生物传感器中通过有机-无机混合网络诱导分子取向转变</w:t>
        </w:r>
      </w:hyperlink>
    </w:p>
    <w:p>
      <w:pPr>
        <w:spacing w:before="0" w:after="80"/>
      </w:pPr>
      <w:r>
        <w:rPr>
          <w:i/>
          <w:sz w:val="20"/>
        </w:rPr>
        <w:t>EN: Induced Molecular Orientation Transition via Organic‐Inorganic Hybrid Networks in Thin‐Film Transistor‐Based Biosensors</w:t>
      </w:r>
    </w:p>
    <w:p>
      <w:pPr>
        <w:spacing w:before="0" w:after="120"/>
      </w:pPr>
      <w:r>
        <w:rPr>
          <w:b/>
        </w:rPr>
        <w:t xml:space="preserve">Source: </w:t>
      </w:r>
      <w:r>
        <w:t>Wiley: Advanced Materials: Table of Contents</w:t>
      </w:r>
      <w:r>
        <w:t xml:space="preserve">    </w:t>
      </w:r>
      <w:r>
        <w:rPr>
          <w:b/>
        </w:rPr>
        <w:t xml:space="preserve">Pub date: </w:t>
      </w:r>
      <w:r>
        <w:t>2026-07-21 08:56:51+00:00</w:t>
      </w:r>
      <w:r>
        <w:t xml:space="preserve">    </w:t>
      </w:r>
      <w:r>
        <w:rPr>
          <w:b/>
        </w:rPr>
        <w:t xml:space="preserve">DOI: </w:t>
      </w:r>
      <w:hyperlink r:id="rId1399">
        <w:r>
          <w:rPr>
            <w:color w:val="1155CC"/>
            <w:u w:val="single"/>
          </w:rPr>
          <w:t>10.1002/adma.74218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取向转变是薄膜晶体管（TFT）电荷传输效率的关键决定因素。诱导这种转变的传统策略通常会导致分子无序增加，从而导致器件性能下降。在此，提出了一种有机-无机杂化网络，通过掺入特定的无机金属氧化物（例如In</w:t>
      </w:r>
      <w:r>
        <w:rPr>
          <w:vertAlign w:val="subscript"/>
        </w:rPr>
        <w:t>2</w:t>
      </w:r>
      <w:r>
        <w:t>氧</w:t>
      </w:r>
      <w:r>
        <w:rPr>
          <w:vertAlign w:val="subscript"/>
        </w:rPr>
        <w:t>3</w:t>
      </w:r>
      <w:r>
        <w:t>），使设备和传感性能显着增强近 20 倍。这种现象可能与涉及强界面吸附、热力学驱动力和丰富氧空位的三重条件机械框架有关。所提出的三条件机制框架不仅将观察到的分子取向转变为在有机-无机杂化网络中选择无机添加剂的可预测规则，而且还建立了通过生命和健康监测中的分子取向来提高生物传感性能的实用途径。</w:t>
      </w:r>
    </w:p>
    <w:p>
      <w:pPr>
        <w:spacing w:before="0" w:after="200" w:lineRule="auto" w:line="276"/>
      </w:pPr>
      <w:r>
        <w:rPr>
          <w:b/>
        </w:rPr>
        <w:t xml:space="preserve">Abstract (EN): </w:t>
      </w:r>
      <w:r>
        <w:t>Molecular orientation transition is a key determinant of charge transport efficiency in thin‐film transistors (TFTs). Conventional strategies to induce such transitions often result in increased molecular disorder, which leads to device performance degradation. Herein, an organic‐inorganic hybrid network was proposed to modulate the structure‐performance relationship via the incorporation of specific inorganic metal oxides (e.g., In</w:t>
      </w:r>
      <w:r>
        <w:rPr>
          <w:vertAlign w:val="subscript"/>
        </w:rPr>
        <w:t>2</w:t>
      </w:r>
      <w:r>
        <w:t>O</w:t>
      </w:r>
      <w:r>
        <w:rPr>
          <w:vertAlign w:val="subscript"/>
        </w:rPr>
        <w:t>3</w:t>
      </w:r>
      <w:r>
        <w:t>), leading to a marked enhancement in device and sensing performance by nearly 20‐fold. This phenomenon may be associated with a triple‐condition mechanistic framework involving strong interfacial adsorption, thermodynamic driving force, and abundant oxygen vacancies. The proposed triple‐condition mechanistic framework not only transforms molecular orientation from observation into a predictable rule for selecting inorganic additives in organic‐inorganic hybrid networks, but also establishes a practical route for improving biosensing performance through molecular orientation in life and health monitoring.</w:t>
      </w:r>
    </w:p>
    <w:p>
      <w:pPr>
        <w:spacing w:before="120" w:after="120"/>
      </w:pPr>
      <w:r>
        <w:rPr>
          <w:sz w:val="18"/>
        </w:rPr>
        <w:t>——————————————————————————————————————————————————————————————————————</w:t>
      </w:r>
    </w:p>
    <w:p>
      <w:pPr>
        <w:spacing w:before="160" w:after="40" w:line="240" w:lineRule="auto"/>
      </w:pPr>
      <w:r>
        <w:rPr>
          <w:b/>
        </w:rPr>
        <w:t xml:space="preserve">[462] </w:t>
      </w:r>
      <w:hyperlink r:id="rId1400">
        <w:r>
          <w:rPr>
            <w:color w:val="1155CC"/>
            <w:u w:val="single"/>
          </w:rPr>
          <w:t>机器学习 $\sqrt{{s}_{NN}}=4$ 和 11 GeV 重离子碰撞中的撞击参数：与 UrQMD、AMPT 和 JAM 的交叉检查研究</w:t>
        </w:r>
      </w:hyperlink>
    </w:p>
    <w:p>
      <w:pPr>
        <w:spacing w:before="0" w:after="80"/>
      </w:pPr>
      <w:r>
        <w:rPr>
          <w:i/>
          <w:sz w:val="20"/>
        </w:rPr>
        <w:t>EN: Machine-learning the impact parameter in heavy-ion collisions at $\sqrt{{s}_{NN}}=4$ and 11 GeV: A cross-check study with UrQMD, AMPT, and JAM</w:t>
      </w:r>
    </w:p>
    <w:p>
      <w:pPr>
        <w:spacing w:before="0" w:after="120"/>
      </w:pPr>
      <w:r>
        <w:rPr>
          <w:b/>
        </w:rPr>
        <w:t xml:space="preserve">Source: </w:t>
      </w:r>
      <w:r>
        <w:t>Recent Articles in Phys. Rev. C</w:t>
      </w:r>
      <w:r>
        <w:t xml:space="preserve">    </w:t>
      </w:r>
      <w:r>
        <w:rPr>
          <w:b/>
        </w:rPr>
        <w:t xml:space="preserve">Pub date: </w:t>
      </w:r>
      <w:r>
        <w:t>2026-07-21 10:00:00+00:00</w:t>
      </w:r>
      <w:r>
        <w:t xml:space="preserve">    </w:t>
      </w:r>
      <w:r>
        <w:rPr>
          <w:b/>
        </w:rPr>
        <w:t xml:space="preserve">DOI: </w:t>
      </w:r>
      <w:hyperlink r:id="rId1401">
        <w:r>
          <w:rPr>
            <w:color w:val="1155CC"/>
            <w:u w:val="single"/>
          </w:rPr>
          <w:t>10.1103/tsbw-r6tj</w:t>
        </w:r>
      </w:hyperlink>
    </w:p>
    <w:p>
      <w:pPr>
        <w:spacing w:before="0" w:after="120"/>
      </w:pPr>
      <w:r>
        <w:rPr>
          <w:b/>
        </w:rPr>
        <w:t xml:space="preserve">Notes: </w:t>
      </w:r>
      <w:r>
        <w:t>abstract_source=rss_description</w:t>
      </w:r>
    </w:p>
    <w:p>
      <w:pPr>
        <w:spacing w:before="0" w:after="80" w:lineRule="auto" w:line="276"/>
      </w:pPr>
      <w:r>
        <w:rPr>
          <w:b/>
        </w:rPr>
        <w:t xml:space="preserve">摘要（ZH）: </w:t>
      </w:r>
      <w:r>
        <w:t>作者：岳小青、魏国军、王永佳、李志龙、李鹏程、徐浩杰、朱向荣、李庆峰、刘福虎、奈良康通过超相对论量子分子动力学（UrQMD）模型、多相输运（AMPT）模型和JAM模型生成重离子碰撞数据，碰撞参数$b$ in $\mathrm{Au}+\mathrm{Au}$ $\sqrt{{s}_{\mathrm{NN}}}=4$ 处的碰撞和 11 GeV 是使用 super…[Phys. Rev. C 114, 014910] 于 2026 年 7 月 21 日星期二发布</w:t>
      </w:r>
    </w:p>
    <w:p>
      <w:pPr>
        <w:spacing w:before="0" w:after="200" w:lineRule="auto" w:line="276"/>
      </w:pPr>
      <w:r>
        <w:rPr>
          <w:b/>
        </w:rPr>
        <w:t xml:space="preserve">Abstract (EN): </w:t>
      </w:r>
      <w:r>
        <w:t>Author(s): Xiaoqing Yue, Guojun Wei, Yongjia Wang, Zhilong Li, Pengcheng Li, Haojie Xu, Xiangrong Zhu, Qingfeng Li, Fuhu Liu, and Yasushi NaraBy generating heavy-ion collision data with the ultrarelativistic quantum molecular dynamics (UrQMD) model, a multiphase transport (AMPT) model, and the JAM model, the impact parameter $b$ in $\mathrm{Au}+\mathrm{Au}$ collisions at $\sqrt{{s}_{\mathrm{NN}}}=4$ and 11 GeV is reconstructed using super…[Phys. Rev. C 114, 014910] Published Tue Jul 21, 2026</w:t>
      </w:r>
    </w:p>
    <w:p>
      <w:pPr>
        <w:spacing w:before="120" w:after="120"/>
      </w:pPr>
      <w:r>
        <w:rPr>
          <w:sz w:val="18"/>
        </w:rPr>
        <w:t>——————————————————————————————————————————————————————————————————————</w:t>
      </w:r>
    </w:p>
    <w:p>
      <w:pPr>
        <w:spacing w:before="160" w:after="40" w:line="240" w:lineRule="auto"/>
      </w:pPr>
      <w:r>
        <w:rPr>
          <w:b/>
        </w:rPr>
        <w:t xml:space="preserve">[463] </w:t>
      </w:r>
      <w:hyperlink r:id="rId1402">
        <w:r>
          <w:rPr>
            <w:color w:val="1155CC"/>
            <w:u w:val="single"/>
          </w:rPr>
          <w:t>追逐轨道，而不是时间：长期偏心引力波替代物的可扩展范式</w:t>
        </w:r>
      </w:hyperlink>
    </w:p>
    <w:p>
      <w:pPr>
        <w:spacing w:before="0" w:after="80"/>
      </w:pPr>
      <w:r>
        <w:rPr>
          <w:i/>
          <w:sz w:val="20"/>
        </w:rPr>
        <w:t>EN: Chase Orbits, not Time: A Scalable Paradigm for Long-Duration Eccentric Gravitational-Wave Surrogates</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03">
        <w:r>
          <w:rPr>
            <w:color w:val="1155CC"/>
            <w:u w:val="single"/>
          </w:rPr>
          <w:t>10.1103/1thz-h7zt</w:t>
        </w:r>
      </w:hyperlink>
    </w:p>
    <w:p>
      <w:pPr>
        <w:spacing w:before="0" w:after="120"/>
      </w:pPr>
      <w:r>
        <w:rPr>
          <w:b/>
        </w:rPr>
        <w:t xml:space="preserve">Notes: </w:t>
      </w:r>
      <w:r>
        <w:t>abstract_source=rss_description</w:t>
      </w:r>
    </w:p>
    <w:p>
      <w:pPr>
        <w:spacing w:before="0" w:after="80" w:lineRule="auto" w:line="276"/>
      </w:pPr>
      <w:r>
        <w:rPr>
          <w:b/>
        </w:rPr>
        <w:t xml:space="preserve">摘要（ZH）: </w:t>
      </w:r>
      <w:r>
        <w:t>作者：Akash Maurya、Prayush Kumar、Scott E. Field、Chandra Kant Mishra、Peter James Nee、Kaushik Paul、Harald P. Pfeiffer、Adhrit Ravichandran 和 Vijay Varma 轨道偏心率是致密双星天体物理起源的关键示踪剂；然而，它在常规 LIGO-Virgo-KAGRA 分析中仍然缺失，部分原因是生成偏心模板波形的计算成本过高。这些波形的复杂形态归因于……[物理。莱特牧师。 137, 041401] 2026 年 7 月 21 日星期二发布</w:t>
      </w:r>
    </w:p>
    <w:p>
      <w:pPr>
        <w:spacing w:before="0" w:after="200" w:lineRule="auto" w:line="276"/>
      </w:pPr>
      <w:r>
        <w:rPr>
          <w:b/>
        </w:rPr>
        <w:t xml:space="preserve">Abstract (EN): </w:t>
      </w:r>
      <w:r>
        <w:t>Author(s): Akash Maurya, Prayush Kumar, Scott E. Field, Chandra Kant Mishra, Peter James Nee, Kaushik Paul, Harald P. Pfeiffer, Adhrit Ravichandran, and Vijay VarmaOrbital eccentricity is a key tracer of the astrophysical origins of compact binaries; yet it remains absent from routine LIGO-Virgo-KAGRA analyses, in part because of the prohibitive computational cost of generating eccentric template waveforms. The complicated morphology of these waveforms due to …[Phys. Rev. Lett. 137, 041401] Published Tue Jul 21, 2026</w:t>
      </w:r>
    </w:p>
    <w:p>
      <w:pPr>
        <w:spacing w:before="120" w:after="120"/>
      </w:pPr>
      <w:r>
        <w:rPr>
          <w:sz w:val="18"/>
        </w:rPr>
        <w:t>——————————————————————————————————————————————————————————————————————</w:t>
      </w:r>
    </w:p>
    <w:p>
      <w:pPr>
        <w:spacing w:before="160" w:after="40" w:line="240" w:lineRule="auto"/>
      </w:pPr>
      <w:r>
        <w:rPr>
          <w:b/>
        </w:rPr>
        <w:t xml:space="preserve">[464] </w:t>
      </w:r>
      <w:hyperlink r:id="rId1404">
        <w:r>
          <w:rPr>
            <w:color w:val="1155CC"/>
            <w:u w:val="single"/>
          </w:rPr>
          <w:t>超导氢化物中的位移量子临界点：${\mathrm{H}}_{3}\mathrm{S}$ 的情况</w:t>
        </w:r>
      </w:hyperlink>
    </w:p>
    <w:p>
      <w:pPr>
        <w:spacing w:before="0" w:after="80"/>
      </w:pPr>
      <w:r>
        <w:rPr>
          <w:i/>
          <w:sz w:val="20"/>
        </w:rPr>
        <w:t>EN: Displacive Quantum Critical Point in Superconducting Hydrides: The Case of ${\mathrm{H}}_{3}\mathrm{S}$</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05">
        <w:r>
          <w:rPr>
            <w:color w:val="1155CC"/>
            <w:u w:val="single"/>
          </w:rPr>
          <w:t>10.1103/b1dd-gzf3</w:t>
        </w:r>
      </w:hyperlink>
    </w:p>
    <w:p>
      <w:pPr>
        <w:spacing w:before="0" w:after="120"/>
      </w:pPr>
      <w:r>
        <w:rPr>
          <w:b/>
        </w:rPr>
        <w:t xml:space="preserve">Notes: </w:t>
      </w:r>
      <w:r>
        <w:t>abstract_source=rss_description</w:t>
      </w:r>
    </w:p>
    <w:p>
      <w:pPr>
        <w:spacing w:before="0" w:after="80" w:lineRule="auto" w:line="276"/>
      </w:pPr>
      <w:r>
        <w:rPr>
          <w:b/>
        </w:rPr>
        <w:t xml:space="preserve">摘要（ZH）: </w:t>
      </w:r>
      <w:r>
        <w:t>作者：Marco Cherubini、Abhishek Raghav 和 Michele Casula${\mathrm{H}}_{3}\mathrm{S}$ 硫氢化物因其高达 203 K 的超导临界温度 ${T}_{c}$（约 ${p}_{c}=155\text{ }\text{ }\mathrm{GPa}$ 而受到广泛研究。尽管是超导氢化物的前身，但其结构相图的详细图片......[物理。莱特牧师。 137, 046102] 2026 年 7 月 21 日星期二发布</w:t>
      </w:r>
    </w:p>
    <w:p>
      <w:pPr>
        <w:spacing w:before="0" w:after="200" w:lineRule="auto" w:line="276"/>
      </w:pPr>
      <w:r>
        <w:rPr>
          <w:b/>
        </w:rPr>
        <w:t xml:space="preserve">Abstract (EN): </w:t>
      </w:r>
      <w:r>
        <w:t>Author(s): Marco Cherubini, Abhishek Raghav, and Michele Casula${\mathrm{H}}_{3}\mathrm{S}$ sulfur hydride has been widely investigated for its high superconducting critical temperature ${T}_{c}$ of 203 K at about ${p}_{c}=155\text{ }\text{ }\mathrm{GPa}$. Despite being the precursor of superconducting hydrides, a detailed picture of its structural phase diagra…[Phys. Rev. Lett. 137, 046102] Published Tue Jul 21, 2026</w:t>
      </w:r>
    </w:p>
    <w:p>
      <w:pPr>
        <w:spacing w:before="120" w:after="120"/>
      </w:pPr>
      <w:r>
        <w:rPr>
          <w:sz w:val="18"/>
        </w:rPr>
        <w:t>——————————————————————————————————————————————————————————————————————</w:t>
      </w:r>
    </w:p>
    <w:p>
      <w:pPr>
        <w:spacing w:before="160" w:after="40" w:line="240" w:lineRule="auto"/>
      </w:pPr>
      <w:r>
        <w:rPr>
          <w:b/>
        </w:rPr>
        <w:t xml:space="preserve">[465] </w:t>
      </w:r>
      <w:hyperlink r:id="rId1406">
        <w:r>
          <w:rPr>
            <w:color w:val="1155CC"/>
            <w:u w:val="single"/>
          </w:rPr>
          <w:t>从超导三光子自发参量下转换源观测真正的三方非高斯纠缠</w:t>
        </w:r>
      </w:hyperlink>
    </w:p>
    <w:p>
      <w:pPr>
        <w:spacing w:before="0" w:after="80"/>
      </w:pPr>
      <w:r>
        <w:rPr>
          <w:i/>
          <w:sz w:val="20"/>
        </w:rPr>
        <w:t>EN: Observation of Genuine Tripartite Non-Gaussian Entanglement from a Superconducting Three-Photon Spontaneous Parametric Down-Conversion Source</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07">
        <w:r>
          <w:rPr>
            <w:color w:val="1155CC"/>
            <w:u w:val="single"/>
          </w:rPr>
          <w:t>10.1103/4ts4-qj74</w:t>
        </w:r>
      </w:hyperlink>
    </w:p>
    <w:p>
      <w:pPr>
        <w:spacing w:before="0" w:after="120"/>
      </w:pPr>
      <w:r>
        <w:rPr>
          <w:b/>
        </w:rPr>
        <w:t xml:space="preserve">Notes: </w:t>
      </w:r>
      <w:r>
        <w:t>abstract_source=rss_description</w:t>
      </w:r>
    </w:p>
    <w:p>
      <w:pPr>
        <w:spacing w:before="0" w:after="80" w:lineRule="auto" w:line="276"/>
      </w:pPr>
      <w:r>
        <w:rPr>
          <w:b/>
        </w:rPr>
        <w:t xml:space="preserve">摘要（ZH）: </w:t>
      </w:r>
      <w:r>
        <w:t>作者：Benjamin Jarvis-Frain、Andy Schang、Fernando Quijandría、Ibrahim Nsanzineza、Dmytro Dubyna、C. W. Sandbo Chang、Franco Nori 和 C. M. Wilson 通过自发参量下转换 (SPDC) 产生纠缠光子是量子光学领域许多关键实验和技术的关键资源。从历史上看，SPDC 仅限于光子对的生成。然而，使用强非线性......[物理。莱特牧师。 137, 040201] 2026 年 7 月 21 日星期二发布</w:t>
      </w:r>
    </w:p>
    <w:p>
      <w:pPr>
        <w:spacing w:before="0" w:after="200" w:lineRule="auto" w:line="276"/>
      </w:pPr>
      <w:r>
        <w:rPr>
          <w:b/>
        </w:rPr>
        <w:t xml:space="preserve">Abstract (EN): </w:t>
      </w:r>
      <w:r>
        <w:t>Author(s): Benjamin Jarvis-Frain, Andy Schang, Fernando Quijandría, Ibrahim Nsanzineza, Dmytro Dubyna, C. W. Sandbo Chang, Franco Nori, and C. M. WilsonThe generation of entangled photons through spontaneous parametric down-conversion (SPDC) is a critical resource for many key experiments and technologies in the domain of quantum optics. Historically, SPDC was limited to the generation of photon pairs. However, the use of the strong nonlinearities …[Phys. Rev. Lett. 137, 040201] Published Tue Jul 21, 2026</w:t>
      </w:r>
    </w:p>
    <w:p>
      <w:pPr>
        <w:spacing w:before="120" w:after="120"/>
      </w:pPr>
      <w:r>
        <w:rPr>
          <w:sz w:val="18"/>
        </w:rPr>
        <w:t>——————————————————————————————————————————————————————————————————————</w:t>
      </w:r>
    </w:p>
    <w:p>
      <w:pPr>
        <w:spacing w:before="160" w:after="40" w:line="240" w:lineRule="auto"/>
      </w:pPr>
      <w:r>
        <w:rPr>
          <w:b/>
        </w:rPr>
        <w:t xml:space="preserve">[466] </w:t>
      </w:r>
      <w:hyperlink r:id="rId1408">
        <w:r>
          <w:rPr>
            <w:color w:val="1155CC"/>
            <w:u w:val="single"/>
          </w:rPr>
          <w:t>有限掺杂时 SU(3) 三角晶格 $t\text{−}J$ 模型中的磁相关性</w:t>
        </w:r>
      </w:hyperlink>
    </w:p>
    <w:p>
      <w:pPr>
        <w:spacing w:before="0" w:after="80"/>
      </w:pPr>
      <w:r>
        <w:rPr>
          <w:i/>
          <w:sz w:val="20"/>
        </w:rPr>
        <w:t>EN: Magnetic Correlations in the SU(3) Triangular-Lattice $t\text{−}J$ Model at Finite Doping</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09">
        <w:r>
          <w:rPr>
            <w:color w:val="1155CC"/>
            <w:u w:val="single"/>
          </w:rPr>
          <w:t>10.1103/x68w-lwvv</w:t>
        </w:r>
      </w:hyperlink>
    </w:p>
    <w:p>
      <w:pPr>
        <w:spacing w:before="0" w:after="120"/>
      </w:pPr>
      <w:r>
        <w:rPr>
          <w:b/>
        </w:rPr>
        <w:t xml:space="preserve">Notes: </w:t>
      </w:r>
      <w:r>
        <w:t>abstract_source=rss_description</w:t>
      </w:r>
    </w:p>
    <w:p>
      <w:pPr>
        <w:spacing w:before="0" w:after="80" w:lineRule="auto" w:line="276"/>
      </w:pPr>
      <w:r>
        <w:rPr>
          <w:b/>
        </w:rPr>
        <w:t xml:space="preserve">摘要（ZH）: </w:t>
      </w:r>
      <w:r>
        <w:t>作者：Annika Böhler、Fabian Grusdt 和 Annabelle Bohrdt 超冷碱土原子和分子现在可以通过实验实现 SU(N) 对称费米-哈伯德模型，但对这些系统的理论理解，特别是在有限掺杂情况下的理论理解仍然有限。在这里，我们研究 SU(3) 对称 Fermi-Hubbard 的强耦合极限……[Phys.莱特牧师。 137, 040401] 2026 年 7 月 21 日星期二发布</w:t>
      </w:r>
    </w:p>
    <w:p>
      <w:pPr>
        <w:spacing w:before="0" w:after="200" w:lineRule="auto" w:line="276"/>
      </w:pPr>
      <w:r>
        <w:rPr>
          <w:b/>
        </w:rPr>
        <w:t xml:space="preserve">Abstract (EN): </w:t>
      </w:r>
      <w:r>
        <w:t>Author(s): Annika Böhler, Fabian Grusdt, and Annabelle BohrdtUltracold alkaline-earth atoms and molecules now enable experimental realizations of SU(N)-symmetric Fermi-Hubbard models, yet theoretical understanding of these systems, particularly at finite doping remains limited. Here we investigate the strong-coupling limit of the SU(3) symmetric Fermi-Hubbard…[Phys. Rev. Lett. 137, 040401] Published Tue Jul 21, 2026</w:t>
      </w:r>
    </w:p>
    <w:p>
      <w:pPr>
        <w:spacing w:before="120" w:after="120"/>
      </w:pPr>
      <w:r>
        <w:rPr>
          <w:sz w:val="18"/>
        </w:rPr>
        <w:t>——————————————————————————————————————————————————————————————————————</w:t>
      </w:r>
    </w:p>
    <w:p>
      <w:pPr>
        <w:spacing w:before="160" w:after="40" w:line="240" w:lineRule="auto"/>
      </w:pPr>
      <w:r>
        <w:rPr>
          <w:b/>
        </w:rPr>
        <w:t xml:space="preserve">[467] </w:t>
      </w:r>
      <w:hyperlink r:id="rId1410">
        <w:r>
          <w:rPr>
            <w:color w:val="1155CC"/>
            <w:u w:val="single"/>
          </w:rPr>
          <w:t>使用第二个 CHIME/FRB 目录测量色散星系互功率谱</w:t>
        </w:r>
      </w:hyperlink>
    </w:p>
    <w:p>
      <w:pPr>
        <w:spacing w:before="0" w:after="80"/>
      </w:pPr>
      <w:r>
        <w:rPr>
          <w:i/>
          <w:sz w:val="20"/>
        </w:rPr>
        <w:t>EN: Measurement of the Dispersion-Galaxy Cross-Power Spectrum with the Second CHIME/FRB Catalog</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11">
        <w:r>
          <w:rPr>
            <w:color w:val="1155CC"/>
            <w:u w:val="single"/>
          </w:rPr>
          <w:t>10.1103/9th9-qc51</w:t>
        </w:r>
      </w:hyperlink>
    </w:p>
    <w:p>
      <w:pPr>
        <w:spacing w:before="0" w:after="120"/>
      </w:pPr>
      <w:r>
        <w:rPr>
          <w:b/>
        </w:rPr>
        <w:t xml:space="preserve">Notes: </w:t>
      </w:r>
      <w:r>
        <w:t>abstract_source=rss_description</w:t>
      </w:r>
    </w:p>
    <w:p>
      <w:pPr>
        <w:spacing w:before="0" w:after="80" w:lineRule="auto" w:line="276"/>
      </w:pPr>
      <w:r>
        <w:rPr>
          <w:b/>
        </w:rPr>
        <w:t xml:space="preserve">摘要（ZH）: </w:t>
      </w:r>
      <w:r>
        <w:t>作者：Haochen Wang、Kiyoshi Masui、Shion Andrew、Mohit Bhardwaj、Emmanuel Fonseca、B. M. Gaensler、R. C. Joseph、Victoria M. Kaspi、Bikash Kharel、Adam E. Lanman、Calvin Leung、Lluis Mas-Ribas、Juan Mena-Parra、Kenzie Nimmo、Aaron B. Pearlman、Ue-Li Pen、J. Xavier Prochaska、Ryan Raikman、Kaitlyn Shin、Seth R. Siegel、Kendrick M. Smith 和 Ingrid H. Stairs 河外快速射电爆发（FRB）的色散可以作为对星系之间和周围星系（其中包含宇宙的大部分重子）的弥散等离子体的强大探测器。通过将背景快速射电暴的色散与前景星系的位置进行互相关，我们可以研究……[物理。莱特牧师。 137, 041001] 2026 年 7 月 21 日星期二发布</w:t>
      </w:r>
    </w:p>
    <w:p>
      <w:pPr>
        <w:spacing w:before="0" w:after="200" w:lineRule="auto" w:line="276"/>
      </w:pPr>
      <w:r>
        <w:rPr>
          <w:b/>
        </w:rPr>
        <w:t xml:space="preserve">Abstract (EN): </w:t>
      </w:r>
      <w:r>
        <w:t>Author(s): Haochen Wang, Kiyoshi Masui, Shion Andrew, Mohit Bhardwaj, Emmanuel Fonseca, B. M. Gaensler, R. C. Joseph, Victoria M. Kaspi, Bikash Kharel, Adam E. Lanman, Calvin Leung, Lluis Mas-Ribas, Juan Mena-Parra, Kenzie Nimmo, Aaron B. Pearlman, Ue-Li Pen, J. Xavier Prochaska, Ryan Raikman, Kaitlyn Shin, Seth R. Siegel, Kendrick M. Smith, and Ingrid H. StairsThe dispersion of extragalactic fast radio bursts (FRBs) can serve as a powerful probe of the diffuse plasma between and surrounding galaxies, which contains most of the Universe’s baryons. By cross-correlating the dispersion of background FRBs with the locations of foreground galaxies, we can study…[Phys. Rev. Lett. 137, 041001] Published Tue Jul 21, 2026</w:t>
      </w:r>
    </w:p>
    <w:p>
      <w:pPr>
        <w:spacing w:before="120" w:after="120"/>
      </w:pPr>
      <w:r>
        <w:rPr>
          <w:sz w:val="18"/>
        </w:rPr>
        <w:t>——————————————————————————————————————————————————————————————————————</w:t>
      </w:r>
    </w:p>
    <w:p>
      <w:pPr>
        <w:spacing w:before="160" w:after="40" w:line="240" w:lineRule="auto"/>
      </w:pPr>
      <w:r>
        <w:rPr>
          <w:b/>
        </w:rPr>
        <w:t xml:space="preserve">[468] </w:t>
      </w:r>
      <w:hyperlink r:id="rId1412">
        <w:r>
          <w:rPr>
            <w:color w:val="1155CC"/>
            <w:u w:val="single"/>
          </w:rPr>
          <w:t>各向异性强子重散射及其对 ${K}^{*0}$ 产量和可观测偏振的影响</w:t>
        </w:r>
      </w:hyperlink>
    </w:p>
    <w:p>
      <w:pPr>
        <w:spacing w:before="0" w:after="80"/>
      </w:pPr>
      <w:r>
        <w:rPr>
          <w:i/>
          <w:sz w:val="20"/>
        </w:rPr>
        <w:t>EN: Anisotropic hadronic rescattering and its impact on ${K}^{*0}$ yield, and polarization observable</w:t>
      </w:r>
    </w:p>
    <w:p>
      <w:pPr>
        <w:spacing w:before="0" w:after="120"/>
      </w:pPr>
      <w:r>
        <w:rPr>
          <w:b/>
        </w:rPr>
        <w:t xml:space="preserve">Source: </w:t>
      </w:r>
      <w:r>
        <w:t>Recent Articles in Phys. Rev. C</w:t>
      </w:r>
      <w:r>
        <w:t xml:space="preserve">    </w:t>
      </w:r>
      <w:r>
        <w:rPr>
          <w:b/>
        </w:rPr>
        <w:t xml:space="preserve">Pub date: </w:t>
      </w:r>
      <w:r>
        <w:t>2026-07-21 10:00:00+00:00</w:t>
      </w:r>
      <w:r>
        <w:t xml:space="preserve">    </w:t>
      </w:r>
      <w:r>
        <w:rPr>
          <w:b/>
        </w:rPr>
        <w:t xml:space="preserve">DOI: </w:t>
      </w:r>
      <w:hyperlink r:id="rId1413">
        <w:r>
          <w:rPr>
            <w:color w:val="1155CC"/>
            <w:u w:val="single"/>
          </w:rPr>
          <w:t>10.1103/xkcg-v2pp</w:t>
        </w:r>
      </w:hyperlink>
    </w:p>
    <w:p>
      <w:pPr>
        <w:spacing w:before="0" w:after="120"/>
      </w:pPr>
      <w:r>
        <w:rPr>
          <w:b/>
        </w:rPr>
        <w:t xml:space="preserve">Notes: </w:t>
      </w:r>
      <w:r>
        <w:t>abstract_source=rss_description</w:t>
      </w:r>
    </w:p>
    <w:p>
      <w:pPr>
        <w:spacing w:before="0" w:after="80" w:lineRule="auto" w:line="276"/>
      </w:pPr>
      <w:r>
        <w:rPr>
          <w:b/>
        </w:rPr>
        <w:t xml:space="preserve">摘要（ZH）: </w:t>
      </w:r>
      <w:r>
        <w:t>作者：Kadambini Menduli 和 Md. Nasim 在这项工作中，我们研究了使用多相传输 (AMPT) 模型对 $\mathrm{Au}+\mathrm{Au}$ 在 $\sqrt{{s}_{NN}}=200$ GeV 处碰撞的强子重散射产生的重建 ${K}^{*0}$ 共振的各向异性抑制。我们证明了...[物理的重新散射概率。 Rev. C 114, 014909] 于 2026 年 7 月 21 日星期二发布</w:t>
      </w:r>
    </w:p>
    <w:p>
      <w:pPr>
        <w:spacing w:before="0" w:after="200" w:lineRule="auto" w:line="276"/>
      </w:pPr>
      <w:r>
        <w:rPr>
          <w:b/>
        </w:rPr>
        <w:t xml:space="preserve">Abstract (EN): </w:t>
      </w:r>
      <w:r>
        <w:t>Author(s): Kadambini Menduli and Md. NasimIn this work, we investigate the anisotropic suppression of reconstructed ${K}^{*0}$ resonances arising from hadronic rescattering using A Multi-Phase Transport (AMPT) model for $\mathrm{Au}+\mathrm{Au}$ collisions at $\sqrt{{s}_{NN}}=200$ GeV. We demonstrate that the rescattering probability of the…[Phys. Rev. C 114, 014909] Published Tue Jul 21, 2026</w:t>
      </w:r>
    </w:p>
    <w:p>
      <w:pPr>
        <w:spacing w:before="120" w:after="120"/>
      </w:pPr>
      <w:r>
        <w:rPr>
          <w:sz w:val="18"/>
        </w:rPr>
        <w:t>——————————————————————————————————————————————————————————————————————</w:t>
      </w:r>
    </w:p>
    <w:p>
      <w:pPr>
        <w:spacing w:before="160" w:after="40" w:line="240" w:lineRule="auto"/>
      </w:pPr>
      <w:r>
        <w:rPr>
          <w:b/>
        </w:rPr>
        <w:t xml:space="preserve">[469] </w:t>
      </w:r>
      <w:hyperlink r:id="rId1414">
        <w:r>
          <w:rPr>
            <w:color w:val="1155CC"/>
            <w:u w:val="single"/>
          </w:rPr>
          <w:t>Pulsar 定时阵列数据组合的新方法</w:t>
        </w:r>
      </w:hyperlink>
    </w:p>
    <w:p>
      <w:pPr>
        <w:spacing w:before="0" w:after="80"/>
      </w:pPr>
      <w:r>
        <w:rPr>
          <w:i/>
          <w:sz w:val="20"/>
        </w:rPr>
        <w:t>EN: New Approach to Pulsar Timing Array Data Combination</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15">
        <w:r>
          <w:rPr>
            <w:color w:val="1155CC"/>
            <w:u w:val="single"/>
          </w:rPr>
          <w:t>10.1103/h9rb-5vdm</w:t>
        </w:r>
      </w:hyperlink>
    </w:p>
    <w:p>
      <w:pPr>
        <w:spacing w:before="0" w:after="120"/>
      </w:pPr>
      <w:r>
        <w:rPr>
          <w:b/>
        </w:rPr>
        <w:t xml:space="preserve">Notes: </w:t>
      </w:r>
      <w:r>
        <w:t>abstract_source=rss_description</w:t>
      </w:r>
    </w:p>
    <w:p>
      <w:pPr>
        <w:spacing w:before="0" w:after="80" w:lineRule="auto" w:line="276"/>
      </w:pPr>
      <w:r>
        <w:rPr>
          <w:b/>
        </w:rPr>
        <w:t xml:space="preserve">摘要（ZH）: </w:t>
      </w:r>
      <w:r>
        <w:t>作者：David Wright、Kalista Wayt、Jeffrey S. Hazboun、Xavier Siemens、Rutger van Haasteren、Levi Schult 和 Stephen R. Taylor 2023 年，经过二十多年的搜寻，世界各地的脉冲星定时阵列 (PTA) 合作宣布了随机引力波背景的证据。随后国际脉冲星定时阵列 (IPTA) 的工作很快就表明了区域性的结果……[物理。莱特牧师。 137, 041402] 2026 年 7 月 21 日星期二发布</w:t>
      </w:r>
    </w:p>
    <w:p>
      <w:pPr>
        <w:spacing w:before="0" w:after="200" w:lineRule="auto" w:line="276"/>
      </w:pPr>
      <w:r>
        <w:rPr>
          <w:b/>
        </w:rPr>
        <w:t xml:space="preserve">Abstract (EN): </w:t>
      </w:r>
      <w:r>
        <w:t>Author(s): David Wright, Kalista Wayt, Jeffrey S. Hazboun, Xavier Siemens, Rutger van Haasteren, Levi Schult, and Stephen R. TaylorIn 2023, after more than two decades of searching, pulsar timing array (PTA) collaborations around the world announced evidence for a stochastic gravitational wave background. It was quickly followed by work from the International Pulsar Timing Array (IPTA), demonstrating that the results of regiona…[Phys. Rev. Lett. 137, 041402] Published Tue Jul 21, 2026</w:t>
      </w:r>
    </w:p>
    <w:p>
      <w:pPr>
        <w:spacing w:before="120" w:after="120"/>
      </w:pPr>
      <w:r>
        <w:rPr>
          <w:sz w:val="18"/>
        </w:rPr>
        <w:t>——————————————————————————————————————————————————————————————————————</w:t>
      </w:r>
    </w:p>
    <w:p>
      <w:pPr>
        <w:spacing w:before="160" w:after="40" w:line="240" w:lineRule="auto"/>
      </w:pPr>
      <w:r>
        <w:rPr>
          <w:b/>
        </w:rPr>
        <w:t xml:space="preserve">[470] </w:t>
      </w:r>
      <w:hyperlink r:id="rId1416">
        <w:r>
          <w:rPr>
            <w:color w:val="1155CC"/>
            <w:u w:val="single"/>
          </w:rPr>
          <w:t>${K}^{*0}$ 在 RHIC BES 能量下使用多相传输模型产生介子</w:t>
        </w:r>
      </w:hyperlink>
    </w:p>
    <w:p>
      <w:pPr>
        <w:spacing w:before="0" w:after="80"/>
      </w:pPr>
      <w:r>
        <w:rPr>
          <w:i/>
          <w:sz w:val="20"/>
        </w:rPr>
        <w:t>EN: ${K}^{*0}$ meson production using a multiphase transport model at RHIC BES energies</w:t>
      </w:r>
    </w:p>
    <w:p>
      <w:pPr>
        <w:spacing w:before="0" w:after="120"/>
      </w:pPr>
      <w:r>
        <w:rPr>
          <w:b/>
        </w:rPr>
        <w:t xml:space="preserve">Source: </w:t>
      </w:r>
      <w:r>
        <w:t>Recent Articles in Phys. Rev. C</w:t>
      </w:r>
      <w:r>
        <w:t xml:space="preserve">    </w:t>
      </w:r>
      <w:r>
        <w:rPr>
          <w:b/>
        </w:rPr>
        <w:t xml:space="preserve">Pub date: </w:t>
      </w:r>
      <w:r>
        <w:t>2026-07-21 10:00:00+00:00</w:t>
      </w:r>
      <w:r>
        <w:t xml:space="preserve">    </w:t>
      </w:r>
      <w:r>
        <w:rPr>
          <w:b/>
        </w:rPr>
        <w:t xml:space="preserve">DOI: </w:t>
      </w:r>
      <w:hyperlink r:id="rId1417">
        <w:r>
          <w:rPr>
            <w:color w:val="1155CC"/>
            <w:u w:val="single"/>
          </w:rPr>
          <w:t>10.1103/cw7h-ds58</w:t>
        </w:r>
      </w:hyperlink>
    </w:p>
    <w:p>
      <w:pPr>
        <w:spacing w:before="0" w:after="120"/>
      </w:pPr>
      <w:r>
        <w:rPr>
          <w:b/>
        </w:rPr>
        <w:t xml:space="preserve">Notes: </w:t>
      </w:r>
      <w:r>
        <w:t>abstract_source=rss_description</w:t>
      </w:r>
    </w:p>
    <w:p>
      <w:pPr>
        <w:spacing w:before="0" w:after="80" w:lineRule="auto" w:line="276"/>
      </w:pPr>
      <w:r>
        <w:rPr>
          <w:b/>
        </w:rPr>
        <w:t xml:space="preserve">摘要（ZH）: </w:t>
      </w:r>
      <w:r>
        <w:t>作者：Pranjal Barik、Kadambini Menduli、Aswini Kumar Sahoo 和 Md. Nasim我们提出了 $\mathrm{Au}+\mathrm{Au}$ 碰撞中 $\sqrt{{s}_{NN}}=19.6$、14.5 和 7.7 GeV 处 ${K}^{*0}$ 共振的产量、平均横向动量和集体流动计算使用 AMPT 模型。研究发现，由于强子重散射，${K}^{*0}$ 的衰变子体在…[Phys. Rev. C 114, 014913] 于 2026 年 7 月 21 日星期二发布</w:t>
      </w:r>
    </w:p>
    <w:p>
      <w:pPr>
        <w:spacing w:before="0" w:after="200" w:lineRule="auto" w:line="276"/>
      </w:pPr>
      <w:r>
        <w:rPr>
          <w:b/>
        </w:rPr>
        <w:t xml:space="preserve">Abstract (EN): </w:t>
      </w:r>
      <w:r>
        <w:t>Author(s): Pranjal Barik, Kadambini Menduli, Aswini Kumar Sahoo, and Md. NasimWe present the yield, average transverse momentum, and collective flow calculations of ${K}^{*0}$ resonances in $\mathrm{Au}+\mathrm{Au}$ collisions at $\sqrt{{s}_{NN}}=19.6$, 14.5, and 7.7 GeV using the AMPT model. It is found that, due to hadronic rescattering, the decay daughters of ${K}^{*0}$ in…[Phys. Rev. C 114, 014913] Published Tue Jul 21, 2026</w:t>
      </w:r>
    </w:p>
    <w:p>
      <w:pPr>
        <w:spacing w:before="120" w:after="120"/>
      </w:pPr>
      <w:r>
        <w:rPr>
          <w:sz w:val="18"/>
        </w:rPr>
        <w:t>——————————————————————————————————————————————————————————————————————</w:t>
      </w:r>
    </w:p>
    <w:p>
      <w:pPr>
        <w:spacing w:before="160" w:after="40" w:line="240" w:lineRule="auto"/>
      </w:pPr>
      <w:r>
        <w:rPr>
          <w:b/>
        </w:rPr>
        <w:t xml:space="preserve">[471] </w:t>
      </w:r>
      <w:hyperlink r:id="rId1418">
        <w:r>
          <w:rPr>
            <w:color w:val="1155CC"/>
            <w:u w:val="single"/>
          </w:rPr>
          <w:t>相对论磁化激波中相干发射的辐射反应效应</w:t>
        </w:r>
      </w:hyperlink>
    </w:p>
    <w:p>
      <w:pPr>
        <w:spacing w:before="0" w:after="80"/>
      </w:pPr>
      <w:r>
        <w:rPr>
          <w:i/>
          <w:sz w:val="20"/>
        </w:rPr>
        <w:t>EN: Radiation Reaction Effects on Coherent Emission in Relativistic Magnetized Shocks</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19">
        <w:r>
          <w:rPr>
            <w:color w:val="1155CC"/>
            <w:u w:val="single"/>
          </w:rPr>
          <w:t>10.1103/49dm-cfgp</w:t>
        </w:r>
      </w:hyperlink>
    </w:p>
    <w:p>
      <w:pPr>
        <w:spacing w:before="0" w:after="120"/>
      </w:pPr>
      <w:r>
        <w:rPr>
          <w:b/>
        </w:rPr>
        <w:t xml:space="preserve">Notes: </w:t>
      </w:r>
      <w:r>
        <w:t>abstract_source=rss_description</w:t>
      </w:r>
    </w:p>
    <w:p>
      <w:pPr>
        <w:spacing w:before="0" w:after="80" w:lineRule="auto" w:line="276"/>
      </w:pPr>
      <w:r>
        <w:rPr>
          <w:b/>
        </w:rPr>
        <w:t xml:space="preserve">摘要（ZH）: </w:t>
      </w:r>
      <w:r>
        <w:t>作者：张宇、杨元培和季亮亮相对论磁化激波是相干辐射的天然来源，代表了快速射电爆发（FRB）的一个有前途的框架。这封信探讨了冲击辐射过程中高能光子发射引发的辐射反应 (RR) 效应如何显着改变粒子动力……[物理学。莱特牧师。 137, 045201] 2026 年 7 月 21 日星期二发布</w:t>
      </w:r>
    </w:p>
    <w:p>
      <w:pPr>
        <w:spacing w:before="0" w:after="200" w:lineRule="auto" w:line="276"/>
      </w:pPr>
      <w:r>
        <w:rPr>
          <w:b/>
        </w:rPr>
        <w:t xml:space="preserve">Abstract (EN): </w:t>
      </w:r>
      <w:r>
        <w:t>Author(s): Yu Zhang, Yuan-Pei Yang, and Liang-Liang JiRelativistic magnetized shocks are natural sources of coherent radiation, representing a promising framework for fast radio bursts (FRBs). This Letter explores how the radiation reaction (RR) effect, triggered by high-energy photon emissions during shock radiation, significantly alters particle dyna…[Phys. Rev. Lett. 137, 045201] Published Tue Jul 21, 2026</w:t>
      </w:r>
    </w:p>
    <w:p>
      <w:pPr>
        <w:spacing w:before="120" w:after="120"/>
      </w:pPr>
      <w:r>
        <w:rPr>
          <w:sz w:val="18"/>
        </w:rPr>
        <w:t>——————————————————————————————————————————————————————————————————————</w:t>
      </w:r>
    </w:p>
    <w:p>
      <w:pPr>
        <w:spacing w:before="160" w:after="40" w:line="240" w:lineRule="auto"/>
      </w:pPr>
      <w:r>
        <w:rPr>
          <w:b/>
        </w:rPr>
        <w:t xml:space="preserve">[472] </w:t>
      </w:r>
      <w:hyperlink r:id="rId1420">
        <w:r>
          <w:rPr>
            <w:color w:val="1155CC"/>
            <w:u w:val="single"/>
          </w:rPr>
          <w:t>哈伯德模型中的 Sachdev-Ye-Kitaev 物理学：Floquet 工程方法</w:t>
        </w:r>
      </w:hyperlink>
    </w:p>
    <w:p>
      <w:pPr>
        <w:spacing w:before="0" w:after="80"/>
      </w:pPr>
      <w:r>
        <w:rPr>
          <w:i/>
          <w:sz w:val="20"/>
        </w:rPr>
        <w:t>EN: Sachdev-Ye-Kitaev Physics from the Hubbard Model: A Floquet-Engineering Approach</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21">
        <w:r>
          <w:rPr>
            <w:color w:val="1155CC"/>
            <w:u w:val="single"/>
          </w:rPr>
          <w:t>10.1103/r8zs-qvj3</w:t>
        </w:r>
      </w:hyperlink>
    </w:p>
    <w:p>
      <w:pPr>
        <w:spacing w:before="0" w:after="120"/>
      </w:pPr>
      <w:r>
        <w:rPr>
          <w:b/>
        </w:rPr>
        <w:t xml:space="preserve">Notes: </w:t>
      </w:r>
      <w:r>
        <w:t>abstract_source=rss_description</w:t>
      </w:r>
    </w:p>
    <w:p>
      <w:pPr>
        <w:spacing w:before="0" w:after="80" w:lineRule="auto" w:line="276"/>
      </w:pPr>
      <w:r>
        <w:rPr>
          <w:b/>
        </w:rPr>
        <w:t xml:space="preserve">摘要（ZH）: </w:t>
      </w:r>
      <w:r>
        <w:t>作者：Charles Creffield、Fernando Sols、Marco Schirò 和 Nathan Goldman 光学晶格中的超冷原子可以模拟与黑洞和高温超导体相关的量子物质的著名模型。莱特牧师。 137, 046302] 2026 年 7 月 21 日星期二发布</w:t>
      </w:r>
    </w:p>
    <w:p>
      <w:pPr>
        <w:spacing w:before="0" w:after="200" w:lineRule="auto" w:line="276"/>
      </w:pPr>
      <w:r>
        <w:rPr>
          <w:b/>
        </w:rPr>
        <w:t xml:space="preserve">Abstract (EN): </w:t>
      </w:r>
      <w:r>
        <w:t>Author(s): Charles Creffield, Fernando Sols, Marco Schirò, and Nathan GoldmanUltracold atoms in an optical lattice could emulate a prominent model of quantum matter linked to black holes and high-temperature superconductors.[Phys. Rev. Lett. 137, 046302] Published Tue Jul 21, 2026</w:t>
      </w:r>
    </w:p>
    <w:p>
      <w:pPr>
        <w:spacing w:before="120" w:after="120"/>
      </w:pPr>
      <w:r>
        <w:rPr>
          <w:sz w:val="18"/>
        </w:rPr>
        <w:t>——————————————————————————————————————————————————————————————————————</w:t>
      </w:r>
    </w:p>
    <w:p>
      <w:pPr>
        <w:spacing w:before="160" w:after="40" w:line="240" w:lineRule="auto"/>
      </w:pPr>
      <w:r>
        <w:rPr>
          <w:b/>
        </w:rPr>
        <w:t xml:space="preserve">[473] </w:t>
      </w:r>
      <w:hyperlink r:id="rId1422">
        <w:r>
          <w:rPr>
            <w:color w:val="1155CC"/>
            <w:u w:val="single"/>
          </w:rPr>
          <w:t>用于求解膨胀 QCD 介质中重夸克扩散的物理信息神经网络</w:t>
        </w:r>
      </w:hyperlink>
    </w:p>
    <w:p>
      <w:pPr>
        <w:spacing w:before="0" w:after="80"/>
      </w:pPr>
      <w:r>
        <w:rPr>
          <w:i/>
          <w:sz w:val="20"/>
        </w:rPr>
        <w:t>EN: Physics-informed neural network for solving the heavy quark diffusion in the expanding QCD medium</w:t>
      </w:r>
    </w:p>
    <w:p>
      <w:pPr>
        <w:spacing w:before="0" w:after="120"/>
      </w:pPr>
      <w:r>
        <w:rPr>
          <w:b/>
        </w:rPr>
        <w:t xml:space="preserve">Source: </w:t>
      </w:r>
      <w:r>
        <w:t>Recent Articles in Phys. Rev. C</w:t>
      </w:r>
      <w:r>
        <w:t xml:space="preserve">    </w:t>
      </w:r>
      <w:r>
        <w:rPr>
          <w:b/>
        </w:rPr>
        <w:t xml:space="preserve">Pub date: </w:t>
      </w:r>
      <w:r>
        <w:t>2026-07-21 10:00:00+00:00</w:t>
      </w:r>
      <w:r>
        <w:t xml:space="preserve">    </w:t>
      </w:r>
      <w:r>
        <w:rPr>
          <w:b/>
        </w:rPr>
        <w:t xml:space="preserve">DOI: </w:t>
      </w:r>
      <w:hyperlink r:id="rId1423">
        <w:r>
          <w:rPr>
            <w:color w:val="1155CC"/>
            <w:u w:val="single"/>
          </w:rPr>
          <w:t>10.1103/k6yg-qt32</w:t>
        </w:r>
      </w:hyperlink>
    </w:p>
    <w:p>
      <w:pPr>
        <w:spacing w:before="0" w:after="120"/>
      </w:pPr>
      <w:r>
        <w:rPr>
          <w:b/>
        </w:rPr>
        <w:t xml:space="preserve">Notes: </w:t>
      </w:r>
      <w:r>
        <w:t>abstract_source=rss_description</w:t>
      </w:r>
    </w:p>
    <w:p>
      <w:pPr>
        <w:spacing w:before="0" w:after="80" w:lineRule="auto" w:line="276"/>
      </w:pPr>
      <w:r>
        <w:rPr>
          <w:b/>
        </w:rPr>
        <w:t xml:space="preserve">摘要（ZH）: </w:t>
      </w:r>
      <w:r>
        <w:t>作者：范文华、刘佳敏、杨焕桑和陈宝仪我们采用物理信息神经网络（PINN）来研究相对论重离子碰撞中产生的膨胀热 QCD 介质中重夸克的动态演化。首先在完全动力学热化的假设下对重夸克动力学进行建模，然后......[Phys。 Rev. C 114, 014912] 于 2026 年 7 月 21 日星期二发布</w:t>
      </w:r>
    </w:p>
    <w:p>
      <w:pPr>
        <w:spacing w:before="0" w:after="200" w:lineRule="auto" w:line="276"/>
      </w:pPr>
      <w:r>
        <w:rPr>
          <w:b/>
        </w:rPr>
        <w:t xml:space="preserve">Abstract (EN): </w:t>
      </w:r>
      <w:r>
        <w:t>Author(s): Wenhua Fan, Jiamin Liu, Huansang Yang, and Baoyi ChenWe employ physics-informed neural networks (PINNs) to investigate the dynamical evolution of heavy quarks within the expanding hot QCD medium generated in relativistic heavy-ion collisions. The heavy quark dynamics are first modeled under the assumption of complete kinetic thermalization, followed b…[Phys. Rev. C 114, 014912] Published Tue Jul 21, 2026</w:t>
      </w:r>
    </w:p>
    <w:p>
      <w:pPr>
        <w:spacing w:before="120" w:after="120"/>
      </w:pPr>
      <w:r>
        <w:rPr>
          <w:sz w:val="18"/>
        </w:rPr>
        <w:t>——————————————————————————————————————————————————————————————————————</w:t>
      </w:r>
    </w:p>
    <w:p>
      <w:pPr>
        <w:spacing w:before="160" w:after="40" w:line="240" w:lineRule="auto"/>
      </w:pPr>
      <w:r>
        <w:rPr>
          <w:b/>
        </w:rPr>
        <w:t xml:space="preserve">[474] </w:t>
      </w:r>
      <w:hyperlink r:id="rId1424">
        <w:r>
          <w:rPr>
            <w:color w:val="1155CC"/>
            <w:u w:val="single"/>
          </w:rPr>
          <w:t>$^{150}\mathrm{Pm}$ 中的低层激发</w:t>
        </w:r>
      </w:hyperlink>
    </w:p>
    <w:p>
      <w:pPr>
        <w:spacing w:before="0" w:after="80"/>
      </w:pPr>
      <w:r>
        <w:rPr>
          <w:i/>
          <w:sz w:val="20"/>
        </w:rPr>
        <w:t>EN: Low-lying excitations in $^{150}\mathrm{Pm}$</w:t>
      </w:r>
    </w:p>
    <w:p>
      <w:pPr>
        <w:spacing w:before="0" w:after="120"/>
      </w:pPr>
      <w:r>
        <w:rPr>
          <w:b/>
        </w:rPr>
        <w:t xml:space="preserve">Source: </w:t>
      </w:r>
      <w:r>
        <w:t>Recent Articles in Phys. Rev. C</w:t>
      </w:r>
      <w:r>
        <w:t xml:space="preserve">    </w:t>
      </w:r>
      <w:r>
        <w:rPr>
          <w:b/>
        </w:rPr>
        <w:t xml:space="preserve">Pub date: </w:t>
      </w:r>
      <w:r>
        <w:t>2026-07-21 10:00:00+00:00</w:t>
      </w:r>
      <w:r>
        <w:t xml:space="preserve">    </w:t>
      </w:r>
      <w:r>
        <w:rPr>
          <w:b/>
        </w:rPr>
        <w:t xml:space="preserve">DOI: </w:t>
      </w:r>
      <w:hyperlink r:id="rId1425">
        <w:r>
          <w:rPr>
            <w:color w:val="1155CC"/>
            <w:u w:val="single"/>
          </w:rPr>
          <w:t>10.1103/ny87-mj11</w:t>
        </w:r>
      </w:hyperlink>
    </w:p>
    <w:p>
      <w:pPr>
        <w:spacing w:before="0" w:after="120"/>
      </w:pPr>
      <w:r>
        <w:rPr>
          <w:b/>
        </w:rPr>
        <w:t xml:space="preserve">Notes: </w:t>
      </w:r>
      <w:r>
        <w:t>abstract_source=rss_description</w:t>
      </w:r>
    </w:p>
    <w:p>
      <w:pPr>
        <w:spacing w:before="0" w:after="80" w:lineRule="auto" w:line="276"/>
      </w:pPr>
      <w:r>
        <w:rPr>
          <w:b/>
        </w:rPr>
        <w:t xml:space="preserve">摘要（ZH）: </w:t>
      </w:r>
      <w:r>
        <w:t>作者：A. Pal、S. Basak、T. Bhattacharjee、Nazira Nazir、G. H. Bhat、S. Jehangir、D. Kumar、A. Saha、S. S. Alam、D. Banerjee、A. Das、A. Adhikari、A. Gupta、S. Das、A. Bisoi、Y. Sapkota、S. Sharma、S. Samanta、S. Chatterjee、R. Raut、S. S. Ghugre 和 J. A. Sheikh 通过使用五个康普顿抑制 Clover HPGe 探测器和一个分段平面 Ge 探测器阵列在 $^{150}\mathrm{Nd}$ 上进行质子诱导反应，研究了奇奇 $^{150}\mathrm{Pm}$ 中的低层激发。观测到的 $γ$ 射线的相对激发函数是……[物理。 Rev. C 114, 014326] 于 2026 年 7 月 21 日星期二发布</w:t>
      </w:r>
    </w:p>
    <w:p>
      <w:pPr>
        <w:spacing w:before="0" w:after="200" w:lineRule="auto" w:line="276"/>
      </w:pPr>
      <w:r>
        <w:rPr>
          <w:b/>
        </w:rPr>
        <w:t xml:space="preserve">Abstract (EN): </w:t>
      </w:r>
      <w:r>
        <w:t>Author(s): A. Pal, S. Basak, T. Bhattacharjee, Nazira Nazir, G. H. Bhat, S. Jehangir, D. Kumar, A. Saha, S. S. Alam, D. Banerjee, A. Das, A. Adhikari, A. Gupta, S. Das, A. Bisoi, Y. Sapkota, S. Sharma, S. Samanta, S. Chatterjee, R. Raut, S. S. Ghugre, and J. A. SheikhThe low-lying excitations in odd-odd $^{150}\mathrm{Pm}$ have been studied through proton-induced reaction on $^{150}\mathrm{Nd}$ with an array of five Compton-suppressed Clover HPGe detectors and one segmented planar Ge detector. The relative excitation functions for the observed $γ$ rays have been…[Phys. Rev. C 114, 014326] Published Tue Jul 21, 2026</w:t>
      </w:r>
    </w:p>
    <w:p>
      <w:pPr>
        <w:spacing w:before="120" w:after="120"/>
      </w:pPr>
      <w:r>
        <w:rPr>
          <w:sz w:val="18"/>
        </w:rPr>
        <w:t>——————————————————————————————————————————————————————————————————————</w:t>
      </w:r>
    </w:p>
    <w:p>
      <w:pPr>
        <w:spacing w:before="160" w:after="40" w:line="240" w:lineRule="auto"/>
      </w:pPr>
      <w:r>
        <w:rPr>
          <w:b/>
        </w:rPr>
        <w:t xml:space="preserve">[475] </w:t>
      </w:r>
      <w:hyperlink r:id="rId1426">
        <w:r>
          <w:rPr>
            <w:color w:val="1155CC"/>
            <w:u w:val="single"/>
          </w:rPr>
          <w:t>亚势垒能量下的一核子和二核子转移反应中的配对相关性、方向和量子涨落</w:t>
        </w:r>
      </w:hyperlink>
    </w:p>
    <w:p>
      <w:pPr>
        <w:spacing w:before="0" w:after="80"/>
      </w:pPr>
      <w:r>
        <w:rPr>
          <w:i/>
          <w:sz w:val="20"/>
        </w:rPr>
        <w:t>EN: Pairing correlations, orientations, and quantum fluctuations in one- and two-nucleon transfer reactions at sub-barrier energies</w:t>
      </w:r>
    </w:p>
    <w:p>
      <w:pPr>
        <w:spacing w:before="0" w:after="120"/>
      </w:pPr>
      <w:r>
        <w:rPr>
          <w:b/>
        </w:rPr>
        <w:t xml:space="preserve">Source: </w:t>
      </w:r>
      <w:r>
        <w:t>Recent Articles in Phys. Rev. C</w:t>
      </w:r>
      <w:r>
        <w:t xml:space="preserve">    </w:t>
      </w:r>
      <w:r>
        <w:rPr>
          <w:b/>
        </w:rPr>
        <w:t xml:space="preserve">Pub date: </w:t>
      </w:r>
      <w:r>
        <w:t>2026-07-21 10:00:00+00:00</w:t>
      </w:r>
      <w:r>
        <w:t xml:space="preserve">    </w:t>
      </w:r>
      <w:r>
        <w:rPr>
          <w:b/>
        </w:rPr>
        <w:t xml:space="preserve">DOI: </w:t>
      </w:r>
      <w:hyperlink r:id="rId1427">
        <w:r>
          <w:rPr>
            <w:color w:val="1155CC"/>
            <w:u w:val="single"/>
          </w:rPr>
          <w:t>10.1103/8qlf-2qb4</w:t>
        </w:r>
      </w:hyperlink>
    </w:p>
    <w:p>
      <w:pPr>
        <w:spacing w:before="0" w:after="120"/>
      </w:pPr>
      <w:r>
        <w:rPr>
          <w:b/>
        </w:rPr>
        <w:t xml:space="preserve">Notes: </w:t>
      </w:r>
      <w:r>
        <w:t>abstract_source=rss_description</w:t>
      </w:r>
    </w:p>
    <w:p>
      <w:pPr>
        <w:spacing w:before="0" w:after="80" w:lineRule="auto" w:line="276"/>
      </w:pPr>
      <w:r>
        <w:rPr>
          <w:b/>
        </w:rPr>
        <w:t xml:space="preserve">摘要（ZH）: </w:t>
      </w:r>
      <w:r>
        <w:t>作者：D.D.Zhang、B.Li、D.Vretenar、T.Nikšić、P.W.Zhao 和 J.Meng 这项工作使用基于时间相关协变密度泛函理论 (TD-CDFT) 的微观框架，研究了亚势垒能量下 $^{96}\mathrm{Zr}+^{40}\mathrm{Ca}$ 反应中的一中子和两个中子转移。配对相关性通过时间相关的 BCS 方法合并......[Phys。 Rev. C 114, 014628] 2026 年 7 月 21 日星期二发布</w:t>
      </w:r>
    </w:p>
    <w:p>
      <w:pPr>
        <w:spacing w:before="0" w:after="200" w:lineRule="auto" w:line="276"/>
      </w:pPr>
      <w:r>
        <w:rPr>
          <w:b/>
        </w:rPr>
        <w:t xml:space="preserve">Abstract (EN): </w:t>
      </w:r>
      <w:r>
        <w:t>Author(s): D. D. Zhang, B. Li, D. Vretenar, T. Nikšić, P. W. Zhao, and J. MengThis work investigates one- and two-neutron transfer in the $^{96}\mathrm{Zr}+^{40}\mathrm{Ca}$ reaction at sub-barrier energies using a microscopic framework based on time-dependent covariant density functional theory (TD-CDFT). Pairing correlations are incorporated via the time-dependent BCS appro…[Phys. Rev. C 114, 014628] Published Tue Jul 21, 2026</w:t>
      </w:r>
    </w:p>
    <w:p>
      <w:pPr>
        <w:spacing w:before="120" w:after="120"/>
      </w:pPr>
      <w:r>
        <w:rPr>
          <w:sz w:val="18"/>
        </w:rPr>
        <w:t>——————————————————————————————————————————————————————————————————————</w:t>
      </w:r>
    </w:p>
    <w:p>
      <w:pPr>
        <w:spacing w:before="160" w:after="40" w:line="240" w:lineRule="auto"/>
      </w:pPr>
      <w:r>
        <w:rPr>
          <w:b/>
        </w:rPr>
        <w:t xml:space="preserve">[476] </w:t>
      </w:r>
      <w:hyperlink r:id="rId1428">
        <w:r>
          <w:rPr>
            <w:color w:val="1155CC"/>
            <w:u w:val="single"/>
          </w:rPr>
          <w:t>提取$^{90}\mathrm{Zr}$的核能级密度和$γ$射线强度函数</w:t>
        </w:r>
      </w:hyperlink>
    </w:p>
    <w:p>
      <w:pPr>
        <w:spacing w:before="0" w:after="80"/>
      </w:pPr>
      <w:r>
        <w:rPr>
          <w:i/>
          <w:sz w:val="20"/>
        </w:rPr>
        <w:t>EN: Extracting the nuclear level density and $γ$-ray strength function of $^{90}\mathrm{Zr}$</w:t>
      </w:r>
    </w:p>
    <w:p>
      <w:pPr>
        <w:spacing w:before="0" w:after="120"/>
      </w:pPr>
      <w:r>
        <w:rPr>
          <w:b/>
        </w:rPr>
        <w:t xml:space="preserve">Source: </w:t>
      </w:r>
      <w:r>
        <w:t>Recent Articles in Phys. Rev. C</w:t>
      </w:r>
      <w:r>
        <w:t xml:space="preserve">    </w:t>
      </w:r>
      <w:r>
        <w:rPr>
          <w:b/>
        </w:rPr>
        <w:t xml:space="preserve">Pub date: </w:t>
      </w:r>
      <w:r>
        <w:t>2026-07-21 10:00:00+00:00</w:t>
      </w:r>
      <w:r>
        <w:t xml:space="preserve">    </w:t>
      </w:r>
      <w:r>
        <w:rPr>
          <w:b/>
        </w:rPr>
        <w:t xml:space="preserve">DOI: </w:t>
      </w:r>
      <w:hyperlink r:id="rId1429">
        <w:r>
          <w:rPr>
            <w:color w:val="1155CC"/>
            <w:u w:val="single"/>
          </w:rPr>
          <w:t>10.1103/p9y9-xxjf</w:t>
        </w:r>
      </w:hyperlink>
    </w:p>
    <w:p>
      <w:pPr>
        <w:spacing w:before="0" w:after="120"/>
      </w:pPr>
      <w:r>
        <w:rPr>
          <w:b/>
        </w:rPr>
        <w:t xml:space="preserve">Notes: </w:t>
      </w:r>
      <w:r>
        <w:t>abstract_source=rss_description</w:t>
      </w:r>
    </w:p>
    <w:p>
      <w:pPr>
        <w:spacing w:before="0" w:after="80" w:lineRule="auto" w:line="276"/>
      </w:pPr>
      <w:r>
        <w:rPr>
          <w:b/>
        </w:rPr>
        <w:t xml:space="preserve">摘要（ZH）: </w:t>
      </w:r>
      <w:r>
        <w:t>作者：L. T. Bell、S. Siem、A. C. Larsen、A. Bürger、M. Markova、V. W. Ingeberg、A. Görgen、M. Guttormsen、T. Renstrøm、H. K. Toft、A. V. Voinov 和 K. Wikan 在这项工作中，我们提取了核能级密度（NLD）和 $γ$ 射线强度函数($γ\mathrm{SF}$) 对来自 $^{90}\mathrm{Zr}(p,{p}^{′}γ)^{90}\mathrm{Zr}$ 反应的粒子-$γ$重合数据使用 Oslo 方法。我们将形状方法应用于同一数据集，提供了一个 m...[Phys. Rev. C 114, 015808] 2026 年 7 月 21 日星期二发布</w:t>
      </w:r>
    </w:p>
    <w:p>
      <w:pPr>
        <w:spacing w:before="0" w:after="200" w:lineRule="auto" w:line="276"/>
      </w:pPr>
      <w:r>
        <w:rPr>
          <w:b/>
        </w:rPr>
        <w:t xml:space="preserve">Abstract (EN): </w:t>
      </w:r>
      <w:r>
        <w:t>Author(s): L. T. Bell, S. Siem, A. C. Larsen, A. Bürger, M. Markova, V. W. Ingeberg, A. Görgen, M. Guttormsen, T. Renstrøm, H. K. Toft, A. V. Voinov, and K. WikanIn this work, we have extracted the nuclear level density (NLD) and $γ$-ray strength function ($γ\mathrm{SF}$) using the Oslo method on particle-$γ$ coincidence data from the $^{90}\mathrm{Zr}(p,{p}^{′}γ)^{90}\mathrm{Zr}$ reaction. We have applied the shape method to the same data set, providing a m…[Phys. Rev. C 114, 015808] Published Tue Jul 21, 2026</w:t>
      </w:r>
    </w:p>
    <w:p>
      <w:pPr>
        <w:spacing w:before="120" w:after="120"/>
      </w:pPr>
      <w:r>
        <w:rPr>
          <w:sz w:val="18"/>
        </w:rPr>
        <w:t>——————————————————————————————————————————————————————————————————————</w:t>
      </w:r>
    </w:p>
    <w:p>
      <w:pPr>
        <w:spacing w:before="160" w:after="40" w:line="240" w:lineRule="auto"/>
      </w:pPr>
      <w:r>
        <w:rPr>
          <w:b/>
        </w:rPr>
        <w:t xml:space="preserve">[477] </w:t>
      </w:r>
      <w:hyperlink r:id="rId1430">
        <w:r>
          <w:rPr>
            <w:color w:val="1155CC"/>
            <w:u w:val="single"/>
          </w:rPr>
          <w:t>屈曲胶体单层中的弛豫和熵的缩放</w:t>
        </w:r>
      </w:hyperlink>
    </w:p>
    <w:p>
      <w:pPr>
        <w:spacing w:before="0" w:after="80"/>
      </w:pPr>
      <w:r>
        <w:rPr>
          <w:i/>
          <w:sz w:val="20"/>
        </w:rPr>
        <w:t>EN: Scaling of Relaxation and Entropy in Buckled Colloidal Monolayers</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31">
        <w:r>
          <w:rPr>
            <w:color w:val="1155CC"/>
            <w:u w:val="single"/>
          </w:rPr>
          <w:t>10.1103/jvzh-lwbh</w:t>
        </w:r>
      </w:hyperlink>
    </w:p>
    <w:p>
      <w:pPr>
        <w:spacing w:before="0" w:after="120"/>
      </w:pPr>
      <w:r>
        <w:rPr>
          <w:b/>
        </w:rPr>
        <w:t xml:space="preserve">Notes: </w:t>
      </w:r>
      <w:r>
        <w:t>abstract_source=rss_description</w:t>
      </w:r>
    </w:p>
    <w:p>
      <w:pPr>
        <w:spacing w:before="0" w:after="80" w:lineRule="auto" w:line="276"/>
      </w:pPr>
      <w:r>
        <w:rPr>
          <w:b/>
        </w:rPr>
        <w:t xml:space="preserve">摘要（ZH）: </w:t>
      </w:r>
      <w:r>
        <w:t>作者：张永明、屈庆宇、唐千元、马晓光通过直接从模拟二维伊辛晶格的胶体单层中提取自旋构型，将液体和玻璃的熵标定定律扩展到自旋系统领域，揭示了构型熵与自旋弛豫时间之间的普适指数关系。莱特牧师。 137, 048201] 2026 年 7 月 21 日星期二发布</w:t>
      </w:r>
    </w:p>
    <w:p>
      <w:pPr>
        <w:spacing w:before="0" w:after="200" w:lineRule="auto" w:line="276"/>
      </w:pPr>
      <w:r>
        <w:rPr>
          <w:b/>
        </w:rPr>
        <w:t xml:space="preserve">Abstract (EN): </w:t>
      </w:r>
      <w:r>
        <w:t>Author(s): Yongming Zhang, Qingyu Qu, Qian-Yuan Tang, and Xiaoguang MaBy extracting spin configurations directly from a colloidal monolayer mimicking a 2D Ising lattice, entropy scaling laws for liquids and glasses are extended to the domain of spin systems, revealing a universal exponential relationship between configurational entropy and spin relaxation time.[Phys. Rev. Lett. 137, 048201] Published Tue Jul 21, 2026</w:t>
      </w:r>
    </w:p>
    <w:p>
      <w:pPr>
        <w:spacing w:before="120" w:after="120"/>
      </w:pPr>
      <w:r>
        <w:rPr>
          <w:sz w:val="18"/>
        </w:rPr>
        <w:t>——————————————————————————————————————————————————————————————————————</w:t>
      </w:r>
    </w:p>
    <w:p>
      <w:pPr>
        <w:spacing w:before="160" w:after="40" w:line="240" w:lineRule="auto"/>
      </w:pPr>
      <w:r>
        <w:rPr>
          <w:b/>
        </w:rPr>
        <w:t xml:space="preserve">[478] </w:t>
      </w:r>
      <w:hyperlink r:id="rId1432">
        <w:r>
          <w:rPr>
            <w:color w:val="1155CC"/>
            <w:u w:val="single"/>
          </w:rPr>
          <w:t>共掺杂${\mathrm{Fe}}_{5}{\mathrm{GeTe}}_{2}$外延单层的高温铁磁性</w:t>
        </w:r>
      </w:hyperlink>
    </w:p>
    <w:p>
      <w:pPr>
        <w:spacing w:before="0" w:after="80"/>
      </w:pPr>
      <w:r>
        <w:rPr>
          <w:i/>
          <w:sz w:val="20"/>
        </w:rPr>
        <w:t>EN: High Temperature Ferromagnetism in Epitaxial Monolayers of Co-Doped ${\mathrm{Fe}}_{5}{\mathrm{GeTe}}_{2}$</w:t>
      </w:r>
    </w:p>
    <w:p>
      <w:pPr>
        <w:spacing w:before="0" w:after="120"/>
      </w:pPr>
      <w:r>
        <w:rPr>
          <w:b/>
        </w:rPr>
        <w:t xml:space="preserve">Source: </w:t>
      </w:r>
      <w:r>
        <w:t>Recent Articles in Phys. Rev. Lett.</w:t>
      </w:r>
      <w:r>
        <w:t xml:space="preserve">    </w:t>
      </w:r>
      <w:r>
        <w:rPr>
          <w:b/>
        </w:rPr>
        <w:t xml:space="preserve">Pub date: </w:t>
      </w:r>
      <w:r>
        <w:t>2026-07-21 10:00:00+00:00</w:t>
      </w:r>
      <w:r>
        <w:t xml:space="preserve">    </w:t>
      </w:r>
      <w:r>
        <w:rPr>
          <w:b/>
        </w:rPr>
        <w:t xml:space="preserve">DOI: </w:t>
      </w:r>
      <w:hyperlink r:id="rId1433">
        <w:r>
          <w:rPr>
            <w:color w:val="1155CC"/>
            <w:u w:val="single"/>
          </w:rPr>
          <w:t>10.1103/j5rj-f4w4</w:t>
        </w:r>
      </w:hyperlink>
    </w:p>
    <w:p>
      <w:pPr>
        <w:spacing w:before="0" w:after="120"/>
      </w:pPr>
      <w:r>
        <w:rPr>
          <w:b/>
        </w:rPr>
        <w:t xml:space="preserve">Notes: </w:t>
      </w:r>
      <w:r>
        <w:t>abstract_source=rss_description</w:t>
      </w:r>
    </w:p>
    <w:p>
      <w:pPr>
        <w:spacing w:before="0" w:after="80" w:lineRule="auto" w:line="276"/>
      </w:pPr>
      <w:r>
        <w:rPr>
          <w:b/>
        </w:rPr>
        <w:t xml:space="preserve">摘要（ZH）: </w:t>
      </w:r>
      <w:r>
        <w:t>作者： Jules Courtin、Fatima Ibrahim、Davide Benettin、Djordje Dosenovic、Roberto Sant、Pâmella Vasconcelos Borges Pinho、Vincent Polewczyk、Alain Marty、Isabelle Gomes de Moraes、Matthieu Jamet、Denis Jalabert、Fadi Choueikani、Philippe Ohresser、Nicholas B. Brookes、Hanako Okuno、Mairbek Chshiev 和 Frédéric Bonell 磁性范德华材料主要以块状或几层薄片的形式进行研究。由于生产原子薄膜的挑战，只有少数薄膜被分离为单层，通常表现出低于 150 K 的长程磁序。在这封信中，我们使用 m…[Phys.莱特牧师。 137, 046703] 2026 年 7 月 21 日星期二发布</w:t>
      </w:r>
    </w:p>
    <w:p>
      <w:pPr>
        <w:spacing w:before="0" w:after="200" w:lineRule="auto" w:line="276"/>
      </w:pPr>
      <w:r>
        <w:rPr>
          <w:b/>
        </w:rPr>
        <w:t xml:space="preserve">Abstract (EN): </w:t>
      </w:r>
      <w:r>
        <w:t>Author(s): Jules Courtin, Fatima Ibrahim, Davide Benettin, Djordje Dosenovic, Roberto Sant, Pâmella Vasconcelos Borges Pinho, Vincent Polewczyk, Alain Marty, Isabelle Gomes de Moraes, Matthieu Jamet, Denis Jalabert, Fadi Choueikani, Philippe Ohresser, Nicholas B. Brookes, Hanako Okuno, Mairbek Chshiev, and Frédéric BonellMagnetic van der Waals materials have mainly been investigated in their bulk form or as few-layer flakes. Because of the challenges in producing atomically thin films, only a few have been isolated as monolayers, which typically exhibit long-range magnetic order below 150 K. In this Letter, we use m…[Phys. Rev. Lett. 137, 046703] Published Tue Jul 21, 2026</w:t>
      </w:r>
    </w:p>
    <w:p>
      <w:pPr>
        <w:spacing w:before="120" w:after="120"/>
      </w:pPr>
      <w:r>
        <w:rPr>
          <w:sz w:val="18"/>
        </w:rPr>
        <w:t>——————————————————————————————————————————————————————————————————————</w:t>
      </w:r>
    </w:p>
    <w:p>
      <w:pPr>
        <w:spacing w:before="160" w:after="40" w:line="240" w:lineRule="auto"/>
      </w:pPr>
      <w:r>
        <w:rPr>
          <w:b/>
        </w:rPr>
        <w:t xml:space="preserve">[479] </w:t>
      </w:r>
      <w:hyperlink r:id="rId1434">
        <w:r>
          <w:rPr>
            <w:color w:val="1155CC"/>
            <w:u w:val="single"/>
          </w:rPr>
          <w:t>$\mathrm{Au}+\mathrm{Au}$ 和 $\mathrm{U}+\mathrm{U}$ 碰撞中核变形对粲素抑制的影响</w:t>
        </w:r>
      </w:hyperlink>
    </w:p>
    <w:p>
      <w:pPr>
        <w:spacing w:before="0" w:after="80"/>
      </w:pPr>
      <w:r>
        <w:rPr>
          <w:i/>
          <w:sz w:val="20"/>
        </w:rPr>
        <w:t>EN: Nuclear deformation effects on charmonium suppression in $\mathrm{Au}+\mathrm{Au}$ and $\mathrm{U}+\mathrm{U}$ collisions</w:t>
      </w:r>
    </w:p>
    <w:p>
      <w:pPr>
        <w:spacing w:before="0" w:after="120"/>
      </w:pPr>
      <w:r>
        <w:rPr>
          <w:b/>
        </w:rPr>
        <w:t xml:space="preserve">Source: </w:t>
      </w:r>
      <w:r>
        <w:t>Recent Articles in Phys. Rev. C</w:t>
      </w:r>
      <w:r>
        <w:t xml:space="preserve">    </w:t>
      </w:r>
      <w:r>
        <w:rPr>
          <w:b/>
        </w:rPr>
        <w:t xml:space="preserve">Pub date: </w:t>
      </w:r>
      <w:r>
        <w:t>2026-07-21 10:00:00+00:00</w:t>
      </w:r>
      <w:r>
        <w:t xml:space="preserve">    </w:t>
      </w:r>
      <w:r>
        <w:rPr>
          <w:b/>
        </w:rPr>
        <w:t xml:space="preserve">DOI: </w:t>
      </w:r>
      <w:hyperlink r:id="rId1435">
        <w:r>
          <w:rPr>
            <w:color w:val="1155CC"/>
            <w:u w:val="single"/>
          </w:rPr>
          <w:t>10.1103/l9wb-4cr3</w:t>
        </w:r>
      </w:hyperlink>
    </w:p>
    <w:p>
      <w:pPr>
        <w:spacing w:before="0" w:after="120"/>
      </w:pPr>
      <w:r>
        <w:rPr>
          <w:b/>
        </w:rPr>
        <w:t xml:space="preserve">Notes: </w:t>
      </w:r>
      <w:r>
        <w:t>abstract_source=rss_description</w:t>
      </w:r>
    </w:p>
    <w:p>
      <w:pPr>
        <w:spacing w:before="0" w:after="80" w:lineRule="auto" w:line="276"/>
      </w:pPr>
      <w:r>
        <w:rPr>
          <w:b/>
        </w:rPr>
        <w:t xml:space="preserve">摘要（ZH）: </w:t>
      </w:r>
      <w:r>
        <w:t>作者：刘佳敏、杨焕尚、陈保一我们研究了相对论重离子对撞机（RHIC）$\mathrm{Au}+\mathrm{Au}$ 和 $\mathrm{U}+\mathrm{U}$ 碰撞中固有核变形和取向对 chamonia 屈服抑制和动量各向异性的影响。变形核子密度通过参数化......[Phys。 Rev. C 114, 014911] 于 2026 年 7 月 21 日星期二发布</w:t>
      </w:r>
    </w:p>
    <w:p>
      <w:pPr>
        <w:spacing w:before="0" w:after="200" w:lineRule="auto" w:line="276"/>
      </w:pPr>
      <w:r>
        <w:rPr>
          <w:b/>
        </w:rPr>
        <w:t xml:space="preserve">Abstract (EN): </w:t>
      </w:r>
      <w:r>
        <w:t>Author(s): Jiamin Liu, Huanshang Yang, and Baoyi ChenWe investigate the impacts of intrinsic nuclear deformation and orientation on the yield suppression and momentum anisotropy of charmonia in $\mathrm{Au}+\mathrm{Au}$ and $\mathrm{U}+\mathrm{U}$ collisions at the Relativistic Heavy-Ion Collider (RHIC). The deformed nucleon density is parametrized vi…[Phys. Rev. C 114, 014911] Published Tue Jul 21, 2026</w:t>
      </w:r>
    </w:p>
    <w:p>
      <w:pPr>
        <w:spacing w:before="120" w:after="120"/>
      </w:pPr>
      <w:r>
        <w:rPr>
          <w:sz w:val="18"/>
        </w:rPr>
        <w:t>——————————————————————————————————————————————————————————————————————</w:t>
      </w:r>
    </w:p>
    <w:p>
      <w:pPr>
        <w:spacing w:before="160" w:after="40" w:line="240" w:lineRule="auto"/>
      </w:pPr>
      <w:r>
        <w:rPr>
          <w:b/>
        </w:rPr>
        <w:t xml:space="preserve">[480] </w:t>
      </w:r>
      <w:hyperlink r:id="rId1436">
        <w:r>
          <w:rPr>
            <w:color w:val="1155CC"/>
            <w:u w:val="single"/>
          </w:rPr>
          <w:t>用于具有可调谐发光的混合氯化铟玻璃的深共晶溶剂基质</w:t>
        </w:r>
      </w:hyperlink>
    </w:p>
    <w:p>
      <w:pPr>
        <w:spacing w:before="0" w:after="80"/>
      </w:pPr>
      <w:r>
        <w:rPr>
          <w:i/>
          <w:sz w:val="20"/>
        </w:rPr>
        <w:t>EN: Deep Eutectic Solvent Matrix for Hybrid Indium Chloride Glasses With Tunable Luminescence</w:t>
      </w:r>
    </w:p>
    <w:p>
      <w:pPr>
        <w:spacing w:before="0" w:after="120"/>
      </w:pPr>
      <w:r>
        <w:rPr>
          <w:b/>
        </w:rPr>
        <w:t xml:space="preserve">Source: </w:t>
      </w:r>
      <w:r>
        <w:t>Wiley: Angewandte Chemie International Edition: Table of Contents</w:t>
      </w:r>
      <w:r>
        <w:t xml:space="preserve">    </w:t>
      </w:r>
      <w:r>
        <w:rPr>
          <w:b/>
        </w:rPr>
        <w:t xml:space="preserve">Pub date: </w:t>
      </w:r>
      <w:r>
        <w:t>2026-07-21 11:56:51+00:00</w:t>
      </w:r>
      <w:r>
        <w:t xml:space="preserve">    </w:t>
      </w:r>
      <w:r>
        <w:rPr>
          <w:b/>
        </w:rPr>
        <w:t xml:space="preserve">DOI: </w:t>
      </w:r>
      <w:hyperlink r:id="rId1437">
        <w:r>
          <w:rPr>
            <w:color w:val="1155CC"/>
            <w:u w:val="single"/>
          </w:rPr>
          <w:t>10.1002/anie.6909891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金属卤化物（HMH）玻璃正在成为优异的光子候选材料，但其发展从根本上受到离子框架的高结晶倾向的阻碍。为了规避这种热力学障碍，我们报告了一种深度共晶溶剂（DES）介导的策略，该策略利用动态交联氢键网络来动力学抑制长程有序。利用由 3-氨基哌啶二盐酸盐和 2-羟基丙酰胺组成的 DES 结构，我们成功制造了非晶氯化铟玻璃，该玻璃保留了基本的短程结构图案，同时完全消除了晶格结晶度。这种刚性而自适应的矩阵通过增强的自旋轨道耦合促进有效的系间穿越，并最大限度地减少非辐射耗散，从而实现强大的余辉发射。此外，[SbCl</w:t>
      </w:r>
      <w:r>
        <w:rPr>
          <w:vertAlign w:val="subscript"/>
        </w:rPr>
        <w:t>6</w:t>
      </w:r>
      <w:r>
        <w:t>]</w:t>
      </w:r>
      <w:r>
        <w:t xml:space="preserve"> </w:t>
      </w:r>
      <w:r>
        <w:t>3−</w:t>
      </w:r>
      <w:r>
        <w:t>中心和有机荧光团允许通过主客体能量转移和三线态激子收获精确调节激发态动力学，产生从蓝色到红色的广谱发光。这些混合玻璃集成了瞬时荧光、自捕获激子发射和室温磷光，最大寿命为283.41 ms，光致发光量子产率为46.90%。该多功能平台展示了多层次防伪和时空信息编码的巨大潜力</w:t>
      </w:r>
    </w:p>
    <w:p>
      <w:pPr>
        <w:spacing w:before="0" w:after="200" w:lineRule="auto" w:line="276"/>
      </w:pPr>
      <w:r>
        <w:rPr>
          <w:b/>
        </w:rPr>
        <w:t xml:space="preserve">Abstract (EN): </w:t>
      </w:r>
      <w:r>
        <w:t>Hybrid metal halide (HMH) glasses are emerging as superior photonic candidates, yet their development is fundamentally hindered by the high crystallization propensity of ionic frameworks. To circumvent this thermodynamic barrier, we report a deep eutectic solvent (DES)‐mediated strategy that leverages a dynamically crosslinked hydrogen‐bonding network to kinetically suppress long‐range ordering. Utilizing a DES architecture composed of 3‐aminopiperidine dihydrochloride and 2‐hydroxypropionamide, we successfully fabricate amorphous indium chloride glasses that preserve essential short‐range structural motifs while entirely eliminating lattice crystallinity. This rigid yet adaptive matrix facilitates efficient intersystem crossing through enhanced spin‐orbit coupling and minimizes nonradiative dissipation, thereby enabling robust afterglow emission. Furthermore, the strategic incorporation of [SbCl</w:t>
      </w:r>
      <w:r>
        <w:rPr>
          <w:vertAlign w:val="subscript"/>
        </w:rPr>
        <w:t>6</w:t>
      </w:r>
      <w:r>
        <w:t>]</w:t>
      </w:r>
      <w:r>
        <w:t xml:space="preserve"> </w:t>
      </w:r>
      <w:r>
        <w:t>3−</w:t>
      </w:r>
      <w:r>
        <w:t>centers and organic fluorophores allows for precise modulation of excited‐state dynamics via host‐guest energy transfer and triplet excitons harvesting, yielding broad‐spectrum luminescence from blue to red. These hybrid glasses integrate prompt fluorescence, self‐trapped exciton emission, and room‐temperature phosphorescence, achieving a maximum lifetime of 283.41 ms and a photoluminescence quantum yield of 46.90%. This multifunctional platform demonstrates significant potential for multilevel anti‐counterfeiting and spatiotemporal information encoding. Ultimately, this work establishes DES chemistry as a versatile paradigm for customizing HMH glasses, paving the way for programmable, high‐performance photofunctional materials.</w:t>
      </w:r>
    </w:p>
    <w:p>
      <w:pPr>
        <w:spacing w:before="120" w:after="120"/>
      </w:pPr>
      <w:r>
        <w:rPr>
          <w:sz w:val="18"/>
        </w:rPr>
        <w:t>——————————————————————————————————————————————————————————————————————</w:t>
      </w:r>
    </w:p>
    <w:p>
      <w:pPr>
        <w:spacing w:before="160" w:after="40" w:line="240" w:lineRule="auto"/>
      </w:pPr>
      <w:r>
        <w:rPr>
          <w:b/>
        </w:rPr>
        <w:t xml:space="preserve">[481] </w:t>
      </w:r>
      <w:hyperlink r:id="rId1438">
        <w:r>
          <w:rPr>
            <w:color w:val="1155CC"/>
            <w:u w:val="single"/>
          </w:rPr>
          <w:t>扬-特勒效应主导左手定则：金属卤化物晶格中的磁光</w:t>
        </w:r>
      </w:hyperlink>
    </w:p>
    <w:p>
      <w:pPr>
        <w:spacing w:before="0" w:after="80"/>
      </w:pPr>
      <w:r>
        <w:rPr>
          <w:i/>
          <w:sz w:val="20"/>
        </w:rPr>
        <w:t>EN: Jahn–Teller Effect Dominates the Left‐Hand Rule: Magneto‐Optics in Metal Halide Lattice</w:t>
      </w:r>
    </w:p>
    <w:p>
      <w:pPr>
        <w:spacing w:before="0" w:after="120"/>
      </w:pPr>
      <w:r>
        <w:rPr>
          <w:b/>
        </w:rPr>
        <w:t xml:space="preserve">Source: </w:t>
      </w:r>
      <w:r>
        <w:t>Wiley: Angewandte Chemie International Edition: Table of Contents</w:t>
      </w:r>
      <w:r>
        <w:t xml:space="preserve">    </w:t>
      </w:r>
      <w:r>
        <w:rPr>
          <w:b/>
        </w:rPr>
        <w:t xml:space="preserve">Pub date: </w:t>
      </w:r>
      <w:r>
        <w:t>2026-07-21 11:58:12+00:00</w:t>
      </w:r>
      <w:r>
        <w:t xml:space="preserve">    </w:t>
      </w:r>
      <w:r>
        <w:rPr>
          <w:b/>
        </w:rPr>
        <w:t xml:space="preserve">DOI: </w:t>
      </w:r>
      <w:hyperlink r:id="rId1439">
        <w:r>
          <w:rPr>
            <w:color w:val="1155CC"/>
            <w:u w:val="single"/>
          </w:rPr>
          <w:t>10.1002/anie.1245058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结晶相分子堆积过程中的对称性决定了多种独特的特征。在杂化无机-有机金属卤化物中诱导不对称性通常依赖于引入手性 A 位阳离子或利用氢键来扭曲晶格。然而，使用立体化学模板策略实现对不对称分子的精确空间控制仍然具有挑战性。在这里，我们证明了两个高度对称的单晶，DMA</w:t>
      </w:r>
      <w:r>
        <w:rPr>
          <w:vertAlign w:val="subscript"/>
        </w:rPr>
        <w:t>4</w:t>
      </w:r>
      <w:r>
        <w:t>氯化铟</w:t>
      </w:r>
      <w:r>
        <w:rPr>
          <w:vertAlign w:val="subscript"/>
        </w:rPr>
        <w:t>7</w:t>
      </w:r>
      <w:r>
        <w:t>:锑</w:t>
      </w:r>
      <w:r>
        <w:t xml:space="preserve"> </w:t>
      </w:r>
      <w:r>
        <w:t>3+</w:t>
      </w:r>
      <w:r>
        <w:t xml:space="preserve"> </w:t>
      </w:r>
      <w:r>
        <w:t>和 DETABiCl</w:t>
      </w:r>
      <w:r>
        <w:rPr>
          <w:vertAlign w:val="subscript"/>
        </w:rPr>
        <w:t>6</w:t>
      </w:r>
      <w:r>
        <w:t>:锑</w:t>
      </w:r>
      <w:r>
        <w:t xml:space="preserve"> </w:t>
      </w:r>
      <w:r>
        <w:t>3+</w:t>
      </w:r>
      <w:r>
        <w:t xml:space="preserve"> </w:t>
      </w:r>
      <w:r>
        <w:t>，含有分离的 SbCl</w:t>
      </w:r>
      <w:r>
        <w:rPr>
          <w:vertAlign w:val="subscript"/>
        </w:rPr>
        <w:t>6</w:t>
      </w:r>
      <w:r>
        <w:t>八面体与理想化八面体 (</w:t>
      </w:r>
      <w:r>
        <w:t xml:space="preserve"> </w:t>
      </w:r>
      <w:r>
        <w:t>氧</w:t>
      </w:r>
      <w:r>
        <w:t xml:space="preserve"> </w:t>
      </w:r>
      <w:r>
        <w:t>小时</w:t>
      </w:r>
      <w:r>
        <w:t xml:space="preserve"> </w:t>
      </w:r>
      <w:r>
        <w:t>）几何，展示了静态 Jahn-Teller 效应（JTE）与强自旋轨道耦合相互作用相互作用的独特情况。这种固有的手性特性驱动对称性的自发降低</w:t>
      </w:r>
      <w:r>
        <w:t xml:space="preserve"> </w:t>
      </w:r>
      <w:r>
        <w:t>氧</w:t>
      </w:r>
      <w:r>
        <w:t xml:space="preserve"> </w:t>
      </w:r>
      <w:r>
        <w:t>小时</w:t>
      </w:r>
      <w:r>
        <w:t xml:space="preserve"> </w:t>
      </w:r>
      <w:r>
        <w:t>到</w:t>
      </w:r>
      <w:r>
        <w:t xml:space="preserve"> </w:t>
      </w:r>
      <w:r>
        <w:t>D</w:t>
      </w:r>
      <w:r>
        <w:t xml:space="preserve"> </w:t>
      </w:r>
      <w:r>
        <w:t>4小时</w:t>
      </w:r>
      <w:r>
        <w:t xml:space="preserve"> </w:t>
      </w:r>
      <w:r>
        <w:t>，伴随着激发态的结构变形。在平行或反平行于（100）方向施加的外部磁场（B从0到45 T）下，A</w:t>
      </w:r>
      <w:r>
        <w:t xml:space="preserve"> </w:t>
      </w:r>
      <w:r>
        <w:t>2u</w:t>
      </w:r>
      <w:r>
        <w:t xml:space="preserve"> </w:t>
      </w:r>
      <w:r>
        <w:t>在放松过程中优先填充上部位置的水平，从而产生显性的 le</w:t>
      </w:r>
    </w:p>
    <w:p>
      <w:pPr>
        <w:spacing w:before="0" w:after="200" w:lineRule="auto" w:line="276"/>
      </w:pPr>
      <w:r>
        <w:rPr>
          <w:b/>
        </w:rPr>
        <w:t xml:space="preserve">Abstract (EN): </w:t>
      </w:r>
      <w:r>
        <w:t>Symmetry operation during molecular packing in the crystalline phase determines diverse unique features. Inducing asymmetry in hybrid inorganic–organic metal‐halide typically relies on importing chiral A‐site cations or exploiting hydrogen bonding to distort the lattice. However, achieving precise spatial control over asymmetrical molecules using stereo‐chemical templating strategy remains challenging. Here, we demonstrate that two highly symmetric single crystals, DMA</w:t>
      </w:r>
      <w:r>
        <w:rPr>
          <w:vertAlign w:val="subscript"/>
        </w:rPr>
        <w:t>4</w:t>
      </w:r>
      <w:r>
        <w:t>InCl</w:t>
      </w:r>
      <w:r>
        <w:rPr>
          <w:vertAlign w:val="subscript"/>
        </w:rPr>
        <w:t>7</w:t>
      </w:r>
      <w:r>
        <w:t>:Sb</w:t>
      </w:r>
      <w:r>
        <w:t xml:space="preserve"> </w:t>
      </w:r>
      <w:r>
        <w:t>3+</w:t>
      </w:r>
      <w:r>
        <w:t xml:space="preserve"> </w:t>
      </w:r>
      <w:r>
        <w:t>and DETABiCl</w:t>
      </w:r>
      <w:r>
        <w:rPr>
          <w:vertAlign w:val="subscript"/>
        </w:rPr>
        <w:t>6</w:t>
      </w:r>
      <w:r>
        <w:t>:Sb</w:t>
      </w:r>
      <w:r>
        <w:t xml:space="preserve"> </w:t>
      </w:r>
      <w:r>
        <w:t>3+</w:t>
      </w:r>
      <w:r>
        <w:t xml:space="preserve"> </w:t>
      </w:r>
      <w:r>
        <w:t>, containing isolated SbCl</w:t>
      </w:r>
      <w:r>
        <w:rPr>
          <w:vertAlign w:val="subscript"/>
        </w:rPr>
        <w:t>6</w:t>
      </w:r>
      <w:r>
        <w:t>octahedra with idealized octahedral (</w:t>
      </w:r>
      <w:r>
        <w:t xml:space="preserve"> </w:t>
      </w:r>
      <w:r>
        <w:t>O</w:t>
      </w:r>
      <w:r>
        <w:t xml:space="preserve"> </w:t>
      </w:r>
      <w:r>
        <w:t>h</w:t>
      </w:r>
      <w:r>
        <w:t xml:space="preserve"> </w:t>
      </w:r>
      <w:r>
        <w:t>) geometry, exhibit a unique case of a static Jahn–Teller effect (JTE) with the interplay of strong spin‐orbit coupling interaction. This inherently handed property drives the spontaneous lowering of symmetry from</w:t>
      </w:r>
      <w:r>
        <w:t xml:space="preserve"> </w:t>
      </w:r>
      <w:r>
        <w:t>O</w:t>
      </w:r>
      <w:r>
        <w:t xml:space="preserve"> </w:t>
      </w:r>
      <w:r>
        <w:t>h</w:t>
      </w:r>
      <w:r>
        <w:t xml:space="preserve"> </w:t>
      </w:r>
      <w:r>
        <w:t>to</w:t>
      </w:r>
      <w:r>
        <w:t xml:space="preserve"> </w:t>
      </w:r>
      <w:r>
        <w:t>D</w:t>
      </w:r>
      <w:r>
        <w:t xml:space="preserve"> </w:t>
      </w:r>
      <w:r>
        <w:t>4h</w:t>
      </w:r>
      <w:r>
        <w:t xml:space="preserve"> </w:t>
      </w:r>
      <w:r>
        <w:t>, accompanied by structural deformation in the excited states. Under an external magnetic field (B from 0 to 45 T) applied parallel or anti‐parallel to the (100) direction, the A</w:t>
      </w:r>
      <w:r>
        <w:t xml:space="preserve"> </w:t>
      </w:r>
      <w:r>
        <w:t>2u</w:t>
      </w:r>
      <w:r>
        <w:t xml:space="preserve"> </w:t>
      </w:r>
      <w:r>
        <w:t>level in the upper position is preferentially populated during relaxation, resulting in a dominant left‐circularly polarized (σ–) emission. Rather than forming an intrinsically asymmetric lattice at equilibrium, chiral preference emerges from a Jahn–Teller‐amplified transient‐state process, yielding a highly effective g</w:t>
      </w:r>
      <w:r>
        <w:t xml:space="preserve"> </w:t>
      </w:r>
      <w:r>
        <w:t>m</w:t>
      </w:r>
      <w:r>
        <w:t xml:space="preserve"> </w:t>
      </w:r>
      <w:r>
        <w:t>value of up to 8.9×10</w:t>
      </w:r>
      <w:r>
        <w:t xml:space="preserve"> </w:t>
      </w:r>
      <w:r>
        <w:t>−2</w:t>
      </w:r>
      <w:r>
        <w:t xml:space="preserve"> </w:t>
      </w:r>
      <w:r>
        <w:t>. This mechanism will be broadly applicable to</w:t>
      </w:r>
      <w:r>
        <w:t xml:space="preserve"> </w:t>
      </w:r>
      <w:r>
        <w:t>d</w:t>
      </w:r>
      <w:r>
        <w:t xml:space="preserve"> </w:t>
      </w:r>
      <w:r>
        <w:t>‐ and</w:t>
      </w:r>
      <w:r>
        <w:t xml:space="preserve"> </w:t>
      </w:r>
      <w:r>
        <w:t>p</w:t>
      </w:r>
      <w:r>
        <w:t xml:space="preserve"> </w:t>
      </w:r>
      <w:r>
        <w:t>‐block metal‐activated hybrid metal halides across various dimensionalities.</w:t>
      </w:r>
    </w:p>
    <w:p>
      <w:pPr>
        <w:spacing w:before="120" w:after="120"/>
      </w:pPr>
      <w:r>
        <w:rPr>
          <w:sz w:val="18"/>
        </w:rPr>
        <w:t>——————————————————————————————————————————————————————————————————————</w:t>
      </w:r>
    </w:p>
    <w:p>
      <w:pPr>
        <w:spacing w:before="160" w:after="40" w:line="240" w:lineRule="auto"/>
      </w:pPr>
      <w:r>
        <w:rPr>
          <w:b/>
        </w:rPr>
        <w:t xml:space="preserve">[482] </w:t>
      </w:r>
      <w:hyperlink r:id="rId1440">
        <w:r>
          <w:rPr>
            <w:color w:val="1155CC"/>
            <w:u w:val="single"/>
          </w:rPr>
          <w:t>负化学压力诱导 (Ca1–xSrx)3CrN3 电子化物的形成</w:t>
        </w:r>
      </w:hyperlink>
    </w:p>
    <w:p>
      <w:pPr>
        <w:spacing w:before="0" w:after="80"/>
      </w:pPr>
      <w:r>
        <w:rPr>
          <w:i/>
          <w:sz w:val="20"/>
        </w:rPr>
        <w:t>EN: Electride Formation of (Ca1–xSrx)3CrN3 Induced by Negative Chemical Pressure</w:t>
      </w:r>
    </w:p>
    <w:p>
      <w:pPr>
        <w:spacing w:before="0" w:after="120"/>
      </w:pPr>
      <w:r>
        <w:rPr>
          <w:b/>
        </w:rPr>
        <w:t xml:space="preserve">Source: </w:t>
      </w:r>
      <w:r>
        <w:t>Wiley: Angewandte Chemie International Edition: Table of Contents</w:t>
      </w:r>
      <w:r>
        <w:t xml:space="preserve">    </w:t>
      </w:r>
      <w:r>
        <w:rPr>
          <w:b/>
        </w:rPr>
        <w:t xml:space="preserve">Pub date: </w:t>
      </w:r>
      <w:r>
        <w:t>2026-07-21 11:59:34+00:00</w:t>
      </w:r>
      <w:r>
        <w:t xml:space="preserve">    </w:t>
      </w:r>
      <w:r>
        <w:rPr>
          <w:b/>
        </w:rPr>
        <w:t xml:space="preserve">DOI: </w:t>
      </w:r>
      <w:hyperlink r:id="rId1441">
        <w:r>
          <w:rPr>
            <w:color w:val="1155CC"/>
            <w:u w:val="single"/>
          </w:rPr>
          <w:t>10.1002/anie.9233187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电子化合物是电子占据间隙位置并充当阴离子的材料。稳定电子化合物的传统策略依赖于阴离子去除或施加高压。在这里，我们在（Ca</w:t>
      </w:r>
      <w:r>
        <w:t xml:space="preserve"> </w:t>
      </w:r>
      <w:r>
        <w:t>1–</w:t>
      </w:r>
      <w:r>
        <w:t xml:space="preserve"> </w:t>
      </w:r>
      <w:r>
        <w:t>x</w:t>
      </w:r>
      <w:r>
        <w:t xml:space="preserve"> </w:t>
      </w:r>
      <w:r>
        <w:t>锶</w:t>
      </w:r>
      <w:r>
        <w:t xml:space="preserve"> </w:t>
      </w:r>
      <w:r>
        <w:t>x</w:t>
      </w:r>
      <w:r>
        <w:t xml:space="preserve"> </w:t>
      </w:r>
      <w:r>
        <w:t>）</w:t>
      </w:r>
      <w:r>
        <w:rPr>
          <w:vertAlign w:val="subscript"/>
        </w:rPr>
        <w:t>3</w:t>
      </w:r>
      <w:r>
        <w:t>铬氮</w:t>
      </w:r>
      <w:r>
        <w:rPr>
          <w:vertAlign w:val="subscript"/>
        </w:rPr>
        <w:t>3</w:t>
      </w:r>
      <w:r>
        <w:t>，负化学压力诱导电子化合物形成以及晶体框架的重建。结构分析表明，过度键合的 Cr 发生氧化，释放电子，同时驱动框架内的氮重新分布，从而将 Ca 亚晶格重建为承载间隙电子的一维 (1D) 八面体链。高压实验和第一原理计算进一步证明，外部压力会使电子相不稳定，而负化学压力则使其稳定。此外，（钙</w:t>
      </w:r>
      <w:r>
        <w:t xml:space="preserve"> </w:t>
      </w:r>
      <w:r>
        <w:t>0.35</w:t>
      </w:r>
      <w:r>
        <w:t xml:space="preserve"> </w:t>
      </w:r>
      <w:r>
        <w:t>锶</w:t>
      </w:r>
      <w:r>
        <w:t xml:space="preserve"> </w:t>
      </w:r>
      <w:r>
        <w:t>0.65</w:t>
      </w:r>
      <w:r>
        <w:t xml:space="preserve"> </w:t>
      </w:r>
      <w:r>
        <w:t>）</w:t>
      </w:r>
      <w:r>
        <w:rPr>
          <w:vertAlign w:val="subscript"/>
        </w:rPr>
        <w:t>3</w:t>
      </w:r>
      <w:r>
        <w:t>铬氮</w:t>
      </w:r>
      <w:r>
        <w:rPr>
          <w:vertAlign w:val="subscript"/>
        </w:rPr>
        <w:t>3</w:t>
      </w:r>
      <w:r>
        <w:t>表现出类似金属的导电性，为一维电子化合物中阴离子电子的流动提供了第一个证据。增强的行程归因于较短的间隙电子分离以及由此导致的电子带带宽的增加。这些</w:t>
      </w:r>
    </w:p>
    <w:p>
      <w:pPr>
        <w:spacing w:before="0" w:after="200" w:lineRule="auto" w:line="276"/>
      </w:pPr>
      <w:r>
        <w:rPr>
          <w:b/>
        </w:rPr>
        <w:t xml:space="preserve">Abstract (EN): </w:t>
      </w:r>
      <w:r>
        <w:t>Electrides are materials in which electrons occupy interstitial sites and act as anions. Conventional strategies for stabilizing electrides have relied on either anion removal or the application of high pressure. Here, we show that in (Ca</w:t>
      </w:r>
      <w:r>
        <w:t xml:space="preserve"> </w:t>
      </w:r>
      <w:r>
        <w:t>1–</w:t>
      </w:r>
      <w:r>
        <w:t xml:space="preserve"> </w:t>
      </w:r>
      <w:r>
        <w:t>x</w:t>
      </w:r>
      <w:r>
        <w:t xml:space="preserve"> </w:t>
      </w:r>
      <w:r>
        <w:t>Sr</w:t>
      </w:r>
      <w:r>
        <w:t xml:space="preserve"> </w:t>
      </w:r>
      <w:r>
        <w:t>x</w:t>
      </w:r>
      <w:r>
        <w:t xml:space="preserve"> </w:t>
      </w:r>
      <w:r>
        <w:t>)</w:t>
      </w:r>
      <w:r>
        <w:rPr>
          <w:vertAlign w:val="subscript"/>
        </w:rPr>
        <w:t>3</w:t>
      </w:r>
      <w:r>
        <w:t>CrN</w:t>
      </w:r>
      <w:r>
        <w:rPr>
          <w:vertAlign w:val="subscript"/>
        </w:rPr>
        <w:t>3</w:t>
      </w:r>
      <w:r>
        <w:t>, negative chemical pressure induces electride formation together with a reconstruction of the crystal framework. Structural analyses reveal that overbonded Cr undergoes oxidation, releasing electrons while driving a redistribution of nitrogen within the framework, which reconstructs the Ca sublattice into one‐dimensional (1D) octahedral chains that host interstitial electrons. High‐pressure experiments and first‐principles calculations further demonstrate that external pressure destabilizes the electride phase, whereas negative chemical pressure stabilizes it. Moreover, (Ca</w:t>
      </w:r>
      <w:r>
        <w:t xml:space="preserve"> </w:t>
      </w:r>
      <w:r>
        <w:t>0.35</w:t>
      </w:r>
      <w:r>
        <w:t xml:space="preserve"> </w:t>
      </w:r>
      <w:r>
        <w:t>Sr</w:t>
      </w:r>
      <w:r>
        <w:t xml:space="preserve"> </w:t>
      </w:r>
      <w:r>
        <w:t>0.65</w:t>
      </w:r>
      <w:r>
        <w:t xml:space="preserve"> </w:t>
      </w:r>
      <w:r>
        <w:t>)</w:t>
      </w:r>
      <w:r>
        <w:rPr>
          <w:vertAlign w:val="subscript"/>
        </w:rPr>
        <w:t>3</w:t>
      </w:r>
      <w:r>
        <w:t>CrN</w:t>
      </w:r>
      <w:r>
        <w:rPr>
          <w:vertAlign w:val="subscript"/>
        </w:rPr>
        <w:t>3</w:t>
      </w:r>
      <w:r>
        <w:t>exhibits metallic‐like conduction, providing the first evidence for itinerant anionic electrons in a 1D electride. The enhanced itinerancy is attributed to the short interstitial‐electron separation and the resulting increase in electride‐band bandwidth. These findings establish negative chemical pressure as a new design principle for electrides and identify interstitial‐electron separation as a key parameter governing electron itinerancy in low‐dimensional electrides.</w:t>
      </w:r>
    </w:p>
    <w:p>
      <w:pPr>
        <w:spacing w:before="120" w:after="120"/>
      </w:pPr>
      <w:r>
        <w:rPr>
          <w:sz w:val="18"/>
        </w:rPr>
        <w:t>——————————————————————————————————————————————————————————————————————</w:t>
      </w:r>
    </w:p>
    <w:p>
      <w:pPr>
        <w:spacing w:before="160" w:after="40" w:line="240" w:lineRule="auto"/>
      </w:pPr>
      <w:r>
        <w:rPr>
          <w:b/>
        </w:rPr>
        <w:t xml:space="preserve">[483] </w:t>
      </w:r>
      <w:hyperlink r:id="rId1442">
        <w:r>
          <w:rPr>
            <w:color w:val="1155CC"/>
            <w:u w:val="single"/>
          </w:rPr>
          <w:t>吲哚并咔唑嵌入式多重共振发射器中的分子取向定向异构化可实现高性能纯绿色电致发光</w:t>
        </w:r>
      </w:hyperlink>
    </w:p>
    <w:p>
      <w:pPr>
        <w:spacing w:before="0" w:after="80"/>
      </w:pPr>
      <w:r>
        <w:rPr>
          <w:i/>
          <w:sz w:val="20"/>
        </w:rPr>
        <w:t>EN: Molecular Orientation‐Directed Isomerization in Indolocarbazole‐Embedded Multiple Resonance Emitter Enables High‐Performance Pure‐Green Electroluminescence</w:t>
      </w:r>
    </w:p>
    <w:p>
      <w:pPr>
        <w:spacing w:before="0" w:after="120"/>
      </w:pPr>
      <w:r>
        <w:rPr>
          <w:b/>
        </w:rPr>
        <w:t xml:space="preserve">Source: </w:t>
      </w:r>
      <w:r>
        <w:t>Wiley: Angewandte Chemie International Edition: Table of Contents</w:t>
      </w:r>
      <w:r>
        <w:t xml:space="preserve">    </w:t>
      </w:r>
      <w:r>
        <w:rPr>
          <w:b/>
        </w:rPr>
        <w:t xml:space="preserve">Pub date: </w:t>
      </w:r>
      <w:r>
        <w:t>2026-07-21 12:01:41+00:00</w:t>
      </w:r>
      <w:r>
        <w:t xml:space="preserve">    </w:t>
      </w:r>
      <w:r>
        <w:rPr>
          <w:b/>
        </w:rPr>
        <w:t xml:space="preserve">DOI: </w:t>
      </w:r>
      <w:hyperlink r:id="rId1443">
        <w:r>
          <w:rPr>
            <w:color w:val="1155CC"/>
            <w:u w:val="single"/>
          </w:rPr>
          <w:t>10.1002/anie.6746848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重共振热激活延迟荧光（MR-TADF）发射器被认为是高清显示器的理想候选者；然而，同时获得高效、窄带、纯绿色排放仍然是一个重大挑战。在这里，我们提出了一种针对吲哚并咔唑（ICz）结构单元的定向异构化策略，以构建先前未探索的顺式定向异构化策略。</w:t>
      </w:r>
      <w:r>
        <w:t xml:space="preserve"> </w:t>
      </w:r>
      <w:r>
        <w:t>帕拉</w:t>
      </w:r>
      <w:r>
        <w:t xml:space="preserve"> </w:t>
      </w:r>
      <w:r>
        <w:t>‐N–π–N 双硼结构。这种设计巧妙地平衡了强分子内电荷转移（ICT）</w:t>
      </w:r>
      <w:r>
        <w:t xml:space="preserve"> </w:t>
      </w:r>
      <w:r>
        <w:t>帕拉</w:t>
      </w:r>
      <w:r>
        <w:t xml:space="preserve"> </w:t>
      </w:r>
      <w:r>
        <w:t>刚性 ICz 框架内的 ‐N-π-N 拓扑和短程电荷转移 (SRCT)，实现了所需的窄带发射。概念验证发射器 DBN-</w:t>
      </w:r>
      <w:r>
        <w:t>CP</w:t>
      </w:r>
      <w:r>
        <w:t xml:space="preserve"> </w:t>
      </w:r>
      <w:r>
        <w:t>ICz 在甲苯中显示纯绿色光致发光（</w:t>
      </w:r>
      <w:r>
        <w:t xml:space="preserve"> </w:t>
      </w:r>
      <w:r>
        <w:t>λ</w:t>
      </w:r>
      <w:r>
        <w:t xml:space="preserve"> </w:t>
      </w:r>
      <w:r>
        <w:t>PL</w:t>
      </w:r>
      <w:r>
        <w:t xml:space="preserve"> </w:t>
      </w:r>
      <w:r>
        <w:t>= 520 nm，半峰全宽 (FWHM) = 20 nm，国际照明委员会 (CIE) 坐标 = (0.17, 0.74))。采用 DBN- 的有机发光二极管</w:t>
      </w:r>
      <w:r>
        <w:t xml:space="preserve"> </w:t>
      </w:r>
      <w:r>
        <w:t>CP</w:t>
      </w:r>
      <w:r>
        <w:t xml:space="preserve"> </w:t>
      </w:r>
      <w:r>
        <w:t>ICz 可在 522 nm 处发出纯绿色电致发光，半高宽为 24 nm，CIE 坐标为 (0.20, 0.73)，超过 NTSC 绿色要求并接近 BT.2020 标准，最大外量子效率为 36.4%。 ICz 的 N-π-N 电子拓扑与其明确的激发态特性之间的内在关系是</w:t>
      </w:r>
    </w:p>
    <w:p>
      <w:pPr>
        <w:spacing w:before="0" w:after="200" w:lineRule="auto" w:line="276"/>
      </w:pPr>
      <w:r>
        <w:rPr>
          <w:b/>
        </w:rPr>
        <w:t xml:space="preserve">Abstract (EN): </w:t>
      </w:r>
      <w:r>
        <w:t>Multiple resonance thermally activated delayed fluorescence (MR‐TADF) emitters are considered ideal candidates for high‐definition displays; however, simultaneously accessing high‐efficiency, narrowband, pure‐green emission remains a significant challenge. Here, we propose an orientation‐directed isomerization strategy on the indolocarbazole (ICz) building block to construct a previously unexplored syn‐oriented</w:t>
      </w:r>
      <w:r>
        <w:t xml:space="preserve"> </w:t>
      </w:r>
      <w:r>
        <w:t>para</w:t>
      </w:r>
      <w:r>
        <w:t xml:space="preserve"> </w:t>
      </w:r>
      <w:r>
        <w:t>‐N–π–N dual‐boron‐containing architecture. This design delicately balances the strong intramolecular charge transfer (ICT) arising from</w:t>
      </w:r>
      <w:r>
        <w:t xml:space="preserve"> </w:t>
      </w:r>
      <w:r>
        <w:t>para</w:t>
      </w:r>
      <w:r>
        <w:t xml:space="preserve"> </w:t>
      </w:r>
      <w:r>
        <w:t>‐N–π–N topology and short‐range charge transfer (SRCT) within a rigid ICz framework, achieving the desired narrowband emission. The proof‐of‐concept emitter DBN‐</w:t>
      </w:r>
      <w:r>
        <w:t xml:space="preserve"> </w:t>
      </w:r>
      <w:r>
        <w:t>cp</w:t>
      </w:r>
      <w:r>
        <w:t xml:space="preserve"> </w:t>
      </w:r>
      <w:r>
        <w:t>ICz shows pure‐green photoluminescence in toluene (</w:t>
      </w:r>
      <w:r>
        <w:t xml:space="preserve"> </w:t>
      </w:r>
      <w:r>
        <w:t>λ</w:t>
      </w:r>
      <w:r>
        <w:t xml:space="preserve"> </w:t>
      </w:r>
      <w:r>
        <w:t>PL</w:t>
      </w:r>
      <w:r>
        <w:t xml:space="preserve"> </w:t>
      </w:r>
      <w:r>
        <w:t>= 520 nm, full‐width at half‐maximum (FWHM) = 20 nm, and Commission Internationale de l'Éclairage (CIE) coordinates = (0.17, 0.74)). An organic light‐emitting diode using DBN‐</w:t>
      </w:r>
      <w:r>
        <w:t xml:space="preserve"> </w:t>
      </w:r>
      <w:r>
        <w:t>cp</w:t>
      </w:r>
      <w:r>
        <w:t xml:space="preserve"> </w:t>
      </w:r>
      <w:r>
        <w:t>ICz delivers pure‐green electroluminescence at 522 nm, with an FWHM of 24 nm and CIE coordinates of (0.20, 0.73), exceeding the NTSC green requirement and approaching the BT.2020 standard, together with a maximum external quantum efficiency of 36.4%. The intrinsic relationship between the N–π–N electronic topology of ICz and its well‐defined excited‐state characteristics enables robust green spectral anchoring, thereby providing a solid molecular engineering principle for the development of efficient, narrowband, pure‐green MR‐TADF emitters.</w:t>
      </w:r>
    </w:p>
    <w:p>
      <w:pPr>
        <w:spacing w:before="120" w:after="120"/>
      </w:pPr>
      <w:r>
        <w:rPr>
          <w:sz w:val="18"/>
        </w:rPr>
        <w:t>——————————————————————————————————————————————————————————————————————</w:t>
      </w:r>
    </w:p>
    <w:p>
      <w:pPr>
        <w:spacing w:before="160" w:after="40" w:line="240" w:lineRule="auto"/>
      </w:pPr>
      <w:r>
        <w:rPr>
          <w:b/>
        </w:rPr>
        <w:t xml:space="preserve">[484] </w:t>
      </w:r>
      <w:hyperlink r:id="rId1444">
        <w:r>
          <w:rPr>
            <w:color w:val="1155CC"/>
            <w:u w:val="single"/>
          </w:rPr>
          <w:t>通过 4f 轨道参与将甲苯选择性氧化为苯甲醛</w:t>
        </w:r>
      </w:hyperlink>
    </w:p>
    <w:p>
      <w:pPr>
        <w:spacing w:before="0" w:after="80"/>
      </w:pPr>
      <w:r>
        <w:rPr>
          <w:i/>
          <w:sz w:val="20"/>
        </w:rPr>
        <w:t>EN: Selective Oxidation From Toluene to Benzaldehyde via 4f‐Orbital Involvement</w:t>
      </w:r>
    </w:p>
    <w:p>
      <w:pPr>
        <w:spacing w:before="0" w:after="120"/>
      </w:pPr>
      <w:r>
        <w:rPr>
          <w:b/>
        </w:rPr>
        <w:t xml:space="preserve">Source: </w:t>
      </w:r>
      <w:r>
        <w:t>Wiley: Angewandte Chemie International Edition: Table of Contents</w:t>
      </w:r>
      <w:r>
        <w:t xml:space="preserve">    </w:t>
      </w:r>
      <w:r>
        <w:rPr>
          <w:b/>
        </w:rPr>
        <w:t xml:space="preserve">Pub date: </w:t>
      </w:r>
      <w:r>
        <w:t>2026-07-21 12:02:24+00:00</w:t>
      </w:r>
      <w:r>
        <w:t xml:space="preserve">    </w:t>
      </w:r>
      <w:r>
        <w:rPr>
          <w:b/>
        </w:rPr>
        <w:t xml:space="preserve">DOI: </w:t>
      </w:r>
      <w:hyperlink r:id="rId1445">
        <w:r>
          <w:rPr>
            <w:color w:val="1155CC"/>
            <w:u w:val="single"/>
          </w:rPr>
          <w:t>10.1002/anie.8909985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从甲苯到苯甲醛的苄基C─H键的选择性氧化一直是一个巨大的挑战。在这项研究中，Sm</w:t>
      </w:r>
      <w:r>
        <w:t xml:space="preserve"> </w:t>
      </w:r>
      <w:r>
        <w:t>3+</w:t>
      </w:r>
      <w:r>
        <w:t xml:space="preserve"> </w:t>
      </w:r>
      <w:r>
        <w:t>掺杂铋</w:t>
      </w:r>
      <w:r>
        <w:rPr>
          <w:vertAlign w:val="subscript"/>
        </w:rPr>
        <w:t>2</w:t>
      </w:r>
      <w:r>
        <w:t>沃</w:t>
      </w:r>
      <w:r>
        <w:rPr>
          <w:vertAlign w:val="subscript"/>
        </w:rPr>
        <w:t>6</w:t>
      </w:r>
      <w:r>
        <w:t>(Sm-BWO)纳米片通过原位晶格取代构建，建立具有界面协同作用的空间耦合双活性位点，使甲苯转化率高达8550</w:t>
      </w:r>
      <w:r>
        <w:t xml:space="preserve"> </w:t>
      </w:r>
      <w:r>
        <w:t>微米</w:t>
      </w:r>
      <w:r>
        <w:t xml:space="preserve"> </w:t>
      </w:r>
      <w:r>
        <w:t>ol·g</w:t>
      </w:r>
      <w:r>
        <w:t xml:space="preserve"> </w:t>
      </w:r>
      <w:r>
        <w:t>−1</w:t>
      </w:r>
      <w:r>
        <w:t xml:space="preserve"> </w:t>
      </w:r>
      <w:r>
        <w:t>·小时</w:t>
      </w:r>
      <w:r>
        <w:t xml:space="preserve"> </w:t>
      </w:r>
      <w:r>
        <w:t>−1</w:t>
      </w:r>
      <w:r>
        <w:t xml:space="preserve"> </w:t>
      </w:r>
      <w:r>
        <w:t>对苯甲醛具有高选择性 (&gt;86%)。机理研究表明，Sm 掺杂会引起氧空位（O</w:t>
      </w:r>
      <w:r>
        <w:t xml:space="preserve"> </w:t>
      </w:r>
      <w:r>
        <w:t>V</w:t>
      </w:r>
      <w:r>
        <w:t xml:space="preserve"> </w:t>
      </w:r>
      <w:r>
        <w:t>s) 和 Bi─O 阻碍路易斯对 (FLP) 进行苄基 C─H 脱氢。 4号</w:t>
      </w:r>
      <w:r>
        <w:t xml:space="preserve"> </w:t>
      </w:r>
      <w:r>
        <w:t>f</w:t>
      </w:r>
      <w:r>
        <w:t xml:space="preserve"> </w:t>
      </w:r>
      <w:r>
        <w:t>局域 Sm 的轨道使电子能够注入</w:t>
      </w:r>
      <w:r>
        <w:t xml:space="preserve"> </w:t>
      </w:r>
      <w:r>
        <w:t>π*</w:t>
      </w:r>
      <w:r>
        <w:t xml:space="preserve"> </w:t>
      </w:r>
      <w:r>
        <w:t>O 的反键轨道</w:t>
      </w:r>
      <w:r>
        <w:rPr>
          <w:vertAlign w:val="subscript"/>
        </w:rPr>
        <w:t>2</w:t>
      </w:r>
      <w:r>
        <w:t>。 4之间的轨道耦合</w:t>
      </w:r>
      <w:r>
        <w:t xml:space="preserve"> </w:t>
      </w:r>
      <w:r>
        <w:t>f</w:t>
      </w:r>
      <w:r>
        <w:t xml:space="preserve"> </w:t>
      </w:r>
      <w:r>
        <w:t>Sm 和 2</w:t>
      </w:r>
      <w:r>
        <w:t xml:space="preserve"> </w:t>
      </w:r>
      <w:r>
        <w:t>p</w:t>
      </w:r>
      <w:r>
        <w:t xml:space="preserve"> </w:t>
      </w:r>
      <w:r>
        <w:t>O 形成了穿过界面的定向氧物质转移通道，传递活性氧物质以将苄基中间体直接氧化为苯甲醛。的</w:t>
      </w:r>
      <w:r>
        <w:t xml:space="preserve"> </w:t>
      </w:r>
      <w:r>
        <w:t>f</w:t>
      </w:r>
      <w:r>
        <w:t xml:space="preserve"> </w:t>
      </w:r>
      <w:r>
        <w:t>‐轨道催化被证明是一种协调 O 的通用策略</w:t>
      </w:r>
      <w:r>
        <w:rPr>
          <w:vertAlign w:val="subscript"/>
        </w:rPr>
        <w:t>2</w:t>
      </w:r>
      <w:r>
        <w:t>C─H的激活</w:t>
      </w:r>
    </w:p>
    <w:p>
      <w:pPr>
        <w:spacing w:before="0" w:after="200" w:lineRule="auto" w:line="276"/>
      </w:pPr>
      <w:r>
        <w:rPr>
          <w:b/>
        </w:rPr>
        <w:t xml:space="preserve">Abstract (EN): </w:t>
      </w:r>
      <w:r>
        <w:t>Selective oxidation has been greatly challenging for the benzylic C─H bond from toluene to benzaldehyde. In this study, Sm</w:t>
      </w:r>
      <w:r>
        <w:t xml:space="preserve"> </w:t>
      </w:r>
      <w:r>
        <w:t>3+</w:t>
      </w:r>
      <w:r>
        <w:t xml:space="preserve"> </w:t>
      </w:r>
      <w:r>
        <w:t>doped Bi</w:t>
      </w:r>
      <w:r>
        <w:rPr>
          <w:vertAlign w:val="subscript"/>
        </w:rPr>
        <w:t>2</w:t>
      </w:r>
      <w:r>
        <w:t>WO</w:t>
      </w:r>
      <w:r>
        <w:rPr>
          <w:vertAlign w:val="subscript"/>
        </w:rPr>
        <w:t>6</w:t>
      </w:r>
      <w:r>
        <w:t>(Sm‐BWO) nanosheets are constructed through in situ lattice substitution to establish spatially coupled dual‐active sites with interfacial synergy, enabling a high toluene conversion rate of 8550</w:t>
      </w:r>
      <w:r>
        <w:t xml:space="preserve"> </w:t>
      </w:r>
      <w:r>
        <w:t>µm</w:t>
      </w:r>
      <w:r>
        <w:t xml:space="preserve"> </w:t>
      </w:r>
      <w:r>
        <w:t>ol·g</w:t>
      </w:r>
      <w:r>
        <w:t xml:space="preserve"> </w:t>
      </w:r>
      <w:r>
        <w:t>−1</w:t>
      </w:r>
      <w:r>
        <w:t xml:space="preserve"> </w:t>
      </w:r>
      <w:r>
        <w:t>·h</w:t>
      </w:r>
      <w:r>
        <w:t xml:space="preserve"> </w:t>
      </w:r>
      <w:r>
        <w:t>−1</w:t>
      </w:r>
      <w:r>
        <w:t xml:space="preserve"> </w:t>
      </w:r>
      <w:r>
        <w:t>with high selectivity toward benzaldehyde (&amp;gt;86%). Mechanistic investigations reveal that Sm‐doping induces oxygen vacancies (O</w:t>
      </w:r>
      <w:r>
        <w:t xml:space="preserve"> </w:t>
      </w:r>
      <w:r>
        <w:t>V</w:t>
      </w:r>
      <w:r>
        <w:t xml:space="preserve"> </w:t>
      </w:r>
      <w:r>
        <w:t>s) and Bi─O frustrated Lewis pairs (FLPs) for benzylic C─H dehydrogenation. The 4</w:t>
      </w:r>
      <w:r>
        <w:t xml:space="preserve"> </w:t>
      </w:r>
      <w:r>
        <w:t>f</w:t>
      </w:r>
      <w:r>
        <w:t xml:space="preserve"> </w:t>
      </w:r>
      <w:r>
        <w:t>orbital from localized Sm enables electron injection into</w:t>
      </w:r>
      <w:r>
        <w:t xml:space="preserve"> </w:t>
      </w:r>
      <w:r>
        <w:t>π*</w:t>
      </w:r>
      <w:r>
        <w:t xml:space="preserve"> </w:t>
      </w:r>
      <w:r>
        <w:t>antibonding orbitals of O</w:t>
      </w:r>
      <w:r>
        <w:rPr>
          <w:vertAlign w:val="subscript"/>
        </w:rPr>
        <w:t>2</w:t>
      </w:r>
      <w:r>
        <w:t>. Orbital coupling between 4</w:t>
      </w:r>
      <w:r>
        <w:t xml:space="preserve"> </w:t>
      </w:r>
      <w:r>
        <w:t>f</w:t>
      </w:r>
      <w:r>
        <w:t xml:space="preserve"> </w:t>
      </w:r>
      <w:r>
        <w:t>of Sm and 2</w:t>
      </w:r>
      <w:r>
        <w:t xml:space="preserve"> </w:t>
      </w:r>
      <w:r>
        <w:t>p</w:t>
      </w:r>
      <w:r>
        <w:t xml:space="preserve"> </w:t>
      </w:r>
      <w:r>
        <w:t>of O creates a directional oxygen species transfer channel across the interface, delivering activated oxygen species for direct oxygenation of benzyl intermediate to benzaldehyde. The</w:t>
      </w:r>
      <w:r>
        <w:t xml:space="preserve"> </w:t>
      </w:r>
      <w:r>
        <w:t>f</w:t>
      </w:r>
      <w:r>
        <w:t xml:space="preserve"> </w:t>
      </w:r>
      <w:r>
        <w:t>‐orbital catalysis demonstrates as a generalizable strategy for orchestrating O</w:t>
      </w:r>
      <w:r>
        <w:rPr>
          <w:vertAlign w:val="subscript"/>
        </w:rPr>
        <w:t>2</w:t>
      </w:r>
      <w:r>
        <w:t>activation for C─H functionalization. A unique perspective was provided on selective benzylic C─H oxidation by leveraging the</w:t>
      </w:r>
      <w:r>
        <w:t xml:space="preserve"> </w:t>
      </w:r>
      <w:r>
        <w:t>f‐</w:t>
      </w:r>
      <w:r>
        <w:t xml:space="preserve"> </w:t>
      </w:r>
      <w:r>
        <w:t>orbital catalysis via inexpensive light rare earth.</w:t>
      </w:r>
    </w:p>
    <w:p>
      <w:pPr>
        <w:spacing w:before="120" w:after="120"/>
      </w:pPr>
      <w:r>
        <w:rPr>
          <w:sz w:val="18"/>
        </w:rPr>
        <w:t>——————————————————————————————————————————————————————————————————————</w:t>
      </w:r>
    </w:p>
    <w:p>
      <w:pPr>
        <w:spacing w:before="160" w:after="40" w:line="240" w:lineRule="auto"/>
      </w:pPr>
      <w:r>
        <w:rPr>
          <w:b/>
        </w:rPr>
        <w:t xml:space="preserve">[485] </w:t>
      </w:r>
      <w:hyperlink r:id="rId1446">
        <w:r>
          <w:rPr>
            <w:color w:val="1155CC"/>
            <w:u w:val="single"/>
          </w:rPr>
          <w:t>镍催化 D2O 对（杂）芳基硫醚进行脱硫氘化</w:t>
        </w:r>
      </w:hyperlink>
    </w:p>
    <w:p>
      <w:pPr>
        <w:spacing w:before="0" w:after="80"/>
      </w:pPr>
      <w:r>
        <w:rPr>
          <w:i/>
          <w:sz w:val="20"/>
        </w:rPr>
        <w:t>EN: Desulfurative Deuteration of (Hetero)Aryl Sulfides With D2O by Nickel Catalysis</w:t>
      </w:r>
    </w:p>
    <w:p>
      <w:pPr>
        <w:spacing w:before="0" w:after="120"/>
      </w:pPr>
      <w:r>
        <w:rPr>
          <w:b/>
        </w:rPr>
        <w:t xml:space="preserve">Source: </w:t>
      </w:r>
      <w:r>
        <w:t>Wiley: Angewandte Chemie International Edition: Table of Contents</w:t>
      </w:r>
      <w:r>
        <w:t xml:space="preserve">    </w:t>
      </w:r>
      <w:r>
        <w:rPr>
          <w:b/>
        </w:rPr>
        <w:t xml:space="preserve">Pub date: </w:t>
      </w:r>
      <w:r>
        <w:t>2026-07-21 12:03:11+00:00</w:t>
      </w:r>
      <w:r>
        <w:t xml:space="preserve">    </w:t>
      </w:r>
      <w:r>
        <w:rPr>
          <w:b/>
        </w:rPr>
        <w:t xml:space="preserve">DOI: </w:t>
      </w:r>
      <w:hyperlink r:id="rId1447">
        <w:r>
          <w:rPr>
            <w:color w:val="1155CC"/>
            <w:u w:val="single"/>
          </w:rPr>
          <w:t>10.1002/anie.7248763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（杂）芳环的选择性氘化具有重要意义和兴趣，但它仍然是一个挑战，特别是当使用 D</w:t>
      </w:r>
      <w:r>
        <w:rPr>
          <w:vertAlign w:val="subscript"/>
        </w:rPr>
        <w:t>2</w:t>
      </w:r>
      <w:r>
        <w:t>O作为氘源。在此，用 D 对广泛使用的（杂）芳基硫醚进行选择性脱硫氘化</w:t>
      </w:r>
      <w:r>
        <w:rPr>
          <w:vertAlign w:val="subscript"/>
        </w:rPr>
        <w:t>2</w:t>
      </w:r>
      <w:r>
        <w:t>O（大部分为 1.5 或 3.0 当量）是通过镍催化产生的。该策略为合成各种氘代（杂）芳烃（87 个例子，&gt; 10 种不同的杂环）提供了一种有效且稳健的路线，通常具有良好的产率和高氘掺入率以及良好的官能团相容性。催化反应可应用于放大合成（例如，产品 6.4 克）</w:t>
      </w:r>
      <w:r>
        <w:rPr>
          <w:vertAlign w:val="subscript"/>
        </w:rPr>
        <w:t>2</w:t>
      </w:r>
      <w:r>
        <w:t>，0.1 mol% Ni 催化剂，590 TON）以及各种药物和生物活性分子的后期氘化。</w:t>
      </w:r>
    </w:p>
    <w:p>
      <w:pPr>
        <w:spacing w:before="0" w:after="200" w:lineRule="auto" w:line="276"/>
      </w:pPr>
      <w:r>
        <w:rPr>
          <w:b/>
        </w:rPr>
        <w:t xml:space="preserve">Abstract (EN): </w:t>
      </w:r>
      <w:r>
        <w:t>Selective deuteration of (hetero)aryl rings is of great significance and interest, yet it has remained a challenge, especially when employing D</w:t>
      </w:r>
      <w:r>
        <w:rPr>
          <w:vertAlign w:val="subscript"/>
        </w:rPr>
        <w:t>2</w:t>
      </w:r>
      <w:r>
        <w:t>O as deuterium source. Herein, the selective desulfurative deuteration of widely available (hetero)aryl sulfides with D</w:t>
      </w:r>
      <w:r>
        <w:rPr>
          <w:vertAlign w:val="subscript"/>
        </w:rPr>
        <w:t>2</w:t>
      </w:r>
      <w:r>
        <w:t>O (mostly 1.5 or 3.0 equiv.) has been established by nickel catalysis. This strategy affords an efficient and robust route for the synthesis of a wide range of deuterated (hetero)arenes (87 examples, &amp;gt; 10 different heterocycles) in generally good yields and high deuterium incorporation with good functional group compatibility. The catalytic reaction could be applied to scaled‐up synthesis (e.g., 6.4 g for product</w:t>
      </w:r>
      <w:r>
        <w:rPr>
          <w:vertAlign w:val="subscript"/>
        </w:rPr>
        <w:t>2</w:t>
      </w:r>
      <w:r>
        <w:t>, 0.1 mol% Ni catalyst, 590 TON) and late‐stage deuteration of various drugs and bioactive molecules.</w:t>
      </w:r>
    </w:p>
    <w:p>
      <w:pPr>
        <w:spacing w:before="120" w:after="120"/>
      </w:pPr>
      <w:r>
        <w:rPr>
          <w:sz w:val="18"/>
        </w:rPr>
        <w:t>——————————————————————————————————————————————————————————————————————</w:t>
      </w:r>
    </w:p>
    <w:p>
      <w:pPr>
        <w:spacing w:before="160" w:after="40" w:line="240" w:lineRule="auto"/>
      </w:pPr>
      <w:r>
        <w:rPr>
          <w:b/>
        </w:rPr>
        <w:t xml:space="preserve">[486] </w:t>
      </w:r>
      <w:hyperlink r:id="rId1448">
        <w:r>
          <w:rPr>
            <w:color w:val="1155CC"/>
            <w:u w:val="single"/>
          </w:rPr>
          <w:t>对“协同利用界面浓度场和电子场促进炔醇电催化半加氢”的修正</w:t>
        </w:r>
      </w:hyperlink>
    </w:p>
    <w:p>
      <w:pPr>
        <w:spacing w:before="0" w:after="80"/>
      </w:pPr>
      <w:r>
        <w:rPr>
          <w:i/>
          <w:sz w:val="20"/>
        </w:rPr>
        <w:t>EN: Correction to “Concerted Harnessing of Interfacial Concentration Field and Electronic Field for Boosting Electrocatalytic Semi‐Hydrogenation of Alkynol”</w:t>
      </w:r>
    </w:p>
    <w:p>
      <w:pPr>
        <w:spacing w:before="0" w:after="120"/>
      </w:pPr>
      <w:r>
        <w:rPr>
          <w:b/>
        </w:rPr>
        <w:t xml:space="preserve">Source: </w:t>
      </w:r>
      <w:r>
        <w:t>Wiley: Angewandte Chemie International Edition: Table of Contents</w:t>
      </w:r>
      <w:r>
        <w:t xml:space="preserve">    </w:t>
      </w:r>
      <w:r>
        <w:rPr>
          <w:b/>
        </w:rPr>
        <w:t xml:space="preserve">Pub date: </w:t>
      </w:r>
      <w:r>
        <w:t>2026-07-21 12:11:54+00:00</w:t>
      </w:r>
      <w:r>
        <w:t xml:space="preserve">    </w:t>
      </w:r>
      <w:r>
        <w:rPr>
          <w:b/>
        </w:rPr>
        <w:t xml:space="preserve">DOI: </w:t>
      </w:r>
      <w:hyperlink r:id="rId1449">
        <w:r>
          <w:rPr>
            <w:color w:val="1155CC"/>
            <w:u w:val="single"/>
          </w:rPr>
          <w:t>10.1002/anie.3047401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[487] </w:t>
      </w:r>
      <w:hyperlink r:id="rId1450">
        <w:r>
          <w:rPr>
            <w:color w:val="1155CC"/>
            <w:u w:val="single"/>
          </w:rPr>
          <w:t>对“六核 {FeIII4FeII2} 化合物中自旋交叉和菱形变形耦合产生的巨大各向异性热膨胀”的修正</w:t>
        </w:r>
      </w:hyperlink>
    </w:p>
    <w:p>
      <w:pPr>
        <w:spacing w:before="0" w:after="80"/>
      </w:pPr>
      <w:r>
        <w:rPr>
          <w:i/>
          <w:sz w:val="20"/>
        </w:rPr>
        <w:t>EN: Correction to “Colossal Anisotropic Thermal Expansion Through Coupling Spin Crossover and Rhombus Deformation in a Hexanuclear {FeIII4FeII2} Compound”</w:t>
      </w:r>
    </w:p>
    <w:p>
      <w:pPr>
        <w:spacing w:before="0" w:after="120"/>
      </w:pPr>
      <w:r>
        <w:rPr>
          <w:b/>
        </w:rPr>
        <w:t xml:space="preserve">Source: </w:t>
      </w:r>
      <w:r>
        <w:t>Wiley: Angewandte Chemie International Edition: Table of Contents</w:t>
      </w:r>
      <w:r>
        <w:t xml:space="preserve">    </w:t>
      </w:r>
      <w:r>
        <w:rPr>
          <w:b/>
        </w:rPr>
        <w:t xml:space="preserve">Pub date: </w:t>
      </w:r>
      <w:r>
        <w:t>2026-07-21 12:12:34+00:00</w:t>
      </w:r>
      <w:r>
        <w:t xml:space="preserve">    </w:t>
      </w:r>
      <w:r>
        <w:rPr>
          <w:b/>
        </w:rPr>
        <w:t xml:space="preserve">DOI: </w:t>
      </w:r>
      <w:hyperlink r:id="rId1451">
        <w:r>
          <w:rPr>
            <w:color w:val="1155CC"/>
            <w:u w:val="single"/>
          </w:rPr>
          <w:t>10.1002/anie.5449800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[488] </w:t>
      </w:r>
      <w:hyperlink r:id="rId1452">
        <w:r>
          <w:rPr>
            <w:color w:val="1155CC"/>
            <w:u w:val="single"/>
          </w:rPr>
          <w:t>一种配体，三种角色：氮上的 L-、X- 和 Z- 型配位</w:t>
        </w:r>
      </w:hyperlink>
    </w:p>
    <w:p>
      <w:pPr>
        <w:spacing w:before="0" w:after="80"/>
      </w:pPr>
      <w:r>
        <w:rPr>
          <w:i/>
          <w:sz w:val="20"/>
        </w:rPr>
        <w:t>EN: One Ligand, Three Roles: L‐, X‐, and Z‐Type Coordination at Nitrogen</w:t>
      </w:r>
    </w:p>
    <w:p>
      <w:pPr>
        <w:spacing w:before="0" w:after="120"/>
      </w:pPr>
      <w:r>
        <w:rPr>
          <w:b/>
        </w:rPr>
        <w:t xml:space="preserve">Source: </w:t>
      </w:r>
      <w:r>
        <w:t>Wiley: Angewandte Chemie International Edition: Table of Contents</w:t>
      </w:r>
      <w:r>
        <w:t xml:space="preserve">    </w:t>
      </w:r>
      <w:r>
        <w:rPr>
          <w:b/>
        </w:rPr>
        <w:t xml:space="preserve">Pub date: </w:t>
      </w:r>
      <w:r>
        <w:t>2026-07-21 12:18:57+00:00</w:t>
      </w:r>
      <w:r>
        <w:t xml:space="preserve">    </w:t>
      </w:r>
      <w:r>
        <w:rPr>
          <w:b/>
        </w:rPr>
        <w:t xml:space="preserve">DOI: </w:t>
      </w:r>
      <w:hyperlink r:id="rId1453">
        <w:r>
          <w:rPr>
            <w:color w:val="1155CC"/>
            <w:u w:val="single"/>
          </w:rPr>
          <w:t>10.1002/anie.1367818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氮基配体是配位化学的核心，但仅限于 L 型和 X 型供体行为。在这里，我们报告了一类全新的氮配体，基于</w:t>
      </w:r>
      <w:r>
        <w:t xml:space="preserve"> </w:t>
      </w:r>
      <w:r>
        <w:t>氮</w:t>
      </w:r>
      <w:r>
        <w:t xml:space="preserve"> </w:t>
      </w:r>
      <w:r>
        <w:t>‐杂环氮（NHN）框架，表现出多峰L型、X型和Z型协调，并在L型和X型状态之间表现出可逆切换。这些配体代表了氮基的第一个例子</w:t>
      </w:r>
      <w:r>
        <w:t xml:space="preserve"> </w:t>
      </w:r>
      <w:r>
        <w:t>Z</w:t>
      </w:r>
      <w:r>
        <w:t xml:space="preserve"> </w:t>
      </w:r>
      <w:r>
        <w:t>‐配体，能够响应配位环境在供体和受体模式之间切换。因此，只需添加或去除配位溶剂，即可可逆地改变过渡金属的形式氧化态，引入了“配位氧化还原”的独特概念。 X射线晶体学和综合计算分析证实了配位模式。</w:t>
      </w:r>
    </w:p>
    <w:p>
      <w:pPr>
        <w:spacing w:before="0" w:after="200" w:lineRule="auto" w:line="276"/>
      </w:pPr>
      <w:r>
        <w:rPr>
          <w:b/>
        </w:rPr>
        <w:t xml:space="preserve">Abstract (EN): </w:t>
      </w:r>
      <w:r>
        <w:t>Nitrogen‐based ligands are central to coordination chemistry but are limited to L‐ and X‐type donor behavior. Here we report a fundamentally new class of nitrogen ligands based on</w:t>
      </w:r>
      <w:r>
        <w:t xml:space="preserve"> </w:t>
      </w:r>
      <w:r>
        <w:t>N</w:t>
      </w:r>
      <w:r>
        <w:t xml:space="preserve"> </w:t>
      </w:r>
      <w:r>
        <w:t>‐heterocyclic nitrenium (NHN) frameworks that exhibit multimodal L‐, X‐, and Z‐type coordination with reversible switching demonstrated between the L‐ and X‐type states. These ligands represent the first examples of nitrogen‐based</w:t>
      </w:r>
      <w:r>
        <w:t xml:space="preserve"> </w:t>
      </w:r>
      <w:r>
        <w:t>Z</w:t>
      </w:r>
      <w:r>
        <w:t xml:space="preserve"> </w:t>
      </w:r>
      <w:r>
        <w:t>‐ligands, with the ability to switch between donor and acceptor modes in response to the coordination environment. As such, the formal oxidation state of a transition metal is reversibly changed simply by adding or removing a coordinating solvent introducing a unique concept of “redox‐by‐coordination”. The coordination mode is confirmed by x‐ray crystallography and comprehensive computational analysis.</w:t>
      </w:r>
    </w:p>
    <w:p>
      <w:pPr>
        <w:spacing w:before="120" w:after="120"/>
      </w:pPr>
      <w:r>
        <w:rPr>
          <w:sz w:val="18"/>
        </w:rPr>
        <w:t>——————————————————————————————————————————————————————————————————————</w:t>
      </w:r>
    </w:p>
    <w:p>
      <w:pPr>
        <w:spacing w:before="160" w:after="40" w:line="240" w:lineRule="auto"/>
      </w:pPr>
      <w:r>
        <w:rPr>
          <w:b/>
        </w:rPr>
        <w:t xml:space="preserve">[489] </w:t>
      </w:r>
      <w:hyperlink r:id="rId1454">
        <w:r>
          <w:rPr>
            <w:color w:val="1155CC"/>
            <w:u w:val="single"/>
          </w:rPr>
          <w:t>离聚物接触带电过程中的离子转移：结合亲和力控制充电</w:t>
        </w:r>
      </w:hyperlink>
    </w:p>
    <w:p>
      <w:pPr>
        <w:spacing w:before="0" w:after="80"/>
      </w:pPr>
      <w:r>
        <w:rPr>
          <w:i/>
          <w:sz w:val="20"/>
        </w:rPr>
        <w:t>EN: Ion Transfer During Ionomer Contact Electrification: Binding Affinity Controls Charging</w:t>
      </w:r>
    </w:p>
    <w:p>
      <w:pPr>
        <w:spacing w:before="0" w:after="120"/>
      </w:pPr>
      <w:r>
        <w:rPr>
          <w:b/>
        </w:rPr>
        <w:t xml:space="preserve">Source: </w:t>
      </w:r>
      <w:r>
        <w:t>Wiley: Angewandte Chemie International Edition: Table of Contents</w:t>
      </w:r>
      <w:r>
        <w:t xml:space="preserve">    </w:t>
      </w:r>
      <w:r>
        <w:rPr>
          <w:b/>
        </w:rPr>
        <w:t xml:space="preserve">Pub date: </w:t>
      </w:r>
      <w:r>
        <w:t>2026-07-21 12:21:53+00:00</w:t>
      </w:r>
      <w:r>
        <w:t xml:space="preserve">    </w:t>
      </w:r>
      <w:r>
        <w:rPr>
          <w:b/>
        </w:rPr>
        <w:t xml:space="preserve">DOI: </w:t>
      </w:r>
      <w:hyperlink r:id="rId1455">
        <w:r>
          <w:rPr>
            <w:color w:val="1155CC"/>
            <w:u w:val="single"/>
          </w:rPr>
          <w:t>10.1002/anie.5487708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接触起电在自然界中无处不在，但在大多数情况下，电荷载流子的身份仍然不确定，电子、离子或纳米材料碎片是可行的候选者。一种物质转移似乎更确定的材料是离聚物，即含有由固定反电荷平衡的移动离子的聚合物。当离聚物接触中性表面时，后者会以移动离子的符号带电，强烈表明离子转移。然而，人们对转移的机制和控制因素仍然知之甚少。在这里，我们证明了移动离子和离聚物之间的结合亲和力控制着离聚物的电荷转移。我们使用具有固定阴离子和阳离子的离聚物，并进行离子交换来创建具有一系列可转移离子的样品。我们观察到阴离子离聚物具有很强的结合亲和力依赖性，因此具有最高亲和力的移动阳离子转移的电荷最少。对于阳离子离聚物，测量到较弱但明显的依赖性，它遵循移动阴离子的水合自由能。使用电感耦合等离子体发射光谱 (ICP-OES)，我们确认移动离子转移到反样品的表面。我们的结果证实了离聚物材料电荷转移的识别和机制，对更广泛的接触起电具有潜在影响。</w:t>
      </w:r>
    </w:p>
    <w:p>
      <w:pPr>
        <w:spacing w:before="0" w:after="200" w:lineRule="auto" w:line="276"/>
      </w:pPr>
      <w:r>
        <w:rPr>
          <w:b/>
        </w:rPr>
        <w:t xml:space="preserve">Abstract (EN): </w:t>
      </w:r>
      <w:r>
        <w:t>Contact electrification occurs ubiquitously in nature, but the identity of charge carriers in most situations remains uncertain, with electrons, ions, or nanoscopic material fragments as viable candidates. One material where the species transferred seems more certain is ionomers, i.e., polymers that contain mobile ions balanced by fixed counter‐charges. When ionomers touch a neutral surface, the latter becomes charged in the sign of the mobile ion, strongly suggesting ion transfer. However, the mechanism and governing factors of transfer remain poorly understood. Here, we demonstrate that binding affinity between mobile ion and ionomer controls charge transfer with ionomers. We use ionomers with fixed anions and cations and perform ion exchange to create samples with a series of transferrable ions. We observe a strong binding‐affinity dependence for the anionic ionomer, such that mobile cations with the highest affinity transfers the least charge. Weaker, yet clear dependence was measured for the cationic ionomer, which follows the hydration free energy of the mobile anion. Using inductively coupled plasma optical emission spectroscopy (ICP‐OES), we confirm transfer of the mobile ions to the counter sample's surface. Our results confirm the identify and mechanism of charge transfer with ionomeric materials, with potential implications for contact electrification more broadly.</w:t>
      </w:r>
    </w:p>
    <w:p>
      <w:pPr>
        <w:spacing w:before="120" w:after="120"/>
      </w:pPr>
      <w:r>
        <w:rPr>
          <w:sz w:val="18"/>
        </w:rPr>
        <w:t>——————————————————————————————————————————————————————————————————————</w:t>
      </w:r>
    </w:p>
    <w:p>
      <w:pPr>
        <w:spacing w:before="160" w:after="40" w:line="240" w:lineRule="auto"/>
      </w:pPr>
      <w:r>
        <w:rPr>
          <w:b/>
        </w:rPr>
        <w:t xml:space="preserve">[490] </w:t>
      </w:r>
      <w:hyperlink r:id="rId1456">
        <w:r>
          <w:rPr>
            <w:color w:val="1155CC"/>
            <w:u w:val="single"/>
          </w:rPr>
          <w:t>弹性体能否兼具刚度、韧性和抗疲劳性？</w:t>
        </w:r>
      </w:hyperlink>
    </w:p>
    <w:p>
      <w:pPr>
        <w:spacing w:before="0" w:after="80"/>
      </w:pPr>
      <w:r>
        <w:rPr>
          <w:i/>
          <w:sz w:val="20"/>
        </w:rPr>
        <w:t>EN: Can Elastomers Combine Stiffness, Toughness and Fatigue Resistance?</w:t>
      </w:r>
    </w:p>
    <w:p>
      <w:pPr>
        <w:spacing w:before="0" w:after="120"/>
      </w:pPr>
      <w:r>
        <w:rPr>
          <w:b/>
        </w:rPr>
        <w:t xml:space="preserve">Source: </w:t>
      </w:r>
      <w:r>
        <w:t>Wiley: Advanced Materials: Table of Contents</w:t>
      </w:r>
      <w:r>
        <w:t xml:space="preserve">    </w:t>
      </w:r>
      <w:r>
        <w:rPr>
          <w:b/>
        </w:rPr>
        <w:t xml:space="preserve">Pub date: </w:t>
      </w:r>
      <w:r>
        <w:t>2026-07-21 13:29:52+00:00</w:t>
      </w:r>
      <w:r>
        <w:t xml:space="preserve">    </w:t>
      </w:r>
      <w:r>
        <w:rPr>
          <w:b/>
        </w:rPr>
        <w:t xml:space="preserve">DOI: </w:t>
      </w:r>
      <w:hyperlink r:id="rId1457">
        <w:r>
          <w:rPr>
            <w:color w:val="1155CC"/>
            <w:u w:val="single"/>
          </w:rPr>
          <w:t>10.1002/adma.74087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您是否曾经尝试过用新橡皮筋包裹一叠卡片，然后用旧橡皮筋重复相同的任务？虽然新的橡皮筋有弹性并且可以轻松地环绕堆叠，但旧的橡皮筋往往会失去弹性，变脆并最终破裂。橡胶是弹性体的一个子类，是无溶剂的聚合物网络。高于其玻璃化转变温度，</w:t>
      </w:r>
      <w:r>
        <w:t xml:space="preserve"> </w:t>
      </w:r>
      <w:r>
        <w:t>时间</w:t>
      </w:r>
      <w:r>
        <w:t xml:space="preserve"> </w:t>
      </w:r>
      <w:r>
        <w:t>克</w:t>
      </w:r>
      <w:r>
        <w:t xml:space="preserve"> </w:t>
      </w:r>
      <w:r>
        <w:t>，弹性体的特点是高拉伸性。然而，许多均质单网络弹性体表现出较低的机械强度和有限的耐用性。鉴于其在防护运动装备、阻尼系统和软机器人等领域的重要性，人们一直致力于开发兼具刚度、韧性和耐用性的弹性体。用于软机器人、可穿戴设备和生物医学应用的理想弹性体将具有空间可变的机械性能，能够实现受控变形、承受相当大的负载、有效地阻尼能量并且具有抗疲劳性。然而，当前的弹性体配方无法同时实现所有这些属性。这篇综述总结了目前对弹性体结构-机械性能关系的理解，并重点介绍了通过局部改变弹性体成分来克服弹性体机械性能某些权衡的最新策略。</w:t>
      </w:r>
    </w:p>
    <w:p>
      <w:pPr>
        <w:spacing w:before="0" w:after="200" w:lineRule="auto" w:line="276"/>
      </w:pPr>
      <w:r>
        <w:rPr>
          <w:b/>
        </w:rPr>
        <w:t xml:space="preserve">Abstract (EN): </w:t>
      </w:r>
      <w:r>
        <w:t>Have you ever tried to wrap a stack of cards with a new rubber band and then repeated the same task with an old one? While new rubber bands are elastic and can easily encircle the stack, older rubber bands tend to lose elasticity, become brittle, and ultimately rupture. Rubber is a sub‐class of elastomers, which are solvent‐free polymeric networks. Above their glass transition temperature,</w:t>
      </w:r>
      <w:r>
        <w:t xml:space="preserve"> </w:t>
      </w:r>
      <w:r>
        <w:t>T</w:t>
      </w:r>
      <w:r>
        <w:t xml:space="preserve"> </w:t>
      </w:r>
      <w:r>
        <w:t>g</w:t>
      </w:r>
      <w:r>
        <w:t xml:space="preserve"> </w:t>
      </w:r>
      <w:r>
        <w:t>, elastomers are characterized by a high stretchability. Yet, many homogeneous single network elastomers display a low mechanical strength and limited durability. Given their significance, for example for protective sport equipment, damping systems, and in soft robotics, extensive efforts have been dedicated to developing elastomers that combine stiffness, toughness, and durability. The ideal elastomer for soft robotics, wearables, and biomedical applications would possess spatially variable mechanical properties, enabling controlled deformation, sustaining considerable loads, efficiently damp energy, and be fatigue resistant. However, current elastomer formulations cannot simultaneously achieve all of these attributes. This review summarizes the current understanding of the structure‐mechanical property relationship of elastomers and highlights recent strategies that overcome certain trade‐offs of the mechanical properties of elastomers by locally varying their composition.</w:t>
      </w:r>
    </w:p>
    <w:p>
      <w:pPr>
        <w:spacing w:before="120" w:after="120"/>
      </w:pPr>
      <w:r>
        <w:rPr>
          <w:sz w:val="18"/>
        </w:rPr>
        <w:t>——————————————————————————————————————————————————————————————————————</w:t>
      </w:r>
    </w:p>
    <w:p>
      <w:pPr>
        <w:spacing w:before="160" w:after="40" w:line="240" w:lineRule="auto"/>
      </w:pPr>
      <w:r>
        <w:rPr>
          <w:b/>
        </w:rPr>
        <w:t xml:space="preserve">[491] </w:t>
      </w:r>
      <w:hyperlink r:id="rId1458">
        <w:r>
          <w:rPr>
            <w:color w:val="1155CC"/>
            <w:u w:val="single"/>
          </w:rPr>
          <w:t>可注射的磁响应骨膜重新编程中性粒细胞胞外陷阱的形成以治疗骨髓炎</w:t>
        </w:r>
      </w:hyperlink>
    </w:p>
    <w:p>
      <w:pPr>
        <w:spacing w:before="0" w:after="80"/>
      </w:pPr>
      <w:r>
        <w:rPr>
          <w:i/>
          <w:sz w:val="20"/>
        </w:rPr>
        <w:t>EN: An Injectable Magneto‐Responsive Periosteum Reprograms Neutrophil Extracellular Trap Formation for Osteomyelitis Treatment</w:t>
      </w:r>
    </w:p>
    <w:p>
      <w:pPr>
        <w:spacing w:before="0" w:after="120"/>
      </w:pPr>
      <w:r>
        <w:rPr>
          <w:b/>
        </w:rPr>
        <w:t xml:space="preserve">Source: </w:t>
      </w:r>
      <w:r>
        <w:t>Wiley: Advanced Materials: Table of Contents</w:t>
      </w:r>
      <w:r>
        <w:t xml:space="preserve">    </w:t>
      </w:r>
      <w:r>
        <w:rPr>
          <w:b/>
        </w:rPr>
        <w:t xml:space="preserve">Pub date: </w:t>
      </w:r>
      <w:r>
        <w:t>2026-07-21 13:36:20+00:00</w:t>
      </w:r>
      <w:r>
        <w:t xml:space="preserve">    </w:t>
      </w:r>
      <w:r>
        <w:rPr>
          <w:b/>
        </w:rPr>
        <w:t xml:space="preserve">DOI: </w:t>
      </w:r>
      <w:hyperlink r:id="rId1459">
        <w:r>
          <w:rPr>
            <w:color w:val="1155CC"/>
            <w:u w:val="single"/>
          </w:rPr>
          <w:t>10.1002/adma.74202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甲氧西林耐药引起的骨髓炎</w:t>
      </w:r>
      <w:r>
        <w:t xml:space="preserve"> </w:t>
      </w:r>
      <w:r>
        <w:t>金黄色葡萄球菌</w:t>
      </w:r>
      <w:r>
        <w:t xml:space="preserve"> </w:t>
      </w:r>
      <w:r>
        <w:t>由于抗生素耐药性和细菌的持续存在，MRSA（耐甲氧西林金黄色葡萄球菌）生物膜带来了重大的治疗挑战。受天然骨膜结构的启发，我们通过硫醇点击化学开发了一种可注射的仿生骨膜——一种负载 NiSr MOF@Mem 纳米复合材料的水凝胶（NiSr MOF@Mem Gel）。该系统不仅充当覆盖骨缺损的物理屏障，而且在交变磁场（MF）激活下，协同执行化学动力学治疗、受控抗生素释放和免疫调节。体外研究表明，这种仿生骨膜在 MF 下激活 NADPH 氧化酶依赖性 ROS 爆发，驱动 PAD4 介导的组蛋白 H3 瓜氨酸化，从而诱导中性粒细胞胞外陷阱 (NET) 形成。这一过程依赖于经典的 ROS/PAD4 信号轴，PAD4 抑制剂 Cl-Amidine 显着抑制 NETosis 证实了这一点。功能分析证实，该系统通过 NET 诱导，对浮游和生物膜嵌入的 MRSA 发挥有效的协同抗菌作用。在大鼠骨髓炎模型中，仿生骨膜联合MF治疗显着降低骨组织细菌负荷，通过调节免疫微环境有效促进骨修复。这项研究提出了一种利用磁响应仿生骨膜远程调节生物纤维先天免疫的新策略</w:t>
      </w:r>
    </w:p>
    <w:p>
      <w:pPr>
        <w:spacing w:before="0" w:after="200" w:lineRule="auto" w:line="276"/>
      </w:pPr>
      <w:r>
        <w:rPr>
          <w:b/>
        </w:rPr>
        <w:t xml:space="preserve">Abstract (EN): </w:t>
      </w:r>
      <w:r>
        <w:t>Osteomyelitis caused by methicillin‐resistant</w:t>
      </w:r>
      <w:r>
        <w:t xml:space="preserve"> </w:t>
      </w:r>
      <w:r>
        <w:t>Staphylococcus aureus</w:t>
      </w:r>
      <w:r>
        <w:t xml:space="preserve"> </w:t>
      </w:r>
      <w:r>
        <w:t>(MRSA) biofilms presents significant therapeutic challenges due to antibiotic resistance and persistent bacterial presence. Inspired by the natural periosteum structure, we developed an injectable biomimetic periosteum through thiol‐click chemistry—a hydrogel loaded with NiSr MOF@Mem nanocomposites(NiSr MOF@Mem Gel). This system not only serves as a physical barrier covering bone defects but also, under alternating magnetic field (MF) activation, synergistically executes chemodynamic therapy, controlled antibiotic release, and immunomodulation. In vitro studies demonstrated that this biomimetic periosteum activates NADPH oxidase‐dependent ROS bursts under MF, driving PAD4‐mediated histone H3 citrullination and thereby inducing neutrophil extracellular trap (NET) formation. This process relies on the classical ROS/PAD4 signaling axis, as confirmed by the PAD4 inhibitor Cl‐Amidine significantly suppressing NETosis. Functional assays verified that the system, via NET induction, exerts potent synergistic antibacterial effects against both planktonic and biofilm‐embedded MRSA. In a rat osteomyelitis model, the biomimetic periosteum combined with MF treatment significantly reduced bacterial load in bone tissue and effectively promoted bone repair by modulating the immune microenvironment. This study presents a novel strategy of using a magnetically responsive biomimetic periosteum to remotely regulate innate immunity for biofilm eradication, offering an integrated solution for the synergistic treatment of osteomyelitis.</w:t>
      </w:r>
    </w:p>
    <w:p>
      <w:pPr>
        <w:spacing w:before="120" w:after="120"/>
      </w:pPr>
      <w:r>
        <w:rPr>
          <w:sz w:val="18"/>
        </w:rPr>
        <w:t>——————————————————————————————————————————————————————————————————————</w:t>
      </w:r>
    </w:p>
    <w:p>
      <w:pPr>
        <w:spacing w:before="160" w:after="40" w:line="240" w:lineRule="auto"/>
      </w:pPr>
      <w:r>
        <w:rPr>
          <w:b/>
        </w:rPr>
        <w:t xml:space="preserve">[492] </w:t>
      </w:r>
      <w:hyperlink r:id="rId1460">
        <w:r>
          <w:rPr>
            <w:color w:val="1155CC"/>
            <w:u w:val="single"/>
          </w:rPr>
          <w:t>两性离子磷亚胺实现形态控制的 C-F 键功能化</w:t>
        </w:r>
      </w:hyperlink>
    </w:p>
    <w:p>
      <w:pPr>
        <w:spacing w:before="0" w:after="80"/>
      </w:pPr>
      <w:r>
        <w:rPr>
          <w:i/>
          <w:sz w:val="20"/>
        </w:rPr>
        <w:t>EN: Speciation‐Controlled C–F Bond Functionalization Enabled by Zwitterionic Pnictinidenes</w:t>
      </w:r>
    </w:p>
    <w:p>
      <w:pPr>
        <w:spacing w:before="0" w:after="120"/>
      </w:pPr>
      <w:r>
        <w:rPr>
          <w:b/>
        </w:rPr>
        <w:t xml:space="preserve">Source: </w:t>
      </w:r>
      <w:r>
        <w:t>Wiley: Angewandte Chemie International Edition: Table of Contents</w:t>
      </w:r>
      <w:r>
        <w:t xml:space="preserve">    </w:t>
      </w:r>
      <w:r>
        <w:rPr>
          <w:b/>
        </w:rPr>
        <w:t xml:space="preserve">Pub date: </w:t>
      </w:r>
      <w:r>
        <w:t>2026-07-21 19:11:10+00:00</w:t>
      </w:r>
      <w:r>
        <w:t xml:space="preserve">    </w:t>
      </w:r>
      <w:r>
        <w:rPr>
          <w:b/>
        </w:rPr>
        <w:t xml:space="preserve">DOI: </w:t>
      </w:r>
      <w:hyperlink r:id="rId1461">
        <w:r>
          <w:rPr>
            <w:color w:val="1155CC"/>
            <w:u w:val="single"/>
          </w:rPr>
          <w:t>10.1002/anie.6579940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最近出现了低价磷元素系统作为 C-F 活化的氧化还原催化剂。然而，催化转化仍然很大程度上局限于依赖于金属模拟还原消除的加氢脱氟途径。在此，我们报道了一种由两性离子硝基亚胺介导的脱氟官能化平台，该平台能够在温和条件下从多氟（杂）芳烃形成多种C-X键（X = C、O、S、N、P、Se）。综合实验和 DFT 研究表明，虽然可以进行 Sb(I)/Sb(III) 氧化还原循环，但催化作用却是通过 Sb(III)–F 物质进行，这些物质通过氧化还原中性流形促进 C–F 取代。这些发现将催化剂形态形成作为决定性的机械分支点，表明调节配体扰乱事件的策略如何能够实现替代的基于磷元素的氧化还原或氧化还原中性流形。</w:t>
      </w:r>
    </w:p>
    <w:p>
      <w:pPr>
        <w:spacing w:before="0" w:after="200" w:lineRule="auto" w:line="276"/>
      </w:pPr>
      <w:r>
        <w:rPr>
          <w:b/>
        </w:rPr>
        <w:t xml:space="preserve">Abstract (EN): </w:t>
      </w:r>
      <w:r>
        <w:t>Low‐valent pnictogen systems have recently emerged as redox catalysts for C–F activation. However, catalytic turnover has remained largely restricted to hydrodefluorination pathways reliant on metallomimetic reductive elimination. Herein, we report a defluorinative functionalization platform mediated by zwitterionic pnictinidenes that enables the formation of diverse C–X bonds (X = C, O, S, N, P, Se) from polyfluoro(hetero)arenes under mild conditions. Combined experimental and DFT studies reveal that, although a Sb(I)/Sb(III) redox cycle could be accessed, catalysis instead proceeds through Sb(III)–F species that promote C–F substitution via a redox‐neutral manifold. These findings establish catalyst speciation as a decisive mechanistic branch point, showing how strategies to modulate ligand scrambling events may enable alternative pnictogen‐based redox or redox‐neutral manifolds.</w:t>
      </w:r>
    </w:p>
    <w:p>
      <w:pPr>
        <w:spacing w:before="120" w:after="120"/>
      </w:pPr>
      <w:r>
        <w:rPr>
          <w:sz w:val="18"/>
        </w:rPr>
        <w:t>——————————————————————————————————————————————————————————————————————</w:t>
      </w:r>
    </w:p>
    <w:p>
      <w:pPr>
        <w:spacing w:before="160" w:after="40" w:line="240" w:lineRule="auto"/>
      </w:pPr>
      <w:r>
        <w:rPr>
          <w:b/>
        </w:rPr>
        <w:t xml:space="preserve">[493] </w:t>
      </w:r>
      <w:hyperlink r:id="rId1462">
        <w:r>
          <w:rPr>
            <w:color w:val="1155CC"/>
            <w:u w:val="single"/>
          </w:rPr>
          <w:t>内在近红外-II 荧光纳米酶支持高分辨率成像和肿瘤催化免疫治疗</w:t>
        </w:r>
      </w:hyperlink>
    </w:p>
    <w:p>
      <w:pPr>
        <w:spacing w:before="0" w:after="80"/>
      </w:pPr>
      <w:r>
        <w:rPr>
          <w:i/>
          <w:sz w:val="20"/>
        </w:rPr>
        <w:t>EN: Intrinsic Near‐Infrared‐II Fluorescent Nanozymes Support High‐Resolution Imaging and Tumor Catalytic Immunotherapy</w:t>
      </w:r>
    </w:p>
    <w:p>
      <w:pPr>
        <w:spacing w:before="0" w:after="120"/>
      </w:pPr>
      <w:r>
        <w:rPr>
          <w:b/>
        </w:rPr>
        <w:t xml:space="preserve">Source: </w:t>
      </w:r>
      <w:r>
        <w:t>Wiley: Angewandte Chemie International Edition: Table of Contents</w:t>
      </w:r>
      <w:r>
        <w:t xml:space="preserve">    </w:t>
      </w:r>
      <w:r>
        <w:rPr>
          <w:b/>
        </w:rPr>
        <w:t xml:space="preserve">Pub date: </w:t>
      </w:r>
      <w:r>
        <w:t>2026-07-21 19:12:50+00:00</w:t>
      </w:r>
      <w:r>
        <w:t xml:space="preserve">    </w:t>
      </w:r>
      <w:r>
        <w:rPr>
          <w:b/>
        </w:rPr>
        <w:t xml:space="preserve">DOI: </w:t>
      </w:r>
      <w:hyperlink r:id="rId1463">
        <w:r>
          <w:rPr>
            <w:color w:val="1155CC"/>
            <w:u w:val="single"/>
          </w:rPr>
          <w:t>10.1002/anie.3521141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酶由于其稳定且多功能的酶模拟活性，在体内治疗方面具有广阔的前景。然而，以高时空分辨率实时跟踪它们的动态并确保生物安全仍然具有挑战性。在这里，我们报道了一类单组分、无金属的自发荧光纳米酶（AFNZ），它同时表现出超亮的第二近红外（NIR-II）荧光（FL）和有效的多酶样活性。通过在花青前体的溶剂热转化过程中精确控制硫/氮 (S/N) 化学计量，我们在无金属纳米酶系统中开发了具有高亮度 NIR-II FL（量子产率 &gt;1.4%，最大发射波长 &gt;1100 nm）的本征发射纳米酶，实现了其前体的 20 倍增强。优化的 AFNZ 表现出强的过氧化物酶（POD）、过氧化氢酶（CAT）和氧化酶（OXD）样活性，可实现高对比度体内成像和催化肿瘤治疗。机制研究表明，FL 的增强与分子内运动受限 (RIM) 相关。这些纳米酶支持深部组织肿瘤成像 (∼8 mm) 和高分辨率血管造影 (∼30 µm)，大大优于其前体和临床造影剂吲哚菁绿 (ICG)。此外，它们还能够实现精确的肿瘤边缘识别、图像引导的微肿瘤切除（&lt; 5 mm）以及实时监测与自噬流破坏和免疫激活相关的催化免疫治疗。这项工作提供了一种化学计量指导的方法</w:t>
      </w:r>
    </w:p>
    <w:p>
      <w:pPr>
        <w:spacing w:before="0" w:after="200" w:lineRule="auto" w:line="276"/>
      </w:pPr>
      <w:r>
        <w:rPr>
          <w:b/>
        </w:rPr>
        <w:t xml:space="preserve">Abstract (EN): </w:t>
      </w:r>
      <w:r>
        <w:t>Nanozymes hold considerable promise for in vivo therapy due to their stable and versatile enzyme‐mimicking activities. However, real‐time tracking of their dynamics with high spatiotemporal resolution and ensuring biosafety remain challenging. Here, we report a class of single‐component, metal‐free autofluorescent nanozymes (AFNZs) that simultaneously exhibit ultrabright second near‐infrared (NIR‐II) fluorescence (FL) and potent multienzyme‐like activities. By precisely controlling sulfur/nitrogen (S/N) stoichiometry during the solvothermal conversion of cyanine precursors, we developed intrinsically emissive nanozymes with high‐brightness NIR‐II FL (quantum yield &amp;gt;1.4%, maximum emission wavelength &amp;gt;1100 nm) among metal‐free nanozyme systems, achieving a 20‐fold enhancement over their precursors. The optimized AFNZs exhibit strong peroxidase (POD)‐, catalase (CAT)‐, and oxidase (OXD)‐like activities, enabling high‐contrast in vivo imaging and catalytic tumor therapy. Mechanistic studies suggest that the enhanced FL is associated with restricted intramolecular motion (RIM). These nanozymes support deep‐tissue tumor imaging (∼8 mm) and high‐resolution angiography (∼30 µm), substantially outperforming their precursors and the clinical contrast agent indocyanine green (ICG). Furthermore, they enable precise tumor margin identification, image‐guided resection of microtumors (&amp;lt; 5 mm), and real‐time monitoring of catalytic immunotherapy associated with autophagic flux disruption and immune activation. This work offers a stoichiometry‐guided strategy for constructing intrinsically fluorescent metal‐free AFNZs for image‐guided catalytic therapy.</w:t>
      </w:r>
    </w:p>
    <w:p>
      <w:pPr>
        <w:spacing w:before="120" w:after="120"/>
      </w:pPr>
      <w:r>
        <w:rPr>
          <w:sz w:val="18"/>
        </w:rPr>
        <w:t>——————————————————————————————————————————————————————————————————————</w:t>
      </w:r>
    </w:p>
    <w:p>
      <w:pPr>
        <w:spacing w:before="160" w:after="40" w:line="240" w:lineRule="auto"/>
      </w:pPr>
      <w:r>
        <w:rPr>
          <w:b/>
        </w:rPr>
        <w:t xml:space="preserve">[494] </w:t>
      </w:r>
      <w:hyperlink r:id="rId1464">
        <w:r>
          <w:rPr>
            <w:color w:val="1155CC"/>
            <w:u w:val="single"/>
          </w:rPr>
          <w:t>主客体不匹配使得选择性氢原子转移成为可能</w:t>
        </w:r>
      </w:hyperlink>
    </w:p>
    <w:p>
      <w:pPr>
        <w:spacing w:before="0" w:after="80"/>
      </w:pPr>
      <w:r>
        <w:rPr>
          <w:i/>
          <w:sz w:val="20"/>
        </w:rPr>
        <w:t>EN: Host–Guest Mismatch Enables Selective Hydrogen Atom Transfer</w:t>
      </w:r>
    </w:p>
    <w:p>
      <w:pPr>
        <w:spacing w:before="0" w:after="120"/>
      </w:pPr>
      <w:r>
        <w:rPr>
          <w:b/>
        </w:rPr>
        <w:t xml:space="preserve">Source: </w:t>
      </w:r>
      <w:r>
        <w:t>Wiley: Angewandte Chemie International Edition: Table of Contents</w:t>
      </w:r>
      <w:r>
        <w:t xml:space="preserve">    </w:t>
      </w:r>
      <w:r>
        <w:rPr>
          <w:b/>
        </w:rPr>
        <w:t xml:space="preserve">Pub date: </w:t>
      </w:r>
      <w:r>
        <w:t>2026-07-21 19:12:53+00:00</w:t>
      </w:r>
      <w:r>
        <w:t xml:space="preserve">    </w:t>
      </w:r>
      <w:r>
        <w:rPr>
          <w:b/>
        </w:rPr>
        <w:t xml:space="preserve">DOI: </w:t>
      </w:r>
      <w:hyperlink r:id="rId1465">
        <w:r>
          <w:rPr>
            <w:color w:val="1155CC"/>
            <w:u w:val="single"/>
          </w:rPr>
          <w:t>10.1002/anie.4608575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分子客体在其宿主腔内的内源结合已被常规地用于酶催化和超分子催化。相比之下，外源结合——客体由于尺寸不匹配而选择性地与宿主的外表面而不是空腔结合——仍然是控制化学反应选择性的一个很大程度上未被探索的范例。在这里，我们报道天然环糊精（CD）和多金属氧酸盐催化剂之间的外源结合导致它们之间氢原子转移的高位点选择性。十钨酸根阴离子 (W</w:t>
      </w:r>
      <w:r>
        <w:rPr>
          <w:vertAlign w:val="subscript"/>
        </w:rPr>
        <w:t>10</w:t>
      </w:r>
      <w:r>
        <w:t>氧</w:t>
      </w:r>
      <w:r>
        <w:rPr>
          <w:vertAlign w:val="subscript"/>
        </w:rPr>
        <w:t>32</w:t>
      </w:r>
      <w:r>
        <w:t>4–</w:t>
      </w:r>
      <w:r>
        <w:t xml:space="preserve"> </w:t>
      </w:r>
      <w:r>
        <w:t>），一种光活性多金属氧酸盐，能够从有机分子上的 C-H 键中夺取氢原子，被发现与水溶液中的 CD 非共价结合。 W大尺寸</w:t>
      </w:r>
      <w:r>
        <w:rPr>
          <w:vertAlign w:val="subscript"/>
        </w:rPr>
        <w:t>10</w:t>
      </w:r>
      <w:r>
        <w:t>氧</w:t>
      </w:r>
      <w:r>
        <w:rPr>
          <w:vertAlign w:val="subscript"/>
        </w:rPr>
        <w:t>32</w:t>
      </w:r>
      <w:r>
        <w:t>4–</w:t>
      </w:r>
      <w:r>
        <w:t xml:space="preserve"> </w:t>
      </w:r>
      <w:r>
        <w:t>然而，它阻止了深层包合物的形成，并限制了其与 CD 狭窄边缘的相互作用，如</w:t>
      </w:r>
      <w:r>
        <w:rPr>
          <w:vertAlign w:val="subscript"/>
        </w:rPr>
        <w:t>1</w:t>
      </w:r>
      <w:r>
        <w:t>H NMR 滴定和 X 射线晶体学。这种外源关联增加了 W 的有效局部浓度</w:t>
      </w:r>
      <w:r>
        <w:rPr>
          <w:vertAlign w:val="subscript"/>
        </w:rPr>
        <w:t>10</w:t>
      </w:r>
      <w:r>
        <w:t>氧</w:t>
      </w:r>
      <w:r>
        <w:rPr>
          <w:vertAlign w:val="subscript"/>
        </w:rPr>
        <w:t>32</w:t>
      </w:r>
      <w:r>
        <w:t>4–</w:t>
      </w:r>
      <w:r>
        <w:t xml:space="preserve"> </w:t>
      </w:r>
      <w:r>
        <w:t>在 C6-H 键附近，在光激发时加速这些位置的 HAT 并以动力学方式呈现 C6 官能化</w:t>
      </w:r>
    </w:p>
    <w:p>
      <w:pPr>
        <w:spacing w:before="0" w:after="200" w:lineRule="auto" w:line="276"/>
      </w:pPr>
      <w:r>
        <w:rPr>
          <w:b/>
        </w:rPr>
        <w:t xml:space="preserve">Abstract (EN): </w:t>
      </w:r>
      <w:r>
        <w:t>Endogenous binding of molecular guests inside cavities of their hosts has been routinely utilized in enzymatic and supramolecular catalysis. In contrast, exogenous binding‐where a guest selectively associates with the exterior surface, rather than the cavity, of its host owing to their size mismatch‐remains a largely unexplored paradigm for controlling the selectivity of chemical reactions. Here, we report that the exogenous binding between natural cyclodextrins (CDs) and a polyoxometalate catalyst leads to high site‐selectivity in hydrogen atom transfer between them. The decatungstate anion (W</w:t>
      </w:r>
      <w:r>
        <w:rPr>
          <w:vertAlign w:val="subscript"/>
        </w:rPr>
        <w:t>10</w:t>
      </w:r>
      <w:r>
        <w:t>O</w:t>
      </w:r>
      <w:r>
        <w:rPr>
          <w:vertAlign w:val="subscript"/>
        </w:rPr>
        <w:t>32</w:t>
      </w:r>
      <w:r>
        <w:t>4–</w:t>
      </w:r>
      <w:r>
        <w:t xml:space="preserve"> </w:t>
      </w:r>
      <w:r>
        <w:t>), a photoactive polyoxometalate capable of abstracting hydrogen atoms from C–H bonds on organic molecules, was found to associate noncovalently with CDs in aqueous solution. The large size of W</w:t>
      </w:r>
      <w:r>
        <w:rPr>
          <w:vertAlign w:val="subscript"/>
        </w:rPr>
        <w:t>10</w:t>
      </w:r>
      <w:r>
        <w:t>O</w:t>
      </w:r>
      <w:r>
        <w:rPr>
          <w:vertAlign w:val="subscript"/>
        </w:rPr>
        <w:t>32</w:t>
      </w:r>
      <w:r>
        <w:t>4–</w:t>
      </w:r>
      <w:r>
        <w:t xml:space="preserve"> </w:t>
      </w:r>
      <w:r>
        <w:t>, however, precludes the formation of deep inclusion complexes and confines its interactions with the narrow rim of CDs, as evidenced by</w:t>
      </w:r>
      <w:r>
        <w:rPr>
          <w:vertAlign w:val="subscript"/>
        </w:rPr>
        <w:t>1</w:t>
      </w:r>
      <w:r>
        <w:t>H NMR titration and x‐ray crystallography. This exogenous association increases the effective local concentration of W</w:t>
      </w:r>
      <w:r>
        <w:rPr>
          <w:vertAlign w:val="subscript"/>
        </w:rPr>
        <w:t>10</w:t>
      </w:r>
      <w:r>
        <w:t>O</w:t>
      </w:r>
      <w:r>
        <w:rPr>
          <w:vertAlign w:val="subscript"/>
        </w:rPr>
        <w:t>32</w:t>
      </w:r>
      <w:r>
        <w:t>4–</w:t>
      </w:r>
      <w:r>
        <w:t xml:space="preserve"> </w:t>
      </w:r>
      <w:r>
        <w:t>near the C6–H bonds, accelerating HAT at these positions upon photoexcitation and rendering C6 functionalization kinetically dominant over slower, less selective background pathways. The host‐guest mismatch approach offers a general platform for the selective, one‐step ligations of CDs onto natural products, drugs, fluorescent probes as well as “click” compatible molecular scaffolds.</w:t>
      </w:r>
    </w:p>
    <w:p>
      <w:pPr>
        <w:spacing w:before="120" w:after="120"/>
      </w:pPr>
      <w:r>
        <w:rPr>
          <w:sz w:val="18"/>
        </w:rPr>
        <w:t>——————————————————————————————————————————————————————————————————————</w:t>
      </w:r>
    </w:p>
    <w:p>
      <w:pPr>
        <w:spacing w:before="160" w:after="40" w:line="240" w:lineRule="auto"/>
      </w:pPr>
      <w:r>
        <w:rPr>
          <w:b/>
        </w:rPr>
        <w:t xml:space="preserve">[495] </w:t>
      </w:r>
      <w:hyperlink r:id="rId1466">
        <w:r>
          <w:rPr>
            <w:color w:val="1155CC"/>
            <w:u w:val="single"/>
          </w:rPr>
          <w:t>限制在自柱五硅沸石中的明确的 RhO4 物质作为高级烯烃加氢甲酰化的高效纳米反应器</w:t>
        </w:r>
      </w:hyperlink>
    </w:p>
    <w:p>
      <w:pPr>
        <w:spacing w:before="0" w:after="80"/>
      </w:pPr>
      <w:r>
        <w:rPr>
          <w:i/>
          <w:sz w:val="20"/>
        </w:rPr>
        <w:t>EN: Well‐Defined RhO4 Species Confined in Self‐Pillared Pentasil Zeolite as Efficient Nano Reactors for Hydroformylation of Higher Olefins</w:t>
      </w:r>
    </w:p>
    <w:p>
      <w:pPr>
        <w:spacing w:before="0" w:after="120"/>
      </w:pPr>
      <w:r>
        <w:rPr>
          <w:b/>
        </w:rPr>
        <w:t xml:space="preserve">Source: </w:t>
      </w:r>
      <w:r>
        <w:t>Wiley: Angewandte Chemie International Edition: Table of Contents</w:t>
      </w:r>
      <w:r>
        <w:t xml:space="preserve">    </w:t>
      </w:r>
      <w:r>
        <w:rPr>
          <w:b/>
        </w:rPr>
        <w:t xml:space="preserve">Pub date: </w:t>
      </w:r>
      <w:r>
        <w:t>2026-07-21 19:14:05+00:00</w:t>
      </w:r>
      <w:r>
        <w:t xml:space="preserve">    </w:t>
      </w:r>
      <w:r>
        <w:rPr>
          <w:b/>
        </w:rPr>
        <w:t xml:space="preserve">DOI: </w:t>
      </w:r>
      <w:hyperlink r:id="rId1467">
        <w:r>
          <w:rPr>
            <w:color w:val="1155CC"/>
            <w:u w:val="single"/>
          </w:rPr>
          <w:t>10.1002/anie.9652753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高级烯烃的多相催化加氢甲酰化经常受到底物扩散限制和活性物质不明确的影响。我们使用锚定 Rh 单原子的自柱 MFI 沸石克服了这两个挑战。通过控制反应和焙烧条件，合成了催化剂Rh</w:t>
      </w:r>
      <w:r>
        <w:rPr>
          <w:vertAlign w:val="subscript"/>
        </w:rPr>
        <w:t>1</w:t>
      </w:r>
      <w:r>
        <w:t>@SPP-MFI（Rh</w:t>
      </w:r>
      <w:r>
        <w:rPr>
          <w:vertAlign w:val="subscript"/>
        </w:rPr>
        <w:t>1</w:t>
      </w:r>
      <w:r>
        <w:t>@SPP-S-1，Rh</w:t>
      </w:r>
      <w:r>
        <w:rPr>
          <w:vertAlign w:val="subscript"/>
        </w:rPr>
        <w:t>1</w:t>
      </w:r>
      <w:r>
        <w:t>@SPP-ZSM-5，Rh</w:t>
      </w:r>
      <w:r>
        <w:rPr>
          <w:vertAlign w:val="subscript"/>
        </w:rPr>
        <w:t>1</w:t>
      </w:r>
      <w:r>
        <w:t>@SPP-TS-1）使用一锅法。扩展 X 射线吸收分析与 cs 校正高角度环形暗场扫描透射电子显微镜 (HAADF-STEM) 相结合，证实每个 Rh 原子与四个 O 原子配位为明确定义的 Rh</w:t>
      </w:r>
      <w:r>
        <w:t xml:space="preserve"> </w:t>
      </w:r>
      <w:r>
        <w:t>1.5+</w:t>
      </w:r>
      <w:r>
        <w:t xml:space="preserve"> </w:t>
      </w:r>
      <w:r>
        <w:t>‐O</w:t>
      </w:r>
      <w:r>
        <w:rPr>
          <w:vertAlign w:val="subscript"/>
        </w:rPr>
        <w:t>4</w:t>
      </w:r>
      <w:r>
        <w:t>结构限制在沸石笼中。沸石纳米片的厚度约为1.5</w:t>
      </w:r>
      <w:r>
        <w:t xml:space="preserve"> </w:t>
      </w:r>
      <w:r>
        <w:t>乙</w:t>
      </w:r>
      <w:r>
        <w:t xml:space="preserve"> </w:t>
      </w:r>
      <w:r>
        <w:t>轴晶胞，层间距约 3.0 nm，使其成为理想的纳米反应器。在 353 K 和 2.5 MPa 下，催化剂的周转频率 (TOF) 为 7074 h</w:t>
      </w:r>
      <w:r>
        <w:t xml:space="preserve"> </w:t>
      </w:r>
      <w:r>
        <w:t>−1</w:t>
      </w:r>
      <w:r>
        <w:t xml:space="preserve"> </w:t>
      </w:r>
      <w:r>
        <w:t>对于 1-辛烯到壬醛，在可比条件下优于大多数均相/多相催化剂。经过 5 个循环（36 小时），每个 Rh 原子每小时处理约 6881 个烯烃分子。密度泛函理论 (DFT) 揭示了 RhO 中从 O 到 Rh 的明显电子转移</w:t>
      </w:r>
      <w:r>
        <w:rPr>
          <w:vertAlign w:val="subscript"/>
        </w:rPr>
        <w:t>4</w:t>
      </w:r>
      <w:r>
        <w:t>单位和灵活的</w:t>
      </w:r>
    </w:p>
    <w:p>
      <w:pPr>
        <w:spacing w:before="0" w:after="200" w:lineRule="auto" w:line="276"/>
      </w:pPr>
      <w:r>
        <w:rPr>
          <w:b/>
        </w:rPr>
        <w:t xml:space="preserve">Abstract (EN): </w:t>
      </w:r>
      <w:r>
        <w:t>Heterogeneous catalytic hydroformylation of higher olefins often suffers from substrate diffusion limitations and unclear active species. We overcame both challenges using a self‐pillared MFI zeolite anchoring Rh single atoms. By controlling reaction and calcination conditions, we synthesized catalyst Rh</w:t>
      </w:r>
      <w:r>
        <w:rPr>
          <w:vertAlign w:val="subscript"/>
        </w:rPr>
        <w:t>1</w:t>
      </w:r>
      <w:r>
        <w:t>@SPP‐MFI (Rh</w:t>
      </w:r>
      <w:r>
        <w:rPr>
          <w:vertAlign w:val="subscript"/>
        </w:rPr>
        <w:t>1</w:t>
      </w:r>
      <w:r>
        <w:t>@SPP‐S‐1, Rh</w:t>
      </w:r>
      <w:r>
        <w:rPr>
          <w:vertAlign w:val="subscript"/>
        </w:rPr>
        <w:t>1</w:t>
      </w:r>
      <w:r>
        <w:t>@SPP‐ZSM‐5, Rh</w:t>
      </w:r>
      <w:r>
        <w:rPr>
          <w:vertAlign w:val="subscript"/>
        </w:rPr>
        <w:t>1</w:t>
      </w:r>
      <w:r>
        <w:t>@SPP‐TS‐1) using a one‐pot method. Extended x‐ray absorption analysis combined with cs‐corrected high‐angle annular dark field scanning transmission electron microscopy (HAADF‐STEM) confirmed each Rh atom coordinated with four O atoms as a well‐defined Rh</w:t>
      </w:r>
      <w:r>
        <w:t xml:space="preserve"> </w:t>
      </w:r>
      <w:r>
        <w:t>1.5+</w:t>
      </w:r>
      <w:r>
        <w:t xml:space="preserve"> </w:t>
      </w:r>
      <w:r>
        <w:t>‐O</w:t>
      </w:r>
      <w:r>
        <w:rPr>
          <w:vertAlign w:val="subscript"/>
        </w:rPr>
        <w:t>4</w:t>
      </w:r>
      <w:r>
        <w:t>structure confined in zeolite cages. The thickness of the zeolite nanosheets was approximately 1.5</w:t>
      </w:r>
      <w:r>
        <w:t xml:space="preserve"> </w:t>
      </w:r>
      <w:r>
        <w:t>b</w:t>
      </w:r>
      <w:r>
        <w:t xml:space="preserve"> </w:t>
      </w:r>
      <w:r>
        <w:t>‐axis unit cells, interlayer spacing ∼ 3.0 nm, making them ideal as nanoreactors. At 353 K and 2.5 MPa, the catalyst achieved a turnover frequency (TOF) of 7074 h</w:t>
      </w:r>
      <w:r>
        <w:t xml:space="preserve"> </w:t>
      </w:r>
      <w:r>
        <w:t>−1</w:t>
      </w:r>
      <w:r>
        <w:t xml:space="preserve"> </w:t>
      </w:r>
      <w:r>
        <w:t>for 1‐octene to nonanal, outperforming most homogeneous/heterogeneous catalysts under comparable conditions. Over five cycles (36 h), each Rh atom processed ∼6881 olefin molecules per hour. Density functional theory (DFT) revealed evident electron transfer from O to Rh in the RhO</w:t>
      </w:r>
      <w:r>
        <w:rPr>
          <w:vertAlign w:val="subscript"/>
        </w:rPr>
        <w:t>4</w:t>
      </w:r>
      <w:r>
        <w:t>unit, and the flexible Rh‐O bonds mitigated steric hindrance during hydroformylation. This work reveals the microstructure and working mechanism of supported Rh catalysts, and correlates them with the classical homogeneous catalytic mechanism.</w:t>
      </w:r>
    </w:p>
    <w:p>
      <w:pPr>
        <w:spacing w:before="120" w:after="120"/>
      </w:pPr>
      <w:r>
        <w:rPr>
          <w:sz w:val="18"/>
        </w:rPr>
        <w:t>——————————————————————————————————————————————————————————————————————</w:t>
      </w:r>
    </w:p>
    <w:p>
      <w:pPr>
        <w:spacing w:before="160" w:after="40" w:line="240" w:lineRule="auto"/>
      </w:pPr>
      <w:r>
        <w:rPr>
          <w:b/>
        </w:rPr>
        <w:t xml:space="preserve">[496] </w:t>
      </w:r>
      <w:hyperlink r:id="rId1468">
        <w:r>
          <w:rPr>
            <w:color w:val="1155CC"/>
            <w:u w:val="single"/>
          </w:rPr>
          <w:t>通过双功能儿茶酚重新绘制 α-叔烷基胺的合成景观</w:t>
        </w:r>
      </w:hyperlink>
    </w:p>
    <w:p>
      <w:pPr>
        <w:spacing w:before="0" w:after="80"/>
      </w:pPr>
      <w:r>
        <w:rPr>
          <w:i/>
          <w:sz w:val="20"/>
        </w:rPr>
        <w:t>EN: Remapping the Synthetic Landscape of α‐Tertiary Alkylamines via Dual‐Functional Catechol</w:t>
      </w:r>
    </w:p>
    <w:p>
      <w:pPr>
        <w:spacing w:before="0" w:after="120"/>
      </w:pPr>
      <w:r>
        <w:rPr>
          <w:b/>
        </w:rPr>
        <w:t xml:space="preserve">Source: </w:t>
      </w:r>
      <w:r>
        <w:t>Wiley: Angewandte Chemie International Edition: Table of Contents</w:t>
      </w:r>
      <w:r>
        <w:t xml:space="preserve">    </w:t>
      </w:r>
      <w:r>
        <w:rPr>
          <w:b/>
        </w:rPr>
        <w:t xml:space="preserve">Pub date: </w:t>
      </w:r>
      <w:r>
        <w:t>2026-07-21 19:14:11+00:00</w:t>
      </w:r>
      <w:r>
        <w:t xml:space="preserve">    </w:t>
      </w:r>
      <w:r>
        <w:rPr>
          <w:b/>
        </w:rPr>
        <w:t xml:space="preserve">DOI: </w:t>
      </w:r>
      <w:hyperlink r:id="rId1469">
        <w:r>
          <w:rPr>
            <w:color w:val="1155CC"/>
            <w:u w:val="single"/>
          </w:rPr>
          <w:t>10.1002/anie.9109858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α-叔烷基胺是具有强烈生物活性倾向的特殊基序，使得它们的有效合成在不同的化学领域中至关重要。尽管最近在脂肪胺制备方面取得了进展，但直接构建受阻</w:t>
      </w:r>
      <w:r>
        <w:t xml:space="preserve"> </w:t>
      </w:r>
      <w:r>
        <w:t>α</w:t>
      </w:r>
      <w:r>
        <w:t xml:space="preserve"> </w:t>
      </w:r>
      <w:r>
        <w:t>‐叔胺仍然是一个长期存在的挑战。在这里，我们报告了一种三组分组装体，它利用儿茶酚的双重作用，能够从容易获得的、实验室稳定的反应物中模块化合成这些基序。该方法表现出优异的官能团耐受性，并提供了多种合成要求较高的分子结构，包括连续的四级中心以及邻氨基醚和二胺片段。因此，这种方法是对化学家工具箱的宝贵补充</w:t>
      </w:r>
      <w:r>
        <w:t xml:space="preserve"> </w:t>
      </w:r>
      <w:r>
        <w:t>α</w:t>
      </w:r>
      <w:r>
        <w:t xml:space="preserve"> </w:t>
      </w:r>
      <w:r>
        <w:t>‐叔烷基胺，为复杂靶点提供简化的途径，并为药物发现提供重要的可能性。</w:t>
      </w:r>
    </w:p>
    <w:p>
      <w:pPr>
        <w:spacing w:before="0" w:after="200" w:lineRule="auto" w:line="276"/>
      </w:pPr>
      <w:r>
        <w:rPr>
          <w:b/>
        </w:rPr>
        <w:t xml:space="preserve">Abstract (EN): </w:t>
      </w:r>
      <w:r>
        <w:t>α‐Tertiary alkylamines are privileged motifs with a strong propensity to be bioactive, rendering their efficient synthesis fundamentally important across diverse areas of chemistry. Despite recent advances in aliphatic amine preparation, the direct construction of hindered</w:t>
      </w:r>
      <w:r>
        <w:t xml:space="preserve"> </w:t>
      </w:r>
      <w:r>
        <w:t>α</w:t>
      </w:r>
      <w:r>
        <w:t xml:space="preserve"> </w:t>
      </w:r>
      <w:r>
        <w:t>‐tertiary amines remains a long‐standing challenge. Here, we report a three‐component assembly that exploits the dual role of catechol to enable the modular synthesis of these motifs from readily available, bench‐stable reactants. This method exhibits exceptional functional‐group tolerance and provides access to a variety of synthetically demanding molecular architectures, including consecutive quaternary centers as well as vicinal aminoether and diamine fragments. This approach, therefore, represents a valuable supplement to the chemist's toolbox for</w:t>
      </w:r>
      <w:r>
        <w:t xml:space="preserve"> </w:t>
      </w:r>
      <w:r>
        <w:t>α</w:t>
      </w:r>
      <w:r>
        <w:t xml:space="preserve"> </w:t>
      </w:r>
      <w:r>
        <w:t>‐tertiary alkylamines, offering streamlined routes to complex targets and significant possibilities in drug discovery.</w:t>
      </w:r>
    </w:p>
    <w:p>
      <w:pPr>
        <w:spacing w:before="120" w:after="120"/>
      </w:pPr>
      <w:r>
        <w:rPr>
          <w:sz w:val="18"/>
        </w:rPr>
        <w:t>——————————————————————————————————————————————————————————————————————</w:t>
      </w:r>
    </w:p>
    <w:p>
      <w:pPr>
        <w:spacing w:before="160" w:after="40" w:line="240" w:lineRule="auto"/>
      </w:pPr>
      <w:r>
        <w:rPr>
          <w:b/>
        </w:rPr>
        <w:t xml:space="preserve">[497] </w:t>
      </w:r>
      <w:hyperlink r:id="rId1470">
        <w:r>
          <w:rPr>
            <w:color w:val="1155CC"/>
            <w:u w:val="single"/>
          </w:rPr>
          <w:t>对“用于深度穿透X射线诱导光动力疗法的纳米级金属有机层”的修正</w:t>
        </w:r>
      </w:hyperlink>
    </w:p>
    <w:p>
      <w:pPr>
        <w:spacing w:before="0" w:after="80"/>
      </w:pPr>
      <w:r>
        <w:rPr>
          <w:i/>
          <w:sz w:val="20"/>
        </w:rPr>
        <w:t>EN: Correction to “Nanoscale Metal–Organic Layers for Deeply Penetrating X‐ray‐Induced Photodynamic Therapy”</w:t>
      </w:r>
    </w:p>
    <w:p>
      <w:pPr>
        <w:spacing w:before="0" w:after="120"/>
      </w:pPr>
      <w:r>
        <w:rPr>
          <w:b/>
        </w:rPr>
        <w:t xml:space="preserve">Source: </w:t>
      </w:r>
      <w:r>
        <w:t>Wiley: Angewandte Chemie International Edition: Table of Contents</w:t>
      </w:r>
      <w:r>
        <w:t xml:space="preserve">    </w:t>
      </w:r>
      <w:r>
        <w:rPr>
          <w:b/>
        </w:rPr>
        <w:t xml:space="preserve">Pub date: </w:t>
      </w:r>
      <w:r>
        <w:t>2026-07-21 19:15:23+00:00</w:t>
      </w:r>
      <w:r>
        <w:t xml:space="preserve">    </w:t>
      </w:r>
      <w:r>
        <w:rPr>
          <w:b/>
        </w:rPr>
        <w:t xml:space="preserve">DOI: </w:t>
      </w:r>
      <w:hyperlink r:id="rId1471">
        <w:r>
          <w:rPr>
            <w:color w:val="1155CC"/>
            <w:u w:val="single"/>
          </w:rPr>
          <w:t>10.1002/anie.4469734</w:t>
        </w:r>
      </w:hyperlink>
    </w:p>
    <w:p>
      <w:pPr>
        <w:spacing w:before="0" w:after="120"/>
      </w:pPr>
      <w:r>
        <w:rPr>
          <w:b/>
        </w:rPr>
        <w:t xml:space="preserve">Notes: </w:t>
      </w:r>
      <w:r>
        <w:t>abstract_source=openalex</w:t>
      </w:r>
    </w:p>
    <w:p>
      <w:pPr>
        <w:spacing w:before="0" w:after="80" w:lineRule="auto" w:line="276"/>
      </w:pPr>
      <w:r>
        <w:rPr>
          <w:b/>
        </w:rPr>
        <w:t xml:space="preserve">摘要（ZH）: </w:t>
      </w:r>
      <w:r>
        <w:t>G. Lan、K. Ni、R. Xu 等人，“用于深度穿透 X 射线诱导光动力治疗的纳米级金属有机层”，Angewandte Chemie 国际版 56 (2017)：12102–12106，https://doi.org/10.1002/anie.201704828。修订后的支持信息文件包含更正的图 S35 和替换的图 S36 与本勘误表一起提供。这些校正不会影响结果或结论，因为校正和替换的组织学图像继续表明，MOL 加上 X 射线照射可诱导肿瘤细胞凋亡/坏死，而不会对正常器官造成可检测到的损伤。对于这个错误，我们深表歉意。请注意：出版商不对作者提供的任何支持信息的内容或功能负责。任何疑问（缺失内容除外）应直接联系文章的相应作者。</w:t>
      </w:r>
    </w:p>
    <w:p>
      <w:pPr>
        <w:spacing w:before="0" w:after="200" w:lineRule="auto" w:line="276"/>
      </w:pPr>
      <w:r>
        <w:rPr>
          <w:b/>
        </w:rPr>
        <w:t xml:space="preserve">Abstract (EN): </w:t>
      </w:r>
      <w:r>
        <w:t>G. Lan, K. Ni, R. Xu, et al., “Nanoscale Metal-Organic Layers for Deeply Penetrating X-ray-Induced Photodynamic Therapy,” Angewandte Chemie International Edition 56 (2017): 12102–12106, https://doi.org/10.1002/anie.201704828. A revised Supporting Information file containing the corrected Figure S35 and the replaced Figure S36 is provided together with this Corrigendum. These corrections do not affect the results or conclusions, as the corrected and replaced histology images continue to show that MOL plus x-ray irradiation induces apoptosis/necrosis in tumors without causing detectable damage to normal organs. We apologize for this error. Please note: The publisher is not responsible for the content or functionality of any supporting information supplied by the authors. Any queries (other than missing content) should be directed to the corresponding author for the article.</w:t>
      </w:r>
    </w:p>
    <w:p>
      <w:pPr>
        <w:spacing w:before="120" w:after="120"/>
      </w:pPr>
      <w:r>
        <w:rPr>
          <w:sz w:val="18"/>
        </w:rPr>
        <w:t>——————————————————————————————————————————————————————————————————————</w:t>
      </w:r>
    </w:p>
    <w:p>
      <w:pPr>
        <w:spacing w:before="160" w:after="40" w:line="240" w:lineRule="auto"/>
      </w:pPr>
      <w:r>
        <w:rPr>
          <w:b/>
        </w:rPr>
        <w:t xml:space="preserve">[498] </w:t>
      </w:r>
      <w:hyperlink r:id="rId1472">
        <w:r>
          <w:rPr>
            <w:color w:val="1155CC"/>
            <w:u w:val="single"/>
          </w:rPr>
          <w:t>镍催化炔烃的不对称氢磷酰胺化</w:t>
        </w:r>
      </w:hyperlink>
    </w:p>
    <w:p>
      <w:pPr>
        <w:spacing w:before="0" w:after="80"/>
      </w:pPr>
      <w:r>
        <w:rPr>
          <w:i/>
          <w:sz w:val="20"/>
        </w:rPr>
        <w:t>EN: Nickel‐Catalyzed Asymmetric Hydrophosphinamidation of Alkynes</w:t>
      </w:r>
    </w:p>
    <w:p>
      <w:pPr>
        <w:spacing w:before="0" w:after="120"/>
      </w:pPr>
      <w:r>
        <w:rPr>
          <w:b/>
        </w:rPr>
        <w:t xml:space="preserve">Source: </w:t>
      </w:r>
      <w:r>
        <w:t>Wiley: Angewandte Chemie International Edition: Table of Contents</w:t>
      </w:r>
      <w:r>
        <w:t xml:space="preserve">    </w:t>
      </w:r>
      <w:r>
        <w:rPr>
          <w:b/>
        </w:rPr>
        <w:t xml:space="preserve">Pub date: </w:t>
      </w:r>
      <w:r>
        <w:t>2026-07-21 19:17:19+00:00</w:t>
      </w:r>
      <w:r>
        <w:t xml:space="preserve">    </w:t>
      </w:r>
      <w:r>
        <w:rPr>
          <w:b/>
        </w:rPr>
        <w:t xml:space="preserve">DOI: </w:t>
      </w:r>
      <w:hyperlink r:id="rId1473">
        <w:r>
          <w:rPr>
            <w:color w:val="1155CC"/>
            <w:u w:val="single"/>
          </w:rPr>
          <w:t>10.1002/anie.4145640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磷</w:t>
      </w:r>
      <w:r>
        <w:t xml:space="preserve"> </w:t>
      </w:r>
      <w:r>
        <w:t>‐立体亚膦酰胺是药物发现和手性配体设计中非常关键的结构基序。尽管它们很实用，但催化对映选择性获得这些化合物仍然是一个艰巨的挑战。在此，我们报道了第一个镍催化的炔烃不对称氢膦酰胺化反应。该方案能够高效、对映选择性地合成结构多样的烯基亚膦酰胺，可容纳多种</w:t>
      </w:r>
      <w:r>
        <w:t xml:space="preserve"> </w:t>
      </w:r>
      <w:r>
        <w:t>氮,氮</w:t>
      </w:r>
      <w:r>
        <w:t xml:space="preserve"> </w:t>
      </w:r>
      <w:r>
        <w:t>-二烷基和</w:t>
      </w:r>
      <w:r>
        <w:t xml:space="preserve"> </w:t>
      </w:r>
      <w:r>
        <w:t>氮</w:t>
      </w:r>
      <w:r>
        <w:t xml:space="preserve"> </w:t>
      </w:r>
      <w:r>
        <w:t>-烷基取代</w:t>
      </w:r>
      <w:r>
        <w:t xml:space="preserve"> </w:t>
      </w:r>
      <w:r>
        <w:t>H</w:t>
      </w:r>
      <w:r>
        <w:t xml:space="preserve"> </w:t>
      </w:r>
      <w:r>
        <w:t>‐磷酰胺类药物。值得注意的是，所得产物在四个不同位点表现出正交反应性，作为复杂的发散合成的强大且通用的平台</w:t>
      </w:r>
      <w:r>
        <w:t xml:space="preserve"> </w:t>
      </w:r>
      <w:r>
        <w:t>磷</w:t>
      </w:r>
      <w:r>
        <w:t xml:space="preserve"> </w:t>
      </w:r>
      <w:r>
        <w:t>‐立体结构。</w:t>
      </w:r>
    </w:p>
    <w:p>
      <w:pPr>
        <w:spacing w:before="0" w:after="200" w:lineRule="auto" w:line="276"/>
      </w:pPr>
      <w:r>
        <w:rPr>
          <w:b/>
        </w:rPr>
        <w:t xml:space="preserve">Abstract (EN): </w:t>
      </w:r>
      <w:r>
        <w:t>P</w:t>
      </w:r>
      <w:r>
        <w:t xml:space="preserve"> </w:t>
      </w:r>
      <w:r>
        <w:t>‐stereogenic phosphinamidates are highly pivotal structural motifs in drug discovery and the design of chiral ligands. Despite their utility, catalytic enantioselective access to these compounds remains a formidable challenge. Herein, we report the first nickel‐catalyzed asymmetric hydrophosphinamidation of alkynes. This protocol enables the highly efficient and enantioselective synthesis of structurally diverse alkenyl phosphinamidates, accommodating a wide array of both</w:t>
      </w:r>
      <w:r>
        <w:t xml:space="preserve"> </w:t>
      </w:r>
      <w:r>
        <w:t>N, N</w:t>
      </w:r>
      <w:r>
        <w:t xml:space="preserve"> </w:t>
      </w:r>
      <w:r>
        <w:t>‐dialkyl and</w:t>
      </w:r>
      <w:r>
        <w:t xml:space="preserve"> </w:t>
      </w:r>
      <w:r>
        <w:t>N</w:t>
      </w:r>
      <w:r>
        <w:t xml:space="preserve"> </w:t>
      </w:r>
      <w:r>
        <w:t>‐alkyl substituted</w:t>
      </w:r>
      <w:r>
        <w:t xml:space="preserve"> </w:t>
      </w:r>
      <w:r>
        <w:t>H</w:t>
      </w:r>
      <w:r>
        <w:t xml:space="preserve"> </w:t>
      </w:r>
      <w:r>
        <w:t>‐phosphinamides. Notably, the resulting products exhibit orthogonal reactivities at four distinct sites, serving as a powerful and universal platform for the divergent synthesis of complex</w:t>
      </w:r>
      <w:r>
        <w:t xml:space="preserve"> </w:t>
      </w:r>
      <w:r>
        <w:t>P</w:t>
      </w:r>
      <w:r>
        <w:t xml:space="preserve"> </w:t>
      </w:r>
      <w:r>
        <w:t>‐stereogenic architectures.</w:t>
      </w:r>
    </w:p>
    <w:p>
      <w:pPr>
        <w:spacing w:before="120" w:after="120"/>
      </w:pPr>
      <w:r>
        <w:rPr>
          <w:sz w:val="18"/>
        </w:rPr>
        <w:t>——————————————————————————————————————————————————————————————————————</w:t>
      </w:r>
    </w:p>
    <w:p>
      <w:pPr>
        <w:spacing w:before="160" w:after="40" w:line="240" w:lineRule="auto"/>
      </w:pPr>
      <w:r>
        <w:rPr>
          <w:b/>
        </w:rPr>
        <w:t xml:space="preserve">[499] </w:t>
      </w:r>
      <w:hyperlink r:id="rId1474">
        <w:r>
          <w:rPr>
            <w:color w:val="1155CC"/>
            <w:u w:val="single"/>
          </w:rPr>
          <w:t>水中可逆点击反应：稳健且可定制的合成工具</w:t>
        </w:r>
      </w:hyperlink>
    </w:p>
    <w:p>
      <w:pPr>
        <w:spacing w:before="0" w:after="80"/>
      </w:pPr>
      <w:r>
        <w:rPr>
          <w:i/>
          <w:sz w:val="20"/>
        </w:rPr>
        <w:t>EN: Reversible Click Reactions in Water: A Robust and Customizable Synthetic Tool</w:t>
      </w:r>
    </w:p>
    <w:p>
      <w:pPr>
        <w:spacing w:before="0" w:after="120"/>
      </w:pPr>
      <w:r>
        <w:rPr>
          <w:b/>
        </w:rPr>
        <w:t xml:space="preserve">Source: </w:t>
      </w:r>
      <w:r>
        <w:t>Wiley: Angewandte Chemie International Edition: Table of Contents</w:t>
      </w:r>
      <w:r>
        <w:t xml:space="preserve">    </w:t>
      </w:r>
      <w:r>
        <w:rPr>
          <w:b/>
        </w:rPr>
        <w:t xml:space="preserve">Pub date: </w:t>
      </w:r>
      <w:r>
        <w:t>2026-07-21 19:18:53+00:00</w:t>
      </w:r>
      <w:r>
        <w:t xml:space="preserve">    </w:t>
      </w:r>
      <w:r>
        <w:rPr>
          <w:b/>
        </w:rPr>
        <w:t xml:space="preserve">DOI: </w:t>
      </w:r>
      <w:hyperlink r:id="rId1475">
        <w:r>
          <w:rPr>
            <w:color w:val="1155CC"/>
            <w:u w:val="single"/>
          </w:rPr>
          <w:t>10.1002/anie.5790044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除了点击化学的范畴之外，可逆点击化学是指一类满足点击反应所有特征的偶联反应，并且为可控解偶联过程提供了良好的途径。由于强大的能量增益抑制了解离路径，赋予点击反应可逆性极具挑战性。在这里，我们报告了高度可定制的硫桥之间的可逆点击反应</w:t>
      </w:r>
      <w:r>
        <w:t xml:space="preserve"> </w:t>
      </w:r>
      <w:r>
        <w:t>氮</w:t>
      </w:r>
      <w:r>
        <w:t xml:space="preserve"> </w:t>
      </w:r>
      <w:r>
        <w:t>-芳基喹啉鎓衍生物和硫醇以闭环方式通过拮抗亲核加成实现芳构化。点击和去点击过程可以分别通过使用碱和酸来控制，两者都具有接近统一的效率、快速的动力学和化学计量依赖性。由于具有优异的选择性和鲁棒性，这种可逆点击反应首次可以在纯水条件下良好地进行，并实现可逆的蛋白质修饰。我们预计这项工作为绿色合成提供了一种新颖的方法，具有高原子经济性和可擦除的生化修饰。</w:t>
      </w:r>
    </w:p>
    <w:p>
      <w:pPr>
        <w:spacing w:before="0" w:after="200" w:lineRule="auto" w:line="276"/>
      </w:pPr>
      <w:r>
        <w:rPr>
          <w:b/>
        </w:rPr>
        <w:t xml:space="preserve">Abstract (EN): </w:t>
      </w:r>
      <w:r>
        <w:t>Beyond the context of click chemistry, reversible click chemistry refers to a class of coupling reactions that satisfy all the characters of click reaction, besides offering well access for controllable decoupling process. Endowing click reaction with reversibility is extremely challenging due to the strong energy gain, which inhibits the path of disassociation. Herein, we report the reversible click reactions between highly customizable sulfur‐bridged</w:t>
      </w:r>
      <w:r>
        <w:t xml:space="preserve"> </w:t>
      </w:r>
      <w:r>
        <w:t>N</w:t>
      </w:r>
      <w:r>
        <w:t xml:space="preserve"> </w:t>
      </w:r>
      <w:r>
        <w:t>‐aryl quinolinium derivatives and thiols in a closed‐loop approach, enabled by antagonistic nucleophilic addition toward aromatization. The click and declick process can be manipulated by employing base and acid, respectively, both featured with near‐unity efficiency, fast dynamics and stoichiometric dependence. Owing to excellent selectivity and robustness, this reversible click reaction can be well conducted in pure aqueous condition for the first time and achieve reversible protein modification. We anticipate that this work provides a novel methodology for green synthesis with high atom economy and biochemical modification in an erasable manner.</w:t>
      </w:r>
    </w:p>
    <w:p>
      <w:pPr>
        <w:spacing w:before="120" w:after="120"/>
      </w:pPr>
      <w:r>
        <w:rPr>
          <w:sz w:val="18"/>
        </w:rPr>
        <w:t>——————————————————————————————————————————————————————————————————————</w:t>
      </w:r>
    </w:p>
    <w:p>
      <w:pPr>
        <w:spacing w:before="160" w:after="40" w:line="240" w:lineRule="auto"/>
      </w:pPr>
      <w:r>
        <w:rPr>
          <w:b/>
        </w:rPr>
        <w:t xml:space="preserve">[500] </w:t>
      </w:r>
      <w:hyperlink r:id="rId1476">
        <w:r>
          <w:rPr>
            <w:color w:val="1155CC"/>
            <w:u w:val="single"/>
          </w:rPr>
          <w:t>逻辑响应型超球形核酸可实现肿瘤特异性多重基因沉默，从而实现有效的癌症治疗</w:t>
        </w:r>
      </w:hyperlink>
    </w:p>
    <w:p>
      <w:pPr>
        <w:spacing w:before="0" w:after="80"/>
      </w:pPr>
      <w:r>
        <w:rPr>
          <w:i/>
          <w:sz w:val="20"/>
        </w:rPr>
        <w:t>EN: Logic‐Responsive Superspherical Nucleic Acid Enables Tumor‐Specific Multiplexed Gene Silencing for Efficient Cancer Therapy</w:t>
      </w:r>
    </w:p>
    <w:p>
      <w:pPr>
        <w:spacing w:before="0" w:after="120"/>
      </w:pPr>
      <w:r>
        <w:rPr>
          <w:b/>
        </w:rPr>
        <w:t xml:space="preserve">Source: </w:t>
      </w:r>
      <w:r>
        <w:t>Wiley: Angewandte Chemie International Edition: Table of Contents</w:t>
      </w:r>
      <w:r>
        <w:t xml:space="preserve">    </w:t>
      </w:r>
      <w:r>
        <w:rPr>
          <w:b/>
        </w:rPr>
        <w:t xml:space="preserve">Pub date: </w:t>
      </w:r>
      <w:r>
        <w:t>2026-07-21 19:19:33+00:00</w:t>
      </w:r>
      <w:r>
        <w:t xml:space="preserve">    </w:t>
      </w:r>
      <w:r>
        <w:rPr>
          <w:b/>
        </w:rPr>
        <w:t xml:space="preserve">DOI: </w:t>
      </w:r>
      <w:hyperlink r:id="rId1477">
        <w:r>
          <w:rPr>
            <w:color w:val="1155CC"/>
            <w:u w:val="single"/>
          </w:rPr>
          <w:t>10.1002/anie.7096315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基因靶向疗法对于针对多种“不可成药”的癌基因引起了极大的兴趣。然而，它们的治疗效果在很大程度上受到脱靶毒性和固有的肿瘤异质性的阻碍。在这里，我们描述了一个逻辑响应</w:t>
      </w:r>
      <w:r>
        <w:t xml:space="preserve"> </w:t>
      </w:r>
      <w:r>
        <w:t>s</w:t>
      </w:r>
      <w:r>
        <w:t xml:space="preserve"> </w:t>
      </w:r>
      <w:r>
        <w:t>上层</w:t>
      </w:r>
      <w:r>
        <w:t xml:space="preserve"> </w:t>
      </w:r>
      <w:r>
        <w:t>s</w:t>
      </w:r>
      <w:r>
        <w:t xml:space="preserve"> </w:t>
      </w:r>
      <w:r>
        <w:t>球形的</w:t>
      </w:r>
      <w:r>
        <w:t xml:space="preserve"> </w:t>
      </w:r>
      <w:r>
        <w:t>n</w:t>
      </w:r>
      <w:r>
        <w:t xml:space="preserve"> </w:t>
      </w:r>
      <w:r>
        <w:t>核酸</w:t>
      </w:r>
      <w:r>
        <w:t xml:space="preserve"> </w:t>
      </w:r>
      <w:r>
        <w:t>一个</w:t>
      </w:r>
      <w:r>
        <w:t xml:space="preserve"> </w:t>
      </w:r>
      <w:r>
        <w:t>cid (SSNA) 具有按需、可激活的功能，可实现肿瘤特异性多重基因沉默，从而实现有效的癌症治疗。 SSNA 架构的特点是具有抗核酸酶的球形核酸核心，其上紧密包裹着 Y 形 DNA 电路外壳，该外壳选择性地响应脱嘌呤/脱嘧啶核酸内切酶 1 (APE1)，这是一种在肿瘤细胞质中过度表达的生物标志物。在细胞内 APE1 触发的壳分解后，SSNA 能够控制释放靶向胸苷激酶 1 的分裂反义寡核苷酸（</w:t>
      </w:r>
      <w:r>
        <w:t xml:space="preserve"> </w:t>
      </w:r>
      <w:r>
        <w:t>TK1</w:t>
      </w:r>
      <w:r>
        <w:t xml:space="preserve"> </w:t>
      </w:r>
      <w:r>
        <w:t>) 裂解的 mRNA 和 DNAzyme</w:t>
      </w:r>
      <w:r>
        <w:t xml:space="preserve"> </w:t>
      </w:r>
      <w:r>
        <w:t>生存素</w:t>
      </w:r>
      <w:r>
        <w:t xml:space="preserve"> </w:t>
      </w:r>
      <w:r>
        <w:t>mRNA。体外和体内结果均显示出强大的双基因沉默</w:t>
      </w:r>
      <w:r>
        <w:t xml:space="preserve"> </w:t>
      </w:r>
      <w:r>
        <w:t>TK1</w:t>
      </w:r>
      <w:r>
        <w:t xml:space="preserve"> </w:t>
      </w:r>
      <w:r>
        <w:t>和</w:t>
      </w:r>
      <w:r>
        <w:t xml:space="preserve"> </w:t>
      </w:r>
      <w:r>
        <w:t>生存素</w:t>
      </w:r>
      <w:r>
        <w:t xml:space="preserve"> </w:t>
      </w:r>
      <w:r>
        <w:t>在转录和翻译水平上，伴随着特殊的肿瘤</w:t>
      </w:r>
    </w:p>
    <w:p>
      <w:pPr>
        <w:spacing w:before="0" w:after="200" w:lineRule="auto" w:line="276"/>
      </w:pPr>
      <w:r>
        <w:rPr>
          <w:b/>
        </w:rPr>
        <w:t xml:space="preserve">Abstract (EN): </w:t>
      </w:r>
      <w:r>
        <w:t>Gene‐targeted therapies are of considerable interest for targeting multiple “undruggable” oncogenes. However, their therapeutic efficacy is largely hampered by off‐target toxicity and inherent tumor heterogeneity. Herein, we describe a logic‐responsive</w:t>
      </w:r>
      <w:r>
        <w:t xml:space="preserve"> </w:t>
      </w:r>
      <w:r>
        <w:t>s</w:t>
      </w:r>
      <w:r>
        <w:t xml:space="preserve"> </w:t>
      </w:r>
      <w:r>
        <w:t>uper</w:t>
      </w:r>
      <w:r>
        <w:t xml:space="preserve"> </w:t>
      </w:r>
      <w:r>
        <w:t>s</w:t>
      </w:r>
      <w:r>
        <w:t xml:space="preserve"> </w:t>
      </w:r>
      <w:r>
        <w:t>pherical</w:t>
      </w:r>
      <w:r>
        <w:t xml:space="preserve"> </w:t>
      </w:r>
      <w:r>
        <w:t>n</w:t>
      </w:r>
      <w:r>
        <w:t xml:space="preserve"> </w:t>
      </w:r>
      <w:r>
        <w:t>ucleic</w:t>
      </w:r>
      <w:r>
        <w:t xml:space="preserve"> </w:t>
      </w:r>
      <w:r>
        <w:t>a</w:t>
      </w:r>
      <w:r>
        <w:t xml:space="preserve"> </w:t>
      </w:r>
      <w:r>
        <w:t>cid (SSNA) with on‐demand, activatable functionality that enables tumor‐specific multiplexed gene silencing for efficient cancer therapy. The SSNA architecture features a nuclease‐resistant spherical nucleic acid core densely coated with a Y‐shaped DNA circuit shell that selectively responds to apurinic/apyrimidinic endonuclease 1 (APE1), a biomarker overexpressed in tumor cytoplasm. Upon intracellular APE1‐triggered shell disassembly, the SSNA enables the controlled release of split antisense oligonucleotides targeting thymidine kinase 1 (</w:t>
      </w:r>
      <w:r>
        <w:t xml:space="preserve"> </w:t>
      </w:r>
      <w:r>
        <w:t>TK1</w:t>
      </w:r>
      <w:r>
        <w:t xml:space="preserve"> </w:t>
      </w:r>
      <w:r>
        <w:t>) mRNA and DNAzymes that cleave</w:t>
      </w:r>
      <w:r>
        <w:t xml:space="preserve"> </w:t>
      </w:r>
      <w:r>
        <w:t>survivin</w:t>
      </w:r>
      <w:r>
        <w:t xml:space="preserve"> </w:t>
      </w:r>
      <w:r>
        <w:t>mRNA. Both in vitro and in vivo results demonstrated robust dual‐gene silencing of</w:t>
      </w:r>
      <w:r>
        <w:t xml:space="preserve"> </w:t>
      </w:r>
      <w:r>
        <w:t>TK1</w:t>
      </w:r>
      <w:r>
        <w:t xml:space="preserve"> </w:t>
      </w:r>
      <w:r>
        <w:t>and</w:t>
      </w:r>
      <w:r>
        <w:t xml:space="preserve"> </w:t>
      </w:r>
      <w:r>
        <w:t>survivin</w:t>
      </w:r>
      <w:r>
        <w:t xml:space="preserve"> </w:t>
      </w:r>
      <w:r>
        <w:t>at both transcriptional and translational levels, accompanied by exceptional tumor specificity and minimal off‐target effects. Notably, in a murine MCF‐7 xenograft model, SSNA significantly suppressed tumor growth and extended median survival by an impressive 70% compared to single‐target interventions. By integrating tumor‐specific activation with multiplexed gene silencing, such an SSNA platform offers a powerful and versatile approach for advancing next‐generation precision cancer therapies.</w:t>
      </w:r>
    </w:p>
    <w:p>
      <w:pPr>
        <w:spacing w:before="120" w:after="120"/>
      </w:pPr>
      <w:r>
        <w:rPr>
          <w:sz w:val="18"/>
        </w:rPr>
        <w:t>——————————————————————————————————————————————————————————————————————</w:t>
      </w:r>
    </w:p>
    <w:p>
      <w:pPr>
        <w:spacing w:before="160" w:after="40" w:line="240" w:lineRule="auto"/>
      </w:pPr>
      <w:r>
        <w:rPr>
          <w:b/>
        </w:rPr>
        <w:t xml:space="preserve">[501] </w:t>
      </w:r>
      <w:hyperlink r:id="rId1478">
        <w:r>
          <w:rPr>
            <w:color w:val="1155CC"/>
            <w:u w:val="single"/>
          </w:rPr>
          <w:t>用于活细胞控制和细胞骨架网络蛋白质组图谱的结合激活 1O2 基因光敏剂</w:t>
        </w:r>
      </w:hyperlink>
    </w:p>
    <w:p>
      <w:pPr>
        <w:spacing w:before="0" w:after="80"/>
      </w:pPr>
      <w:r>
        <w:rPr>
          <w:i/>
          <w:sz w:val="20"/>
        </w:rPr>
        <w:t>EN: Binding‐Activated 1O2‐Genic Photosensitizers for Live‐Cell Control and Proteomic Mapping of Cytoskeletal Networks</w:t>
      </w:r>
    </w:p>
    <w:p>
      <w:pPr>
        <w:spacing w:before="0" w:after="120"/>
      </w:pPr>
      <w:r>
        <w:rPr>
          <w:b/>
        </w:rPr>
        <w:t xml:space="preserve">Source: </w:t>
      </w:r>
      <w:r>
        <w:t>Wiley: Angewandte Chemie International Edition: Table of Contents</w:t>
      </w:r>
      <w:r>
        <w:t xml:space="preserve">    </w:t>
      </w:r>
      <w:r>
        <w:rPr>
          <w:b/>
        </w:rPr>
        <w:t xml:space="preserve">Pub date: </w:t>
      </w:r>
      <w:r>
        <w:t>2026-07-21 19:22:02+00:00</w:t>
      </w:r>
      <w:r>
        <w:t xml:space="preserve">    </w:t>
      </w:r>
      <w:r>
        <w:rPr>
          <w:b/>
        </w:rPr>
        <w:t xml:space="preserve">DOI: </w:t>
      </w:r>
      <w:hyperlink r:id="rId1479">
        <w:r>
          <w:rPr>
            <w:color w:val="1155CC"/>
            <w:u w:val="single"/>
          </w:rPr>
          <w:t>10.1002/anie.3832427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细胞骨架丝及其相关的细胞器/蛋白质形成了一个组织细胞结构和活动的系统级网络，但用于活细胞中这些网络的时空控制和蛋白质组范围图谱的化学工具仍然很少。在这里，我们提出了一种模块化策略来生成小分子、单线态氧生成（</w:t>
      </w:r>
      <w:r>
        <w:rPr>
          <w:vertAlign w:val="subscript"/>
        </w:rPr>
        <w:t>1</w:t>
      </w:r>
      <w:r>
        <w:t>氧</w:t>
      </w:r>
      <w:r>
        <w:rPr>
          <w:vertAlign w:val="subscript"/>
        </w:rPr>
        <w:t>2</w:t>
      </w:r>
      <w:r>
        <w:t>‐genic）光敏剂用于控制和解码细胞骨架网络。磺酰胺-PEG的一步安装</w:t>
      </w:r>
      <w:r>
        <w:rPr>
          <w:vertAlign w:val="subscript"/>
        </w:rPr>
        <w:t>2</w:t>
      </w:r>
      <w:r>
        <w:t>‐罗丹明光敏剂支架上的配体产生结合激活探针，主要以溶液中的非兴奋性螺内酰胺形式存在，但大部分转变为</w:t>
      </w:r>
      <w:r>
        <w:rPr>
          <w:vertAlign w:val="subscript"/>
        </w:rPr>
        <w:t>1</w:t>
      </w:r>
      <w:r>
        <w:t>氧</w:t>
      </w:r>
      <w:r>
        <w:rPr>
          <w:vertAlign w:val="subscript"/>
        </w:rPr>
        <w:t>2</w:t>
      </w:r>
      <w:r>
        <w:t>‐与微管或 F-肌动蛋白结合后产生两性离子。共焦显微镜中的连续照明会产生一阵</w:t>
      </w:r>
      <w:r>
        <w:rPr>
          <w:vertAlign w:val="subscript"/>
        </w:rPr>
        <w:t>1</w:t>
      </w:r>
      <w:r>
        <w:t>氧</w:t>
      </w:r>
      <w:r>
        <w:rPr>
          <w:vertAlign w:val="subscript"/>
        </w:rPr>
        <w:t>2</w:t>
      </w:r>
      <w:r>
        <w:t>，驱动丝细胞器/蛋白质网络的高度局部氧化和第二次尺度崩溃，揭示微管在溶酶体运输和线粒体动力学中的关键作用。同时，光可调光</w:t>
      </w:r>
      <w:r>
        <w:rPr>
          <w:vertAlign w:val="subscript"/>
        </w:rPr>
        <w:t>1</w:t>
      </w:r>
      <w:r>
        <w:t>氧</w:t>
      </w:r>
      <w:r>
        <w:rPr>
          <w:vertAlign w:val="subscript"/>
        </w:rPr>
        <w:t>2</w:t>
      </w:r>
      <w:r>
        <w:t>生成能够对微管和 F-肌动蛋白相关网络进行选择性蛋白质组范围的邻近标记，揭示以前未表征的双相互作用子</w:t>
      </w:r>
    </w:p>
    <w:p>
      <w:pPr>
        <w:spacing w:before="0" w:after="200" w:lineRule="auto" w:line="276"/>
      </w:pPr>
      <w:r>
        <w:rPr>
          <w:b/>
        </w:rPr>
        <w:t xml:space="preserve">Abstract (EN): </w:t>
      </w:r>
      <w:r>
        <w:t>Cytoskeletal filaments and their associated organelles/proteins form a system‐level network that organizes cellular architecture and activity, yet chemical tools for spatiotemporal control and proteome‐wide mapping of these networks in living cells remain scarce. Here we present a modular strategy to generate small‐molecule, singlet‐oxygen‐generating (</w:t>
      </w:r>
      <w:r>
        <w:rPr>
          <w:vertAlign w:val="subscript"/>
        </w:rPr>
        <w:t>1</w:t>
      </w:r>
      <w:r>
        <w:t>O</w:t>
      </w:r>
      <w:r>
        <w:rPr>
          <w:vertAlign w:val="subscript"/>
        </w:rPr>
        <w:t>2</w:t>
      </w:r>
      <w:r>
        <w:t>‐genic) photosensitizers for controlling and decoding cytoskeletal networks. Single‐step installation of a sulfamide‐PEG</w:t>
      </w:r>
      <w:r>
        <w:rPr>
          <w:vertAlign w:val="subscript"/>
        </w:rPr>
        <w:t>2</w:t>
      </w:r>
      <w:r>
        <w:t>‐ligand onto rhodamine photosensitizer scaffolds yields binding‐activated probes that mainly exist as the non‐excitable spirolactams in solution but largely switch to</w:t>
      </w:r>
      <w:r>
        <w:rPr>
          <w:vertAlign w:val="subscript"/>
        </w:rPr>
        <w:t>1</w:t>
      </w:r>
      <w:r>
        <w:t>O</w:t>
      </w:r>
      <w:r>
        <w:rPr>
          <w:vertAlign w:val="subscript"/>
        </w:rPr>
        <w:t>2</w:t>
      </w:r>
      <w:r>
        <w:t>‐producing zwitterions upon binding to microtubules or F‐actin. Continuous illumination in confocal microscopy generates a burst of</w:t>
      </w:r>
      <w:r>
        <w:rPr>
          <w:vertAlign w:val="subscript"/>
        </w:rPr>
        <w:t>1</w:t>
      </w:r>
      <w:r>
        <w:t>O</w:t>
      </w:r>
      <w:r>
        <w:rPr>
          <w:vertAlign w:val="subscript"/>
        </w:rPr>
        <w:t>2</w:t>
      </w:r>
      <w:r>
        <w:t>, driving highly localized oxidation and second‐timescale collapse of filament‐organelle/protein networks, revealing key roles for microtubules in lysosome transport and mitochondrial dynamics. In parallel, light‐tunable mild</w:t>
      </w:r>
      <w:r>
        <w:rPr>
          <w:vertAlign w:val="subscript"/>
        </w:rPr>
        <w:t>1</w:t>
      </w:r>
      <w:r>
        <w:t>O</w:t>
      </w:r>
      <w:r>
        <w:rPr>
          <w:vertAlign w:val="subscript"/>
        </w:rPr>
        <w:t>2</w:t>
      </w:r>
      <w:r>
        <w:t>generation enables selective proteome‐wide proximity labeling of microtubule‐ and F‐actin‐associated networks, unveiling previously uncharacterized dual interactors at the microtubule‐F‐actin interface. This modular platform provides an effective tool for genetic‐manipulation‐free mapping and spatiotemporally controlled, localized oxidative perturbation of endogenous networks.</w:t>
      </w:r>
    </w:p>
    <w:p>
      <w:pPr>
        <w:spacing w:before="120" w:after="120"/>
      </w:pPr>
      <w:r>
        <w:rPr>
          <w:sz w:val="18"/>
        </w:rPr>
        <w:t>——————————————————————————————————————————————————————————————————————</w:t>
      </w:r>
    </w:p>
    <w:p>
      <w:pPr>
        <w:spacing w:before="160" w:after="40" w:line="240" w:lineRule="auto"/>
      </w:pPr>
      <w:r>
        <w:rPr>
          <w:b/>
        </w:rPr>
        <w:t xml:space="preserve">[502] </w:t>
      </w:r>
      <w:hyperlink r:id="rId1480">
        <w:r>
          <w:rPr>
            <w:color w:val="1155CC"/>
            <w:u w:val="single"/>
          </w:rPr>
          <w:t>晶体场弱化工程为新兴光谱应用解锁超高效 Eu2+ 近红外发射</w:t>
        </w:r>
      </w:hyperlink>
    </w:p>
    <w:p>
      <w:pPr>
        <w:spacing w:before="0" w:after="80"/>
      </w:pPr>
      <w:r>
        <w:rPr>
          <w:i/>
          <w:sz w:val="20"/>
        </w:rPr>
        <w:t>EN: Crystal‐Field‐Weakening Engineering Unlocks Ultra‐Efficient Eu2+ Near‐Infrared Emission for Emerging Spectroscopic Applications</w:t>
      </w:r>
    </w:p>
    <w:p>
      <w:pPr>
        <w:spacing w:before="0" w:after="120"/>
      </w:pPr>
      <w:r>
        <w:rPr>
          <w:b/>
        </w:rPr>
        <w:t xml:space="preserve">Source: </w:t>
      </w:r>
      <w:r>
        <w:t>Wiley: Angewandte Chemie International Edition: Table of Contents</w:t>
      </w:r>
      <w:r>
        <w:t xml:space="preserve">    </w:t>
      </w:r>
      <w:r>
        <w:rPr>
          <w:b/>
        </w:rPr>
        <w:t xml:space="preserve">Pub date: </w:t>
      </w:r>
      <w:r>
        <w:t>2026-07-21 19:23:23+00:00</w:t>
      </w:r>
      <w:r>
        <w:t xml:space="preserve">    </w:t>
      </w:r>
      <w:r>
        <w:rPr>
          <w:b/>
        </w:rPr>
        <w:t xml:space="preserve">DOI: </w:t>
      </w:r>
      <w:hyperlink r:id="rId1481">
        <w:r>
          <w:rPr>
            <w:color w:val="1155CC"/>
            <w:u w:val="single"/>
          </w:rPr>
          <w:t>10.1002/anie.3509299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欧盟</w:t>
      </w:r>
      <w:r>
        <w:t xml:space="preserve"> </w:t>
      </w:r>
      <w:r>
        <w:t>2+</w:t>
      </w:r>
      <w:r>
        <w:t xml:space="preserve"> </w:t>
      </w:r>
      <w:r>
        <w:t>由于其奇偶校验允许的 5d → 4f 跃迁，离子已成为一种有前景的蓝光激发近红外 (NIR) 发射器。然而，实现高效的欧盟</w:t>
      </w:r>
      <w:r>
        <w:t xml:space="preserve"> </w:t>
      </w:r>
      <w:r>
        <w:t>2+</w:t>
      </w:r>
      <w:r>
        <w:t xml:space="preserve"> </w:t>
      </w:r>
      <w:r>
        <w:t>由于斯托克斯位移较大，近红外发光仍然是一个巨大的挑战。传统策略依赖于增强晶体场来红移发射，但这不可避免地增强了电子-声子耦合，促进非辐射多光子弛豫并最终损害效率，从而在发射波长和发光效率之间产生内在的权衡。在这里，我们通过提出一种晶体场弱化工程策略来打破这种权衡，该策略可以减少斯托克斯位移并抑制非辐射弛豫，从而显着增强 Ca 中的近红外发射</w:t>
      </w:r>
      <w:r>
        <w:rPr>
          <w:vertAlign w:val="subscript"/>
        </w:rPr>
        <w:t>3</w:t>
      </w:r>
      <w:r>
        <w:t>钪铝硅</w:t>
      </w:r>
      <w:r>
        <w:rPr>
          <w:vertAlign w:val="subscript"/>
        </w:rPr>
        <w:t>2</w:t>
      </w:r>
      <w:r>
        <w:t>氧</w:t>
      </w:r>
      <w:r>
        <w:rPr>
          <w:vertAlign w:val="subscript"/>
        </w:rPr>
        <w:t>12</w:t>
      </w:r>
      <w:r>
        <w:t>：欧盟</w:t>
      </w:r>
      <w:r>
        <w:t xml:space="preserve"> </w:t>
      </w:r>
      <w:r>
        <w:t>2+</w:t>
      </w:r>
      <w:r>
        <w:t xml:space="preserve"> </w:t>
      </w:r>
      <w:r>
        <w:t>。经过优化的荧光粉在蓝色激发下在 780 nm 处表现出创纪录的 69.7% 的内量子效率，以及高热稳定性（120°C 时保留率为 76%）。机理研究表明，Eu 内的中心内弛豫</w:t>
      </w:r>
      <w:r>
        <w:t xml:space="preserve"> </w:t>
      </w:r>
      <w:r>
        <w:t>2+</w:t>
      </w:r>
      <w:r>
        <w:t xml:space="preserve"> </w:t>
      </w:r>
      <w:r>
        <w:t>相邻Eu之间的激发态和能量迁移</w:t>
      </w:r>
      <w:r>
        <w:t xml:space="preserve"> </w:t>
      </w:r>
      <w:r>
        <w:t>2+</w:t>
      </w:r>
      <w:r>
        <w:t xml:space="preserve"> </w:t>
      </w:r>
      <w:r>
        <w:t>离子被大幅抑制，共同提高了近红外辐射效率。最后，蓝光泵浦的 pc-N</w:t>
      </w:r>
    </w:p>
    <w:p>
      <w:pPr>
        <w:spacing w:before="0" w:after="200" w:lineRule="auto" w:line="276"/>
      </w:pPr>
      <w:r>
        <w:rPr>
          <w:b/>
        </w:rPr>
        <w:t xml:space="preserve">Abstract (EN): </w:t>
      </w:r>
      <w:r>
        <w:t>Eu</w:t>
      </w:r>
      <w:r>
        <w:t xml:space="preserve"> </w:t>
      </w:r>
      <w:r>
        <w:t>2+</w:t>
      </w:r>
      <w:r>
        <w:t xml:space="preserve"> </w:t>
      </w:r>
      <w:r>
        <w:t>ion has emerged as a promising blue‐light‐excitable near‐infrared (NIR) emitter owing to its parity‐allowed 5d → 4f transition. However, achieving efficient Eu</w:t>
      </w:r>
      <w:r>
        <w:t xml:space="preserve"> </w:t>
      </w:r>
      <w:r>
        <w:t>2+</w:t>
      </w:r>
      <w:r>
        <w:t xml:space="preserve"> </w:t>
      </w:r>
      <w:r>
        <w:t>NIR luminescence remains a great challenge due to the large Stokes shift. Conventional strategies rely on strengthening the crystal field to redshift the emission, but this inevitably enhances electron–phonon coupling, promoting non‑radiative multiphoton relaxation and ultimately compromising efficiency, creating an intrinsic trade‑off between emission wavelength and luminescence efficiency. Herein, we break this trade‑off by proposing a crystal‑field‑weakening engineering strategy that reduces the Stokes shift and suppresses non‐radiative relaxation, thereby significantly enhancing NIR emission in Ca</w:t>
      </w:r>
      <w:r>
        <w:rPr>
          <w:vertAlign w:val="subscript"/>
        </w:rPr>
        <w:t>3</w:t>
      </w:r>
      <w:r>
        <w:t>ScHfAlSi</w:t>
      </w:r>
      <w:r>
        <w:rPr>
          <w:vertAlign w:val="subscript"/>
        </w:rPr>
        <w:t>2</w:t>
      </w:r>
      <w:r>
        <w:t>O</w:t>
      </w:r>
      <w:r>
        <w:rPr>
          <w:vertAlign w:val="subscript"/>
        </w:rPr>
        <w:t>12</w:t>
      </w:r>
      <w:r>
        <w:t>: Eu</w:t>
      </w:r>
      <w:r>
        <w:t xml:space="preserve"> </w:t>
      </w:r>
      <w:r>
        <w:t>2+</w:t>
      </w:r>
      <w:r>
        <w:t xml:space="preserve"> </w:t>
      </w:r>
      <w:r>
        <w:t>. The optimized phosphor exhibits a record internal quantum efficiency of 69.7% at 780 nm under blue excitation, along with high thermal stability (76% retention at 120°C). Mechanistic studies reveal that both intracenter relaxation within Eu</w:t>
      </w:r>
      <w:r>
        <w:t xml:space="preserve"> </w:t>
      </w:r>
      <w:r>
        <w:t>2+</w:t>
      </w:r>
      <w:r>
        <w:t xml:space="preserve"> </w:t>
      </w:r>
      <w:r>
        <w:t>excited states and energy migration between neighboring Eu</w:t>
      </w:r>
      <w:r>
        <w:t xml:space="preserve"> </w:t>
      </w:r>
      <w:r>
        <w:t>2+</w:t>
      </w:r>
      <w:r>
        <w:t xml:space="preserve"> </w:t>
      </w:r>
      <w:r>
        <w:t>ions are substantially suppressed, collectively boosting the NIR radiative efficiency. Finally, a blue‐light‐pumped pc‐NIR‐LED is fabricated, delivering a high NIR output power of 101.52 mW at 350 mA, and demonstrating promising potential in plant lighting, night vision imaging and non‑destructive testing. This work establishes crystal‑field weakening as a promising design paradigm for high‑performance Eu</w:t>
      </w:r>
      <w:r>
        <w:t xml:space="preserve"> </w:t>
      </w:r>
      <w:r>
        <w:t>2+</w:t>
      </w:r>
      <w:r>
        <w:t xml:space="preserve"> </w:t>
      </w:r>
      <w:r>
        <w:t>‑based NIR phosphors.</w:t>
      </w:r>
    </w:p>
    <w:p>
      <w:pPr>
        <w:spacing w:before="120" w:after="120"/>
      </w:pPr>
      <w:r>
        <w:rPr>
          <w:sz w:val="18"/>
        </w:rPr>
        <w:t>——————————————————————————————————————————————————————————————————————</w:t>
      </w:r>
    </w:p>
    <w:p>
      <w:pPr>
        <w:spacing w:before="160" w:after="40" w:line="240" w:lineRule="auto"/>
      </w:pPr>
      <w:r>
        <w:rPr>
          <w:b/>
        </w:rPr>
        <w:t xml:space="preserve">[503] </w:t>
      </w:r>
      <w:hyperlink r:id="rId1482">
        <w:r>
          <w:rPr>
            <w:color w:val="1155CC"/>
            <w:u w:val="single"/>
          </w:rPr>
          <w:t>定制超出人眼可见度的光致变色：铝硅酸盐中可开关的近红外吸收</w:t>
        </w:r>
      </w:hyperlink>
    </w:p>
    <w:p>
      <w:pPr>
        <w:spacing w:before="0" w:after="80"/>
      </w:pPr>
      <w:r>
        <w:rPr>
          <w:i/>
          <w:sz w:val="20"/>
        </w:rPr>
        <w:t>EN: Tailoring Photochromism Beyond Human Eye Visibility: On/Off Switchable NIR Absorption in an Aluminosilicate</w:t>
      </w:r>
    </w:p>
    <w:p>
      <w:pPr>
        <w:spacing w:before="0" w:after="120"/>
      </w:pPr>
      <w:r>
        <w:rPr>
          <w:b/>
        </w:rPr>
        <w:t xml:space="preserve">Source: </w:t>
      </w:r>
      <w:r>
        <w:t>Wiley: Angewandte Chemie International Edition: Table of Contents</w:t>
      </w:r>
      <w:r>
        <w:t xml:space="preserve">    </w:t>
      </w:r>
      <w:r>
        <w:rPr>
          <w:b/>
        </w:rPr>
        <w:t xml:space="preserve">Pub date: </w:t>
      </w:r>
      <w:r>
        <w:t>2026-07-21 19:31:08+00:00</w:t>
      </w:r>
      <w:r>
        <w:t xml:space="preserve">    </w:t>
      </w:r>
      <w:r>
        <w:rPr>
          <w:b/>
        </w:rPr>
        <w:t xml:space="preserve">DOI: </w:t>
      </w:r>
      <w:hyperlink r:id="rId1483">
        <w:r>
          <w:rPr>
            <w:color w:val="1155CC"/>
            <w:u w:val="single"/>
          </w:rPr>
          <w:t>10.1002/anie.6747535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致变色材料能够在两种颜色之间可逆地变化。颜色变化由紫外线辐射触发，并由白光和/或加热逆转。无机光致变色材料被认为只能在固定波长下工作，正因为如此，它们的使用被认为不如有机光致变色材料方便，即使无机光致变色材料在应用中表现出更高的耐用性。我们中的一些人最近证明了哈克曼石（一种无机铝硅酸盐）在整个可见光波长范围内的高可调性。在这里，我们证明达文型结构构成了第一种仅在近红外区域表现出吸收的光致变色材料，而不伴随可见的颜色变化，从而实现了超出人类感知的完全不可见的光致变色。此外，我们表明，通过简单的相机设置可以检测到不可见的光致变色变化。这是第一种表现出不可见近红外可逆光致变色的材料，我们讨论了它在标记应用中的潜力。</w:t>
      </w:r>
    </w:p>
    <w:p>
      <w:pPr>
        <w:spacing w:before="0" w:after="200" w:lineRule="auto" w:line="276"/>
      </w:pPr>
      <w:r>
        <w:rPr>
          <w:b/>
        </w:rPr>
        <w:t xml:space="preserve">Abstract (EN): </w:t>
      </w:r>
      <w:r>
        <w:t>Photochromic materials are able to change reversibly between two colors. The color change is triggered by ultraviolet radiation and reversed by white light and/or heating. Inorganic photochromes have been thought to operate with fixed wavelengths only, and because of this, their usage has been considered less convenient than that of their organic counterparts, even if the inorganic ones would show a much higher durability in applications. High‐tunability within the whole visible wavelength range was recently demonstrated by some of us for hackmanites, a family of inorganic aluminosilicates. Here, we demonstrate that a davyne‐type structure constitutes the first photochromic material exhibiting absorption exclusively in the near‐infrared region, without accompanying visible color changes, thereby enabling fully invisible photochromism beyond human perception. Furthermore, we show that the invisible photochromic changes can be detected with a simple camera setup. This is the first material that exhibits invisible near‐infrared reversible photochromism, and we discuss its potential for tagging applications.</w:t>
      </w:r>
    </w:p>
    <w:p>
      <w:pPr>
        <w:spacing w:before="120" w:after="120"/>
      </w:pPr>
      <w:r>
        <w:rPr>
          <w:sz w:val="18"/>
        </w:rPr>
        <w:t>——————————————————————————————————————————————————————————————————————</w:t>
      </w:r>
    </w:p>
    <w:p>
      <w:pPr>
        <w:spacing w:before="160" w:after="40" w:line="240" w:lineRule="auto"/>
      </w:pPr>
      <w:r>
        <w:rPr>
          <w:b/>
        </w:rPr>
        <w:t xml:space="preserve">[504] </w:t>
      </w:r>
      <w:hyperlink r:id="rId1484">
        <w:r>
          <w:rPr>
            <w:color w:val="1155CC"/>
            <w:u w:val="single"/>
          </w:rPr>
          <w:t>垂直直通键 Co─O─Mo 桥可实现双位点非自由基选择性氧化</w:t>
        </w:r>
      </w:hyperlink>
    </w:p>
    <w:p>
      <w:pPr>
        <w:spacing w:before="0" w:after="80"/>
      </w:pPr>
      <w:r>
        <w:rPr>
          <w:i/>
          <w:sz w:val="20"/>
        </w:rPr>
        <w:t>EN: Vertical Through‑Bond Co─O─Mo Bridge Enables Dual‑Site Nonradical Selective Oxidation</w:t>
      </w:r>
    </w:p>
    <w:p>
      <w:pPr>
        <w:spacing w:before="0" w:after="120"/>
      </w:pPr>
      <w:r>
        <w:rPr>
          <w:b/>
        </w:rPr>
        <w:t xml:space="preserve">Source: </w:t>
      </w:r>
      <w:r>
        <w:t>Wiley: Advanced Materials: Table of Contents</w:t>
      </w:r>
      <w:r>
        <w:t xml:space="preserve">    </w:t>
      </w:r>
      <w:r>
        <w:rPr>
          <w:b/>
        </w:rPr>
        <w:t xml:space="preserve">Pub date: </w:t>
      </w:r>
      <w:r>
        <w:t>2026-07-21 19:32:35+00:00</w:t>
      </w:r>
      <w:r>
        <w:t xml:space="preserve">    </w:t>
      </w:r>
      <w:r>
        <w:rPr>
          <w:b/>
        </w:rPr>
        <w:t xml:space="preserve">DOI: </w:t>
      </w:r>
      <w:hyperlink r:id="rId1485">
        <w:r>
          <w:rPr>
            <w:color w:val="1155CC"/>
            <w:u w:val="single"/>
          </w:rPr>
          <w:t>10.1002/adma.74268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非自由基途径的选择性氧化对于广泛的催化应用至关重要，但构建有效活化氧化剂同时稳定固液边界的反应中间体以驱动非自由基反应的催化界面仍然很困难。传统的平面或准平面界面工程策略主要调整局部配位环境或宏观相接触，并且无法在原子尺度上耦合两个不同的氧化还原中心。在这里，我们建议在埋入界面处构建不对称的Co─O─Mo桥，以形成垂直的贯穿键界面，优先催化非自由基反应。具体来说，桥接氧连接 CoOOH 覆盖层和富含缺陷的 MoS2</w:t>
      </w:r>
      <w:r>
        <w:rPr>
          <w:vertAlign w:val="subscript"/>
        </w:rPr>
        <w:t>2</w:t>
      </w:r>
      <w:r>
        <w:t>沿表面法线方向移动基底，建立静息态偶极极化并诱导位点特异性电荷重新分布，以促进氧化剂活化和稳定，同时抑制溶液相自由基化学。这种垂直界面在空间上组织互补的非自由基功能，有利于高价 Co(IV)=O 和单线态氧的生成。由此产生的桥联催化剂对多种有机微污染物的氧化表现出高反应活性、对复杂水基质的优异耐受性以及与流通膜操作的兼容性。更广泛地说，这项工作建立了垂直的通键桥作为局部催化单元来耦合结构不对称性、电子极化</w:t>
      </w:r>
    </w:p>
    <w:p>
      <w:pPr>
        <w:spacing w:before="0" w:after="200" w:lineRule="auto" w:line="276"/>
      </w:pPr>
      <w:r>
        <w:rPr>
          <w:b/>
        </w:rPr>
        <w:t xml:space="preserve">Abstract (EN): </w:t>
      </w:r>
      <w:r>
        <w:t>Selective oxidation via nonradical pathways is crucial for broad‐ranged catalytic applications, yet it remains difficult to construct catalytic interfaces that efficiently activate oxidants while stabilize reactive intermediates at solid–liquid boundary for driving nonradical reactions. Conventional planar or quasi‐planar interface‐engineering strategies mainly tune local coordination environments or macroscopic phase contacts, and fail to couple two dissimilar redox centers at the atomic scale. Here, we propose the construction of asymmetric Co─O─Mo bridges at a buried interface to enable the formation of a vertical through‐bond interface that preferentially catalyze nonradical reactions. Specifically, the bridging oxygen connects a CoOOH overlayer and a defect‐rich MoS</w:t>
      </w:r>
      <w:r>
        <w:rPr>
          <w:vertAlign w:val="subscript"/>
        </w:rPr>
        <w:t>2</w:t>
      </w:r>
      <w:r>
        <w:t>substrate along the surface‐normal direction, establishing a resting‐state dipolar polarization and inducing site‐specific charge redistribution to facilitate oxidant activation and stabilization while suppress solution‐phase radical chemistry. This vertical interface spatially organizes complementary nonradical functions to favor high‐valent Co(IV)═O and singlet oxygen generation. The resulting bridged catalyst shows high reactivity for oxidation of diverse organic micropollutants, superior tolerance to complex water matrices, and compatibility with flow‐through membrane operation. More broadly, this work establishes vertical through‐bond bridges as local catalytic units to couple structural asymmetry, electron polarization, and reactive‐intermediate confinement, providing a transferable design principle for establishing selective oxidation heterogeneous catalytic system.</w:t>
      </w:r>
    </w:p>
    <w:p>
      <w:pPr>
        <w:spacing w:before="120" w:after="120"/>
      </w:pPr>
      <w:r>
        <w:rPr>
          <w:sz w:val="18"/>
        </w:rPr>
        <w:t>——————————————————————————————————————————————————————————————————————</w:t>
      </w:r>
    </w:p>
    <w:p>
      <w:pPr>
        <w:spacing w:before="160" w:after="40" w:line="240" w:lineRule="auto"/>
      </w:pPr>
      <w:r>
        <w:rPr>
          <w:b/>
        </w:rPr>
        <w:t xml:space="preserve">[505] </w:t>
      </w:r>
      <w:hyperlink r:id="rId1486">
        <w:r>
          <w:rPr>
            <w:color w:val="1155CC"/>
            <w:u w:val="single"/>
          </w:rPr>
          <w:t>使用模块化锍库对石墨烯进行超低阈值激光图案化，用于可编程功函数工程</w:t>
        </w:r>
      </w:hyperlink>
    </w:p>
    <w:p>
      <w:pPr>
        <w:spacing w:before="0" w:after="80"/>
      </w:pPr>
      <w:r>
        <w:rPr>
          <w:i/>
          <w:sz w:val="20"/>
        </w:rPr>
        <w:t>EN: Ultra‐Low‐Threshold Laser Patterning of Graphene With a Modular Sulfonium Library for Programmable Work‐Function Engineering</w:t>
      </w:r>
    </w:p>
    <w:p>
      <w:pPr>
        <w:spacing w:before="0" w:after="120"/>
      </w:pPr>
      <w:r>
        <w:rPr>
          <w:b/>
        </w:rPr>
        <w:t xml:space="preserve">Source: </w:t>
      </w:r>
      <w:r>
        <w:t>Wiley: Advanced Materials: Table of Contents</w:t>
      </w:r>
      <w:r>
        <w:t xml:space="preserve">    </w:t>
      </w:r>
      <w:r>
        <w:rPr>
          <w:b/>
        </w:rPr>
        <w:t xml:space="preserve">Pub date: </w:t>
      </w:r>
      <w:r>
        <w:t>2026-07-21 19:33:18+00:00</w:t>
      </w:r>
      <w:r>
        <w:t xml:space="preserve">    </w:t>
      </w:r>
      <w:r>
        <w:rPr>
          <w:b/>
        </w:rPr>
        <w:t xml:space="preserve">DOI: </w:t>
      </w:r>
      <w:hyperlink r:id="rId1487">
        <w:r>
          <w:rPr>
            <w:color w:val="1155CC"/>
            <w:u w:val="single"/>
          </w:rPr>
          <w:t>10.1002/adma.74231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石墨烯晶格上实现空间分辨的化学功能化对于制造先进的二维（2D）结构至关重要。然而，当前的共价图案化策略很难同时最大限度地减少晶格保存的能量输入，并提供微调二维晶格局部掺杂状态所需的化学多功能性。在这里，开发了一种模块化二芳基锍平台，用于单层石墨烯的超低阈值共价图案化，进一步实现局部功函数的取代基编码图案。在高效石墨烯介导的热电子单电子转移 (SET) 机制的驱动下，这种方法降低了激活势垒，能够以低至 0.10 mW 的激光功率和几秒的照射时间（比传统光子驱动工艺低几个数量级）实现无损图案化，从而确保高图案保真度而不会发生热降解。通过将六种化学上不同的σ键取代基（包括苯基、氟苯基、三氟乙基、乙烯基、苯硫基苯基和溴乙基）合并到统一的锍支架上，可以实现对局部功函数的精确控制。开尔文探针力显微镜 (KPFM) 揭示了连续的、化学可调的表面电位变化谱（ΔCPD 从 ∼30 到 ∼300 mV）。结合卓越的环境稳定性和热可擦除性，这项工作为化学编码可重构二维电子景观提供了强大、节能的范例。</w:t>
      </w:r>
    </w:p>
    <w:p>
      <w:pPr>
        <w:spacing w:before="0" w:after="200" w:lineRule="auto" w:line="276"/>
      </w:pPr>
      <w:r>
        <w:rPr>
          <w:b/>
        </w:rPr>
        <w:t xml:space="preserve">Abstract (EN): </w:t>
      </w:r>
      <w:r>
        <w:t>Achieving spatially resolved chemical functionalization on graphene lattices is essential for fabricating advanced two‐dimensional (2D) architectures. However, current covalent patterning strategies struggle to simultaneously minimize energy input for lattice preservation and offer the chemical versatility required for fine‐tuning the local doping state of the 2D lattice. Here, a modular diaryl‐sulfonium platform is developed for the ultra‐low‐threshold covalent patterning of monolayer graphene, further enabling substituent‐encoded pattern of local work‐function. Driven by a highly efficient, graphene‐mediated hot‐electron single‐electron transfer (SET) mechanism, this approach lowers activation barriers, enabling non‐destructive patterning with laser powers as low as 0.10 mW and irradiation time of a few seconds—orders of magnitude lower than conventional photon‐driven processes—thereby ensuring high pattern fidelity without thermal degradation. By incorporating a library of six chemically distinct σ‐bound substituents (including phenyl, fluorophenyl, trifluoroethyl, vinyl, phenylthiophenyl, and bromoethyl) onto a unified sulfonium scaffold, precise control over local work‐function can be achieved. Kelvin Probe Force Microscopy (KPFM) reveals a continuous, chemically tunable spectrum of surface potential shifts (ΔCPD from ∼30 to ∼300 mV). Combined with exceptional ambient stability and thermal erasability, this work offers a robust, energy‐efficient paradigm for chemically encoding reconfigurable 2D electronic landscapes.</w:t>
      </w:r>
    </w:p>
    <w:p>
      <w:pPr>
        <w:spacing w:before="120" w:after="120"/>
      </w:pPr>
      <w:r>
        <w:rPr>
          <w:sz w:val="18"/>
        </w:rPr>
        <w:t>——————————————————————————————————————————————————————————————————————</w:t>
      </w:r>
    </w:p>
    <w:p>
      <w:pPr>
        <w:spacing w:before="160" w:after="40" w:line="240" w:lineRule="auto"/>
      </w:pPr>
      <w:r>
        <w:rPr>
          <w:b/>
        </w:rPr>
        <w:t xml:space="preserve">[506] </w:t>
      </w:r>
      <w:hyperlink r:id="rId1488">
        <w:r>
          <w:rPr>
            <w:color w:val="1155CC"/>
            <w:u w:val="single"/>
          </w:rPr>
          <w:t>电场赋能的纳米酶：从被动适应到主动精准治疗</w:t>
        </w:r>
      </w:hyperlink>
    </w:p>
    <w:p>
      <w:pPr>
        <w:spacing w:before="0" w:after="80"/>
      </w:pPr>
      <w:r>
        <w:rPr>
          <w:i/>
          <w:sz w:val="20"/>
        </w:rPr>
        <w:t>EN: Electric Field‐Empowered Nanozymes: From Passive Adaptation to Active Precision Therapy</w:t>
      </w:r>
    </w:p>
    <w:p>
      <w:pPr>
        <w:spacing w:before="0" w:after="120"/>
      </w:pPr>
      <w:r>
        <w:rPr>
          <w:b/>
        </w:rPr>
        <w:t xml:space="preserve">Source: </w:t>
      </w:r>
      <w:r>
        <w:t>Wiley: Advanced Materials: Table of Contents</w:t>
      </w:r>
      <w:r>
        <w:t xml:space="preserve">    </w:t>
      </w:r>
      <w:r>
        <w:rPr>
          <w:b/>
        </w:rPr>
        <w:t xml:space="preserve">Pub date: </w:t>
      </w:r>
      <w:r>
        <w:t>2026-07-21 19:36:03+00:00</w:t>
      </w:r>
      <w:r>
        <w:t xml:space="preserve">    </w:t>
      </w:r>
      <w:r>
        <w:rPr>
          <w:b/>
        </w:rPr>
        <w:t xml:space="preserve">DOI: </w:t>
      </w:r>
      <w:hyperlink r:id="rId1489">
        <w:r>
          <w:rPr>
            <w:color w:val="1155CC"/>
            <w:u w:val="single"/>
          </w:rPr>
          <w:t>10.1002/adma.74153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酶的临床转化受到被动且不可控的催化特性的阻碍，需要主动且精确的时空调节。受高效天然酶的静电预组织理论的启发，这篇综述对电场调节的纳米酶进行了系统分析。与传统的物理刺激相比，这种方法为主动精确治疗提供了可调节和补充的框架。多种电输入模式为在各种生物医学场景中精确调节纳米酶催化提供了适应性强的驱动力。此外，在原子尺度上，阐明了潜在的机制，展示了电场输入如何优化d带中心、表面电荷、能带结构和活性位点，以促进底物吸附并降低反应能垒，从而增强催化效果。为了最大化电场-纳米酶耦合，提炼出完整电荷路径的设计原则：优化固有场响应、定向电荷整流和实现低损耗传输。随后，总结了电场调节纳米酶在精准治疗中的应用，包括按需时空激活、定量剂量调节和主动微环境重塑。最后，这篇综述强调了跨学科整合在克服这一监管策略的生物安全和机制瓶颈方面的巨大潜力。这些见解为先进技术提供了新的视角</w:t>
      </w:r>
    </w:p>
    <w:p>
      <w:pPr>
        <w:spacing w:before="0" w:after="200" w:lineRule="auto" w:line="276"/>
      </w:pPr>
      <w:r>
        <w:rPr>
          <w:b/>
        </w:rPr>
        <w:t xml:space="preserve">Abstract (EN): </w:t>
      </w:r>
      <w:r>
        <w:t>The clinical translation of nanozymes is hindered by the passive and uncontrollable catalytic properties, necessitating active and precise spatiotemporal regulation. Inspired by the electrostatic preorganization theory of efficient natural enzymes, this review provides a systematic analysis of electric field‐regulated nanozymes. Compared to conventional physical stimuli, this approach offers a tunable and complementary framework for active precise therapy. Diverse electrical input modes provide adaptable driving forces for precisely regulating nanozyme catalysis across various biomedical scenarios. Furthermore, at the atomic scale, the underlying mechanisms are elucidated, demonstrating how the electric field inputs optimize the d‐band center, surface charges, band structure, and active sites to promote substrate adsorption and lower reaction energy barriers, thereby enhancing the catalytic effect. To maximize electric field‐nanozyme coupling, design principles for a complete charge pathway are distilled: optimizing intrinsic field response, directional charge rectification, and achieving low‐loss transport. Subsequently, the applications of electric field‐regulated nanozymes in precision therapy are summarized, including on‐demand spatiotemporal activation, quantitative dosage regulation, and active microenvironment remodeling. Finally, this review highlights the immense potential of interdisciplinary integration in overcoming the biosafety and mechanism bottlenecks of this regulation strategy. These insights provide a new perspective for advancing electric field‐regulated nanozymes toward precision therapy.</w:t>
      </w:r>
    </w:p>
    <w:p>
      <w:pPr>
        <w:spacing w:before="120" w:after="120"/>
      </w:pPr>
      <w:r>
        <w:rPr>
          <w:sz w:val="18"/>
        </w:rPr>
        <w:t>——————————————————————————————————————————————————————————————————————</w:t>
      </w:r>
    </w:p>
    <w:p>
      <w:pPr>
        <w:spacing w:before="160" w:after="40" w:line="240" w:lineRule="auto"/>
      </w:pPr>
      <w:r>
        <w:rPr>
          <w:b/>
        </w:rPr>
        <w:t xml:space="preserve">[507] </w:t>
      </w:r>
      <w:hyperlink r:id="rId1490">
        <w:r>
          <w:rPr>
            <w:color w:val="1155CC"/>
            <w:u w:val="single"/>
          </w:rPr>
          <w:t>量子计算机如何工作？</w:t>
        </w:r>
      </w:hyperlink>
    </w:p>
    <w:p>
      <w:pPr>
        <w:spacing w:before="0" w:after="80"/>
      </w:pPr>
      <w:r>
        <w:rPr>
          <w:i/>
          <w:sz w:val="20"/>
        </w:rPr>
        <w:t>EN: How do quantum computers work?</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491">
        <w:r>
          <w:rPr>
            <w:color w:val="1155CC"/>
            <w:u w:val="single"/>
          </w:rPr>
          <w:t>10.1038/d41586-026-02219-8</w:t>
        </w:r>
      </w:hyperlink>
    </w:p>
    <w:p>
      <w:pPr>
        <w:spacing w:before="0" w:after="120"/>
      </w:pPr>
      <w:r>
        <w:rPr>
          <w:b/>
        </w:rPr>
        <w:t xml:space="preserve">Notes: </w:t>
      </w:r>
      <w:r>
        <w:t>abstract_source=nature_html</w:t>
      </w:r>
    </w:p>
    <w:p>
      <w:pPr>
        <w:spacing w:before="0" w:after="80" w:lineRule="auto" w:line="276"/>
      </w:pPr>
      <w:r>
        <w:rPr>
          <w:b/>
        </w:rPr>
        <w:t xml:space="preserve">摘要（ZH）: </w:t>
      </w:r>
      <w:r>
        <w:t>最近的突破表明可用设备可能会在十年内问世。</w:t>
      </w:r>
    </w:p>
    <w:p>
      <w:pPr>
        <w:spacing w:before="0" w:after="200" w:lineRule="auto" w:line="276"/>
      </w:pPr>
      <w:r>
        <w:rPr>
          <w:b/>
        </w:rPr>
        <w:t xml:space="preserve">Abstract (EN): </w:t>
      </w:r>
      <w:r>
        <w:t>Recent breakthroughs suggest usable devices could be here in a decade.</w:t>
      </w:r>
    </w:p>
    <w:p>
      <w:pPr>
        <w:spacing w:before="120" w:after="120"/>
      </w:pPr>
      <w:r>
        <w:rPr>
          <w:sz w:val="18"/>
        </w:rPr>
        <w:t>——————————————————————————————————————————————————————————————————————</w:t>
      </w:r>
    </w:p>
    <w:p>
      <w:pPr>
        <w:spacing w:before="160" w:after="40" w:line="240" w:lineRule="auto"/>
      </w:pPr>
      <w:r>
        <w:rPr>
          <w:b/>
        </w:rPr>
        <w:t xml:space="preserve">[508] </w:t>
      </w:r>
      <w:hyperlink r:id="rId1492">
        <w:r>
          <w:rPr>
            <w:color w:val="1155CC"/>
            <w:u w:val="single"/>
          </w:rPr>
          <w:t>克里米亚-刚果出血热病毒聚合酶的结构和抑制</w:t>
        </w:r>
      </w:hyperlink>
    </w:p>
    <w:p>
      <w:pPr>
        <w:spacing w:before="0" w:after="80"/>
      </w:pPr>
      <w:r>
        <w:rPr>
          <w:i/>
          <w:sz w:val="20"/>
        </w:rPr>
        <w:t>EN: Structures and inhibition of the Crimean–Congo haemorrhagic fever virus polymerase</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493">
        <w:r>
          <w:rPr>
            <w:color w:val="1155CC"/>
            <w:u w:val="single"/>
          </w:rPr>
          <w:t>10.1038/s41586-026-10701-6</w:t>
        </w:r>
      </w:hyperlink>
    </w:p>
    <w:p>
      <w:pPr>
        <w:spacing w:before="0" w:after="120"/>
      </w:pPr>
      <w:r>
        <w:rPr>
          <w:b/>
        </w:rPr>
        <w:t xml:space="preserve">Notes: </w:t>
      </w:r>
      <w:r>
        <w:t>abstract_source=pubmed</w:t>
      </w:r>
    </w:p>
    <w:p>
      <w:pPr>
        <w:spacing w:before="0" w:after="80" w:lineRule="auto" w:line="276"/>
      </w:pPr>
      <w:r>
        <w:rPr>
          <w:b/>
        </w:rPr>
        <w:t xml:space="preserve">摘要（ZH）: </w:t>
      </w:r>
      <w:r>
        <w:t>克里米亚-刚果出血热病毒 (CCHFV) 是一种蜱传病毒，会导致严重且通常致命的人类感染。由于缺乏获得许可的疫苗或药物，CCHFV 是世界卫生组织的优先病原体，需要紧急制定医疗对策1,2。 CCHFV Large (L) 蛋白作为病毒 RNA 依赖性 RNA 聚合酶 CCHFV-L 发挥作用，代表了一个有前途的抗病毒靶标，并且是布尼亚病毒目中最大的病毒聚合酶之一。在这里，我们定义了 CCHFV-L RNA 体外合成所需的辅因子，从而能够捕获和确定延长的 CCHFV-L-RNA 复合物结构。这些结构显示出明显扩大的聚合酶结构，表明 CCHFV-L RNA 合成伴随着聚合酶外围结构域的排序。我们还定义了巴洛沙韦衍生的实验药物 WXSH0208（参考文献 3）和具有纳摩尔细胞效力的核苷类似物 2'-脱氧-2'-氟胞苷4,5 如何分别通过核酸内切酶抑制和易位后链终止来抑制这种聚合酶。总之，这些结果应该在结构上指导针对 CCHFV-L 的抑制剂的合理优化。</w:t>
      </w:r>
    </w:p>
    <w:p>
      <w:pPr>
        <w:spacing w:before="0" w:after="200" w:lineRule="auto" w:line="276"/>
      </w:pPr>
      <w:r>
        <w:rPr>
          <w:b/>
        </w:rPr>
        <w:t xml:space="preserve">Abstract (EN): </w:t>
      </w:r>
      <w:r>
        <w:t>Crimean-Congo haemorrhagic fever virus (CCHFV) is a tick-borne virus and causes severe, often fatal, human infections. Lacking licensed vaccines or drugs, CCHFV is a World Health Organization priority pathogen requiring urgent development of medical countermeasures1,2. The CCHFV Large (L) protein functions as the viral RNA-dependent RNA polymerase CCHFV-L, representing a promising antiviral target, and is among the largest viral polymerases in the order Bunyavirales. Here we define the cofactors required for CCHFV-L RNA synthesis in vitro, enabling capture and determination of elongating CCHFV-L-RNA complex structures. The structures show a markedly enlarged polymerase architecture, revealing that CCHFV-L RNA synthesis is accompanied by ordering of the polymerase peripheral domains. We also define how the baloxavir-derived experimental drug WXSH0208 (ref. 3) and the nucleoside analogue 2'-deoxy-2'-fluorocytidine4,5, which has nanomolar cellular potency, inhibit this polymerase through endonuclease inhibition and post-translocation chain termination, respectively. Together, these results should structurally guide rational optimization of inhibitors directed against CCHFV-L.</w:t>
      </w:r>
    </w:p>
    <w:p>
      <w:pPr>
        <w:spacing w:before="120" w:after="120"/>
      </w:pPr>
      <w:r>
        <w:rPr>
          <w:sz w:val="18"/>
        </w:rPr>
        <w:t>——————————————————————————————————————————————————————————————————————</w:t>
      </w:r>
    </w:p>
    <w:p>
      <w:pPr>
        <w:spacing w:before="160" w:after="40" w:line="240" w:lineRule="auto"/>
      </w:pPr>
      <w:r>
        <w:rPr>
          <w:b/>
        </w:rPr>
        <w:t xml:space="preserve">[509] </w:t>
      </w:r>
      <w:hyperlink r:id="rId1494">
        <w:r>
          <w:rPr>
            <w:color w:val="1155CC"/>
            <w:u w:val="single"/>
          </w:rPr>
          <w:t>CRISPR-Cas调节嵌入式抗噬菌体防御系统的表达</w:t>
        </w:r>
      </w:hyperlink>
    </w:p>
    <w:p>
      <w:pPr>
        <w:spacing w:before="0" w:after="80"/>
      </w:pPr>
      <w:r>
        <w:rPr>
          <w:i/>
          <w:sz w:val="20"/>
        </w:rPr>
        <w:t>EN: CRISPR–Cas regulates expression of embedded anti-phage defence systems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495">
        <w:r>
          <w:rPr>
            <w:color w:val="1155CC"/>
            <w:u w:val="single"/>
          </w:rPr>
          <w:t>10.1038/s41586-026-10833-9</w:t>
        </w:r>
      </w:hyperlink>
    </w:p>
    <w:p>
      <w:pPr>
        <w:spacing w:before="0" w:after="120"/>
      </w:pPr>
      <w:r>
        <w:rPr>
          <w:b/>
        </w:rPr>
        <w:t xml:space="preserve">Notes: </w:t>
      </w:r>
      <w:r>
        <w:t>abstract_source=pubmed</w:t>
      </w:r>
    </w:p>
    <w:p>
      <w:pPr>
        <w:spacing w:before="0" w:after="80" w:lineRule="auto" w:line="276"/>
      </w:pPr>
      <w:r>
        <w:rPr>
          <w:b/>
        </w:rPr>
        <w:t xml:space="preserve">摘要（ZH）: </w:t>
      </w:r>
      <w:r>
        <w:t>细菌利用不同的防御系统来防御有害的外来DNA，例如噬菌体1,2，但这些系统如何相互协调仍然知之甚少。在这里，我们发现了 CRISIS（CRISPR 监督免疫系统），这是一种广泛的调节范式，I 型 CRISPR-Cas 位点嵌入并转录调节多种先天防御。小型非经典 CRISPR RNA (crRNA) 样 RNA 引导 I-C CRISPR 相关抗病毒防御复合物 (Cascade) 效应复合物抑制多种免疫盒的启动子（包括复合多系统簇），使其基础表达具有抗病毒活性，同时减轻与过度激活相关的适应性成本，例如宿主生长损伤或有益质粒的排除。当 CRISPR-Cas 受到突变或抗 CRISPR 蛋白的损害时，这些嵌入式防御系统的转录会爆发，从而导致更高水平的先天免疫，但代价是宿主的适应性。适应性 CRISPR-Cas 系统将不同的先天免疫系统协调成一个分层的防御网络，包括原核“免疫卫士”策略。</w:t>
      </w:r>
    </w:p>
    <w:p>
      <w:pPr>
        <w:spacing w:before="0" w:after="200" w:lineRule="auto" w:line="276"/>
      </w:pPr>
      <w:r>
        <w:rPr>
          <w:b/>
        </w:rPr>
        <w:t xml:space="preserve">Abstract (EN): </w:t>
      </w:r>
      <w:r>
        <w:t>Bacteria utilize diverse defence systems to protect against harmful foreign DNA such as bacteriophages1,2, but how these systems coordinate with each other remains poorly understood. Here we uncover CRISIS (CRISPR-supervised immune system), a widespread regulatory paradigm whereby type I CRISPR-Cas loci embed and transcriptionally modulate diverse innate defences. Small non-canonical CRISPR RNA (crRNA)-like RNAs guide the I-C CRISPR-associated complex for antiviral defence (Cascade) effector complex to inhibit promoters of diverse immune cassettes-including composite multi-system clusters-enabling their basal expression for antiviral activity while mitigating fitness costs associated with hyperactivation, such as host growth impairment or exclusion of beneficial plasmids. When CRISPR-Cas is compromised by mutation or anti-CRISPR proteins, there is a burst in transcription of these embedded defence systems, leading to higher-level innate immunity at the expense of host fitness. Together, adaptive CRISPR-Cas systems orchestrate diverse innate immune systems into a layered defence network, comprising a prokaryotic 'immunity guard' strategy.</w:t>
      </w:r>
    </w:p>
    <w:p>
      <w:pPr>
        <w:spacing w:before="120" w:after="120"/>
      </w:pPr>
      <w:r>
        <w:rPr>
          <w:sz w:val="18"/>
        </w:rPr>
        <w:t>——————————————————————————————————————————————————————————————————————</w:t>
      </w:r>
    </w:p>
    <w:p>
      <w:pPr>
        <w:spacing w:before="160" w:after="40" w:line="240" w:lineRule="auto"/>
      </w:pPr>
      <w:r>
        <w:rPr>
          <w:b/>
        </w:rPr>
        <w:t xml:space="preserve">[510] </w:t>
      </w:r>
      <w:hyperlink r:id="rId1496">
        <w:r>
          <w:rPr>
            <w:color w:val="1155CC"/>
            <w:u w:val="single"/>
          </w:rPr>
          <w:t>直流工作的非外延钙钛矿极化激元激光二极管</w:t>
        </w:r>
      </w:hyperlink>
    </w:p>
    <w:p>
      <w:pPr>
        <w:spacing w:before="0" w:after="80"/>
      </w:pPr>
      <w:r>
        <w:rPr>
          <w:i/>
          <w:sz w:val="20"/>
        </w:rPr>
        <w:t>EN: Non-epitaxial perovskite polariton laser diode operating under direct current</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497">
        <w:r>
          <w:rPr>
            <w:color w:val="1155CC"/>
            <w:u w:val="single"/>
          </w:rPr>
          <w:t>10.1038/s41586-026-10824-w</w:t>
        </w:r>
      </w:hyperlink>
    </w:p>
    <w:p>
      <w:pPr>
        <w:spacing w:before="0" w:after="120"/>
      </w:pPr>
      <w:r>
        <w:rPr>
          <w:b/>
        </w:rPr>
        <w:t xml:space="preserve">Notes: </w:t>
      </w:r>
      <w:r>
        <w:t>abstract_source=pubmed</w:t>
      </w:r>
    </w:p>
    <w:p>
      <w:pPr>
        <w:spacing w:before="0" w:after="80" w:lineRule="auto" w:line="276"/>
      </w:pPr>
      <w:r>
        <w:rPr>
          <w:b/>
        </w:rPr>
        <w:t xml:space="preserve">摘要（ZH）: </w:t>
      </w:r>
      <w:r>
        <w:t>在基于溶液处理半导体的电泵微型器件中实现激光发射提出了巨大的科学和技术挑战。卤化物钙钛矿为电注入提供了一个有前途的平台1，因为它们的光激发单晶腔2-4和预先设计的5,6或后处理的微结构7,8表现出较低的激光阈值。最近，利用将具有高增益介质的高亮度发光二极管（LED）嵌入到集成器件中的成熟技术概念，获得了双腔钙钛矿激光器的间接电泵浦10。直接将电荷载流子注入由辅助短光脉冲激发的钙钛矿 LED 中，产生放大自发发射 (ASE)11。允许高载流子密度的结构 12-15 的合理工程的其他努力仍在证明激光发射。在这里，我们开发了一种实现钙钛矿激光器直接电泵浦的新策略。我们将溶液生长的 CsPbBr3 微板与化学惰性单壁碳纳米管 (SWCNT) 电极集成在一起，并将它们嵌入光学微腔中。通过以恒定电流将微型器件冷却至 8 K，形成钙钛矿 p-i-n 二极管，有利于高电流密度下的平衡载流子注入。钙钛矿微腔二极管工作在强耦合状态，在 65μA 的直流电流下表现出极化子激光。</w:t>
      </w:r>
    </w:p>
    <w:p>
      <w:pPr>
        <w:spacing w:before="0" w:after="200" w:lineRule="auto" w:line="276"/>
      </w:pPr>
      <w:r>
        <w:rPr>
          <w:b/>
        </w:rPr>
        <w:t xml:space="preserve">Abstract (EN): </w:t>
      </w:r>
      <w:r>
        <w:t>Reaching lasing in electrically pumped microdevices based on solution-processed semiconductors poses a substantial scientific and technological challenge. Halide perovskites offer a promising platform for electrical injection1, as their optically excited single-crystal cavities2-4 and predesigned5,6 or postprocessed microstructures7,8 have exhibited low lasing threshold. Indirect electrical pumping of a dual-cavity perovskite laser was recently obtained9, using a well-established technological concept of embedding a high-luminosity light-emitting diode (LED) with a high-gain medium into an integrated device10. Direct charge-carrier injection into a perovskite LED excited by auxiliary short, optical pulses resulted in amplified spontaneous emission (ASE)11. Other efforts for rational engineering of architectures12-15 that allow for high charge-carrier density are still to demonstrate lasing. Here we develop a new strategy for achieving direct electrical pumping of a perovskite laser. We integrate a solution-grown CsPbBr3 microplate with chemically inert single-walled carbon nanotube (SWCNT) electrodes and embed them into an optical microcavity. By cooling the microdevice down to 8 K at a constant current, a perovskite p-i-n diode is formed that facilitates a balanced carrier injection at high current densities. The perovskite microcavity diode operates in the strong coupling regime, exhibiting polariton lasing under a direct current of 65 μA.</w:t>
      </w:r>
    </w:p>
    <w:p>
      <w:pPr>
        <w:spacing w:before="120" w:after="120"/>
      </w:pPr>
      <w:r>
        <w:rPr>
          <w:sz w:val="18"/>
        </w:rPr>
        <w:t>——————————————————————————————————————————————————————————————————————</w:t>
      </w:r>
    </w:p>
    <w:p>
      <w:pPr>
        <w:spacing w:before="160" w:after="40" w:line="240" w:lineRule="auto"/>
      </w:pPr>
      <w:r>
        <w:rPr>
          <w:b/>
        </w:rPr>
        <w:t xml:space="preserve">[511] </w:t>
      </w:r>
      <w:hyperlink r:id="rId1498">
        <w:r>
          <w:rPr>
            <w:color w:val="1155CC"/>
            <w:u w:val="single"/>
          </w:rPr>
          <w:t>先前的治疗确定了儿童癌症复发时的突变谱</w:t>
        </w:r>
      </w:hyperlink>
    </w:p>
    <w:p>
      <w:pPr>
        <w:spacing w:before="0" w:after="80"/>
      </w:pPr>
      <w:r>
        <w:rPr>
          <w:i/>
          <w:sz w:val="20"/>
        </w:rPr>
        <w:t>EN: Prior therapy defines mutation profiles in childhood cancer at relapse</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499">
        <w:r>
          <w:rPr>
            <w:color w:val="1155CC"/>
            <w:u w:val="single"/>
          </w:rPr>
          <w:t>10.1038/s41586-026-10803-1</w:t>
        </w:r>
      </w:hyperlink>
    </w:p>
    <w:p>
      <w:pPr>
        <w:spacing w:before="0" w:after="120"/>
      </w:pPr>
      <w:r>
        <w:rPr>
          <w:b/>
        </w:rPr>
        <w:t xml:space="preserve">Notes: </w:t>
      </w:r>
      <w:r>
        <w:t>abstract_source=pubmed</w:t>
      </w:r>
    </w:p>
    <w:p>
      <w:pPr>
        <w:spacing w:before="0" w:after="80" w:lineRule="auto" w:line="276"/>
      </w:pPr>
      <w:r>
        <w:rPr>
          <w:b/>
        </w:rPr>
        <w:t xml:space="preserve">摘要（ZH）: </w:t>
      </w:r>
      <w:r>
        <w:t>患有癌症的儿童会出现许多短期和长期的治疗副作用1，但与化疗暴露相关的 DNA 损伤量尚不清楚2。在这里，我们使用突变特征来测量这种损害，使用来自多机构队列的全基因组测序肿瘤，统一收集治疗剂量和总暴露量3-5。化疗和放疗是复发性儿童肿瘤中唯一的外源性诱变剂，并且往往是 DNA 改变的主要来源。与未经治疗的肿瘤相比，治疗后的癌症携带的私人特征数量几乎是其三倍，体细胞突变总负担是其两倍。此外，不同化疗的致突变作用也不同。我们将铂类疗法的相关特征数量增加了一倍以上，导致大多数患者出现了最高数量的变异。使用治疗暴露日期来跟踪治疗相关突变何时可检测到，我们定义了铂相关突变出现的最低阈值。值得注意的是，超过三分之一的用铂类药物治疗的肿瘤在一年内表现出可检测到的铂特征。这项工作为化疗对儿童癌症的关键诱变作用（作为肿瘤进化的特定驱动因素）提供了基因组证据。这些数据强调了治疗降级的机会以及未来在扩展之前追踪耐药克隆的可能性。</w:t>
      </w:r>
    </w:p>
    <w:p>
      <w:pPr>
        <w:spacing w:before="0" w:after="200" w:lineRule="auto" w:line="276"/>
      </w:pPr>
      <w:r>
        <w:rPr>
          <w:b/>
        </w:rPr>
        <w:t xml:space="preserve">Abstract (EN): </w:t>
      </w:r>
      <w:r>
        <w:t>Children with cancer develop many short- and long-term side-effects of treatment1, but the amount of DNA damage associated with chemotherapy exposure is unclear2. Here we used mutational signatures to measure this damage using whole-genome-sequenced tumours from a multi-institutional cohort for which therapy dose and total exposure were uniformly collected3-5. Chemotherapy and radiotherapy were the only exogenous mutagens in relapsed childhood tumours and were often the dominant source of DNA alteration. Compared with treatment-naive tumours, post-therapy cancers carried nearly three times the number of private signatures, and two times the total burden of somatic mutations. Further, the mutagenic effects of different chemotherapies varied. Platinum-based therapies, for which we more than doubled the number of associated signatures, led to the highest number of variants in most patients. Using therapy exposure dates to track when therapy-associated mutations become detectable, we defined a minimum threshold for platinum-associated mutations to emerge. Remarkably, more than one-third of tumours treated with platinum drugs displayed detectable platinum signatures within one year. This work provides genomic evidence for the critical mutagenic effects of chemotherapy in childhood cancer, as a specific driver of tumour evolution. These data highlight opportunities for treatment de-escalation and the future possibility of tracking resistant clones before expansion.</w:t>
      </w:r>
    </w:p>
    <w:p>
      <w:pPr>
        <w:spacing w:before="120" w:after="120"/>
      </w:pPr>
      <w:r>
        <w:rPr>
          <w:sz w:val="18"/>
        </w:rPr>
        <w:t>——————————————————————————————————————————————————————————————————————</w:t>
      </w:r>
    </w:p>
    <w:p>
      <w:pPr>
        <w:spacing w:before="160" w:after="40" w:line="240" w:lineRule="auto"/>
      </w:pPr>
      <w:r>
        <w:rPr>
          <w:b/>
        </w:rPr>
        <w:t xml:space="preserve">[512] </w:t>
      </w:r>
      <w:hyperlink r:id="rId1500">
        <w:r>
          <w:rPr>
            <w:color w:val="1155CC"/>
            <w:u w:val="single"/>
          </w:rPr>
          <w:t>锥虫线粒体 RNA 编辑级联的结构基础</w:t>
        </w:r>
      </w:hyperlink>
    </w:p>
    <w:p>
      <w:pPr>
        <w:spacing w:before="0" w:after="80"/>
      </w:pPr>
      <w:r>
        <w:rPr>
          <w:i/>
          <w:sz w:val="20"/>
        </w:rPr>
        <w:t>EN: Structural basis of the RNA-editing cascade in trypanosome mitochondria</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01">
        <w:r>
          <w:rPr>
            <w:color w:val="1155CC"/>
            <w:u w:val="single"/>
          </w:rPr>
          <w:t>10.1038/s41586-026-10831-x</w:t>
        </w:r>
      </w:hyperlink>
    </w:p>
    <w:p>
      <w:pPr>
        <w:spacing w:before="0" w:after="120"/>
      </w:pPr>
      <w:r>
        <w:rPr>
          <w:b/>
        </w:rPr>
        <w:t xml:space="preserve">Notes: </w:t>
      </w:r>
      <w:r>
        <w:t>abstract_source=pubmed</w:t>
      </w:r>
    </w:p>
    <w:p>
      <w:pPr>
        <w:spacing w:before="0" w:after="80" w:lineRule="auto" w:line="276"/>
      </w:pPr>
      <w:r>
        <w:rPr>
          <w:b/>
        </w:rPr>
        <w:t xml:space="preserve">摘要（ZH）: </w:t>
      </w:r>
      <w:r>
        <w:t>由于潜在的多酶机制的高度动态性质，锥虫线粒体 1-4 中尿苷插入和删除 mRNA 编辑的分子机制仍不清楚。在这里，我们将编辑体定义为由 RNA 编辑底物结合复合物 (RESC) 和 RNA 编辑催化复合物 1 或 2（RECC1 或 RECC2）6 形成的超分子组装体，并展示了大约 1-MDa RECC1 和 RECC2 的冷冻电子显微镜结构。这些核糖核蛋白类似于蜻蜓，具有头部、胸腔样核心、尾巴和翅膀，分别介导尿苷缺失和尿苷插入级联。在每个 RECC 中，包含一个活性 RNase III 结构域和三个非活性 RNase III 结构域的四聚体核心捕获向导 RNA (gRNA)-mRNA 双链体，而辅助锌指区分删除位点和插入位点，并定位 mRNA 切割的底物（步骤 I）。三个外围寡核苷酸结合折叠异四聚体灵活地连接到核心，形成空间适应性反应室。尾部募集核酸外切酶和尿苷酰转移酶来去除或添加尿苷（步骤 II），而翅膀则由结构 tRNA 协调，定位 RNA 连接酶以密封编辑后的 ​​mRNA（步骤 III）。这些结构共同揭示了 gRNA 引导的底物识别、mRNA 切割、尿苷缺失以及插入和连接如何集成在单个大分子机器中。该架构定义了 RNA 编辑中的信息传递机制。</w:t>
      </w:r>
    </w:p>
    <w:p>
      <w:pPr>
        <w:spacing w:before="0" w:after="200" w:lineRule="auto" w:line="276"/>
      </w:pPr>
      <w:r>
        <w:rPr>
          <w:b/>
        </w:rPr>
        <w:t xml:space="preserve">Abstract (EN): </w:t>
      </w:r>
      <w:r>
        <w:t>The molecular mechanism of uridine insertion-and-deletion mRNA editing in trypanosome mitochondria1-4 has remained unclear because of the highly dynamic nature of the underlying multi-enzyme machinery5. Here, we define editosomes as supramolecular assemblies formed by the RNA-editing substrate-binding complex (RESC) and either RNA-editing catalytic complex 1 or 2 (RECC1 or RECC2)6, and present cryo-electron microscopy structures of the approximately 1-MDa RECC1 and RECC2. Resembling dragonflies, with a head, thorax-like core, tail and wings, these ribonucleoproteins mediate the uridine deletion and uridine insertion cascades, respectively. In each RECC, a tetrameric core containing one active and three inactive RNase III domains captures the guide RNA (gRNA)-mRNA duplex, while auxiliary zinc fingers distinguish deletion sites from insertion sites and position the substrate for mRNA cleavage (step I). Three peripheral oligonucleotide-binding-fold heterotetramers are flexibly attached to the core, forming a spatially adaptable reaction chamber. The tail recruits the exonuclease and uridylyltransferase that remove or add uridines (step II), whereas the wings, coordinated by an architectural tRNA, position RNA ligases to seal the edited mRNA (step III). Together, these structures reveal how gRNA-directed substrate recognition, mRNA cleavage, uridine deletion and insertion and ligation are integrated in a single macromolecular machine. This architecture defines the mechanism of information transfer in RNA editing.</w:t>
      </w:r>
    </w:p>
    <w:p>
      <w:pPr>
        <w:spacing w:before="120" w:after="120"/>
      </w:pPr>
      <w:r>
        <w:rPr>
          <w:sz w:val="18"/>
        </w:rPr>
        <w:t>——————————————————————————————————————————————————————————————————————</w:t>
      </w:r>
    </w:p>
    <w:p>
      <w:pPr>
        <w:spacing w:before="160" w:after="40" w:line="240" w:lineRule="auto"/>
      </w:pPr>
      <w:r>
        <w:rPr>
          <w:b/>
        </w:rPr>
        <w:t xml:space="preserve">[513] </w:t>
      </w:r>
      <w:hyperlink r:id="rId1502">
        <w:r>
          <w:rPr>
            <w:color w:val="1155CC"/>
            <w:u w:val="single"/>
          </w:rPr>
          <w:t>什么算月亮？巨大的“外卫星”引发争论</w:t>
        </w:r>
      </w:hyperlink>
    </w:p>
    <w:p>
      <w:pPr>
        <w:spacing w:before="0" w:after="80"/>
      </w:pPr>
      <w:r>
        <w:rPr>
          <w:i/>
          <w:sz w:val="20"/>
        </w:rPr>
        <w:t>EN: What counts as a moon? Huge ‘exosatellite’ sparks debate</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03">
        <w:r>
          <w:rPr>
            <w:color w:val="1155CC"/>
            <w:u w:val="single"/>
          </w:rPr>
          <w:t>10.1038/d41586-026-02299-6</w:t>
        </w:r>
      </w:hyperlink>
    </w:p>
    <w:p>
      <w:pPr>
        <w:spacing w:before="0" w:after="120"/>
      </w:pPr>
      <w:r>
        <w:rPr>
          <w:b/>
        </w:rPr>
        <w:t xml:space="preserve">Notes: </w:t>
      </w:r>
      <w:r>
        <w:t>abstract_source=rss_nature</w:t>
      </w:r>
    </w:p>
    <w:p>
      <w:pPr>
        <w:spacing w:before="0" w:after="80" w:lineRule="auto" w:line="276"/>
      </w:pPr>
      <w:r>
        <w:rPr>
          <w:b/>
        </w:rPr>
        <w:t xml:space="preserve">摘要（ZH）: </w:t>
      </w:r>
      <w:r>
        <w:t>遥远木星质量物体的发现可能为探测外卫星铺平道路，此外，在鲶鱼中发现了一种罕见的传染性癌症。</w:t>
      </w:r>
    </w:p>
    <w:p>
      <w:pPr>
        <w:spacing w:before="0" w:after="200" w:lineRule="auto" w:line="276"/>
      </w:pPr>
      <w:r>
        <w:rPr>
          <w:b/>
        </w:rPr>
        <w:t xml:space="preserve">Abstract (EN): </w:t>
      </w:r>
      <w:r>
        <w:t>Discovery of a distant Jupiter-mass object could pave the way for detection of exomoons — plus, a rare transmissible cancer found in catfish.</w:t>
      </w:r>
    </w:p>
    <w:p>
      <w:pPr>
        <w:spacing w:before="120" w:after="120"/>
      </w:pPr>
      <w:r>
        <w:rPr>
          <w:sz w:val="18"/>
        </w:rPr>
        <w:t>——————————————————————————————————————————————————————————————————————</w:t>
      </w:r>
    </w:p>
    <w:p>
      <w:pPr>
        <w:spacing w:before="160" w:after="40" w:line="240" w:lineRule="auto"/>
      </w:pPr>
      <w:r>
        <w:rPr>
          <w:b/>
        </w:rPr>
        <w:t xml:space="preserve">[514] </w:t>
      </w:r>
      <w:hyperlink r:id="rId1504">
        <w:r>
          <w:rPr>
            <w:color w:val="1155CC"/>
            <w:u w:val="single"/>
          </w:rPr>
          <w:t>亚核基因组区室化控制二价染色质活性</w:t>
        </w:r>
      </w:hyperlink>
    </w:p>
    <w:p>
      <w:pPr>
        <w:spacing w:before="0" w:after="80"/>
      </w:pPr>
      <w:r>
        <w:rPr>
          <w:i/>
          <w:sz w:val="20"/>
        </w:rPr>
        <w:t>EN: Subnuclear genome compartmentalization controls bivalent chromatin activity</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05">
        <w:r>
          <w:rPr>
            <w:color w:val="1155CC"/>
            <w:u w:val="single"/>
          </w:rPr>
          <w:t>10.1038/s41586-026-10832-w</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通过大染色体结构域与亚核区室（包括径向外围的核层和核质内的核斑点）的物理关联，核基因组在空间上组织成三维结构</w:t>
      </w:r>
      <w:r>
        <w:t xml:space="preserve"> </w:t>
      </w:r>
      <w:r>
        <w:t>1–5</w:t>
      </w:r>
      <w:r>
        <w:t xml:space="preserve"> </w:t>
      </w:r>
      <w:r>
        <w:t>。然而，高阶空间基因组结构如何调节人类发育却被忽视，并且染色质状态和亚核基因组区室化之间的相互作用也知之甚少。在这里，我们生成了基因组与从妊娠中期人类皮质中分离的神经源性谱系细胞中的层和斑点相互作用的高分辨率图，确定了亚核基因组区室化、染色质状态和转录之间的密切关联。在皮质神经发生过程中，亚核基因组区室化被广泛重塑，将数百个神经元基因从椎板重新定位到斑点，包括组蛋白 H3 Lys27 (H3K27me3) 和 Lys4 (H3K4me3) 三甲基化二价的关键神经发育基因。在核纤层，二价基因的表达量极低，并且重新定位到斑点可增强二价染色质向 H3K4me3 单价的分辨率，并使转录增加八倍以上。我们进一步证明，靠近核外围（而不是 H3K27me3 的存在）维持了嵌入核纤层中的二价基因的低表达、平衡状态。我们发现层板的压抑环境与空间相关</w:t>
      </w:r>
    </w:p>
    <w:p>
      <w:pPr>
        <w:spacing w:before="0" w:after="200" w:lineRule="auto" w:line="276"/>
      </w:pPr>
      <w:r>
        <w:rPr>
          <w:b/>
        </w:rPr>
        <w:t xml:space="preserve">Abstract (EN): </w:t>
      </w:r>
      <w:r>
        <w:t>The nuclear genome is spatially organized into a three-dimensional architecture by physical association of large chromosomal domains with subnuclear compartments including the nuclear lamina at the radial periphery and nuclear speckles within the nucleoplasm</w:t>
      </w:r>
      <w:r>
        <w:t xml:space="preserve"> </w:t>
      </w:r>
      <w:r>
        <w:t>1–5</w:t>
      </w:r>
      <w:r>
        <w:t xml:space="preserve"> </w:t>
      </w:r>
      <w:r>
        <w:t>. However, how higher-order spatial genome architecture regulates human development has been overlooked, and the interplay between chromatin state and subnuclear genome compartmentalization is poorly understood. Here we generate high-resolution maps of genomic interactions with the lamina and speckles in cells of the neurogenic lineage isolated from mid-gestational human cortex, identifying an intimate association between subnuclear genome compartmentalization, chromatin state and transcription. During cortical neurogenesis, subnuclear genome compartmentalization is extensively remodelled, relocating hundreds of neuronal genes from the lamina to speckles, including key neurodevelopmental genes bivalent for trimethylation of histone H3 at Lys27 (H3K27me3) and Lys4 (H3K4me3). At the lamina, bivalent genes have exceptionally low expression, and relocation to speckles enhances resolution of bivalent chromatin to H3K4me3 monovalency and increases transcription more than eightfold. We further demonstrate that proximity to the nuclear periphery—not the presence of H3K27me3—maintains the lowly expressed, poised state of bivalent genes embedded in the lamina. We find that the repressive environment of the lamina is associated with spatial segregation of the transcriptional elongation machinery from the nuclear periphery. Our results establish a paradigm in which knowing the spatial location of a gene is necessary for understanding its epigenomic regulation.</w:t>
      </w:r>
    </w:p>
    <w:p>
      <w:pPr>
        <w:spacing w:before="120" w:after="120"/>
      </w:pPr>
      <w:r>
        <w:rPr>
          <w:sz w:val="18"/>
        </w:rPr>
        <w:t>——————————————————————————————————————————————————————————————————————</w:t>
      </w:r>
    </w:p>
    <w:p>
      <w:pPr>
        <w:spacing w:before="160" w:after="40" w:line="240" w:lineRule="auto"/>
      </w:pPr>
      <w:r>
        <w:rPr>
          <w:b/>
        </w:rPr>
        <w:t xml:space="preserve">[515] </w:t>
      </w:r>
      <w:hyperlink r:id="rId1506">
        <w:r>
          <w:rPr>
            <w:color w:val="1155CC"/>
            <w:u w:val="single"/>
          </w:rPr>
          <w:t>三级淋巴结构含有干细胞样肿瘤特异性 T 细胞</w:t>
        </w:r>
      </w:hyperlink>
    </w:p>
    <w:p>
      <w:pPr>
        <w:spacing w:before="0" w:after="80"/>
      </w:pPr>
      <w:r>
        <w:rPr>
          <w:i/>
          <w:sz w:val="20"/>
        </w:rPr>
        <w:t>EN: Tertiary lymphoid structures harbour stem-like tumour-specific T cells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07">
        <w:r>
          <w:rPr>
            <w:color w:val="1155CC"/>
            <w:u w:val="single"/>
          </w:rPr>
          <w:t>10.1038/s41586-026-10808-w</w:t>
        </w:r>
      </w:hyperlink>
    </w:p>
    <w:p>
      <w:pPr>
        <w:spacing w:before="0" w:after="120"/>
      </w:pPr>
      <w:r>
        <w:rPr>
          <w:b/>
        </w:rPr>
        <w:t xml:space="preserve">Notes: </w:t>
      </w:r>
      <w:r>
        <w:t>abstract_source=pubmed</w:t>
      </w:r>
    </w:p>
    <w:p>
      <w:pPr>
        <w:spacing w:before="0" w:after="80" w:lineRule="auto" w:line="276"/>
      </w:pPr>
      <w:r>
        <w:rPr>
          <w:b/>
        </w:rPr>
        <w:t xml:space="preserve">摘要（ZH）: </w:t>
      </w:r>
      <w:r>
        <w:t>三级淋巴结构 (TLS) 与实体瘤中免疫检查点阻断反应的改善相关1,2，但它们如何影响肿瘤特异性 T 细胞的表型特性仍不清楚。在这里，我们发现，在 24 个未经治疗的肾细胞癌 (RCC) 肿瘤中，与 TLS 肿瘤相比，含有 TLS 的肿瘤被耗尽的 CD8+ T 细胞更严重地浸润，并且末端耗尽转录程序减少。对 6 个 RCC 肿瘤微环境中扩展的 554 个 T 细胞克隆型进行特异性筛选，发现 82 个 TCR 对肿瘤细胞和/或 RCC 抗原有反应。肿瘤特异性 T 细胞克隆型的子集 (12%) 在 TLS 中富集，它们表达了增加的干细胞样祖细胞耗竭程序，与良好的抗肿瘤免疫相关。然而，在 60 个独立的 RCC 肿瘤中，含有 TLS 的肿瘤肿瘤边缘内的巨噬细胞具有推断的免疫抑制表型，并且与进一步分析的亚组中耗尽的假定肿瘤反应性 T 细胞共定位，因此支持这种免疫逃避模式作为 T 细胞免疫压力的平衡。我们的数据显示，TLS 是肿瘤特异性 T 细胞的储存库，具有干细胞样祖细胞特征，可用于 T 细胞免疫疗法。</w:t>
      </w:r>
    </w:p>
    <w:p>
      <w:pPr>
        <w:spacing w:before="0" w:after="200" w:lineRule="auto" w:line="276"/>
      </w:pPr>
      <w:r>
        <w:rPr>
          <w:b/>
        </w:rPr>
        <w:t xml:space="preserve">Abstract (EN): </w:t>
      </w:r>
      <w:r>
        <w:t>Tertiary lymphoid structures (TLSs) are associated with improved responses to immune checkpoint blockade across solid tumours1,2, but how they impact the phenotypic properties of tumour-specific T cells remains unclear. Here we found, across 24 treatment-naive renal cell carcinoma (RCC) tumours, that TLS-containing tumours are more heavily infiltrated by exhausted CD8+ T cells and have a reduced terminal exhaustion transcriptional program compared with TLS- tumours. Specificity screening of 554 T cell clonotypes expanded within the microenvironment of 6 RCC tumours revealed 82 TCRs that were reactive against tumour cells and/or RCC antigens. A subset of tumour-specific T cell clonotypes (12%) was enriched within TLSs, and these expressed an increased program of stem-like progenitor exhaustion, associated with favourable anti-tumour immunity. However, in 60 independent RCC tumours, macrophages within tumour margins of TLS-containing tumours had an inferred immunosuppressive phenotype and were colocalized with exhausted putative tumour-reactive T cells in a subgroup that was further analysed, therefore supporting this mode of immune evasion as a counterbalance to T cell immune pressure. Our data reveal that TLSs are reservoirs of tumour-specific T cells with stem-like progenitor features that could be leveraged by T cell immunotherapies.</w:t>
      </w:r>
    </w:p>
    <w:p>
      <w:pPr>
        <w:spacing w:before="120" w:after="120"/>
      </w:pPr>
      <w:r>
        <w:rPr>
          <w:sz w:val="18"/>
        </w:rPr>
        <w:t>——————————————————————————————————————————————————————————————————————</w:t>
      </w:r>
    </w:p>
    <w:p>
      <w:pPr>
        <w:spacing w:before="160" w:after="40" w:line="240" w:lineRule="auto"/>
      </w:pPr>
      <w:r>
        <w:rPr>
          <w:b/>
        </w:rPr>
        <w:t xml:space="preserve">[516] </w:t>
      </w:r>
      <w:hyperlink r:id="rId1508">
        <w:r>
          <w:rPr>
            <w:color w:val="1155CC"/>
            <w:u w:val="single"/>
          </w:rPr>
          <w:t>果蝇基于向量的嗅觉导航策略</w:t>
        </w:r>
      </w:hyperlink>
    </w:p>
    <w:p>
      <w:pPr>
        <w:spacing w:before="0" w:after="80"/>
      </w:pPr>
      <w:r>
        <w:rPr>
          <w:i/>
          <w:sz w:val="20"/>
        </w:rPr>
        <w:t>EN: A vector-based strategy for olfactory navigation in Drosophila</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09">
        <w:r>
          <w:rPr>
            <w:color w:val="1155CC"/>
            <w:u w:val="single"/>
          </w:rPr>
          <w:t>10.1038/s41586-026-10827-7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对于许多物种来说，气味是关键的导航线索</w:t>
      </w:r>
      <w:r>
        <w:t xml:space="preserve"> </w:t>
      </w:r>
      <w:r>
        <w:t>1,2</w:t>
      </w:r>
      <w:r>
        <w:t xml:space="preserve"> </w:t>
      </w:r>
      <w:r>
        <w:t>。尽管跟踪气味羽流已被建模为反射过程</w:t>
      </w:r>
      <w:r>
        <w:t xml:space="preserve"> </w:t>
      </w:r>
      <w:r>
        <w:t>3–5</w:t>
      </w:r>
      <w:r>
        <w:t xml:space="preserve"> </w:t>
      </w:r>
      <w:r>
        <w:t>目前还不清楚动物是否可以利用过去气味遭遇的记忆来推断其化学环境的空间结构或它们在其中的位置。在这里，我们开发了一种虚拟现实嗅觉范式，允许头部固定</w:t>
      </w:r>
      <w:r>
        <w:t xml:space="preserve"> </w:t>
      </w:r>
      <w:r>
        <w:t>果蝇</w:t>
      </w:r>
      <w:r>
        <w:t xml:space="preserve"> </w:t>
      </w:r>
      <w:r>
        <w:t>探索结构化的化学景观，深入了解记忆机制如何塑造其导航策略。我们发现，苍蝇通过沿着其边界来追踪食欲气味走廊，交替快速反向转弯以离开羽流和定向返回其边缘。通过结合行为建模、功能性钙成像和神经扰动，我们表明这种“边缘跟踪”策略依赖于基于矢量的计算</w:t>
      </w:r>
      <w:r>
        <w:t xml:space="preserve"> </w:t>
      </w:r>
      <w:r>
        <w:t>果蝇</w:t>
      </w:r>
      <w:r>
        <w:t xml:space="preserve"> </w:t>
      </w:r>
      <w:r>
        <w:t>中央复合体，苍蝇在其中存储并动态更新返回羽流边界方向的记忆。与此一致的是，我们发现扇形体内的 FC2 神经元编码果蝇的导航目标</w:t>
      </w:r>
      <w:r>
        <w:rPr>
          <w:vertAlign w:val="subscript"/>
        </w:rPr>
        <w:t>6</w:t>
      </w:r>
      <w:r>
        <w:t>，当苍蝇在羽流外部时，发出返回气味边界的方向信号。因此，羽流跟踪涉及保守导航工具包的组件，其中苍蝇可以使用方向记忆来导航</w:t>
      </w:r>
    </w:p>
    <w:p>
      <w:pPr>
        <w:spacing w:before="0" w:after="200" w:lineRule="auto" w:line="276"/>
      </w:pPr>
      <w:r>
        <w:rPr>
          <w:b/>
        </w:rPr>
        <w:t xml:space="preserve">Abstract (EN): </w:t>
      </w:r>
      <w:r>
        <w:t>For many species, odours serve as key navigational cues</w:t>
      </w:r>
      <w:r>
        <w:t xml:space="preserve"> </w:t>
      </w:r>
      <w:r>
        <w:t>1,2</w:t>
      </w:r>
      <w:r>
        <w:t xml:space="preserve"> </w:t>
      </w:r>
      <w:r>
        <w:t>. Although tracking an odour plume has been modelled as a reflexive process</w:t>
      </w:r>
      <w:r>
        <w:t xml:space="preserve"> </w:t>
      </w:r>
      <w:r>
        <w:t>3–5</w:t>
      </w:r>
      <w:r>
        <w:t xml:space="preserve"> </w:t>
      </w:r>
      <w:r>
        <w:t>, it remains unclear whether animals can use memories of their past odour encounters to infer the spatial structure of their chemical environment or their location within it. Here we developed a virtual-reality olfactory paradigm that allows head-fixed</w:t>
      </w:r>
      <w:r>
        <w:t xml:space="preserve"> </w:t>
      </w:r>
      <w:r>
        <w:t>Drosophila</w:t>
      </w:r>
      <w:r>
        <w:t xml:space="preserve"> </w:t>
      </w:r>
      <w:r>
        <w:t>to explore structured chemical landscapes, offering insight into how memory mechanisms shape their navigational strategies. We found that flies track an appetitive odour corridor by following its boundary, alternating between rapid counter-turns to exit the plume and directed returns to its edge. Using a combination of behavioural modelling, functional calcium imaging and neural perturbations, we show that this ‘edge tracking’ strategy relies on vector-based computations within the</w:t>
      </w:r>
      <w:r>
        <w:t xml:space="preserve"> </w:t>
      </w:r>
      <w:r>
        <w:t>Drosophila</w:t>
      </w:r>
      <w:r>
        <w:t xml:space="preserve"> </w:t>
      </w:r>
      <w:r>
        <w:t>central complex, in which flies store and dynamically update memories of the direction to return to the plume’s boundary. Consistent with this, we find that FC2 neurons within the fan-shaped body, which encode a fly’s navigational goal</w:t>
      </w:r>
      <w:r>
        <w:rPr>
          <w:vertAlign w:val="subscript"/>
        </w:rPr>
        <w:t>6</w:t>
      </w:r>
      <w:r>
        <w:t>, signal the direction back to the odour boundary when flies are outside the plume. Plume tracking thus engages components of a conserved navigational toolkit, in which flies can use directional memories to navigate through complex and shifting chemical landscapes.</w:t>
      </w:r>
    </w:p>
    <w:p>
      <w:pPr>
        <w:spacing w:before="120" w:after="120"/>
      </w:pPr>
      <w:r>
        <w:rPr>
          <w:sz w:val="18"/>
        </w:rPr>
        <w:t>——————————————————————————————————————————————————————————————————————</w:t>
      </w:r>
    </w:p>
    <w:p>
      <w:pPr>
        <w:spacing w:before="160" w:after="40" w:line="240" w:lineRule="auto"/>
      </w:pPr>
      <w:r>
        <w:rPr>
          <w:b/>
        </w:rPr>
        <w:t xml:space="preserve">[517] </w:t>
      </w:r>
      <w:hyperlink r:id="rId1510">
        <w:r>
          <w:rPr>
            <w:color w:val="1155CC"/>
            <w:u w:val="single"/>
          </w:rPr>
          <w:t>使用基于 AlphaFold3 的接触建模进行精确的 DNA 碱基编辑</w:t>
        </w:r>
      </w:hyperlink>
    </w:p>
    <w:p>
      <w:pPr>
        <w:spacing w:before="0" w:after="80"/>
      </w:pPr>
      <w:r>
        <w:rPr>
          <w:i/>
          <w:sz w:val="20"/>
        </w:rPr>
        <w:t>EN: Precise DNA base editing using AlphaFold3-based contact modelling</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11">
        <w:r>
          <w:rPr>
            <w:color w:val="1155CC"/>
            <w:u w:val="single"/>
          </w:rPr>
          <w:t>10.1038/s41586-026-10794-z</w:t>
        </w:r>
      </w:hyperlink>
    </w:p>
    <w:p>
      <w:pPr>
        <w:spacing w:before="0" w:after="120"/>
      </w:pPr>
      <w:r>
        <w:rPr>
          <w:b/>
        </w:rPr>
        <w:t xml:space="preserve">Notes: </w:t>
      </w:r>
      <w:r>
        <w:t>abstract_source=pubmed</w:t>
      </w:r>
    </w:p>
    <w:p>
      <w:pPr>
        <w:spacing w:before="0" w:after="80" w:lineRule="auto" w:line="276"/>
      </w:pPr>
      <w:r>
        <w:rPr>
          <w:b/>
        </w:rPr>
        <w:t xml:space="preserve">摘要（ZH）: </w:t>
      </w:r>
      <w:r>
        <w:t>实现生化转化的高特异性对于研究和治疗至关重要。这对于基因组编辑尤其重要，因为增强工具特异性可确保有效和精确的编辑结果1,2。当前的策略受到活动特异性权衡、高劳动强度和低成功率的限制3,4。在这里，我们介绍了 ContactSeek，这是一个人工智能驱动的框架，它使用 AlphaFold3 (AF3) 预测的接触概率5来提高基因组编辑器的特异性。使用 Cas9-TadA 腺嘌呤碱基编辑器 6-8 作为演示，我们绘制了它们的全基因组脱靶图谱，并将脱靶 DNA 序列输入 AF3。在 AF3 输出中，我们发现接触概率比预测的三维结构更敏感，用于检测目标复合物和脱靶复合物之间的差异相互作用。将接触概率与基于测序的脱靶信号相关联，ContactSeek 识别并排列了共有接触区域，这些接触区域是与 DNA/引导 RNA 具有一致接触变化的邻近 Cas 残基，并精确定位了其中的特异性决定残基。 ContactSeek 还可以模块化应用并识别 TadA8e 脱氨酶中的关键残基。靶向扩增子测序、全基因组分析、R 环测定和 RNA 测序共同证实了特异性的大幅增强；我们最好的变体结合了 Cas9 和 TadA8e 的两个突变，其性能优于几种已知的高保真腺嘌呤碱基编辑器。 ContactSeek 还推广到基于 Cas12a 的胞嘧啶碱基编辑器。总的来说，我们的 f</w:t>
      </w:r>
    </w:p>
    <w:p>
      <w:pPr>
        <w:spacing w:before="0" w:after="200" w:lineRule="auto" w:line="276"/>
      </w:pPr>
      <w:r>
        <w:rPr>
          <w:b/>
        </w:rPr>
        <w:t xml:space="preserve">Abstract (EN): </w:t>
      </w:r>
      <w:r>
        <w:t>Achieving high specificity in biochemical transformations is crucial for research and therapeutics. This is particularly important for genome editing, where enhancing tool specificity ensures effective and precise editing outcomes1,2. Current strategies are constrained by activity-specificity trade-offs, high labour intensity and low success rates3,4. Here we present ContactSeek, an artificial-intelligence-driven framework that uses AlphaFold3 (AF3)-predicted contact probability5 to improve the specificity of genome editors. Using Cas9-TadA adenine base editors6-8 as a demonstration, we mapped their genome-wide off-targets and fed the off-target DNA sequences to AF3. Among AF3 outputs, we found that contact probability was more sensitive than predicted three-dimensional structures for detecting differential interactions between on- and off-target complexes. Correlating contact probability with sequencing-based off-target signals, ContactSeek identified and ranked consensus contact regions, which are neighbouring Cas residues with consistent contact changes to DNA/guide RNA, and pinpointed specificity-determining residues within them. ContactSeek can also be applied modularly and identified key residues in the TadA8e deaminase. Targeted amplicon sequencing, genome-wide profiling, R-loop assay and RNA-sequencing together confirmed the greatly enhanced specificity; our best variant, combining two mutations of Cas9 and TadA8e, outperformed several known high-fidelity adenine base editors. ContactSeek is also generalized to Cas12a-based cytosine base editors. Collectively, our framework represents an AF3-driven model tailored for specificity improvement, establishing a paradigm for improving the precision of genome editing tools through the integration of structural and functional dimensions.</w:t>
      </w:r>
    </w:p>
    <w:p>
      <w:pPr>
        <w:spacing w:before="120" w:after="120"/>
      </w:pPr>
      <w:r>
        <w:rPr>
          <w:sz w:val="18"/>
        </w:rPr>
        <w:t>——————————————————————————————————————————————————————————————————————</w:t>
      </w:r>
    </w:p>
    <w:p>
      <w:pPr>
        <w:spacing w:before="160" w:after="40" w:line="240" w:lineRule="auto"/>
      </w:pPr>
      <w:r>
        <w:rPr>
          <w:b/>
        </w:rPr>
        <w:t xml:space="preserve">[518] </w:t>
      </w:r>
      <w:hyperlink r:id="rId1512">
        <w:r>
          <w:rPr>
            <w:color w:val="1155CC"/>
            <w:u w:val="single"/>
          </w:rPr>
          <w:t>人工智能重新设计的起点和结果增强了蛋白质的进化</w:t>
        </w:r>
      </w:hyperlink>
    </w:p>
    <w:p>
      <w:pPr>
        <w:spacing w:before="0" w:after="80"/>
      </w:pPr>
      <w:r>
        <w:rPr>
          <w:i/>
          <w:sz w:val="20"/>
        </w:rPr>
        <w:t>EN: AI-redesigned starting points and outcomes enhance protein evolution</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13">
        <w:r>
          <w:rPr>
            <w:color w:val="1155CC"/>
            <w:u w:val="single"/>
          </w:rPr>
          <w:t>10.1038/s41586-026-10820-0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工程或实验室进化的蛋白质通常具有次优的稳定性、活性或特异性。在这里，我们应用基于人工智能（AI）的蛋白质序列设计来解决实验酶进化中的挑战。使用 ProteinMPNN 模型，我们重新设计了三种不同的肉毒杆菌神经毒素 (BoNT) 蛋白酶，生成了稳定性更高且催化效率更高的变体</w:t>
      </w:r>
      <w:r>
        <w:rPr>
          <w:vertAlign w:val="subscript"/>
        </w:rPr>
        <w:t>1</w:t>
      </w:r>
      <w:r>
        <w:t>。我们假设，重新设计的酶可能比野生型 (WT) 对应物在突变方面更稳健，因此可能作为进化新功能的更好起点。我们利用人工智能重新设计的蛋白酶或相应的 WT 蛋白酶发起并排的噬菌体辅助持续进化活动</w:t>
      </w:r>
      <w:r>
        <w:rPr>
          <w:vertAlign w:val="subscript"/>
        </w:rPr>
        <w:t>2</w:t>
      </w:r>
      <w:r>
        <w:t>。以三种不同的重新设计的酶为起点，不断产生比同一选择中进化的 WT 蛋白酶具有更高活性的蛋白酶。在四次进化活动中，重新设计赋予了鲁棒性，解锁了对其他方式无法访问的高功能序列的访问，这通过重新设计进化的突变无法在 WT 酶背景中发挥作用而得到证实。当重新设计提高了起始点局部序列空间的适应性时，重新设计的起始点会以更快的速度适应。最后，我们进化了 WT 和 AI 重新设计的 BoNT/E 蛋白酶，以选择性裂解治疗相关的蛋白质 ataxin-2。从重新设计的起点进化而来的蛋白酶达到了更高的水平</w:t>
      </w:r>
    </w:p>
    <w:p>
      <w:pPr>
        <w:spacing w:before="0" w:after="200" w:lineRule="auto" w:line="276"/>
      </w:pPr>
      <w:r>
        <w:rPr>
          <w:b/>
        </w:rPr>
        <w:t xml:space="preserve">Abstract (EN): </w:t>
      </w:r>
      <w:r>
        <w:t>Engineered or laboratory-evolved proteins often have suboptimal stability, activity or specificity. Here we applied artificial intelligence (AI)-based protein sequence design to address challenges in experimental enzyme evolution. Using the model ProteinMPNN, we redesigned three distinct botulinum neurotoxin (BoNT) proteases, generating variants with improved stability and full catalytic efficiency</w:t>
      </w:r>
      <w:r>
        <w:rPr>
          <w:vertAlign w:val="subscript"/>
        </w:rPr>
        <w:t>1</w:t>
      </w:r>
      <w:r>
        <w:t>. We hypothesized that redesigned enzymes may be more mutationally robust than their wild-type (WT) counterparts, and therefore may serve as better starting points to evolve new function. We performed side-by-side phage-assisted continuous evolution campaigns initiated with AI-redesigned proteases or with the corresponding WT proteases</w:t>
      </w:r>
      <w:r>
        <w:rPr>
          <w:vertAlign w:val="subscript"/>
        </w:rPr>
        <w:t>2</w:t>
      </w:r>
      <w:r>
        <w:t>. Evolving three distinct redesigned enzymes as starting points consistently yielded proteases with higher activity than evolving WT proteases in the same selection. Across four evolution campaigns, redesign conferred robustness that unlocked access to otherwise inaccessible highly functional sequences, confirmed by the inability of redesign-evolved mutations to function in WT enzyme backgrounds. When redesign raises fitness in sequence space local to the starting point, redesigned starting points adapt at a faster rate. Finally, we evolved both WT and AI-redesigned BoNT/E protease to selectively cleave the therapeutically relevant protein ataxin-2. Proteases evolved from the redesigned starting point reached higher catalytic efficiency and stability while minimizing native substrate cleavage, achieving more than 79-fold greater selected specificity for ataxin-2 than the best-performing variant evolved from WT BoNT/E. This study establishes a practical workflow using AI-redesigned starting points to evolve enzymes with improved properties compared with those evolved from natural proteins, with broad implications for protein science.</w:t>
      </w:r>
    </w:p>
    <w:p>
      <w:pPr>
        <w:spacing w:before="120" w:after="120"/>
      </w:pPr>
      <w:r>
        <w:rPr>
          <w:sz w:val="18"/>
        </w:rPr>
        <w:t>——————————————————————————————————————————————————————————————————————</w:t>
      </w:r>
    </w:p>
    <w:p>
      <w:pPr>
        <w:spacing w:before="160" w:after="40" w:line="240" w:lineRule="auto"/>
      </w:pPr>
      <w:r>
        <w:rPr>
          <w:b/>
        </w:rPr>
        <w:t xml:space="preserve">[519] </w:t>
      </w:r>
      <w:hyperlink r:id="rId1514">
        <w:r>
          <w:rPr>
            <w:color w:val="1155CC"/>
            <w:u w:val="single"/>
          </w:rPr>
          <w:t>大堡礁的浮游微生物组</w:t>
        </w:r>
      </w:hyperlink>
    </w:p>
    <w:p>
      <w:pPr>
        <w:spacing w:before="0" w:after="80"/>
      </w:pPr>
      <w:r>
        <w:rPr>
          <w:i/>
          <w:sz w:val="20"/>
        </w:rPr>
        <w:t>EN: The planktonic microbiome of the Great Barrier Reef</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15">
        <w:r>
          <w:rPr>
            <w:color w:val="1155CC"/>
            <w:u w:val="single"/>
          </w:rPr>
          <w:t>10.1038/s41586-026-10778-z</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大型基因组数据库显着提高了我们对海洋微生物的了解</w:t>
      </w:r>
      <w:r>
        <w:t xml:space="preserve"> </w:t>
      </w:r>
      <w:r>
        <w:t>1–5</w:t>
      </w:r>
      <w:r>
        <w:t xml:space="preserve"> </w:t>
      </w:r>
      <w:r>
        <w:t>。尽管这些资源主要集中在原核生物，但来自许多主要海洋谱系的基因组，例如</w:t>
      </w:r>
      <w:r>
        <w:t xml:space="preserve"> </w:t>
      </w:r>
      <w:r>
        <w:t>远洋杆菌属</w:t>
      </w:r>
      <w:r>
        <w:t xml:space="preserve"> </w:t>
      </w:r>
      <w:r>
        <w:t>和</w:t>
      </w:r>
      <w:r>
        <w:t xml:space="preserve"> </w:t>
      </w:r>
      <w:r>
        <w:t>原绿球藻</w:t>
      </w:r>
      <w:r>
        <w:t xml:space="preserve"> </w:t>
      </w:r>
      <w:r>
        <w:t>, 的代表性明显不足。在这里，我们介绍了大堡礁微生物基因组数据库 (GBR-MGD)，其中包含使用 Nanopore 和 Illumina 测序从大堡礁海水样本中获得的 5,283 个原核生物基因组，其中包括代表性不足群体的高质量基因组集合。我们表明，由于菌株异质性和低 GC 百分比测序偏差的结合，标准短读长组装会错过这些群体。 GBR-MGD 还包含 20 个染色体级超真核生物和 808,585 个病毒基因组，包括新描述的海洋生物进化枝</w:t>
      </w:r>
      <w:r>
        <w:t xml:space="preserve"> </w:t>
      </w:r>
      <w:r>
        <w:t>粗病毒目</w:t>
      </w:r>
      <w:r>
        <w:t xml:space="preserve"> </w:t>
      </w:r>
      <w:r>
        <w:t>。我们展示了 GBR-MGD 在识别指示类群方面的实用性，这些指示类群可以可靠地预测珊瑚礁管理实践（例如建立海洋保护区）的影响。</w:t>
      </w:r>
    </w:p>
    <w:p>
      <w:pPr>
        <w:spacing w:before="0" w:after="200" w:lineRule="auto" w:line="276"/>
      </w:pPr>
      <w:r>
        <w:rPr>
          <w:b/>
        </w:rPr>
        <w:t xml:space="preserve">Abstract (EN): </w:t>
      </w:r>
      <w:r>
        <w:t>Large genome databases have markedly improved our understanding of marine microorganisms</w:t>
      </w:r>
      <w:r>
        <w:t xml:space="preserve"> </w:t>
      </w:r>
      <w:r>
        <w:t>1–5</w:t>
      </w:r>
      <w:r>
        <w:t xml:space="preserve"> </w:t>
      </w:r>
      <w:r>
        <w:t>. Although these resources have focused on prokaryotes, genomes from many dominant marine lineages, such as</w:t>
      </w:r>
      <w:r>
        <w:t xml:space="preserve"> </w:t>
      </w:r>
      <w:r>
        <w:t>Pelagibacter</w:t>
      </w:r>
      <w:r>
        <w:t xml:space="preserve"> </w:t>
      </w:r>
      <w:r>
        <w:t>and</w:t>
      </w:r>
      <w:r>
        <w:t xml:space="preserve"> </w:t>
      </w:r>
      <w:r>
        <w:t>Prochlorococcus</w:t>
      </w:r>
      <w:r>
        <w:t xml:space="preserve"> </w:t>
      </w:r>
      <w:r>
        <w:t>, are conspicuously underrepresented. Here we present the Great Barrier Reef Microbial Genomes Database (GBR-MGD), comprising 5,283 prokaryotic genomes obtained from Great Barrier Reef seawater samples using Nanopore and Illumina sequencing, including a collection of high-quality genomes of underrepresented groups. We show that standard short-read assemblies miss these populations owing to a combination of strain heterogeneity and low-GC-percentage sequencing bias. The GBR-MGD also comprises 20 chromosome-level picoeukaryote and 808,585 viral genomes, including a newly described clade of marine</w:t>
      </w:r>
      <w:r>
        <w:t xml:space="preserve"> </w:t>
      </w:r>
      <w:r>
        <w:t>Crassvirales</w:t>
      </w:r>
      <w:r>
        <w:t xml:space="preserve"> </w:t>
      </w:r>
      <w:r>
        <w:t>. We demonstrate the utility of the GBR-MGD to identify indicator taxa that can reliably predict the effects of reef management practices, such as the establishment of marine protected zones.</w:t>
      </w:r>
    </w:p>
    <w:p>
      <w:pPr>
        <w:spacing w:before="120" w:after="120"/>
      </w:pPr>
      <w:r>
        <w:rPr>
          <w:sz w:val="18"/>
        </w:rPr>
        <w:t>——————————————————————————————————————————————————————————————————————</w:t>
      </w:r>
    </w:p>
    <w:p>
      <w:pPr>
        <w:spacing w:before="160" w:after="40" w:line="240" w:lineRule="auto"/>
      </w:pPr>
      <w:r>
        <w:rPr>
          <w:b/>
        </w:rPr>
        <w:t xml:space="preserve">[520] </w:t>
      </w:r>
      <w:hyperlink r:id="rId1516">
        <w:r>
          <w:rPr>
            <w:color w:val="1155CC"/>
            <w:u w:val="single"/>
          </w:rPr>
          <w:t>果蝇出生顺序和神经元身份的全球分子密码</w:t>
        </w:r>
      </w:hyperlink>
    </w:p>
    <w:p>
      <w:pPr>
        <w:spacing w:before="0" w:after="80"/>
      </w:pPr>
      <w:r>
        <w:rPr>
          <w:i/>
          <w:sz w:val="20"/>
        </w:rPr>
        <w:t>EN: A global molecular code for birth order and neuronal identity in Drosophila</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17">
        <w:r>
          <w:rPr>
            <w:color w:val="1155CC"/>
            <w:u w:val="single"/>
          </w:rPr>
          <w:t>10.1038/s41586-026-10797-w</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功能神经回路的组装依赖于具有精确分子身份和连接性的不同神经类型的生成。解开神经系统中神经元规范和连接的一般原理，需要对其多样性进行系统和高分辨率的表征，最近单细胞转录组学和连接组学的进展使之成为可能。然而，将神经元的分子身份与电路结构联系起来仍然是一个关键挑战。在这里，我们提出了一个高分辨率的发育转录图谱</w:t>
      </w:r>
      <w:r>
        <w:t xml:space="preserve"> </w:t>
      </w:r>
      <w:r>
        <w:t>黑腹果蝇</w:t>
      </w:r>
      <w:r>
        <w:t xml:space="preserve"> </w:t>
      </w:r>
      <w:r>
        <w:t>神经索，感觉运动回路的中心枢纽。相对于其参考连接组，具有相当大的 38 倍总覆盖范围</w:t>
      </w:r>
      <w:r>
        <w:t xml:space="preserve"> </w:t>
      </w:r>
      <w:r>
        <w:t>1,2</w:t>
      </w:r>
      <w:r>
        <w:t xml:space="preserve"> </w:t>
      </w:r>
      <w:r>
        <w:t>，我们的图谱捕获了广泛的分子多样性，并能够与成人连接组进行稳健的对齐。我们确定了神经索神经元多样性的三个发育原则。首先，神经发生的时间决定了分子身份的多样化：胚胎出生的神经元比幼虫出生的神经元分化得更快，这在成体连接组中也观察到。其次，所有谱系的神经元共有 17 种转录因子，为出生顺序提供了全局分子身份代码。最后，通过将性别特异性转录谱映射到连接组，我们确定女性特异性细胞凋亡和转录分歧是性别规范的关键全球驱动因素。通过揭示关键的组织轴</w:t>
      </w:r>
    </w:p>
    <w:p>
      <w:pPr>
        <w:spacing w:before="0" w:after="200" w:lineRule="auto" w:line="276"/>
      </w:pPr>
      <w:r>
        <w:rPr>
          <w:b/>
        </w:rPr>
        <w:t xml:space="preserve">Abstract (EN): </w:t>
      </w:r>
      <w:r>
        <w:t>The assembly of functional neural circuits relies on the generation of diverse neural types with precise molecular identity and connectivity. Unlocking general principles of neuronal specification and wiring across the nervous system requires a systematic and high-resolution characterization of its diversity, recently enabled by advances in single-cell transcriptomics and connectomics. However, linking the molecular identity of neurons to circuit architecture remains a key challenge. Here we present a high-resolution developmental transcriptional atlas for the</w:t>
      </w:r>
      <w:r>
        <w:t xml:space="preserve"> </w:t>
      </w:r>
      <w:r>
        <w:t>Drosophila melanogaster</w:t>
      </w:r>
      <w:r>
        <w:t xml:space="preserve"> </w:t>
      </w:r>
      <w:r>
        <w:t>nerve cord, the central hub for sensory–motor circuits. With a considerable 38× aggregate coverage relative to its reference connectome</w:t>
      </w:r>
      <w:r>
        <w:t xml:space="preserve"> </w:t>
      </w:r>
      <w:r>
        <w:t>1,2</w:t>
      </w:r>
      <w:r>
        <w:t xml:space="preserve"> </w:t>
      </w:r>
      <w:r>
        <w:t>, our atlas captures extensive molecular diversity and enables robust alignment to the adult connectome. We identified three developmental principles underlying neuronal diversity in the nerve cord. First, the timing of neurogenesis shapes diversification of molecular identity: embryonic-born neurons diverge faster than larval-born neurons, as also observed in the adult connectome. Second, 17 transcription factors common to neurons from all lineages provide a global molecular identity code for birth order. Lastly, by mapping sex-specific transcriptional profiles to the connectome, we identified female-specific apoptosis and transcriptional divergence as key global drivers of sex specification. By revealing key organizational axes of molecular identity, this atlas opens avenues to dissect the molecular mechanisms underpinning the development and evolution of neural circuits.</w:t>
      </w:r>
    </w:p>
    <w:p>
      <w:pPr>
        <w:spacing w:before="120" w:after="120"/>
      </w:pPr>
      <w:r>
        <w:rPr>
          <w:sz w:val="18"/>
        </w:rPr>
        <w:t>——————————————————————————————————————————————————————————————————————</w:t>
      </w:r>
    </w:p>
    <w:p>
      <w:pPr>
        <w:spacing w:before="160" w:after="40" w:line="240" w:lineRule="auto"/>
      </w:pPr>
      <w:r>
        <w:rPr>
          <w:b/>
        </w:rPr>
        <w:t xml:space="preserve">[521] </w:t>
      </w:r>
      <w:hyperlink r:id="rId1518">
        <w:r>
          <w:rPr>
            <w:color w:val="1155CC"/>
            <w:u w:val="single"/>
          </w:rPr>
          <w:t>无绝缘体拓扑光子多车道高速公路</w:t>
        </w:r>
      </w:hyperlink>
    </w:p>
    <w:p>
      <w:pPr>
        <w:spacing w:before="0" w:after="80"/>
      </w:pPr>
      <w:r>
        <w:rPr>
          <w:i/>
          <w:sz w:val="20"/>
        </w:rPr>
        <w:t>EN: Insulator-free topological photonic multi-lane highways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19">
        <w:r>
          <w:rPr>
            <w:color w:val="1155CC"/>
            <w:u w:val="single"/>
          </w:rPr>
          <w:t>10.1038/s41586-026-10817-9</w:t>
        </w:r>
      </w:hyperlink>
    </w:p>
    <w:p>
      <w:pPr>
        <w:spacing w:before="0" w:after="120"/>
      </w:pPr>
      <w:r>
        <w:rPr>
          <w:b/>
        </w:rPr>
        <w:t xml:space="preserve">Notes: </w:t>
      </w:r>
      <w:r>
        <w:t>abstract_source=pubmed</w:t>
      </w:r>
    </w:p>
    <w:p>
      <w:pPr>
        <w:spacing w:before="0" w:after="80" w:lineRule="auto" w:line="276"/>
      </w:pPr>
      <w:r>
        <w:rPr>
          <w:b/>
        </w:rPr>
        <w:t xml:space="preserve">摘要（ZH）: </w:t>
      </w:r>
      <w:r>
        <w:t>光子结构中的拓扑保护能够实现稳健的单向传播，不受结构紊乱的影响1-20。然而，传统的实现方式是从拓扑绝缘体域中获得这种保护，拓扑绝缘体域的界面具有狭窄的引导通道，从而使大部分绝缘体处于不活动状态，无法进行传输。这在拓扑鲁棒性和空间足迹之间进行了根本性的权衡21-25。在这里，我们引入了一种无绝缘体的拓扑波导架构，消除了这种权衡，实现了多通道单向光导，同时具有 100% 的空间利用效率和拓扑保护。通过战略性地结合旋磁蜂窝光子晶体（PC）中的时间反转和反演对称性破缺，我们在平凡绝缘体相和陈绝缘体相之间的不同关键过渡边界处实现了四个不等价的光子谷半金属（PVHSM）26,27。我们将这四种结构排列成并行的循环配置，使得每个域同时充当谷选择性波导和相邻域中其他谷的拓扑势垒，从而避免了对进一步拓扑绝缘层的需要。我们的实验和理论结果表明，这种多通道配置将传统的边缘状态转变为密集的大面积单向模式。这些模式在四个域中表现出交替的单向性，同时即使在任意急弯和明显的形状变化下也能保持鲁棒性。这项工作体现了一种设计策略</w:t>
      </w:r>
    </w:p>
    <w:p>
      <w:pPr>
        <w:spacing w:before="0" w:after="200" w:lineRule="auto" w:line="276"/>
      </w:pPr>
      <w:r>
        <w:rPr>
          <w:b/>
        </w:rPr>
        <w:t xml:space="preserve">Abstract (EN): </w:t>
      </w:r>
      <w:r>
        <w:t>Topological protection in photonic structures enables robust unidirectional propagation immune to structural disorder1-20. However, conventional implementations obtain this protection from topological-insulator domains whose interfaces host narrow guiding channels, leaving much of the insulating bulk inactive for transport. This imposes a fundamental trade-off between topological robustness and spatial footprint21-25. Here we introduce an insulator-free topological waveguide architecture that eliminates this trade-off, enabling multi-lane unidirectional light guiding with both 100% spatial utilization efficiency and topological protection. By strategically combining time-reversal and inversion-symmetry breaking in gyromagnetic honeycomb photonic crystals (PCs), we achieve four inequivalent photonic valley half-semimetals (PVHSMs)26,27 at distinct critical transition boundaries between trivial and Chern insulator phases. We arrange these four structures in a parallel, cyclic configuration, such that each domain simultaneously functions as a valley-selective waveguide and a topological barrier for the other valley in adjacent domains, circumventing the need for further topological insulating layers. Our experimental and theoretical results demonstrate that this multi-lane configuration transforms conventional edge states into densely packed, large-area one-way modes. These modes exhibit alternating unidirectionality across the four domains while maintaining robustness even under arbitrary sharp bends and pronounced shape variations. This work exemplifies a design strategy for ultracompact topological photonic circuits, with potential for high-density integrated optics.</w:t>
      </w:r>
    </w:p>
    <w:p>
      <w:pPr>
        <w:spacing w:before="120" w:after="120"/>
      </w:pPr>
      <w:r>
        <w:rPr>
          <w:sz w:val="18"/>
        </w:rPr>
        <w:t>——————————————————————————————————————————————————————————————————————</w:t>
      </w:r>
    </w:p>
    <w:p>
      <w:pPr>
        <w:spacing w:before="160" w:after="40" w:line="240" w:lineRule="auto"/>
      </w:pPr>
      <w:r>
        <w:rPr>
          <w:b/>
        </w:rPr>
        <w:t xml:space="preserve">[522] </w:t>
      </w:r>
      <w:hyperlink r:id="rId1520">
        <w:r>
          <w:rPr>
            <w:color w:val="1155CC"/>
            <w:u w:val="single"/>
          </w:rPr>
          <w:t>通过烷基肼的 N2 挤出高度化学选择性地获得烷基硫化合物</w:t>
        </w:r>
      </w:hyperlink>
    </w:p>
    <w:p>
      <w:pPr>
        <w:spacing w:before="0" w:after="80"/>
      </w:pPr>
      <w:r>
        <w:rPr>
          <w:i/>
          <w:sz w:val="20"/>
        </w:rPr>
        <w:t>EN: Highly chemoselective access to alkyl-sulfur compounds via N2 extrusion of alkyl hydrazines</w:t>
      </w:r>
    </w:p>
    <w:p>
      <w:pPr>
        <w:spacing w:before="0" w:after="120"/>
      </w:pPr>
      <w:r>
        <w:rPr>
          <w:b/>
        </w:rPr>
        <w:t xml:space="preserve">Source: </w:t>
      </w:r>
      <w:r>
        <w:t>Nature Chemistry</w:t>
      </w:r>
      <w:r>
        <w:t xml:space="preserve">    </w:t>
      </w:r>
      <w:r>
        <w:rPr>
          <w:b/>
        </w:rPr>
        <w:t xml:space="preserve">Pub date: </w:t>
      </w:r>
      <w:r>
        <w:t>2026-07-22 00:00:00+00:00</w:t>
      </w:r>
      <w:r>
        <w:t xml:space="preserve">    </w:t>
      </w:r>
      <w:r>
        <w:rPr>
          <w:b/>
        </w:rPr>
        <w:t xml:space="preserve">DOI: </w:t>
      </w:r>
      <w:hyperlink r:id="rId1521">
        <w:r>
          <w:rPr>
            <w:color w:val="1155CC"/>
            <w:u w:val="single"/>
          </w:rPr>
          <w:t>10.1038/s41557-026-02212-8</w:t>
        </w:r>
      </w:hyperlink>
    </w:p>
    <w:p>
      <w:pPr>
        <w:spacing w:before="0" w:after="120"/>
      </w:pPr>
      <w:r>
        <w:rPr>
          <w:b/>
        </w:rPr>
        <w:t xml:space="preserve">Notes: </w:t>
      </w:r>
      <w:r>
        <w:t>abstract_source=pubmed</w:t>
      </w:r>
    </w:p>
    <w:p>
      <w:pPr>
        <w:spacing w:before="0" w:after="80" w:lineRule="auto" w:line="276"/>
      </w:pPr>
      <w:r>
        <w:rPr>
          <w:b/>
        </w:rPr>
        <w:t xml:space="preserve">摘要（ZH）: </w:t>
      </w:r>
      <w:r>
        <w:t>含硫 (VI) 的官能团，如磺酰胺、亚磺酸盐和磺酰氟，在药物中普遍存在，它们赋予独特的理化性质，可增强不同治疗领域的代谢稳定性、溶解度和生物活性。尽管其普遍存在，但烷基硫 (VI) 衍生物的合成仍然是碎片化的，通常需要从稀缺的前体或限制官能团耐受性和可扩展性的恶劣条件中进行多步骤序列。在这里，我们报告了一个统一的平台，可以从丰富的未活化原料（包括酮、醇、胺和其他结构复杂的分子）中分离合成烷基硫（VI）化合物。该方法的核心是使用烷基肼（或其磺酰化衍生物）作为实用的自由基前体。经过简单的热活化，这些肼在温和且操作简单的条件下进行有效的均解，产生烷基自由基，无需光催化剂、昂贵的金属或试剂以及复杂的装置。合成了 70 多种含硫分子，包括复杂天然产物的直接官能化，无需借助保护基化学。</w:t>
      </w:r>
    </w:p>
    <w:p>
      <w:pPr>
        <w:spacing w:before="0" w:after="200" w:lineRule="auto" w:line="276"/>
      </w:pPr>
      <w:r>
        <w:rPr>
          <w:b/>
        </w:rPr>
        <w:t xml:space="preserve">Abstract (EN): </w:t>
      </w:r>
      <w:r>
        <w:t>Sulfur(VI)-containing functional groups, such as sulfonamides, sulfinates and sulfonyl fluorides, are ubiquitous in pharmaceuticals, where they confer unique physicochemical properties that enhance metabolic stability, solubility and bioactivity across diverse therapeutic areas. Despite their prevalence, synthetic access to alkyl-sulfur(VI) derivatives remains fragmented, often requiring multi-step sequences from scarce precursors or harsh conditions that limit functional-group tolerance and scalability. Here we report a unified platform that enables divergent synthesis of alkyl-sulfur(VI) compounds from abundant, unactivated feedstocks including ketones, alcohols, amines and other structurally complex molecules. Central to this method is the use of alkyl hydrazines (or their sulfonylated derivatives) as practical radical precursors. Upon simple thermal activation, these hydrazines undergo efficient homolysis to generate alkyl radicals under mild and operationally simple conditions, without the need for photocatalysts, expensive metals or reagents and elaborate setups. Over 70 sulfur-containing molecules are synthesized, including direct functionalization of complex natural products without resorting to protecting group chemistry.</w:t>
      </w:r>
    </w:p>
    <w:p>
      <w:pPr>
        <w:spacing w:before="120" w:after="120"/>
      </w:pPr>
      <w:r>
        <w:rPr>
          <w:sz w:val="18"/>
        </w:rPr>
        <w:t>——————————————————————————————————————————————————————————————————————</w:t>
      </w:r>
    </w:p>
    <w:p>
      <w:pPr>
        <w:spacing w:before="160" w:after="40" w:line="240" w:lineRule="auto"/>
      </w:pPr>
      <w:r>
        <w:rPr>
          <w:b/>
        </w:rPr>
        <w:t xml:space="preserve">[523] </w:t>
      </w:r>
      <w:hyperlink r:id="rId1522">
        <w:r>
          <w:rPr>
            <w:color w:val="1155CC"/>
            <w:u w:val="single"/>
          </w:rPr>
          <w:t>CCHFV 聚合酶中的 RNA 合成和底物类似物抑制</w:t>
        </w:r>
      </w:hyperlink>
    </w:p>
    <w:p>
      <w:pPr>
        <w:spacing w:before="0" w:after="80"/>
      </w:pPr>
      <w:r>
        <w:rPr>
          <w:i/>
          <w:sz w:val="20"/>
        </w:rPr>
        <w:t>EN: RNA synthesis and substrate analog inhibition in the CCHFV polymerase</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23">
        <w:r>
          <w:rPr>
            <w:color w:val="1155CC"/>
            <w:u w:val="single"/>
          </w:rPr>
          <w:t>10.1038/s41586-026-10913-w</w:t>
        </w:r>
      </w:hyperlink>
    </w:p>
    <w:p>
      <w:pPr>
        <w:spacing w:before="0" w:after="120"/>
      </w:pPr>
      <w:r>
        <w:rPr>
          <w:b/>
        </w:rPr>
        <w:t xml:space="preserve">Notes: </w:t>
      </w:r>
      <w:r>
        <w:t>abstract_source=nature_html</w:t>
      </w:r>
    </w:p>
    <w:p>
      <w:pPr>
        <w:spacing w:before="0" w:after="80" w:lineRule="auto" w:line="276"/>
      </w:pPr>
      <w:r>
        <w:rPr>
          <w:b/>
        </w:rPr>
        <w:t xml:space="preserve">摘要（ZH）: </w:t>
      </w:r>
      <w:r>
        <w:t>来自内罗病毒科的约 4000 个残基的 L 蛋白是已知最大的病毒聚合酶，缺乏整体结构信息和有前途的核苷酸类似物 (NA) 抑制剂。在此，我们报告了全长内罗病毒科克里米亚-刚果出血热病毒 (CCHFV) L 的结构，包括 3.0 Å 分辨率的聚合酶延伸复合物，该复合物阐明了早期和晚期延伸阶段的机制。 CCHFV L 的所有三个主要功能区均含有核酸内切酶、RNA 依赖性 RNA 聚合酶 (RdRP) 和帽结合域，均发现大量添加和插入，延长了 RdRP 活性位点两侧的 RNA 结合路径，并创建了对病毒复制至关重要的相互作用网络，如 CCHFV 小基因组检测数据所示。具有核糖-2'-修饰的 NA 与丙型肝炎药物索磷布韦相同，被发现可通过立即链终止机制特异性、有效地抑制 CCHFV RdRP。使用索磷布韦-丙型肝炎病毒 RdRP 系统作为参考，这些 NA 的效力在相应 NTP 存在的竞争测定中得到进一步证明。</w:t>
      </w:r>
    </w:p>
    <w:p>
      <w:pPr>
        <w:spacing w:before="0" w:after="200" w:lineRule="auto" w:line="276"/>
      </w:pPr>
      <w:r>
        <w:rPr>
          <w:b/>
        </w:rPr>
        <w:t xml:space="preserve">Abstract (EN): </w:t>
      </w:r>
      <w:r>
        <w:t>The about 4000-residue L proteins from the Nairoviridae are the largest known viral polymerases, lacking global structural information and promising nucleotide analog (NA) inhibitors. Here we report structures of full-length Nairoviridae Crimean-Congo hemorrhagic fever virus (CCHFV) L including a 3.0-Å-resolution polymerase elongation complex that elucidates mechanisms of both early and late elongation stages. Large additions and insertions are found in all three major functional regions that contain the endonuclease, RNA-dependent RNA polymerase (RdRP), and cap-binding domain of CCHFV L, extending RNA binding paths on both sides of RdRP active site and creating interaction networks critical for virus replication as suggested by CCHFV minigenome assay data. NAs with ribose-2′-modifications identical to the hepatitis C drug sofosbuvir are found to specifically and efficiently inhibit CCHFV RdRP through immediate chain termination mechanism. Using sofosbuvir-hepatitis C virus RdRP system as the reference, the potency of these NAs is further demonstrated in competition assays in the presence of corresponding NTPs.</w:t>
      </w:r>
    </w:p>
    <w:p>
      <w:pPr>
        <w:spacing w:before="120" w:after="120"/>
      </w:pPr>
      <w:r>
        <w:rPr>
          <w:sz w:val="18"/>
        </w:rPr>
        <w:t>——————————————————————————————————————————————————————————————————————</w:t>
      </w:r>
    </w:p>
    <w:p>
      <w:pPr>
        <w:spacing w:before="160" w:after="40" w:line="240" w:lineRule="auto"/>
      </w:pPr>
      <w:r>
        <w:rPr>
          <w:b/>
        </w:rPr>
        <w:t xml:space="preserve">[524] </w:t>
      </w:r>
      <w:hyperlink r:id="rId1524">
        <w:r>
          <w:rPr>
            <w:color w:val="1155CC"/>
            <w:u w:val="single"/>
          </w:rPr>
          <w:t>COF膜中的单链水超快传输，用于双重脱盐和脱挥发分</w:t>
        </w:r>
      </w:hyperlink>
    </w:p>
    <w:p>
      <w:pPr>
        <w:spacing w:before="0" w:after="80"/>
      </w:pPr>
      <w:r>
        <w:rPr>
          <w:i/>
          <w:sz w:val="20"/>
        </w:rPr>
        <w:t>EN: Single-chain-water ultrafast transport in COF membrane for dual desalination and devolatilization</w:t>
      </w:r>
    </w:p>
    <w:p>
      <w:pPr>
        <w:spacing w:before="0" w:after="120"/>
      </w:pPr>
      <w:r>
        <w:rPr>
          <w:b/>
        </w:rPr>
        <w:t xml:space="preserve">Source: </w:t>
      </w:r>
      <w:r>
        <w:t>Chem</w:t>
      </w:r>
      <w:r>
        <w:t xml:space="preserve">    </w:t>
      </w:r>
      <w:r>
        <w:rPr>
          <w:b/>
        </w:rPr>
        <w:t xml:space="preserve">Pub date: </w:t>
      </w:r>
      <w:r>
        <w:t>2026-07-22 00:00:00+00:00</w:t>
      </w:r>
      <w:r>
        <w:t xml:space="preserve">    </w:t>
      </w:r>
      <w:r>
        <w:rPr>
          <w:b/>
        </w:rPr>
        <w:t xml:space="preserve">DOI: </w:t>
      </w:r>
      <w:hyperlink r:id="rId1525">
        <w:r>
          <w:rPr>
            <w:color w:val="1155CC"/>
            <w:u w:val="single"/>
          </w:rPr>
          <w:t>10.1016/j.chempr.2026.103159</w:t>
        </w:r>
      </w:hyperlink>
    </w:p>
    <w:p>
      <w:pPr>
        <w:spacing w:before="0" w:after="120"/>
      </w:pPr>
      <w:r>
        <w:rPr>
          <w:b/>
        </w:rPr>
        <w:t xml:space="preserve">Notes: </w:t>
      </w:r>
      <w:r>
        <w:t>abstract_source=rss_cell</w:t>
      </w:r>
    </w:p>
    <w:p>
      <w:pPr>
        <w:spacing w:before="0" w:after="80" w:lineRule="auto" w:line="276"/>
      </w:pPr>
      <w:r>
        <w:rPr>
          <w:b/>
        </w:rPr>
        <w:t xml:space="preserve">摘要（ZH）: </w:t>
      </w:r>
      <w:r>
        <w:t>获得清洁的水需要去除盐和有害挥发物，这是传统膜无法满足的双重挑战。这项研究设计了一种具有定制纳米级通道的合成膜，克服了这一限制。它可实现高盐分和挥发物的去除率，同时允许快速水流。这是通过一种独特的现象实现的，即水分子排成一列，快速穿过亚纳米孔隙。</w:t>
      </w:r>
    </w:p>
    <w:p>
      <w:pPr>
        <w:spacing w:before="0" w:after="200" w:lineRule="auto" w:line="276"/>
      </w:pPr>
      <w:r>
        <w:rPr>
          <w:b/>
        </w:rPr>
        <w:t xml:space="preserve">Abstract (EN): </w:t>
      </w:r>
      <w:r>
        <w:t>Obtaining clean water requires removing both salt and harmful volatiles—a dual challenge where conventional membranes fall short. This study engineers a synthetic membrane with tailored nanoscale channels that overcome this limitation. It achieves high rejection of salt and volatiles while permitting fast water flow. This is enabled by a unique phenomenon where water molecules line up in a single file to move rapidly through the sub-nanometer pores.</w:t>
      </w:r>
    </w:p>
    <w:p>
      <w:pPr>
        <w:spacing w:before="120" w:after="120"/>
      </w:pPr>
      <w:r>
        <w:rPr>
          <w:sz w:val="18"/>
        </w:rPr>
        <w:t>——————————————————————————————————————————————————————————————————————</w:t>
      </w:r>
    </w:p>
    <w:p>
      <w:pPr>
        <w:spacing w:before="160" w:after="40" w:line="240" w:lineRule="auto"/>
      </w:pPr>
      <w:r>
        <w:rPr>
          <w:b/>
        </w:rPr>
        <w:t xml:space="preserve">[525] </w:t>
      </w:r>
      <w:hyperlink r:id="rId1526">
        <w:r>
          <w:rPr>
            <w:color w:val="1155CC"/>
            <w:u w:val="single"/>
          </w:rPr>
          <w:t>棕色牛头鲶鱼黑色素瘤代表一种新型传染性癌症</w:t>
        </w:r>
      </w:hyperlink>
    </w:p>
    <w:p>
      <w:pPr>
        <w:spacing w:before="0" w:after="80"/>
      </w:pPr>
      <w:r>
        <w:rPr>
          <w:i/>
          <w:sz w:val="20"/>
        </w:rPr>
        <w:t>EN: Brown bullhead catfish melanoma represents a novel transmissible cancer</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27">
        <w:r>
          <w:rPr>
            <w:color w:val="1155CC"/>
            <w:u w:val="single"/>
          </w:rPr>
          <w:t>10.1038/s41586-026-10828-6</w:t>
        </w:r>
      </w:hyperlink>
    </w:p>
    <w:p>
      <w:pPr>
        <w:spacing w:before="0" w:after="120"/>
      </w:pPr>
      <w:r>
        <w:rPr>
          <w:b/>
        </w:rPr>
        <w:t xml:space="preserve">Notes: </w:t>
      </w:r>
      <w:r>
        <w:t>abstract_source=pubmed</w:t>
      </w:r>
    </w:p>
    <w:p>
      <w:pPr>
        <w:spacing w:before="0" w:after="80" w:lineRule="auto" w:line="276"/>
      </w:pPr>
      <w:r>
        <w:rPr>
          <w:b/>
        </w:rPr>
        <w:t xml:space="preserve">摘要（ZH）: </w:t>
      </w:r>
      <w:r>
        <w:t>自 2012 年以来，横跨美国佛蒙特州和加拿大魁北克省的一个湖中的棕色牛头鲶鱼 (Ameiurus nebulosus) 出现了很高的黑色素瘤发病率，表明存在致病污染物或传染病1。我们测试了这样的假设：这种疾病代表一种克隆性传染性癌症，这是一种罕见的现象，癌细胞本身在个体之间传播，其行为比传统肿瘤更像寄生虫2。肿瘤和匹配的非肿瘤宿主组织的全基因组测序表明，肿瘤线粒体和核基因组彼此之间的相关性比与宿主或未受影响的鱼类的相关性更密切。肿瘤样本中共有数十万种遗传变异，但宿主鱼中不存在这种变异，远远超过了传统癌症中的水平3。这些发现表明，这些棕色牛头鱼中的黑色素瘤是继狗4、塔斯马尼亚恶魔5和几种双壳类动物6-13之后有记录的第四种动物中自然发生的传染性癌症类型。这就提出了关于癌症的起源、传播方式以及对鱼类种群的长期影响的重要问题。</w:t>
      </w:r>
    </w:p>
    <w:p>
      <w:pPr>
        <w:spacing w:before="0" w:after="200" w:lineRule="auto" w:line="276"/>
      </w:pPr>
      <w:r>
        <w:rPr>
          <w:b/>
        </w:rPr>
        <w:t xml:space="preserve">Abstract (EN): </w:t>
      </w:r>
      <w:r>
        <w:t>Since 2012, brown bullhead catfish (Ameiurus nebulosus) in a lake that spans Vermont, USA, and Quebec, Canada, have shown a high rate of melanomas, suggesting a causal contaminant or contagion1. We tested the hypothesis that this affliction represents a clonally transmissible cancer, a rare phenomenon in which cancer cells themselves spread between individuals, behaving more like parasites than conventional tumours2. Whole-genome sequencing of tumour and matched non-tumour host tissues revealed that tumour mitochondrial and nuclear genomes are more closely related to each other than to their hosts or unaffected fish. Hundreds of thousands of genetic variants are shared among tumour samples but are absent from host fish, vastly exceeding levels seen in conventional cancers3. These findings indicate that melanoma in these brown bullheads represents the fourth documented type of naturally occurring transmissible cancer in animals, after dogs4, Tasmanian devils5 and several bivalve species6-13. This raises important questions about the cancer's origin, the mode of transmission and the long-term impact on fish populations.</w:t>
      </w:r>
    </w:p>
    <w:p>
      <w:pPr>
        <w:spacing w:before="120" w:after="120"/>
      </w:pPr>
      <w:r>
        <w:rPr>
          <w:sz w:val="18"/>
        </w:rPr>
        <w:t>——————————————————————————————————————————————————————————————————————</w:t>
      </w:r>
    </w:p>
    <w:p>
      <w:pPr>
        <w:spacing w:before="160" w:after="40" w:line="240" w:lineRule="auto"/>
      </w:pPr>
      <w:r>
        <w:rPr>
          <w:b/>
        </w:rPr>
        <w:t xml:space="preserve">[526] </w:t>
      </w:r>
      <w:hyperlink r:id="rId1528">
        <w:r>
          <w:rPr>
            <w:color w:val="1155CC"/>
            <w:u w:val="single"/>
          </w:rPr>
          <w:t>来自插层卤化物的半导体和磁性稀土 MXene</w:t>
        </w:r>
      </w:hyperlink>
    </w:p>
    <w:p>
      <w:pPr>
        <w:spacing w:before="0" w:after="80"/>
      </w:pPr>
      <w:r>
        <w:rPr>
          <w:i/>
          <w:sz w:val="20"/>
        </w:rPr>
        <w:t>EN: Semiconducting and magnetic lanthanide MXenes from intercalated halides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29">
        <w:r>
          <w:rPr>
            <w:color w:val="1155CC"/>
            <w:u w:val="single"/>
          </w:rPr>
          <w:t>10.1038/s41586-026-10802-2</w:t>
        </w:r>
      </w:hyperlink>
    </w:p>
    <w:p>
      <w:pPr>
        <w:spacing w:before="0" w:after="120"/>
      </w:pPr>
      <w:r>
        <w:rPr>
          <w:b/>
        </w:rPr>
        <w:t xml:space="preserve">Notes: </w:t>
      </w:r>
      <w:r>
        <w:t>abstract_source=pubmed</w:t>
      </w:r>
    </w:p>
    <w:p>
      <w:pPr>
        <w:spacing w:before="0" w:after="80" w:lineRule="auto" w:line="276"/>
      </w:pPr>
      <w:r>
        <w:rPr>
          <w:b/>
        </w:rPr>
        <w:t xml:space="preserve">摘要（ZH）: </w:t>
      </w:r>
      <w:r>
        <w:t>二维 (2D) 磁性半导体对于下一代信息存储和自旋电子技术至关重要1,2。 MXene 由于成分多样性和可调特性，为设计功能材料3-5 提供了平台。掺入镧系元素 (Ln) 引入了具有强自旋极化的局域 4f 电子，同时有可能实现半导体行为，为磁性半导体6、7 提供了一条可行的途径。然而，与 Mo 等其他 M 元素相比，MAX 前驱体的稀缺性以及 Ln 在常见蚀刻剂（例如 HF）中的易溶解性阻碍了通过传统“自上而下”蚀刻合成镧系元素 MXene（Ln2CT2）8。在这里，我们提出了一种通用的“自下而上”方法，使用层状卤化物作为范德华构建块来合成 Ln2CT2（Ln = Gd、Tb、Dy、Ho、Er、Lu；T = Cl、Br）。多层Ln2CT2表现出成分可调的特性，其特征在于光吸收起始跨度为1.26-1.71eV，室温电阻率为0.329-36.1Ωcm，具有负温度系数，2K时具有低温铁磁滞，伴随着6K至59K之间的正居里-韦斯温度。理论计算表明，费米能级 (Ef) 周围的 d 电子态在裸露的 Ln2C 中大大减少，而表面终端进一步耗尽这些态以打开带隙。同时，Ln2CT2 中远离 Ef 的高度局域化的 4f 电子有助于观察到的铁磁行为的自旋分裂。这种半导体组合</w:t>
      </w:r>
    </w:p>
    <w:p>
      <w:pPr>
        <w:spacing w:before="0" w:after="200" w:lineRule="auto" w:line="276"/>
      </w:pPr>
      <w:r>
        <w:rPr>
          <w:b/>
        </w:rPr>
        <w:t xml:space="preserve">Abstract (EN): </w:t>
      </w:r>
      <w:r>
        <w:t>Two-dimensional (2D) magnetic semiconductors are crucial for next-generation information storage and spintronic technologies1,2. MXenes, owing to compositional diversity and tunable properties, provide a platform for designing functional materials3-5. Incorporating lanthanides (Ln) introduces localized 4f electrons with strong spin polarization, while potentially enabling semiconducting behaviour, offering a viable route to magnetic semiconductors6,7. However, the scarcity of MAX precursors and the susceptibility of Ln to dissolution in common etchants (for example, HF), compared with other M elements such as Mo, hinder the synthesis of lanthanide MXenes (Ln2CT2) by conventional 'top-down' etching8. Here we propose a general 'bottom-up' methodology for synthesizing Ln2CT2 (Ln = Gd, Tb, Dy, Ho, Er, Lu; T = Cl, Br) using layered halides as van der Waals building blocks. Multilayer Ln2CT2 exhibits composition-tunable properties, characterized by optical absorption onsets spanning 1.26-1.71 eV, room-temperature resistivity of 0.329-36.1 Ω cm with a negative temperature coefficient, and low-temperature ferromagnetic hysteresis at 2 K accompanied by positive Curie-Weiss temperatures between 6 K and 59 K. Theoretical calculations show that the d-electron states around the Fermi level (Ef) are largely diminished in bare Ln2C, whereas surface terminals further exhaust these states to open band gaps. Meanwhile, the highly localized 4f electrons in Ln2CT2, located far from the Ef, contribute to the spin splitting for the observed ferromagnetic behaviour. This combination of semiconducting and magnetic properties makes Ln2CT2 a valuable candidate for spintronic device applications.</w:t>
      </w:r>
    </w:p>
    <w:p>
      <w:pPr>
        <w:spacing w:before="120" w:after="120"/>
      </w:pPr>
      <w:r>
        <w:rPr>
          <w:sz w:val="18"/>
        </w:rPr>
        <w:t>——————————————————————————————————————————————————————————————————————</w:t>
      </w:r>
    </w:p>
    <w:p>
      <w:pPr>
        <w:spacing w:before="160" w:after="40" w:line="240" w:lineRule="auto"/>
      </w:pPr>
      <w:r>
        <w:rPr>
          <w:b/>
        </w:rPr>
        <w:t xml:space="preserve">[527] </w:t>
      </w:r>
      <w:hyperlink r:id="rId1530">
        <w:r>
          <w:rPr>
            <w:color w:val="1155CC"/>
            <w:u w:val="single"/>
          </w:rPr>
          <w:t>高效、精确的可编程 DNA 敲入，无双链断裂</w:t>
        </w:r>
      </w:hyperlink>
    </w:p>
    <w:p>
      <w:pPr>
        <w:spacing w:before="0" w:after="80"/>
      </w:pPr>
      <w:r>
        <w:rPr>
          <w:i/>
          <w:sz w:val="20"/>
        </w:rPr>
        <w:t>EN: Efficient and precise programmable DNA knock-in without double-strand breaks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31">
        <w:r>
          <w:rPr>
            <w:color w:val="1155CC"/>
            <w:u w:val="single"/>
          </w:rPr>
          <w:t>10.1038/s41586-026-10819-7</w:t>
        </w:r>
      </w:hyperlink>
    </w:p>
    <w:p>
      <w:pPr>
        <w:spacing w:before="0" w:after="120"/>
      </w:pPr>
      <w:r>
        <w:rPr>
          <w:b/>
        </w:rPr>
        <w:t xml:space="preserve">Notes: </w:t>
      </w:r>
      <w:r>
        <w:t>abstract_source=pubmed</w:t>
      </w:r>
    </w:p>
    <w:p>
      <w:pPr>
        <w:spacing w:before="0" w:after="80" w:lineRule="auto" w:line="276"/>
      </w:pPr>
      <w:r>
        <w:rPr>
          <w:b/>
        </w:rPr>
        <w:t xml:space="preserve">摘要（ZH）: </w:t>
      </w:r>
      <w:r>
        <w:t>可编程基因敲入为治疗遗传疾病和推进细胞疗法带来了巨大希望。然而，实现精确、高效的千碱基级 DNA 片段整合仍然具有挑战性1,2。在这里，我们报告了 CRISPR 千碱基级切口酶靶向 (KNIT) 编辑，可实现高效、精确和可编程的千碱基级 DNA 插入，无需双链 DNA 切割，这是通过 Cas9 切口酶与 DNA 供体招募系统耦合实现的。 KNIT 编辑有助于对 0.7 kb 至 10 kb 以上的 DNA 片段进行可编程整合，并且在基因组位点和细胞类型中均有效。它的效率高达 89%，并显着降低意外插入删除突变 (indel) 率、易位和脱靶编辑。该系统支持重复插入编辑和多位点基因敲入，且易位最少。其增强版本 KNIT editor 2 通过单次转染进一步提高效率。此外，在具有病理突变的突变细胞中，KNIT 编辑通过将治疗基因插入安全港基因座或其天然基因座来恢复正常的基因表达。值得注意的是，KNIT 编辑可以实现非病毒和可编程嵌合抗原受体 T 细胞（CAR-T细胞）工程，无需双链断裂，并且具有临床相关的效率。此外，工程化的 CAR-T 细胞在体外和小鼠模型中表现出有效的抗肿瘤活性。因此，通过实现可编程和位点特定的千碱基级 DNA 插入，无需双链断裂，同时减少意外结果</w:t>
      </w:r>
    </w:p>
    <w:p>
      <w:pPr>
        <w:spacing w:before="0" w:after="200" w:lineRule="auto" w:line="276"/>
      </w:pPr>
      <w:r>
        <w:rPr>
          <w:b/>
        </w:rPr>
        <w:t xml:space="preserve">Abstract (EN): </w:t>
      </w:r>
      <w:r>
        <w:t>Programmable gene knock-in holds substantial promise for treating genetic diseases and advancing cell therapies. However, achieving precise and efficient kilobase-scale DNA fragment integration remains challenging1,2. Here we report CRISPR kilobase-scale nickase-targeting (KNIT) editing for efficient, precise and programmable kilobase-scale DNA insertion without double-strand DNA cleavage, which is enabled through the coupling of a Cas9 nickase with a DNA donor recruiting system. KNIT editing facilitates programmable integration of DNA fragments from 0.7 kb to more than 10 kb and is effective across genomic loci and cell types. It achieves up to 89% efficiency and markedly reduces unintended insertion-deletion mutation (indels) rates, translocations and off-target editing. The system supports repeated insertion editing and multiloci gene knock-in with minimal translocations. Its enhanced version, KNIT editor 2, further improves efficiency via a single transfection. Moreover, in mutant cells with a pathological mutation, KNIT editing restores normal gene expression by inserting a therapeutic gene into a safe harbour locus or its native locus. Notably, KNIT editing enables non-viral and programmable chimeric antigen receptor T cell (CAR-T cell) engineering without double-strand breaks and with clinically relevant efficiencies. Moreover, the engineered CAR-T cells exhibit effective antitumour activity in vitro and in mouse models. Therefore, by achieving programmable and site-specific kilobase-scale DNA insertions without double-strand breaks while reducing unintended outcomes, KNIT editing provides a versatile platform for advancing personalized medicine.</w:t>
      </w:r>
    </w:p>
    <w:p>
      <w:pPr>
        <w:spacing w:before="120" w:after="120"/>
      </w:pPr>
      <w:r>
        <w:rPr>
          <w:sz w:val="18"/>
        </w:rPr>
        <w:t>——————————————————————————————————————————————————————————————————————</w:t>
      </w:r>
    </w:p>
    <w:p>
      <w:pPr>
        <w:spacing w:before="160" w:after="40" w:line="240" w:lineRule="auto"/>
      </w:pPr>
      <w:r>
        <w:rPr>
          <w:b/>
        </w:rPr>
        <w:t xml:space="preserve">[528] </w:t>
      </w:r>
      <w:hyperlink r:id="rId1532">
        <w:r>
          <w:rPr>
            <w:color w:val="1155CC"/>
            <w:u w:val="single"/>
          </w:rPr>
          <w:t>绘制 1990 年至 2023 年亚洲预期寿命变化的驱动因素</w:t>
        </w:r>
      </w:hyperlink>
    </w:p>
    <w:p>
      <w:pPr>
        <w:spacing w:before="0" w:after="80"/>
      </w:pPr>
      <w:r>
        <w:rPr>
          <w:i/>
          <w:sz w:val="20"/>
        </w:rPr>
        <w:t>EN: Mapping drivers of life expectancy change in Asia from 1990 to 2023</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33">
        <w:r>
          <w:rPr>
            <w:color w:val="1155CC"/>
            <w:u w:val="single"/>
          </w:rPr>
          <w:t>10.1038/s41586-026-10739-6</w:t>
        </w:r>
      </w:hyperlink>
    </w:p>
    <w:p>
      <w:pPr>
        <w:spacing w:before="0" w:after="120"/>
      </w:pPr>
      <w:r>
        <w:rPr>
          <w:b/>
        </w:rPr>
        <w:t xml:space="preserve">Notes: </w:t>
      </w:r>
      <w:r>
        <w:t>abstract_source=pubmed</w:t>
      </w:r>
    </w:p>
    <w:p>
      <w:pPr>
        <w:spacing w:before="0" w:after="80" w:lineRule="auto" w:line="276"/>
      </w:pPr>
      <w:r>
        <w:rPr>
          <w:b/>
        </w:rPr>
        <w:t xml:space="preserve">摘要（ZH）: </w:t>
      </w:r>
      <w:r>
        <w:t>预期寿命是人口健康的关键指标，也是卫生政策的重要指导1、2。尽管亚洲人口约占全球人口的 60%，但对亚洲国家预期寿命纵向趋势及其潜在驱动因素的研究仍然有限，之前的大多数研究都集中在西方或高收入环境3-6。在这里，我们利用全球疾病负担研究 20231 的数据，对 1990 年至 2023 年 34 个亚洲国家和地区的预期寿命、特定原因死亡率和风险因素进行了全面分析，7。 1990 年至 2023 年间，所有国家和地区的预期寿命均有所增加，其中南亚的年度增幅最大，亚太高收入国家和地区的年度增幅最小。心血管疾病死亡率的降低是中亚、东亚和高收入亚太地区预期寿命延长的主要贡献者，而腹泻病和结核病死亡率的降低在南亚和东南亚贡献最大。 2019-2023 年，亚洲几个地区的预期寿命下降，主要是由于新冠肺炎 (COVID-19) 大流行造成的，大流行的第一年就减少了近两年。预期寿命变化的原因和影响的风险因素因地区和国家/地区而异。因此，在比例普遍主义原则下，区域和国家层面采取积极有效的政策对于降低整个亚洲的过早死亡率和预期寿命不平等至关重要。</w:t>
      </w:r>
    </w:p>
    <w:p>
      <w:pPr>
        <w:spacing w:before="0" w:after="200" w:lineRule="auto" w:line="276"/>
      </w:pPr>
      <w:r>
        <w:rPr>
          <w:b/>
        </w:rPr>
        <w:t xml:space="preserve">Abstract (EN): </w:t>
      </w:r>
      <w:r>
        <w:t>Life expectancy is a key indicator of population health and an important guide for health policy1,2. Although Asia represents approximately 60% of the global population, studies of longitudinal trends in life expectancy and their underlying drivers across Asian countries remain limited, with most previous research focused on western or high-income settings3-6. Here we provide a comprehensive analysis of life expectancy, cause-specific mortality and risk factors in 1990-2023 across 34 Asian countries and territories, utilizing data from the Global Burden of Disease Study 20231,7. Life expectancy increased in all countries and territories between 1990 and 2023, with the largest annual gains observed in South Asia and the smallest annual gains in high-income Asia Pacific countries and territories. Reductions in cardiovascular disease mortality were the primary contributors to life expectancy gains in Central Asia, East Asia and high-income Asia Pacific, whereas declines in diarrhoeal diseases and tuberculosis contributed most in South and Southeast Asia. In 2019-2023, life expectancy declined in several Asian regions, largely driven by the COVID-19 pandemic, with a nearly two-year loss in the first year of the pandemic. The causes of changes in life expectancy and the contributing risk factors varied across regions and countries/territories. Therefore, under the principles of proportional universalism, proactive and effective policies at both regional and national levels are essential to reduce premature mortality and reduce life expectancy inequalities across Asia.</w:t>
      </w:r>
    </w:p>
    <w:p>
      <w:pPr>
        <w:spacing w:before="120" w:after="120"/>
      </w:pPr>
      <w:r>
        <w:rPr>
          <w:sz w:val="18"/>
        </w:rPr>
        <w:t>——————————————————————————————————————————————————————————————————————</w:t>
      </w:r>
    </w:p>
    <w:p>
      <w:pPr>
        <w:spacing w:before="160" w:after="40" w:line="240" w:lineRule="auto"/>
      </w:pPr>
      <w:r>
        <w:rPr>
          <w:b/>
        </w:rPr>
        <w:t xml:space="preserve">[529] </w:t>
      </w:r>
      <w:hyperlink r:id="rId1534">
        <w:r>
          <w:rPr>
            <w:color w:val="1155CC"/>
            <w:u w:val="single"/>
          </w:rPr>
          <w:t>通过支持物磷酸化实现寡核苷酸功能化的通用策略</w:t>
        </w:r>
      </w:hyperlink>
    </w:p>
    <w:p>
      <w:pPr>
        <w:spacing w:before="0" w:after="80"/>
      </w:pPr>
      <w:r>
        <w:rPr>
          <w:i/>
          <w:sz w:val="20"/>
        </w:rPr>
        <w:t>EN: A versatile strategy for oligonucleotide functionalization via on-support phosphitylation</w:t>
      </w:r>
    </w:p>
    <w:p>
      <w:pPr>
        <w:spacing w:before="0" w:after="120"/>
      </w:pPr>
      <w:r>
        <w:rPr>
          <w:b/>
        </w:rPr>
        <w:t xml:space="preserve">Source: </w:t>
      </w:r>
      <w:r>
        <w:t>Nature Chemistry</w:t>
      </w:r>
      <w:r>
        <w:t xml:space="preserve">    </w:t>
      </w:r>
      <w:r>
        <w:rPr>
          <w:b/>
        </w:rPr>
        <w:t xml:space="preserve">Pub date: </w:t>
      </w:r>
      <w:r>
        <w:t>2026-07-22 00:00:00+00:00</w:t>
      </w:r>
      <w:r>
        <w:t xml:space="preserve">    </w:t>
      </w:r>
      <w:r>
        <w:rPr>
          <w:b/>
        </w:rPr>
        <w:t xml:space="preserve">DOI: </w:t>
      </w:r>
      <w:hyperlink r:id="rId1535">
        <w:r>
          <w:rPr>
            <w:color w:val="1155CC"/>
            <w:u w:val="single"/>
          </w:rPr>
          <w:t>10.1038/s41557-026-02214-6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反义寡核苷酸、小干扰RNA和CRISPR指导RNA等化学修饰核酸已成为现代医学的变革方式，为治疗遗传和代谢紊乱、病毒感染和癌症提供了新策略。然而，它们的应用受到与细胞内递送和靶向相关的挑战的限制，这些进展将受益于更广泛的化学功能化方法。在这里，我们描述了一种使用廉价、实验室稳定的醇或核苷的简化方法，该方法能够在合成寡核苷酸的 5' 和 3' 末端以及内部位点进行位点选择性修饰。我们的策略通过在固体支持的寡核苷酸上原位生成亚磷酰胺，为该问题提供了概念上简单的解决方案。该方法显示出高偶联效率、与叠氮化物、胺和硫醇的高官能团相容性以及过量醇/单体的有效回收，从而为推进和多样化治疗性寡核苷酸修饰提供了强大的平台。</w:t>
      </w:r>
    </w:p>
    <w:p>
      <w:pPr>
        <w:spacing w:before="0" w:after="200" w:lineRule="auto" w:line="276"/>
      </w:pPr>
      <w:r>
        <w:rPr>
          <w:b/>
        </w:rPr>
        <w:t xml:space="preserve">Abstract (EN): </w:t>
      </w:r>
      <w:r>
        <w:t>Chemically modified nucleic acids such as antisense oligonucleotides, small interfering RNA and CRISPR guide RNA have emerged as transformative modalities in modern medicine, providing new strategies for the treatment of genetic and metabolic disorders, viral infections and cancer. However, their application is limited by challenges related to intracellular delivery and targeting, advances in which would benefit from a broader range of methods for chemical functionalization. Here we describe a streamlined approach using inexpensive, bench-stable alcohols or nucleosides that enables site-selective modification at the 5′ and 3′ termini and at internal sites of synthetic oligonucleotides. Our strategy offers a conceptually straightforward solution to this problem through the in situ generation of phosphoramidites on the solid-supported oligonucleotide. The methodology displays high coupling efficiency, high functional-group compatibility with azides, amines and thiols, and efficient recovery of excess alcohols/monomers, thus offering a robust platform for advancing and diversifying therapeutic oligonucleotide modification.</w:t>
      </w:r>
    </w:p>
    <w:p>
      <w:pPr>
        <w:spacing w:before="120" w:after="120"/>
      </w:pPr>
      <w:r>
        <w:rPr>
          <w:sz w:val="18"/>
        </w:rPr>
        <w:t>——————————————————————————————————————————————————————————————————————</w:t>
      </w:r>
    </w:p>
    <w:p>
      <w:pPr>
        <w:spacing w:before="160" w:after="40" w:line="240" w:lineRule="auto"/>
      </w:pPr>
      <w:r>
        <w:rPr>
          <w:b/>
        </w:rPr>
        <w:t xml:space="preserve">[530] </w:t>
      </w:r>
      <w:hyperlink r:id="rId1536">
        <w:r>
          <w:rPr>
            <w:color w:val="1155CC"/>
            <w:u w:val="single"/>
          </w:rPr>
          <w:t>聚集提供高效的光催化作用</w:t>
        </w:r>
      </w:hyperlink>
    </w:p>
    <w:p>
      <w:pPr>
        <w:spacing w:before="0" w:after="80"/>
      </w:pPr>
      <w:r>
        <w:rPr>
          <w:i/>
          <w:sz w:val="20"/>
        </w:rPr>
        <w:t>EN: Aggregation affords productive photocatalysis</w:t>
      </w:r>
    </w:p>
    <w:p>
      <w:pPr>
        <w:spacing w:before="0" w:after="120"/>
      </w:pPr>
      <w:r>
        <w:rPr>
          <w:b/>
        </w:rPr>
        <w:t xml:space="preserve">Source: </w:t>
      </w:r>
      <w:r>
        <w:t>Nature Chemistry</w:t>
      </w:r>
      <w:r>
        <w:t xml:space="preserve">    </w:t>
      </w:r>
      <w:r>
        <w:rPr>
          <w:b/>
        </w:rPr>
        <w:t xml:space="preserve">Pub date: </w:t>
      </w:r>
      <w:r>
        <w:t>2026-07-22 00:00:00+00:00</w:t>
      </w:r>
      <w:r>
        <w:t xml:space="preserve">    </w:t>
      </w:r>
      <w:r>
        <w:rPr>
          <w:b/>
        </w:rPr>
        <w:t xml:space="preserve">DOI: </w:t>
      </w:r>
      <w:hyperlink r:id="rId1537">
        <w:r>
          <w:rPr>
            <w:color w:val="1155CC"/>
            <w:u w:val="single"/>
          </w:rPr>
          <w:t>10.1038/s41557-026-02217-3</w:t>
        </w:r>
      </w:hyperlink>
    </w:p>
    <w:p>
      <w:pPr>
        <w:spacing w:before="0" w:after="120"/>
      </w:pPr>
      <w:r>
        <w:rPr>
          <w:b/>
        </w:rPr>
        <w:t xml:space="preserve">Notes: </w:t>
      </w:r>
      <w:r>
        <w:t>abstract_source=rss_nature</w:t>
      </w:r>
    </w:p>
    <w:p>
      <w:pPr>
        <w:spacing w:before="0" w:after="80" w:lineRule="auto" w:line="276"/>
      </w:pPr>
      <w:r>
        <w:rPr>
          <w:b/>
        </w:rPr>
        <w:t xml:space="preserve">摘要（ZH）: </w:t>
      </w:r>
      <w:r>
        <w:t>有机光催化为太阳能到化学能的转化提供了一条有前途的途径，但激发态失活，特别是在聚集时，通常会限制效率。现在，超分子染料聚合物通过激发态限制和分子刚性来利用聚集来提高光化学反应性。</w:t>
      </w:r>
    </w:p>
    <w:p>
      <w:pPr>
        <w:spacing w:before="0" w:after="200" w:lineRule="auto" w:line="276"/>
      </w:pPr>
      <w:r>
        <w:rPr>
          <w:b/>
        </w:rPr>
        <w:t xml:space="preserve">Abstract (EN): </w:t>
      </w:r>
      <w:r>
        <w:t>Organic photocatalysis offers a promising route for solar-to-chemical energy conversion, yet excited-state deactivation, particularly upon aggregation, often limits efficiencies. Now, supramolecular dye polymers exploit aggregation, through excited-state confinement and molecular rigidification, for improved photochemical reactivity.</w:t>
      </w:r>
    </w:p>
    <w:p>
      <w:pPr>
        <w:spacing w:before="120" w:after="120"/>
      </w:pPr>
      <w:r>
        <w:rPr>
          <w:sz w:val="18"/>
        </w:rPr>
        <w:t>——————————————————————————————————————————————————————————————————————</w:t>
      </w:r>
    </w:p>
    <w:p>
      <w:pPr>
        <w:spacing w:before="160" w:after="40" w:line="240" w:lineRule="auto"/>
      </w:pPr>
      <w:r>
        <w:rPr>
          <w:b/>
        </w:rPr>
        <w:t xml:space="preserve">[531] </w:t>
      </w:r>
      <w:hyperlink r:id="rId1538">
        <w:r>
          <w:rPr>
            <w:color w:val="1155CC"/>
            <w:u w:val="single"/>
          </w:rPr>
          <w:t>用于神经形态视觉的二维钙钛矿光电突触的成分工程内在稳定性</w:t>
        </w:r>
      </w:hyperlink>
    </w:p>
    <w:p>
      <w:pPr>
        <w:spacing w:before="0" w:after="80"/>
      </w:pPr>
      <w:r>
        <w:rPr>
          <w:i/>
          <w:sz w:val="20"/>
        </w:rPr>
        <w:t>EN: Composition-engineered intrinsic stability in 2D perovskite optoelectronic synapses for neuromorphic vision</w:t>
      </w:r>
    </w:p>
    <w:p>
      <w:pPr>
        <w:spacing w:before="0" w:after="120"/>
      </w:pPr>
      <w:r>
        <w:rPr>
          <w:b/>
        </w:rPr>
        <w:t xml:space="preserve">Source: </w:t>
      </w:r>
      <w:r>
        <w:t>National Science Review Advance Access</w:t>
      </w:r>
      <w:r>
        <w:t xml:space="preserve">    </w:t>
      </w:r>
      <w:r>
        <w:rPr>
          <w:b/>
        </w:rPr>
        <w:t xml:space="preserve">Pub date: </w:t>
      </w:r>
      <w:r>
        <w:t>2026-07-22 00:00:00+00:00</w:t>
      </w:r>
      <w:r>
        <w:t xml:space="preserve">    </w:t>
      </w:r>
      <w:r>
        <w:rPr>
          <w:b/>
        </w:rPr>
        <w:t xml:space="preserve">DOI: </w:t>
      </w:r>
      <w:hyperlink r:id="rId1539">
        <w:r>
          <w:rPr>
            <w:color w:val="1155CC"/>
            <w:u w:val="single"/>
          </w:rPr>
          <w:t>10.1093/nsr/nwag453</w:t>
        </w:r>
      </w:hyperlink>
    </w:p>
    <w:p>
      <w:pPr>
        <w:spacing w:before="0" w:after="120"/>
      </w:pPr>
      <w:r>
        <w:rPr>
          <w:b/>
        </w:rPr>
        <w:t xml:space="preserve">Notes: </w:t>
      </w:r>
      <w:r>
        <w:t>abstract_source=rss_oup</w:t>
      </w:r>
    </w:p>
    <w:p>
      <w:pPr>
        <w:spacing w:before="0" w:after="80" w:lineRule="auto" w:line="276"/>
      </w:pPr>
      <w:r>
        <w:rPr>
          <w:b/>
        </w:rPr>
        <w:t xml:space="preserve">摘要（ZH）: </w:t>
      </w:r>
      <w:r>
        <w:t>操作不稳定性仍然是卤化物钙钛矿在神经形态光电子学中的一个主要障碍，其中传感器内计算需要持续且可重复的光响应。在这里，我们报告了成分可调的二维（2D）无机钙钛矿 Csx 的气相生长</w:t>
      </w:r>
    </w:p>
    <w:p>
      <w:pPr>
        <w:spacing w:before="0" w:after="200" w:lineRule="auto" w:line="276"/>
      </w:pPr>
      <w:r>
        <w:rPr>
          <w:b/>
        </w:rPr>
        <w:t xml:space="preserve">Abstract (EN): </w:t>
      </w:r>
      <w:r>
        <w:t>Operational instability remains a key obstacle for halide perovskites in neuromorphic optoelectronics, where sustained and reproducible photoresponses are required for in-sensor computing. Here we report vapor-phase growth of composition-tunable two-dimensional (2D) inorganic perovskites, Csx</w:t>
      </w:r>
    </w:p>
    <w:p>
      <w:pPr>
        <w:spacing w:before="120" w:after="120"/>
      </w:pPr>
      <w:r>
        <w:rPr>
          <w:sz w:val="18"/>
        </w:rPr>
        <w:t>——————————————————————————————————————————————————————————————————————</w:t>
      </w:r>
    </w:p>
    <w:p>
      <w:pPr>
        <w:spacing w:before="160" w:after="40" w:line="240" w:lineRule="auto"/>
      </w:pPr>
      <w:r>
        <w:rPr>
          <w:b/>
        </w:rPr>
        <w:t xml:space="preserve">[532] </w:t>
      </w:r>
      <w:hyperlink r:id="rId1540">
        <w:r>
          <w:rPr>
            <w:color w:val="1155CC"/>
            <w:u w:val="single"/>
          </w:rPr>
          <w:t>金属、合金和金属氧化物的纳米级增材制造</w:t>
        </w:r>
      </w:hyperlink>
    </w:p>
    <w:p>
      <w:pPr>
        <w:spacing w:before="0" w:after="80"/>
      </w:pPr>
      <w:r>
        <w:rPr>
          <w:i/>
          <w:sz w:val="20"/>
        </w:rPr>
        <w:t>EN: Nanoscale additive manufacturing of metals, alloys, and metal oxides</w:t>
      </w:r>
    </w:p>
    <w:p>
      <w:pPr>
        <w:spacing w:before="0" w:after="120"/>
      </w:pPr>
      <w:r>
        <w:rPr>
          <w:b/>
        </w:rPr>
        <w:t xml:space="preserve">Source: </w:t>
      </w:r>
      <w:r>
        <w:t>Nature Reviews Materials</w:t>
      </w:r>
      <w:r>
        <w:t xml:space="preserve">    </w:t>
      </w:r>
      <w:r>
        <w:rPr>
          <w:b/>
        </w:rPr>
        <w:t xml:space="preserve">Pub date: </w:t>
      </w:r>
      <w:r>
        <w:t>2026-07-22 00:00:00+00:00</w:t>
      </w:r>
      <w:r>
        <w:t xml:space="preserve">    </w:t>
      </w:r>
      <w:r>
        <w:rPr>
          <w:b/>
        </w:rPr>
        <w:t xml:space="preserve">DOI: </w:t>
      </w:r>
      <w:hyperlink r:id="rId1541">
        <w:r>
          <w:rPr>
            <w:color w:val="1155CC"/>
            <w:u w:val="single"/>
          </w:rPr>
          <w:t>10.1038/s41578-026-00945-z</w:t>
        </w:r>
      </w:hyperlink>
    </w:p>
    <w:p>
      <w:pPr>
        <w:spacing w:before="0" w:after="120"/>
      </w:pPr>
      <w:r>
        <w:rPr>
          <w:b/>
        </w:rPr>
        <w:t xml:space="preserve">Notes: </w:t>
      </w:r>
      <w:r>
        <w:t>abstract_source=rss_nature</w:t>
      </w:r>
    </w:p>
    <w:p>
      <w:pPr>
        <w:spacing w:before="0" w:after="80" w:lineRule="auto" w:line="276"/>
      </w:pPr>
      <w:r>
        <w:rPr>
          <w:b/>
        </w:rPr>
        <w:t xml:space="preserve">摘要（ZH）: </w:t>
      </w:r>
      <w:r>
        <w:t>纳米级金属系统的特性可以通过纳米结构放大，以实现机械、机器人、催化和光子学方面的独特性能。本综述重点介绍了用于生产此类金属系统的关键纳米级增材制造技术及其独特的下一代应用。</w:t>
      </w:r>
    </w:p>
    <w:p>
      <w:pPr>
        <w:spacing w:before="0" w:after="200" w:lineRule="auto" w:line="276"/>
      </w:pPr>
      <w:r>
        <w:rPr>
          <w:b/>
        </w:rPr>
        <w:t xml:space="preserve">Abstract (EN): </w:t>
      </w:r>
      <w:r>
        <w:t>The properties of nanoscale metallic systems can be amplified through nanostructuring to achieve unique performance in mechanics, robotics, catalysis and photonics. This Review highlights the key nanoscale additive manufacturing techniques used to produce such metallic systems and their distinct next-generation applications.</w:t>
      </w:r>
    </w:p>
    <w:p>
      <w:pPr>
        <w:spacing w:before="120" w:after="120"/>
      </w:pPr>
      <w:r>
        <w:rPr>
          <w:sz w:val="18"/>
        </w:rPr>
        <w:t>——————————————————————————————————————————————————————————————————————</w:t>
      </w:r>
    </w:p>
    <w:p>
      <w:pPr>
        <w:spacing w:before="160" w:after="40" w:line="240" w:lineRule="auto"/>
      </w:pPr>
      <w:r>
        <w:rPr>
          <w:b/>
        </w:rPr>
        <w:t xml:space="preserve">[533] </w:t>
      </w:r>
      <w:hyperlink r:id="rId1542">
        <w:r>
          <w:rPr>
            <w:color w:val="1155CC"/>
            <w:u w:val="single"/>
          </w:rPr>
          <w:t>亚洲预期寿命变化的区域驱动因素和贡献者</w:t>
        </w:r>
      </w:hyperlink>
    </w:p>
    <w:p>
      <w:pPr>
        <w:spacing w:before="0" w:after="80"/>
      </w:pPr>
      <w:r>
        <w:rPr>
          <w:i/>
          <w:sz w:val="20"/>
        </w:rPr>
        <w:t>EN: Regional drivers and contributors to changes in life expectancy across Asia</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43">
        <w:r>
          <w:rPr>
            <w:color w:val="1155CC"/>
            <w:u w:val="single"/>
          </w:rPr>
          <w:t>10.1038/d41586-026-02166-4</w:t>
        </w:r>
      </w:hyperlink>
    </w:p>
    <w:p>
      <w:pPr>
        <w:spacing w:before="0" w:after="120"/>
      </w:pPr>
      <w:r>
        <w:rPr>
          <w:b/>
        </w:rPr>
        <w:t xml:space="preserve">Notes: </w:t>
      </w:r>
      <w:r>
        <w:t>abstract_source=rss_nature</w:t>
      </w:r>
    </w:p>
    <w:p>
      <w:pPr>
        <w:spacing w:before="0" w:after="80" w:lineRule="auto" w:line="276"/>
      </w:pPr>
      <w:r>
        <w:rPr>
          <w:b/>
        </w:rPr>
        <w:t xml:space="preserve">摘要（ZH）: </w:t>
      </w:r>
      <w:r>
        <w:t>自 1990 年以来，亚洲的预期寿命大幅提高，但不同地区和国家的增幅差异很大。主要原因和风险因素已经确定，突出显示了可预防死亡集中的地区。</w:t>
      </w:r>
    </w:p>
    <w:p>
      <w:pPr>
        <w:spacing w:before="0" w:after="200" w:lineRule="auto" w:line="276"/>
      </w:pPr>
      <w:r>
        <w:rPr>
          <w:b/>
        </w:rPr>
        <w:t xml:space="preserve">Abstract (EN): </w:t>
      </w:r>
      <w:r>
        <w:t>Life expectancy in Asia has increased substantially since 1990, but the gains have varied considerably across regions and countries. The main causes and risk factors have been identified, highlighting regions in which preventable deaths are concentrated.</w:t>
      </w:r>
    </w:p>
    <w:p>
      <w:pPr>
        <w:spacing w:before="120" w:after="120"/>
      </w:pPr>
      <w:r>
        <w:rPr>
          <w:sz w:val="18"/>
        </w:rPr>
        <w:t>——————————————————————————————————————————————————————————————————————</w:t>
      </w:r>
    </w:p>
    <w:p>
      <w:pPr>
        <w:spacing w:before="160" w:after="40" w:line="240" w:lineRule="auto"/>
      </w:pPr>
      <w:r>
        <w:rPr>
          <w:b/>
        </w:rPr>
        <w:t xml:space="preserve">[534] </w:t>
      </w:r>
      <w:hyperlink r:id="rId1544">
        <w:r>
          <w:rPr>
            <w:color w:val="1155CC"/>
            <w:u w:val="single"/>
          </w:rPr>
          <w:t>脊髓灰质炎现在应该已经被消灭了。 B计划是什么？</w:t>
        </w:r>
      </w:hyperlink>
    </w:p>
    <w:p>
      <w:pPr>
        <w:spacing w:before="0" w:after="80"/>
      </w:pPr>
      <w:r>
        <w:rPr>
          <w:i/>
          <w:sz w:val="20"/>
        </w:rPr>
        <w:t>EN: Polio should have been eradicated by now. What’s plan B?</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45">
        <w:r>
          <w:rPr>
            <w:color w:val="1155CC"/>
            <w:u w:val="single"/>
          </w:rPr>
          <w:t>10.1038/d41586-026-02229-6</w:t>
        </w:r>
      </w:hyperlink>
    </w:p>
    <w:p>
      <w:pPr>
        <w:spacing w:before="0" w:after="120"/>
      </w:pPr>
      <w:r>
        <w:rPr>
          <w:b/>
        </w:rPr>
        <w:t xml:space="preserve">Notes: </w:t>
      </w:r>
      <w:r>
        <w:t>abstract_source=rss_nature</w:t>
      </w:r>
    </w:p>
    <w:p>
      <w:pPr>
        <w:spacing w:before="0" w:after="80" w:lineRule="auto" w:line="276"/>
      </w:pPr>
      <w:r>
        <w:rPr>
          <w:b/>
        </w:rPr>
        <w:t xml:space="preserve">摘要（ZH）: </w:t>
      </w:r>
      <w:r>
        <w:t>在资金削减和政治障碍的情况下，研究人员询问这场运动能否成功，以及下一步该做什么。</w:t>
      </w:r>
    </w:p>
    <w:p>
      <w:pPr>
        <w:spacing w:before="0" w:after="200" w:lineRule="auto" w:line="276"/>
      </w:pPr>
      <w:r>
        <w:rPr>
          <w:b/>
        </w:rPr>
        <w:t xml:space="preserve">Abstract (EN): </w:t>
      </w:r>
      <w:r>
        <w:t>Amid funding cuts and political barriers, researchers are asking whether the campaign can ever succeed, and what to do next.</w:t>
      </w:r>
    </w:p>
    <w:p>
      <w:pPr>
        <w:spacing w:before="120" w:after="120"/>
      </w:pPr>
      <w:r>
        <w:rPr>
          <w:sz w:val="18"/>
        </w:rPr>
        <w:t>——————————————————————————————————————————————————————————————————————</w:t>
      </w:r>
    </w:p>
    <w:p>
      <w:pPr>
        <w:spacing w:before="160" w:after="40" w:line="240" w:lineRule="auto"/>
      </w:pPr>
      <w:r>
        <w:rPr>
          <w:b/>
        </w:rPr>
        <w:t xml:space="preserve">[535] </w:t>
      </w:r>
      <w:hyperlink r:id="rId1546">
        <w:r>
          <w:rPr>
            <w:color w:val="1155CC"/>
            <w:u w:val="single"/>
          </w:rPr>
          <w:t>心脏有一个“小大脑”——它可以抵御压力</w:t>
        </w:r>
      </w:hyperlink>
    </w:p>
    <w:p>
      <w:pPr>
        <w:spacing w:before="0" w:after="80"/>
      </w:pPr>
      <w:r>
        <w:rPr>
          <w:i/>
          <w:sz w:val="20"/>
        </w:rPr>
        <w:t>EN: The heart has a ‘little brain’ — and it protects against stress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47">
        <w:r>
          <w:rPr>
            <w:color w:val="1155CC"/>
            <w:u w:val="single"/>
          </w:rPr>
          <w:t>10.1038/d41586-026-02269-y</w:t>
        </w:r>
      </w:hyperlink>
    </w:p>
    <w:p>
      <w:pPr>
        <w:spacing w:before="0" w:after="120"/>
      </w:pPr>
      <w:r>
        <w:rPr>
          <w:b/>
        </w:rPr>
        <w:t xml:space="preserve">Notes: </w:t>
      </w:r>
      <w:r>
        <w:t>abstract_source=rss_nature</w:t>
      </w:r>
    </w:p>
    <w:p>
      <w:pPr>
        <w:spacing w:before="0" w:after="80" w:lineRule="auto" w:line="276"/>
      </w:pPr>
      <w:r>
        <w:rPr>
          <w:b/>
        </w:rPr>
        <w:t xml:space="preserve">摘要（ZH）: </w:t>
      </w:r>
      <w:r>
        <w:t>心脏神经元的一个子集可以防止应激小鼠的心脏出现故障。</w:t>
      </w:r>
    </w:p>
    <w:p>
      <w:pPr>
        <w:spacing w:before="0" w:after="200" w:lineRule="auto" w:line="276"/>
      </w:pPr>
      <w:r>
        <w:rPr>
          <w:b/>
        </w:rPr>
        <w:t xml:space="preserve">Abstract (EN): </w:t>
      </w:r>
      <w:r>
        <w:t>A subset of cardiac neurons keep the heart from malfunctioning in stressed mice.</w:t>
      </w:r>
    </w:p>
    <w:p>
      <w:pPr>
        <w:spacing w:before="120" w:after="120"/>
      </w:pPr>
      <w:r>
        <w:rPr>
          <w:sz w:val="18"/>
        </w:rPr>
        <w:t>——————————————————————————————————————————————————————————————————————</w:t>
      </w:r>
    </w:p>
    <w:p>
      <w:pPr>
        <w:spacing w:before="160" w:after="40" w:line="240" w:lineRule="auto"/>
      </w:pPr>
      <w:r>
        <w:rPr>
          <w:b/>
        </w:rPr>
        <w:t xml:space="preserve">[536] </w:t>
      </w:r>
      <w:hyperlink r:id="rId1548">
        <w:r>
          <w:rPr>
            <w:color w:val="1155CC"/>
            <w:u w:val="single"/>
          </w:rPr>
          <w:t>相变有序参数的非高斯统计</w:t>
        </w:r>
      </w:hyperlink>
    </w:p>
    <w:p>
      <w:pPr>
        <w:spacing w:before="0" w:after="80"/>
      </w:pPr>
      <w:r>
        <w:rPr>
          <w:i/>
          <w:sz w:val="20"/>
        </w:rPr>
        <w:t>EN: Non-Gaussian statistics of the order parameter across a phase transition</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49">
        <w:r>
          <w:rPr>
            <w:color w:val="1155CC"/>
            <w:u w:val="single"/>
          </w:rPr>
          <w:t>10.1038/s41586-026-10811-1</w:t>
        </w:r>
      </w:hyperlink>
    </w:p>
    <w:p>
      <w:pPr>
        <w:spacing w:before="0" w:after="120"/>
      </w:pPr>
      <w:r>
        <w:rPr>
          <w:b/>
        </w:rPr>
        <w:t xml:space="preserve">Notes: </w:t>
      </w:r>
      <w:r>
        <w:t>abstract_source=pubmed</w:t>
      </w:r>
    </w:p>
    <w:p>
      <w:pPr>
        <w:spacing w:before="0" w:after="80" w:lineRule="auto" w:line="276"/>
      </w:pPr>
      <w:r>
        <w:rPr>
          <w:b/>
        </w:rPr>
        <w:t xml:space="preserve">摘要（ZH）: </w:t>
      </w:r>
      <w:r>
        <w:t>二阶相变的特点是临界尺度和普遍性1。特别是，转变时热力学量的奇异行为是由转变普遍性类别的临界指数决定的。然而，关键属性还可以通过过渡过程中阶参数的概率分布来表征2,3，其中预计会出现非高斯统计4-6，但在很大程度上仍未得到探索7。在这里，利用动量空间中的单原子分辨检测，我们测量了相互作用晶格玻色气体中连续相变中有序参数振幅的完整概率分布。我们发现，波动是由有效势捕获的——通过与朗道理论相类比，从测量的概率分布中重建——在超流体（有序）相中显示出一个非平凡的最小值，该最小值在转变点处消失。此外，我们观察到过渡附近阶参数的非高斯统计，其特征是非零高阶累积量经历突然的符号变化。我们在数值上表明，累积量的这些符号变化服从均匀系统中的临界标度，并且它们的实验行为不能由经典模型再现，而是由低温量子模型捕获。我们的结果强调了序参数统计在探索关键现象和普遍性中的关键作用。</w:t>
      </w:r>
    </w:p>
    <w:p>
      <w:pPr>
        <w:spacing w:before="0" w:after="200" w:lineRule="auto" w:line="276"/>
      </w:pPr>
      <w:r>
        <w:rPr>
          <w:b/>
        </w:rPr>
        <w:t xml:space="preserve">Abstract (EN): </w:t>
      </w:r>
      <w:r>
        <w:t>Second-order phase transitions are characterized by critical scaling and universality1. The singular behaviour of thermodynamic quantities at the transition, in particular, is determined by critical exponents of the universality class of the transition. However, critical properties are also characterized by the probability distribution of the order parameter across the transition2,3, in which non-Gaussian statistics are expected4-6, but remain largely unexplored7. Here, making use of single-atom-resolved detection in momentum space8, we measure the full probability distribution of the order-parameter amplitude across a continuous phase transition in an interacting lattice Bose gas9. We find that fluctuations are captured by an effective potential-reconstructed from the measured probability distribution by analogy with Landau theory10-displaying a non-trivial minimum in the superfluid (ordered) phase, which vanishes at the transition point. Moreover, we observe non-Gaussian statistics of the order parameter near the transition, distinguished by non-zero high-order cumulants undergoing abrupt sign changes. We show numerically that these sign changes of the cumulants obey critical scaling in homogeneous systems, and that their experimental behaviour is not reproduced by classical models, whereas it is captured by a low-temperature quantum model. Our results underscore the crucial role of order parameter statistics in probing critical phenomena and universality.</w:t>
      </w:r>
    </w:p>
    <w:p>
      <w:pPr>
        <w:spacing w:before="120" w:after="120"/>
      </w:pPr>
      <w:r>
        <w:rPr>
          <w:sz w:val="18"/>
        </w:rPr>
        <w:t>——————————————————————————————————————————————————————————————————————</w:t>
      </w:r>
    </w:p>
    <w:p>
      <w:pPr>
        <w:spacing w:before="160" w:after="40" w:line="240" w:lineRule="auto"/>
      </w:pPr>
      <w:r>
        <w:rPr>
          <w:b/>
        </w:rPr>
        <w:t xml:space="preserve">[537] </w:t>
      </w:r>
      <w:hyperlink r:id="rId1550">
        <w:r>
          <w:rPr>
            <w:color w:val="1155CC"/>
            <w:u w:val="single"/>
          </w:rPr>
          <w:t>混合钼青铜中的质子位置</w:t>
        </w:r>
      </w:hyperlink>
    </w:p>
    <w:p>
      <w:pPr>
        <w:spacing w:before="0" w:after="80"/>
      </w:pPr>
      <w:r>
        <w:rPr>
          <w:i/>
          <w:sz w:val="20"/>
        </w:rPr>
        <w:t>EN: Proton Location in a Hybrid Molybdenum Bronze</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51">
        <w:r>
          <w:rPr>
            <w:color w:val="1155CC"/>
            <w:u w:val="single"/>
          </w:rPr>
          <w:t>10.1021/jacs.6c10567</w:t>
        </w:r>
      </w:hyperlink>
    </w:p>
    <w:p>
      <w:pPr>
        <w:spacing w:before="0" w:after="120"/>
      </w:pPr>
      <w:r>
        <w:rPr>
          <w:b/>
        </w:rPr>
        <w:t xml:space="preserve">Notes: </w:t>
      </w:r>
      <w:r>
        <w:t>abstract_source=pubmed</w:t>
      </w:r>
    </w:p>
    <w:p>
      <w:pPr>
        <w:spacing w:before="0" w:after="80" w:lineRule="auto" w:line="276"/>
      </w:pPr>
      <w:r>
        <w:rPr>
          <w:b/>
        </w:rPr>
        <w:t xml:space="preserve">摘要（ZH）: </w:t>
      </w:r>
      <w:r>
        <w:t>确定固体中氢原子的位置和行为是一个普遍的挑战。我们确定了插层质子的位置，这些质子可以平衡有前途的杂化有机-无机金属氧化物（称为杂化青铜）的混合价。采用实验和计算相结合的方法，包括通过 10 K 下的中子散射和室温下的固态核磁共振对微晶粉末进行分析，我们观察到氢定位在 (4,4'-bipy)0.5HxMoO3 (4,4'-bipy = 4,4'-联吡啶；0.3 ≤ x ≤ 0.5) 金属氧化物层内的桥接和末端氧位点的证据。这种结构-成分-性能的见解回答了一个影响混合青铜的基础和应用潜力的关键问题，并可能推广到其他系统。</w:t>
      </w:r>
    </w:p>
    <w:p>
      <w:pPr>
        <w:spacing w:before="0" w:after="200" w:lineRule="auto" w:line="276"/>
      </w:pPr>
      <w:r>
        <w:rPr>
          <w:b/>
        </w:rPr>
        <w:t xml:space="preserve">Abstract (EN): </w:t>
      </w:r>
      <w:r>
        <w:t>Determining the position and behavior of hydrogen atoms in solids is a pervasive challenge. We identify the location of intercalated protons that charge-balance the mixed valence of promising hybrid organic-inorganic metal oxides called hybrid bronzes. Using a combined experimental and computational approach that includes analysis of microcrystalline powder via neutron scattering at 10 K and solid-state nuclear magnetic resonance at room temperature, we observe evidence for hydrogen localization at both bridging and terminal oxo sites within the metal oxide layer of (4,4'-bipy)0.5HxMoO3 (4,4'-bipy = 4,4'-bipyridine; 0.3 ≤ x ≤ 0.5). This structure-composition-property insight answers a key question that impacts both the fundamental and applied potential of hybrid bronzes and may generalize to other systems.</w:t>
      </w:r>
    </w:p>
    <w:p>
      <w:pPr>
        <w:spacing w:before="120" w:after="120"/>
      </w:pPr>
      <w:r>
        <w:rPr>
          <w:sz w:val="18"/>
        </w:rPr>
        <w:t>——————————————————————————————————————————————————————————————————————</w:t>
      </w:r>
    </w:p>
    <w:p>
      <w:pPr>
        <w:spacing w:before="160" w:after="40" w:line="240" w:lineRule="auto"/>
      </w:pPr>
      <w:r>
        <w:rPr>
          <w:b/>
        </w:rPr>
        <w:t xml:space="preserve">[538] </w:t>
      </w:r>
      <w:hyperlink r:id="rId1552">
        <w:r>
          <w:rPr>
            <w:color w:val="1155CC"/>
            <w:u w:val="single"/>
          </w:rPr>
          <w:t>最早的蛇具有非凡的大脑和生态多样性</w:t>
        </w:r>
      </w:hyperlink>
    </w:p>
    <w:p>
      <w:pPr>
        <w:spacing w:before="0" w:after="80"/>
      </w:pPr>
      <w:r>
        <w:rPr>
          <w:i/>
          <w:sz w:val="20"/>
        </w:rPr>
        <w:t>EN: Exceptional brain and ecological diversity in the earliest snakes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53">
        <w:r>
          <w:rPr>
            <w:color w:val="1155CC"/>
            <w:u w:val="single"/>
          </w:rPr>
          <w:t>10.1038/s41586-026-10809-9</w:t>
        </w:r>
      </w:hyperlink>
    </w:p>
    <w:p>
      <w:pPr>
        <w:spacing w:before="0" w:after="120"/>
      </w:pPr>
      <w:r>
        <w:rPr>
          <w:b/>
        </w:rPr>
        <w:t xml:space="preserve">Notes: </w:t>
      </w:r>
      <w:r>
        <w:t>abstract_source=pubmed</w:t>
      </w:r>
    </w:p>
    <w:p>
      <w:pPr>
        <w:spacing w:before="0" w:after="80" w:lineRule="auto" w:line="276"/>
      </w:pPr>
      <w:r>
        <w:rPr>
          <w:b/>
        </w:rPr>
        <w:t xml:space="preserve">摘要（ZH）: </w:t>
      </w:r>
      <w:r>
        <w:t>了解蛇的生态起源仍然是一个世纪以来的挑战1,2，受到极其稀疏的早期化石记录和对化石生态学相互矛盾的解释的阻碍。在这里，我们描述了一种保存完好的白垩纪蛇化石，Tametara mirim gen。等11月，来自巴西，代表最早分化的茎蛇之一。高分辨率微型 CT 扫描揭示了脑神经、内耳和大脑解剖结构的前所未有的细节，从而实现了迄今为止最完整的干蛇神经解剖结构重建。定量和定性的内铸分析表明，塔梅塔拉的大脑形态与其他蛇类和现存的蛇不同，揭示了蛇进化过程中早期神经解剖学的巨大差异——可能还有感觉功能。来自端脑形状和骨骼微观结构的独立证据表明，Tametara 具有化石生活方式，而另一种干蛇：Dinilysia 则具有非化石生活方式。这些结果表明，主要的生态转变发生在蛇进化的早期，并且已知的茎物种并不代表冠蛇的祖先状况。因此，早期蛇的进化涉及栖息地利用和感官生态的复杂变化，揭示出比之前想象的更大的生态和神经解剖学多样性。</w:t>
      </w:r>
    </w:p>
    <w:p>
      <w:pPr>
        <w:spacing w:before="0" w:after="200" w:lineRule="auto" w:line="276"/>
      </w:pPr>
      <w:r>
        <w:rPr>
          <w:b/>
        </w:rPr>
        <w:t xml:space="preserve">Abstract (EN): </w:t>
      </w:r>
      <w:r>
        <w:t>Understanding the ecological origin of snakes has remained a century-old challenge1,2, hindered by an extremely sparse early fossil record and conflicting interpretations of fossil ecologies. Here we describe an exceptionally preserved Cretaceous fossil snake, Tametara mirim gen. et sp. nov., from Brazil, representing one of the earliest-diverging stem snakes. High-resolution micro-CT scans reveal unprecedented details of cranial nerves, inner ear and brain anatomy, enabling the most integrated reconstruction of stem snake neuroanatomy to date. Quantitative and qualitative endocast analyses demonstrate that Tametara had a brain morphology distinct from both other stem and extant snakes, revealing substantial early neuroanatomical disparity-and probably sensory functions-in snake evolution. Independent evidence from telencephalon shape and bone microstructure converges on a fossorial lifestyle for Tametara and non-fossorial for another stem snake: Dinilysia. These results indicate that major ecological transitions occurred early in snake evolution, and that known stem species do not represent the ancestral condition of crown snakes. Early snake evolution thus involved complex shifts in habitat use and sensory ecology, revealing greater ecological and neuroanatomical diversity than previously thought.</w:t>
      </w:r>
    </w:p>
    <w:p>
      <w:pPr>
        <w:spacing w:before="120" w:after="120"/>
      </w:pPr>
      <w:r>
        <w:rPr>
          <w:sz w:val="18"/>
        </w:rPr>
        <w:t>——————————————————————————————————————————————————————————————————————</w:t>
      </w:r>
    </w:p>
    <w:p>
      <w:pPr>
        <w:spacing w:before="160" w:after="40" w:line="240" w:lineRule="auto"/>
      </w:pPr>
      <w:r>
        <w:rPr>
          <w:b/>
        </w:rPr>
        <w:t xml:space="preserve">[539] </w:t>
      </w:r>
      <w:hyperlink r:id="rId1554">
        <w:r>
          <w:rPr>
            <w:color w:val="1155CC"/>
            <w:u w:val="single"/>
          </w:rPr>
          <w:t>解决立体异构大环中的构象手性问题</w:t>
        </w:r>
      </w:hyperlink>
    </w:p>
    <w:p>
      <w:pPr>
        <w:spacing w:before="0" w:after="80"/>
      </w:pPr>
      <w:r>
        <w:rPr>
          <w:i/>
          <w:sz w:val="20"/>
        </w:rPr>
        <w:t>EN: Resolving Conformational Chirality in a Stereolabile Macrocycle</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55">
        <w:r>
          <w:rPr>
            <w:color w:val="1155CC"/>
            <w:u w:val="single"/>
          </w:rPr>
          <w:t>10.1021/jacs.6c10931</w:t>
        </w:r>
      </w:hyperlink>
    </w:p>
    <w:p>
      <w:pPr>
        <w:spacing w:before="0" w:after="120"/>
      </w:pPr>
      <w:r>
        <w:rPr>
          <w:b/>
        </w:rPr>
        <w:t xml:space="preserve">Notes: </w:t>
      </w:r>
      <w:r>
        <w:t>abstract_source=pubmed</w:t>
      </w:r>
    </w:p>
    <w:p>
      <w:pPr>
        <w:spacing w:before="0" w:after="80" w:lineRule="auto" w:line="276"/>
      </w:pPr>
      <w:r>
        <w:rPr>
          <w:b/>
        </w:rPr>
        <w:t xml:space="preserve">摘要（ZH）: </w:t>
      </w:r>
      <w:r>
        <w:t>构象手性原则上是广泛存在的，但在实践中往往难以实现，因为快速立体化学平均可能会妨碍对映体拆分和手性光学表征。在这里，我们展示了立体不稳定的柱[5]芳烃基大环化合物，尽管在溶液中动态外消旋，但在结晶时会自发拆分形成聚集体。单晶 X 射线衍射表明，单个晶体含有两种对映异构体之一，而固态电子和振动圆二色性在密度泛函理论计算的支持下确定了它们的绝对构型。值得注意的是，这种用手性也表现在可区分的半面体方面，使得能够通过外部形态进行手动分类。相同的聚集堆积基序可以在相关的溶剂型中保留，而手性客体可以使结晶偏向单手形式。这些结果在动态外消旋系统内的分子结构、固态手性光学响应、晶体形态和绝对构​​型之间建立了直接联系，并说明了结晶如何使平均构象手性在结构上、光谱上、甚至视觉上清晰可见。</w:t>
      </w:r>
    </w:p>
    <w:p>
      <w:pPr>
        <w:spacing w:before="0" w:after="200" w:lineRule="auto" w:line="276"/>
      </w:pPr>
      <w:r>
        <w:rPr>
          <w:b/>
        </w:rPr>
        <w:t xml:space="preserve">Abstract (EN): </w:t>
      </w:r>
      <w:r>
        <w:t>Conformational chirality is widespread in principle, yet often inaccessible in practice because rapid stereochemical averaging can preclude both enantiomeric resolution and chiroptical characterization. Here we show that a stereolabile pillar[5]arene-based macrocycle, though dynamically racemic in solution, undergoes spontaneous resolution upon crystallization to form a conglomerate. Single-crystal X-ray diffraction shows that individual crystals contain one of the two enantiomeric conformers, while solid-state electronic and vibrational circular dichroism, supported by density functional theory calculations, establish their absolute configurations. Notably, this handedness is also expressed in distinguishable hemihedral facets, enabling manual sorting by external morphology. The same conglomerate packing motif can be retained across related solvomorphs, while a chiral guest can bias crystallization toward a single-handed form. These results establish a direct link among molecular structure, solid-state chiroptical response, crystal morphology, and absolute configuration within a dynamically racemic system, and illustrate how crystallization can render otherwise averaged conformational chirality structurally, spectroscopically, and even visually legible.</w:t>
      </w:r>
    </w:p>
    <w:p>
      <w:pPr>
        <w:spacing w:before="120" w:after="120"/>
      </w:pPr>
      <w:r>
        <w:rPr>
          <w:sz w:val="18"/>
        </w:rPr>
        <w:t>——————————————————————————————————————————————————————————————————————</w:t>
      </w:r>
    </w:p>
    <w:p>
      <w:pPr>
        <w:spacing w:before="160" w:after="40" w:line="240" w:lineRule="auto"/>
      </w:pPr>
      <w:r>
        <w:rPr>
          <w:b/>
        </w:rPr>
        <w:t xml:space="preserve">[540] </w:t>
      </w:r>
      <w:hyperlink r:id="rId1556">
        <w:r>
          <w:rPr>
            <w:color w:val="1155CC"/>
            <w:u w:val="single"/>
          </w:rPr>
          <w:t>每日简报：世界最终能根除脊髓灰质炎吗？</w:t>
        </w:r>
      </w:hyperlink>
    </w:p>
    <w:p>
      <w:pPr>
        <w:spacing w:before="0" w:after="80"/>
      </w:pPr>
      <w:r>
        <w:rPr>
          <w:i/>
          <w:sz w:val="20"/>
        </w:rPr>
        <w:t>EN: Daily briefing: Can the world finally eradicate polio?</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57">
        <w:r>
          <w:rPr>
            <w:color w:val="1155CC"/>
            <w:u w:val="single"/>
          </w:rPr>
          <w:t>10.1038/d41586-026-02302-0</w:t>
        </w:r>
      </w:hyperlink>
    </w:p>
    <w:p>
      <w:pPr>
        <w:spacing w:before="0" w:after="120"/>
      </w:pPr>
      <w:r>
        <w:rPr>
          <w:b/>
        </w:rPr>
        <w:t xml:space="preserve">Notes: </w:t>
      </w:r>
      <w:r>
        <w:t>abstract_source=rss_nature</w:t>
      </w:r>
    </w:p>
    <w:p>
      <w:pPr>
        <w:spacing w:before="0" w:after="80" w:lineRule="auto" w:line="276"/>
      </w:pPr>
      <w:r>
        <w:rPr>
          <w:b/>
        </w:rPr>
        <w:t xml:space="preserve">摘要（ZH）: </w:t>
      </w:r>
      <w:r>
        <w:t>一些研究人员认为当前的根除策略已经过时。另外，山羊撞头时会伤害大脑，而科学家永远不会将这一点交给人工智能。</w:t>
      </w:r>
    </w:p>
    <w:p>
      <w:pPr>
        <w:spacing w:before="0" w:after="200" w:lineRule="auto" w:line="276"/>
      </w:pPr>
      <w:r>
        <w:rPr>
          <w:b/>
        </w:rPr>
        <w:t xml:space="preserve">Abstract (EN): </w:t>
      </w:r>
      <w:r>
        <w:t>Some researchers think the current eradication strategy is outdated. Plus, goats hurt their brains when they butt heads and what scientist will never hand over to AI.</w:t>
      </w:r>
    </w:p>
    <w:p>
      <w:pPr>
        <w:spacing w:before="120" w:after="120"/>
      </w:pPr>
      <w:r>
        <w:rPr>
          <w:sz w:val="18"/>
        </w:rPr>
        <w:t>——————————————————————————————————————————————————————————————————————</w:t>
      </w:r>
    </w:p>
    <w:p>
      <w:pPr>
        <w:spacing w:before="160" w:after="40" w:line="240" w:lineRule="auto"/>
      </w:pPr>
      <w:r>
        <w:rPr>
          <w:b/>
        </w:rPr>
        <w:t xml:space="preserve">[541] </w:t>
      </w:r>
      <w:hyperlink r:id="rId1558">
        <w:r>
          <w:rPr>
            <w:color w:val="1155CC"/>
            <w:u w:val="single"/>
          </w:rPr>
          <w:t>Cygnus X-3：可变拍电子伏特 γ 射线源</w:t>
        </w:r>
      </w:hyperlink>
    </w:p>
    <w:p>
      <w:pPr>
        <w:spacing w:before="0" w:after="80"/>
      </w:pPr>
      <w:r>
        <w:rPr>
          <w:i/>
          <w:sz w:val="20"/>
        </w:rPr>
        <w:t>EN: Cygnus X-3: A variable petaelectronvolt γ-ray source</w:t>
      </w:r>
    </w:p>
    <w:p>
      <w:pPr>
        <w:spacing w:before="0" w:after="120"/>
      </w:pPr>
      <w:r>
        <w:rPr>
          <w:b/>
        </w:rPr>
        <w:t xml:space="preserve">Source: </w:t>
      </w:r>
      <w:r>
        <w:t>National Science Review Advance Access</w:t>
      </w:r>
      <w:r>
        <w:t xml:space="preserve">    </w:t>
      </w:r>
      <w:r>
        <w:rPr>
          <w:b/>
        </w:rPr>
        <w:t xml:space="preserve">Pub date: </w:t>
      </w:r>
      <w:r>
        <w:t>2026-07-22 00:00:00+00:00</w:t>
      </w:r>
      <w:r>
        <w:t xml:space="preserve">    </w:t>
      </w:r>
      <w:r>
        <w:rPr>
          <w:b/>
        </w:rPr>
        <w:t xml:space="preserve">DOI: </w:t>
      </w:r>
      <w:hyperlink r:id="rId1559">
        <w:r>
          <w:rPr>
            <w:color w:val="1155CC"/>
            <w:u w:val="single"/>
          </w:rPr>
          <w:t>10.1093/nsr/nwag435</w:t>
        </w:r>
      </w:hyperlink>
    </w:p>
    <w:p>
      <w:pPr>
        <w:spacing w:before="0" w:after="120"/>
      </w:pPr>
      <w:r>
        <w:rPr>
          <w:b/>
        </w:rPr>
        <w:t xml:space="preserve">Notes: </w:t>
      </w:r>
      <w:r>
        <w:t>abstract_source=rss_oup</w:t>
      </w:r>
    </w:p>
    <w:p>
      <w:pPr>
        <w:spacing w:before="0" w:after="80" w:lineRule="auto" w:line="276"/>
      </w:pPr>
      <w:r>
        <w:rPr>
          <w:b/>
        </w:rPr>
        <w:t xml:space="preserve">摘要（ZH）: </w:t>
      </w:r>
      <w:r>
        <w:t>我们报告从标志性 X 射线双星天鹅座 X-3 发现了高达千万亿电子伏特 (PeV; $\rm 1 \, PeV = 10^{15} \, eV$) 的可变 γ 射线。大型高空空气簇射天文台（LHAASO）检测到的γ射线信号具有大约10σ的统计显着性。其固有光谱能量分布从 0.06 PeV 延伸到 3.7 PeV，在考虑了宇宙微波背景辐射的 γ-γ 吸收后，显示出向 1 PeV 的显着上升。我们发现一个月时间尺度上的变异性显着性为 8.6σ，与费米 LAT 检测到的 GeV γ 射线通量的高态一致。这与轨道调制的 3.2σ 证据一起表明，PeV γ 射线起源于双星系统本身或非常接近双星系统本身。观测到的能谱和时间调制可以自然地用相对论射流最内部区域的强子过程产生的γ射线来解释，在该区域质子被加速到数十PeV能量。</w:t>
      </w:r>
    </w:p>
    <w:p>
      <w:pPr>
        <w:spacing w:before="0" w:after="200" w:lineRule="auto" w:line="276"/>
      </w:pPr>
      <w:r>
        <w:rPr>
          <w:b/>
        </w:rPr>
        <w:t xml:space="preserve">Abstract (EN): </w:t>
      </w:r>
      <w:r>
        <w:t>We report the discovery of variable γ-rays up to petaelectronvolt (PeV; $\rm 1 \, PeV = 10^{15} \, eV$) from Cygnus X-3, an iconic X-ray binary. The γ-ray signal was detected with a statistical significance of approximately 10σ by the Large High Altitude Air Shower Observatory (LHAASO). Its intrinsic spectral energy distribution, extending from 0.06 PeV to 3.7 PeV, shows a pronounced rise toward 1 PeV after accounting for γ-γ absorption by the cosmic microwave background radiation. We find variability on month-long timescales at a significance of 8.6σ, coinciding with a high state of the GeV γ-ray flux detected by the Fermi-LAT. This, together with a 3.2σ evidence for orbital modulation, suggests that the PeV γ-rays originate within, or in close proximity to, the binary system itself. The observed energy spectrum and temporal modulation can be naturally explained by γ-ray production through hadronic processes in the innermost region of the relativistic jet, where protons are accelerated to tens of PeV energies.</w:t>
      </w:r>
    </w:p>
    <w:p>
      <w:pPr>
        <w:spacing w:before="120" w:after="120"/>
      </w:pPr>
      <w:r>
        <w:rPr>
          <w:sz w:val="18"/>
        </w:rPr>
        <w:t>——————————————————————————————————————————————————————————————————————</w:t>
      </w:r>
    </w:p>
    <w:p>
      <w:pPr>
        <w:spacing w:before="160" w:after="40" w:line="240" w:lineRule="auto"/>
      </w:pPr>
      <w:r>
        <w:rPr>
          <w:b/>
        </w:rPr>
        <w:t xml:space="preserve">[542] </w:t>
      </w:r>
      <w:hyperlink r:id="rId1560">
        <w:r>
          <w:rPr>
            <w:color w:val="1155CC"/>
            <w:u w:val="single"/>
          </w:rPr>
          <w:t>具有杂化局部和电荷转移特性的不对称花青分子工程，用于 NIR-II 成像引导的 I/II 型光动力治疗</w:t>
        </w:r>
      </w:hyperlink>
    </w:p>
    <w:p>
      <w:pPr>
        <w:spacing w:before="0" w:after="80"/>
      </w:pPr>
      <w:r>
        <w:rPr>
          <w:i/>
          <w:sz w:val="20"/>
        </w:rPr>
        <w:t>EN: Molecular Engineering of Asymmetric Cyanines with Hybridized Local and Charge-Transfer Characteristics for NIR-II Imaging-Guided Type I/II Photodynamic Therapy</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61">
        <w:r>
          <w:rPr>
            <w:color w:val="1155CC"/>
            <w:u w:val="single"/>
          </w:rPr>
          <w:t>10.1021/jacs.6c09779</w:t>
        </w:r>
      </w:hyperlink>
    </w:p>
    <w:p>
      <w:pPr>
        <w:spacing w:before="0" w:after="120"/>
      </w:pPr>
      <w:r>
        <w:rPr>
          <w:b/>
        </w:rPr>
        <w:t xml:space="preserve">Notes: </w:t>
      </w:r>
      <w:r>
        <w:t>abstract_source=pubmed</w:t>
      </w:r>
    </w:p>
    <w:p>
      <w:pPr>
        <w:spacing w:before="0" w:after="80" w:lineRule="auto" w:line="276"/>
      </w:pPr>
      <w:r>
        <w:rPr>
          <w:b/>
        </w:rPr>
        <w:t xml:space="preserve">摘要（ZH）: </w:t>
      </w:r>
      <w:r>
        <w:t>传统的花青光敏剂由于系统间交叉（ISC）差、缺氧敏感性和肿瘤保留率低而在光动力治疗（PDT）中面临挑战。在此，我们报告了第一个具有杂化局部和电荷转移（HLCT）特性的不对称 D-π-A-D' 花青染料，以解决这些局限性。通过精确调节 T2 态的三线态激子，这些染料有助于增强 ISC 从 S1 到 T2 态，并促进活性氧 (ROS) 的产生。这些 HLCT 型花青染料集成了电荷转移态，以促进缺氧肿瘤环境中不依赖氧的 I 型 PDT，并集成局部激发态，以维持高光致发光量子产率 (PLQY)，实现可视化肿瘤治疗。其中，CyTY-3表现出卓越的I/II型双PDT性能，单线态氧产量是ICG的27.8倍，同时提供11.4%的高NIR-II PLQY以实现高对比度成像。独特的离域电荷分布可实现出色的肿瘤靶向性和长达 12 天的超长保留时间。在体内，CyTY-3纳米粒子在808 nm照射下实现了99.01%的肿瘤抑制，具有良好的生物安全性。这种 HLCT 策略为开发下一代光敏剂以克服缺氧肿瘤治疗的内在局限性提供了一个强大的平台。</w:t>
      </w:r>
    </w:p>
    <w:p>
      <w:pPr>
        <w:spacing w:before="0" w:after="200" w:lineRule="auto" w:line="276"/>
      </w:pPr>
      <w:r>
        <w:rPr>
          <w:b/>
        </w:rPr>
        <w:t xml:space="preserve">Abstract (EN): </w:t>
      </w:r>
      <w:r>
        <w:t>Conventional cyanine photosensitizers face challenges in photodynamic therapy (PDT) due to poor intersystem crossing (ISC), hypoxia sensitivity, and low tumor retention. Herein, we report the first asymmetric D-π-A-D' cyanine dyes with hybridized local and charge-transfer (HLCT) characteristics to address these limitations. By precisely regulating triplet excitons of the T2 state, these dyes facilitate enhanced ISC from the S1 to T2 state and boost reactive oxygen species (ROS) generation. These HLCT-type cyanine dyes integrate the charge-transfer state to promote oxygen-independent Type I PDT for hypoxic tumor environments and the locally excited state to maintain high photoluminescence quantum yield (PLQY) for visualized tumor therapy. Among them, CyTY-3 exhibits exceptional dual Type I/II PDT performance, with a singlet oxygen yield outperforming ICG by 27.8-fold, while simultaneously delivering a high NIR-II PLQY of 11.4% for high-contrast imaging. Unique delocalized charge distribution enables excellent tumor targeting and an ultralong retention time of up to 12 days. In vivo, CyTY-3 nanoparticles achieve 99.01% tumor inhibition under 808 nm irradiation with good biosafety. This HLCT strategy provides a robust platform for developing next-generation photosensitizers to overcome the intrinsic limitations of hypoxic tumor therapy.</w:t>
      </w:r>
    </w:p>
    <w:p>
      <w:pPr>
        <w:spacing w:before="120" w:after="120"/>
      </w:pPr>
      <w:r>
        <w:rPr>
          <w:sz w:val="18"/>
        </w:rPr>
        <w:t>——————————————————————————————————————————————————————————————————————</w:t>
      </w:r>
    </w:p>
    <w:p>
      <w:pPr>
        <w:spacing w:before="160" w:after="40" w:line="240" w:lineRule="auto"/>
      </w:pPr>
      <w:r>
        <w:rPr>
          <w:b/>
        </w:rPr>
        <w:t xml:space="preserve">[543] </w:t>
      </w:r>
      <w:hyperlink r:id="rId1562">
        <w:r>
          <w:rPr>
            <w:color w:val="1155CC"/>
            <w:u w:val="single"/>
          </w:rPr>
          <w:t>副热带环流扩张导致南大洋盐化，与淡水更新的预测相反</w:t>
        </w:r>
      </w:hyperlink>
    </w:p>
    <w:p>
      <w:pPr>
        <w:spacing w:before="0" w:after="80"/>
      </w:pPr>
      <w:r>
        <w:rPr>
          <w:i/>
          <w:sz w:val="20"/>
        </w:rPr>
        <w:t>EN: Subtropical gyre expansion causes Southern Ocean salinification contrary to freshening predictions</w:t>
      </w:r>
    </w:p>
    <w:p>
      <w:pPr>
        <w:spacing w:before="0" w:after="120"/>
      </w:pPr>
      <w:r>
        <w:rPr>
          <w:b/>
        </w:rPr>
        <w:t xml:space="preserve">Source: </w:t>
      </w:r>
      <w:r>
        <w:t>Earth and environmental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咸的变得更咸，新鲜的变得更新鲜”范式预测，不断加强的水文循环将使气候清新的南大洋变得清新。在这里，我们展示了相反的情况：2004年至2024年期间，在40°S至50°S范围内，海面盐度增加了约0.03decade−1，其中太平洋和大西洋部分的增幅最为一致。我们将这种盐化归因于南亚热带环流向极地扩张，它将副热带咸水平流到经向盐度梯度最陡的纬度。通过35和34等盐线追踪的副热带和亚南极锋以不等的速率（–0.46°和–0.18°decade−1）向极地迁移，从而缩小了锋面走廊并锐化了锋面梯度。混合层预算表明，水平平流主导了盐度趋势，大约是地表淡水通量的相反贡献的三倍。在极地增强的西风和正向的南环模趋势的推动下，这种环流驱动的盐化表明海洋动力学可以超越淡水强迫，警告不要将盐度趋势解释为水文循环的直接指纹。</w:t>
      </w:r>
    </w:p>
    <w:p>
      <w:pPr>
        <w:spacing w:before="0" w:after="200" w:lineRule="auto" w:line="276"/>
      </w:pPr>
      <w:r>
        <w:rPr>
          <w:b/>
        </w:rPr>
        <w:t xml:space="preserve">Abstract (EN): </w:t>
      </w:r>
      <w:r>
        <w:t>The “salty-gets-saltier, fresh-gets-fresher” paradigm predicts that an intensifying hydrological cycle should freshen the climatologically fresh Southern Ocean. Here we show the opposite: sea surface salinity increased at ~0.03 decade−1 across 40–50°S during 2004–2024, most coherently in the Pacific and Atlantic sectors. We attribute this salinification to the poleward expansion of the southern subtropical gyres, which advects saline subtropical water into latitudes of steepest meridional salinity gradient. The Subtropical and Subantarctic Fronts, tracked via the 35 and 34 isohalines, migrate poleward at unequal rates (–0.46° and –0.18° decade−1), narrowing the frontal corridor and sharpening the cross-frontal gradient. A mixed-layer budget shows that horizontal advection dominates the salinity trend, roughly tripling the opposing contribution from surface freshwater flux. Forced by poleward-intensifying westerlies and a positive Southern Annular Mode trend, this circulation-driven salinification demonstrates that ocean dynamics can override freshwater forcing, cautioning against interpreting salinity trends as direct fingerprints of the hydrological cycle.</w:t>
      </w:r>
    </w:p>
    <w:p>
      <w:pPr>
        <w:spacing w:before="120" w:after="120"/>
      </w:pPr>
      <w:r>
        <w:rPr>
          <w:sz w:val="18"/>
        </w:rPr>
        <w:t>——————————————————————————————————————————————————————————————————————</w:t>
      </w:r>
    </w:p>
    <w:p>
      <w:pPr>
        <w:spacing w:before="160" w:after="40" w:line="240" w:lineRule="auto"/>
      </w:pPr>
      <w:r>
        <w:rPr>
          <w:b/>
        </w:rPr>
        <w:t xml:space="preserve">[544] </w:t>
      </w:r>
      <w:hyperlink r:id="rId1563">
        <w:r>
          <w:rPr>
            <w:color w:val="1155CC"/>
            <w:u w:val="single"/>
          </w:rPr>
          <w:t>天山沿新生剪切带延伸</w:t>
        </w:r>
      </w:hyperlink>
    </w:p>
    <w:p>
      <w:pPr>
        <w:spacing w:before="0" w:after="80"/>
      </w:pPr>
      <w:r>
        <w:rPr>
          <w:i/>
          <w:sz w:val="20"/>
        </w:rPr>
        <w:t>EN: Extension of Tian Shan along a nascent shear zone</w:t>
      </w:r>
    </w:p>
    <w:p>
      <w:pPr>
        <w:spacing w:before="0" w:after="120"/>
      </w:pPr>
      <w:r>
        <w:rPr>
          <w:b/>
        </w:rPr>
        <w:t xml:space="preserve">Source: </w:t>
      </w:r>
      <w:r>
        <w:t>Earth and environmental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由于缺乏跨越整个造山带的高分辨率运动学观测，我们对山地带生长动态的理解受到阻碍。对于结构复杂且新生的天山高原来说尤其如此。在这里，我们使用了 8 年在天山 200 万平方公里范围内的 Sentinel-1 数据来显示山脉正在沿着其走向延伸，主要是沿着东北走向的分布剪切带旋转。该区域与距离走向共轭，但与剪切波分裂测量的快轴和走滑地震带对齐。我们将这个广泛的剪切带解释为塔里木盆地顺时针旋转的结果，该旋转驱动了神秘剪切带东南部天山部分的东北向东运动。天山内众多盆地边界断层上的共轭走滑成分可能促进了这种逃逸。天山现今的垂直变形是构造、气候和人为强迫综合作用的结果，其中最高峰的隆起是由沿南倾那拉提断层的逆冲推动的，而冰川消融可能会促进这一逆冲。</w:t>
      </w:r>
    </w:p>
    <w:p>
      <w:pPr>
        <w:spacing w:before="0" w:after="200" w:lineRule="auto" w:line="276"/>
      </w:pPr>
      <w:r>
        <w:rPr>
          <w:b/>
        </w:rPr>
        <w:t xml:space="preserve">Abstract (EN): </w:t>
      </w:r>
      <w:r>
        <w:t>Our understanding of the dynamics of mountain belt growth is hampered by the lack of high-resolution kinematic observations spanning entire orogenic belts. This is particularly the case for the structurally complex and nascent Tian Shan plateau. Here we use 8 years of Sentinel-1 data across 2 million square kilometres of the Tian Shan to show that the mountain range is extending along its strike, predominantly by rotating along a northeast-trending distributed shear zone. This zone is conjugate to the range strike but aligned with fast axes of shear-wave splitting measurements and a band of strike-slip earthquakes. We interpret this broad zone of shear as resulting from the clockwise rotation of the indenting Tarim Basin, which drives the northeast-to-east motion of the part of the Tian Shan southeast of the cryptic shear zone. Conjugate strike-slip components on numerous basin-bounding faults within the Tian Shan likely facilitate this escape. The present-day vertical deformation of Tian Shan results from a mix of tectonic, climatic, and anthropogenic forcings, with uplift of the highest peak facilitated by thrust along a south-dipping Nalati fault that could be promoted by deglaciation.</w:t>
      </w:r>
    </w:p>
    <w:p>
      <w:pPr>
        <w:spacing w:before="120" w:after="120"/>
      </w:pPr>
      <w:r>
        <w:rPr>
          <w:sz w:val="18"/>
        </w:rPr>
        <w:t>——————————————————————————————————————————————————————————————————————</w:t>
      </w:r>
    </w:p>
    <w:p>
      <w:pPr>
        <w:spacing w:before="160" w:after="40" w:line="240" w:lineRule="auto"/>
      </w:pPr>
      <w:r>
        <w:rPr>
          <w:b/>
        </w:rPr>
        <w:t xml:space="preserve">[545] </w:t>
      </w:r>
      <w:hyperlink r:id="rId1564">
        <w:r>
          <w:rPr>
            <w:color w:val="1155CC"/>
            <w:u w:val="single"/>
          </w:rPr>
          <w:t>秋季生长季节的延长大大促进了地球的绿化</w:t>
        </w:r>
      </w:hyperlink>
    </w:p>
    <w:p>
      <w:pPr>
        <w:spacing w:before="0" w:after="80"/>
      </w:pPr>
      <w:r>
        <w:rPr>
          <w:i/>
          <w:sz w:val="20"/>
        </w:rPr>
        <w:t>EN: Lengthened autumn growing season contributes substantially to Earth’s greening</w:t>
      </w:r>
    </w:p>
    <w:p>
      <w:pPr>
        <w:spacing w:before="0" w:after="120"/>
      </w:pPr>
      <w:r>
        <w:rPr>
          <w:b/>
        </w:rPr>
        <w:t xml:space="preserve">Source: </w:t>
      </w:r>
      <w:r>
        <w:t>Earth and environmental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多年来，陆地生态系统通过两个不同的过程变得更加绿色：增加最大绿度或延长生长季节。这两个过程的综合信号导致地球绿色度持续增加，这是当代全球变化的关键证据。然而，目前尚不清楚哪个过程主要推动了地球的绿化，因为最大绿化增加和生长季节延长的机制是不同的。在这里，我们分解了长期的卫星绿化观测结果，并量化了最大绿化度和生长季节长度各自对地球绿化的贡献。我们发现，非森林地区的绿化主要是由于二氧化碳升高和土地利用变化引起的最大绿化度增加，而温带森林的绿化主要是由生长季节延长驱动的，特别是与气候变化和二氧化碳升高相关的秋季生长季节延长。当前的动态全球植被模型并未捕捉到秋季物候对全球绿化的重大贡献，该模型通常将绿化归因于最大绿化度的增加。我们的研究对全球绿化变化进行了基于关键过程的检查，并强调了秋季物候在推动地球绿化方面的关键作用。</w:t>
      </w:r>
    </w:p>
    <w:p>
      <w:pPr>
        <w:spacing w:before="0" w:after="200" w:lineRule="auto" w:line="276"/>
      </w:pPr>
      <w:r>
        <w:rPr>
          <w:b/>
        </w:rPr>
        <w:t xml:space="preserve">Abstract (EN): </w:t>
      </w:r>
      <w:r>
        <w:t>Terrestrial ecosystems have become greener over the years through two different processes: increasing maximum greenness or extending growing season. The integrated signal of these two processes has resulted in a persistent increase in Earth’s greenness, which serves as key evidence of contemporary global change. However, it remains unclear which process has predominantly driven Earth’s greening, as the mechanisms underlying increased maximum greenness and growing season extension are distinct. Here, we decompose long-term satellite greenness observations and quantify the respective contributions of maximum greenness and growing season length to Earth’s greening. We find that greening in non-forest areas is dominated by increased maximum greenness induced by elevated carbon dioxide and land use change, while greening in extra-tropical forests is primarily driven by growing season extension, particularly a lengthened autumn growing season associated with climate change and elevated carbon dioxide. This substantial contribution of autumn phenology to global greening is not captured by current dynamic global vegetation models, which typically attribute greening to increased maximum greenness. Our study provides a critical process-based examination of global greenness change and highlights the key role of autumn phenology in driving Earth’s greening.</w:t>
      </w:r>
    </w:p>
    <w:p>
      <w:pPr>
        <w:spacing w:before="120" w:after="120"/>
      </w:pPr>
      <w:r>
        <w:rPr>
          <w:sz w:val="18"/>
        </w:rPr>
        <w:t>——————————————————————————————————————————————————————————————————————</w:t>
      </w:r>
    </w:p>
    <w:p>
      <w:pPr>
        <w:spacing w:before="160" w:after="40" w:line="240" w:lineRule="auto"/>
      </w:pPr>
      <w:r>
        <w:rPr>
          <w:b/>
        </w:rPr>
        <w:t xml:space="preserve">[546] </w:t>
      </w:r>
      <w:hyperlink r:id="rId1565">
        <w:r>
          <w:rPr>
            <w:color w:val="1155CC"/>
            <w:u w:val="single"/>
          </w:rPr>
          <w:t>受 Extremozymes 启发的环氧化物聚合催化剂</w:t>
        </w:r>
      </w:hyperlink>
    </w:p>
    <w:p>
      <w:pPr>
        <w:spacing w:before="0" w:after="80"/>
      </w:pPr>
      <w:r>
        <w:rPr>
          <w:i/>
          <w:sz w:val="20"/>
        </w:rPr>
        <w:t>EN: Extremozymes-Inspired Catalyst for Epoxide-Based 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66">
        <w:r>
          <w:rPr>
            <w:color w:val="1155CC"/>
            <w:u w:val="single"/>
          </w:rPr>
          <w:t>10.1021/jacs.6c11991</w:t>
        </w:r>
      </w:hyperlink>
    </w:p>
    <w:p>
      <w:pPr>
        <w:spacing w:before="0" w:after="120"/>
      </w:pPr>
      <w:r>
        <w:rPr>
          <w:b/>
        </w:rPr>
        <w:t xml:space="preserve">Notes: </w:t>
      </w:r>
      <w:r>
        <w:t>abstract_source=pubmed</w:t>
      </w:r>
    </w:p>
    <w:p>
      <w:pPr>
        <w:spacing w:before="0" w:after="80" w:lineRule="auto" w:line="276"/>
      </w:pPr>
      <w:r>
        <w:rPr>
          <w:b/>
        </w:rPr>
        <w:t xml:space="preserve">摘要（ZH）: </w:t>
      </w:r>
      <w:r>
        <w:t>模拟酶催化被广泛认为是开发高性能催化剂的有效方法。然而，在远离生理条件下进行的许多反应中，基于传统酶的设计通常会限制活性和稳健性。受在接近 100 °C 的温度下保持高活性的超嗜热酶的启发，我们提出了一种“受极端酶启发”的设计策略，并构建了一种具有二聚体-三聚体结构的六聚体铝卟啉催化剂。通过利用卟啉之间的共价和非共价相互作用所施加的几何约束，催化剂形成两个三角锥腔，从而复制了极酶的稳定空间排列和有限的多位点催化微环境特征。在环氧丙烷 (PO) 均聚及其与邻苯二甲酸酐 (PA) 和二氧化碳 (CO2) 的共聚中，极酶模拟催化剂分别实现了创纪录的高周转频率 (TOF)，同时在 ppm 级负载下生产具有高数均分子量 (Mn) 的聚合物：PO 均聚（TOF = 8.1 × 105 h-1，Mn = 1210 kg/mol）； PO/PA共聚（TOF=1.4×104h-1，Mn=140.8kg/mol）； PO/CO2 共聚（TOF = 1.2 × 105 h-1，Mn = 802.3 kg/mol）。这项研究证明了使用极酶作为模板开发高性能催化剂的潜力，并为仿生催化剂的设计提供了新的见解。</w:t>
      </w:r>
    </w:p>
    <w:p>
      <w:pPr>
        <w:spacing w:before="0" w:after="200" w:lineRule="auto" w:line="276"/>
      </w:pPr>
      <w:r>
        <w:rPr>
          <w:b/>
        </w:rPr>
        <w:t xml:space="preserve">Abstract (EN): </w:t>
      </w:r>
      <w:r>
        <w:t>Enzyme-mimetic catalysis is widely recognized as an effective approach to developing high-performance catalysts. However, in many reactions conducted under conditions far from physiological, designs based on conventional enzymes often limit both activity and robustness. Inspired by hyperthermophilic enzymes that maintain high activity at temperatures nearing 100 °C, we propose an "extremozymes-inspired" design strategy and construct a hexameric aluminum porphyrin catalyst featuring a dimer-of-trimers architecture. By leveraging the geometric constraints imposed by covalent and noncovalent interactions between porphyrins, the catalyst forms two trigonal-pyramidal cavities, thereby replicating both the stable spatial arrangement and the confined multisite catalytic microenvironment characteristic of extremozymes. In propylene oxide (PO) homopolymerization and its copolymerizations with phthalic anhydride (PA) and carbon dioxide (CO2), respectively, the extremozymes-mimetic catalyst achieves record-high turnover frequencies (TOFs) while producing polymers with high number-average molecular weights (Mn) at ppm-level loadings: PO homopolymerization (TOF = 8.1 × 105 h-1, Mn = 1210 kg/mol); PO/PA copolymerization (TOF = 1.4 × 104 h-1, Mn = 140.8 kg/mol); and PO/CO2 copolymerization (TOF = 1.2 × 105 h-1, Mn = 802.3 kg/mol). This study demonstrates the potential of using extremozymes as templates to develop high-performance catalysts and offers new insights into the design of biomimetic catalysts.</w:t>
      </w:r>
    </w:p>
    <w:p>
      <w:pPr>
        <w:spacing w:before="120" w:after="120"/>
      </w:pPr>
      <w:r>
        <w:rPr>
          <w:sz w:val="18"/>
        </w:rPr>
        <w:t>——————————————————————————————————————————————————————————————————————</w:t>
      </w:r>
    </w:p>
    <w:p>
      <w:pPr>
        <w:spacing w:before="160" w:after="40" w:line="240" w:lineRule="auto"/>
      </w:pPr>
      <w:r>
        <w:rPr>
          <w:b/>
        </w:rPr>
        <w:t xml:space="preserve">[547] </w:t>
      </w:r>
      <w:hyperlink r:id="rId1567">
        <w:r>
          <w:rPr>
            <w:color w:val="1155CC"/>
            <w:u w:val="single"/>
          </w:rPr>
          <w:t>不对称核小体的化学合成揭示了 H3K9me3 对 UHRF1 E3 连接酶的分子内激活</w:t>
        </w:r>
      </w:hyperlink>
    </w:p>
    <w:p>
      <w:pPr>
        <w:spacing w:before="0" w:after="80"/>
      </w:pPr>
      <w:r>
        <w:rPr>
          <w:i/>
          <w:sz w:val="20"/>
        </w:rPr>
        <w:t>EN: Chemical Synthesis of Asymmetric Nucleosomes Reveals Intramolecular Activation of UHRF1 E3 Ligase by H3K9me3</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68">
        <w:r>
          <w:rPr>
            <w:color w:val="1155CC"/>
            <w:u w:val="single"/>
          </w:rPr>
          <w:t>10.1021/jacs.6c10014</w:t>
        </w:r>
      </w:hyperlink>
    </w:p>
    <w:p>
      <w:pPr>
        <w:spacing w:before="0" w:after="120"/>
      </w:pPr>
      <w:r>
        <w:rPr>
          <w:b/>
        </w:rPr>
        <w:t xml:space="preserve">Notes: </w:t>
      </w:r>
      <w:r>
        <w:t>abstract_source=pubmed</w:t>
      </w:r>
    </w:p>
    <w:p>
      <w:pPr>
        <w:spacing w:before="0" w:after="80" w:lineRule="auto" w:line="276"/>
      </w:pPr>
      <w:r>
        <w:rPr>
          <w:b/>
        </w:rPr>
        <w:t xml:space="preserve">摘要（ZH）: </w:t>
      </w:r>
      <w:r>
        <w:t>H3K9me3 标记激活 UHRF1 E3 连接酶对于表观遗传至关重要；然而，其在不对称核小体中的精确作用模式仍不清楚。在这里，我们利用 SpyTag/SpyCatcher 生物正交系统合成具有预定义化学不对称性的核小体，这种方法能够在 H3K9me3 识别位点和泛素受体赖氨酸之间进行清晰的空间区分。利用这些合成的、结构明确的核小体，我们发现 H3K9me3 通过分子内（顺式）机制优先激活 UHRF1。随后的生化分析表明，这一过程取决于 UHRF1 两个关键功能的物理耦合：对 H3K9me3 修饰的协同识别和 UHRF1 在同一 H3 尾部的催化活性。相比之下，相对的 H3 单体上存在的 H3K9me3 标记无法显着刺激泛素化。为了阐明这种顺式激活的结构基础，我们使用 CAET 介导的缀合和分裂内含肽剪接化学，进一步化学合成了顺式激活的 UHRF1/UbcH5b-Ub/H3K9me3 核小体复合物的稳定模拟物。该复合物的交联质谱 (XL-MS) 分析绘制了 UHRF1 内域之间、UHRF1 与组蛋白之间以及 E2-Ub 模块与核小体核心之间的相互作用网络。这些数据可提供对核小体上 UHRF1 活性的空间洞察。我们的研究提供了 H3K9me3 在核小体水平上顺式激活 UHRF1 的第一个直接证据，同时强调了化学 b 的效用。</w:t>
      </w:r>
    </w:p>
    <w:p>
      <w:pPr>
        <w:spacing w:before="0" w:after="200" w:lineRule="auto" w:line="276"/>
      </w:pPr>
      <w:r>
        <w:rPr>
          <w:b/>
        </w:rPr>
        <w:t xml:space="preserve">Abstract (EN): </w:t>
      </w:r>
      <w:r>
        <w:t>The activation of UHRF1 E3 ligase by the H3K9me3 mark is critical for epigenetic inheritance; however, its precise mode of action within asymmetric nucleosomes remains unclear. Here, we leveraged the SpyTag/SpyCatcher bioorthogonal system to synthesize nucleosomes with predefined chemical asymmetry─an approach that enables clear spatial discrimination between the H3K9me3 recognition site and ubiquitin-acceptor lysines. Employing these synthetic, structurally defined nucleosomes, we found that H3K9me3 preferentially activates UHRF1 via an intramolecular (in cis) mechanism. Subsequent biochemical analyses demonstrated that this process depends on the physical coupling of two key UHRF1 functions: its synergistic recognition of the H3K9me3 modification and UHRF1's catalytic activity on the same H3 tail. In contrast, an H3K9me3 mark present on the opposing H3 monomer fails to significantly stimulate ubiquitination. To elucidate the structural basis of this cis activation, we further chemically synthesized a stable mimetic of the cis-activated UHRF1/UbcH5b-Ub/H3K9me3 nucleosome complex using CAET-mediated conjugation and split-intein splicing chemistry. Cross-linking mass spectrometry (XL-MS) analyses of this complex mapped the interaction networks among domains within UHRF1, between UHRF1 and histones, and between the E2-Ub module and the nucleosome core. These data yield spatial insights into UHRF1 activity on the nucleosome. Our study provides the first direct evidence for cis-activation of UHRF1 by H3K9me3 at the nucleosomal level, while highlighting the utility of chemical biology for deciphering complex epigenetic processes.</w:t>
      </w:r>
    </w:p>
    <w:p>
      <w:pPr>
        <w:spacing w:before="120" w:after="120"/>
      </w:pPr>
      <w:r>
        <w:rPr>
          <w:sz w:val="18"/>
        </w:rPr>
        <w:t>——————————————————————————————————————————————————————————————————————</w:t>
      </w:r>
    </w:p>
    <w:p>
      <w:pPr>
        <w:spacing w:before="160" w:after="40" w:line="240" w:lineRule="auto"/>
      </w:pPr>
      <w:r>
        <w:rPr>
          <w:b/>
        </w:rPr>
        <w:t xml:space="preserve">[548] </w:t>
      </w:r>
      <w:hyperlink r:id="rId1569">
        <w:r>
          <w:rPr>
            <w:color w:val="1155CC"/>
            <w:u w:val="single"/>
          </w:rPr>
          <w:t>（杂）芳基基序的动力学：研究大环构象景观的综合方法</w:t>
        </w:r>
      </w:hyperlink>
    </w:p>
    <w:p>
      <w:pPr>
        <w:spacing w:before="0" w:after="80"/>
      </w:pPr>
      <w:r>
        <w:rPr>
          <w:i/>
          <w:sz w:val="20"/>
        </w:rPr>
        <w:t>EN: Dynamics of (Hetero)aryl Motifs: An Integrative Approach To Study the Conformational Landscape in Macrocycles</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70">
        <w:r>
          <w:rPr>
            <w:color w:val="1155CC"/>
            <w:u w:val="single"/>
          </w:rPr>
          <w:t>10.1021/jacs.6c09765</w:t>
        </w:r>
      </w:hyperlink>
    </w:p>
    <w:p>
      <w:pPr>
        <w:spacing w:before="0" w:after="120"/>
      </w:pPr>
      <w:r>
        <w:rPr>
          <w:b/>
        </w:rPr>
        <w:t xml:space="preserve">Notes: </w:t>
      </w:r>
      <w:r>
        <w:t>abstract_source=pubmed</w:t>
      </w:r>
    </w:p>
    <w:p>
      <w:pPr>
        <w:spacing w:before="0" w:after="80" w:lineRule="auto" w:line="276"/>
      </w:pPr>
      <w:r>
        <w:rPr>
          <w:b/>
        </w:rPr>
        <w:t xml:space="preserve">摘要（ZH）: </w:t>
      </w:r>
      <w:r>
        <w:t>大环肽正在成为一种强大的治疗方式，因为它们具有潜在的口服生物利用度和作用于长期被认为不可成药的靶点的能力。将芳香杂环引入大环中，通过赋予不同的构象偏好，进一步扩大了该结构空间。然而，准确确定所得分子的溶液态结构和动力学仍然具有挑战性。在这里，我们将互补的各向同性和各向异性 NMR 可观测值与增强的采样模拟和密度泛函理论 (DFT) 计算相结合，系统地研究不同溶剂系统中的含芳基和杂联芳基的环肽。我们基于残余偶极耦合 (RDC) 测量的结果揭示了大环的构象动力学，并通过更忠实地捕获溶液态系综，显着扩展了基于核奥弗豪瑟效应 (NOE) 的传统 NMR 分析所获得的知识。我们的方法能够在 NMR 时间尺度上进行快速和慢速交换状态下的构象分析。值得注意的是，在 DFT 水平上需要多达三个相互转换的主链构象异构体才能完全协调每个环系统的实验数据。我们将芳基和杂二芳基基序确定为控制系统中构象景观的结构元素，调节以独特的分子内氢键网络和不寻常的主链几何形状为特征的多种热力学可接近状态的群体。总之，这种综合核磁共振计算</w:t>
      </w:r>
    </w:p>
    <w:p>
      <w:pPr>
        <w:spacing w:before="0" w:after="200" w:lineRule="auto" w:line="276"/>
      </w:pPr>
      <w:r>
        <w:rPr>
          <w:b/>
        </w:rPr>
        <w:t xml:space="preserve">Abstract (EN): </w:t>
      </w:r>
      <w:r>
        <w:t>Macrocyclic peptides are emerging as a powerful therapeutic modality owing to their potential oral bioavailability and capacity to engage targets long considered undruggable. The introduction of aromatic heterocycles into macrocycles further expands this structural space by imparting distinct conformational preferences. However, accurate determination of the solution-state structures and dynamics of the resulting molecules remains challenging. Here, we integrate complementary isotropic and anisotropic NMR observables with enhanced sampling simulations and density functional theory (DFT) calculations to systematically investigate aryl- and heterobiaryl-containing cyclic peptides in different solvent systems. Our results based on residual dipolar coupling (RDC) measurements reveal conformational dynamics of macrocycles and significantly extend the knowledge gained by conventional NMR analysis based on nuclear Overhauser effects (NOEs) by more faithfully capturing the solution-state ensembles. Our methodology enables conformational analysis in both fast- and slow-exchange regimes on the NMR time scale. Notably, up to three interconverting backbone conformers at the DFT level are required to fully reconcile the experimental data for each ring system. We identify aryl and heterobiaryl motifs as structural elements governing the conformational landscape in our systems, modulating the populations of multiple thermodynamically accessible states characterized by distinct intramolecular hydrogen-bonding networks and unusual backbone geometries. Together, this integrative NMR-computational framework provides a precise and general strategy for resolving complex conformational ensembles of macrocycles, which should inform the objectives for synthetic modification and pave a way for the structure-based rational design of next-generation peptide therapeutics.</w:t>
      </w:r>
    </w:p>
    <w:p>
      <w:pPr>
        <w:spacing w:before="120" w:after="120"/>
      </w:pPr>
      <w:r>
        <w:rPr>
          <w:sz w:val="18"/>
        </w:rPr>
        <w:t>——————————————————————————————————————————————————————————————————————</w:t>
      </w:r>
    </w:p>
    <w:p>
      <w:pPr>
        <w:spacing w:before="160" w:after="40" w:line="240" w:lineRule="auto"/>
      </w:pPr>
      <w:r>
        <w:rPr>
          <w:b/>
        </w:rPr>
        <w:t xml:space="preserve">[549] </w:t>
      </w:r>
      <w:hyperlink r:id="rId1571">
        <w:r>
          <w:rPr>
            <w:color w:val="1155CC"/>
            <w:u w:val="single"/>
          </w:rPr>
          <w:t>用于 3D NAND 闪存的硅化镍种子</w:t>
        </w:r>
      </w:hyperlink>
    </w:p>
    <w:p>
      <w:pPr>
        <w:spacing w:before="0" w:after="80"/>
      </w:pPr>
      <w:r>
        <w:rPr>
          <w:i/>
          <w:sz w:val="20"/>
        </w:rPr>
        <w:t>EN: Nickel silicide seeds for 3D NAND flash</w:t>
      </w:r>
    </w:p>
    <w:p>
      <w:pPr>
        <w:spacing w:before="0" w:after="120"/>
      </w:pPr>
      <w:r>
        <w:rPr>
          <w:b/>
        </w:rPr>
        <w:t xml:space="preserve">Source: </w:t>
      </w:r>
      <w:r>
        <w:t>Nature Electronics</w:t>
      </w:r>
      <w:r>
        <w:t xml:space="preserve">    </w:t>
      </w:r>
      <w:r>
        <w:rPr>
          <w:b/>
        </w:rPr>
        <w:t xml:space="preserve">Pub date: </w:t>
      </w:r>
      <w:r>
        <w:t>2026-07-22 00:00:00+00:00</w:t>
      </w:r>
      <w:r>
        <w:t xml:space="preserve">    </w:t>
      </w:r>
      <w:r>
        <w:rPr>
          <w:b/>
        </w:rPr>
        <w:t xml:space="preserve">DOI: </w:t>
      </w:r>
      <w:hyperlink r:id="rId1572">
        <w:r>
          <w:rPr>
            <w:color w:val="1155CC"/>
            <w:u w:val="single"/>
          </w:rPr>
          <w:t>10.1038/s41928-026-01674-5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[550] </w:t>
      </w:r>
      <w:hyperlink r:id="rId1573">
        <w:r>
          <w:rPr>
            <w:color w:val="1155CC"/>
            <w:u w:val="single"/>
          </w:rPr>
          <w:t>自剪接 RNA 平台编码双 PROTAC，用于双 E3 连接酶招募和可编程蛋白质降解</w:t>
        </w:r>
      </w:hyperlink>
    </w:p>
    <w:p>
      <w:pPr>
        <w:spacing w:before="0" w:after="80"/>
      </w:pPr>
      <w:r>
        <w:rPr>
          <w:i/>
          <w:sz w:val="20"/>
        </w:rPr>
        <w:t>EN: Self-Splicing RNA Platform Encodes Twin PROTACs for Dual-E3 Ligase Recruitment and Programmable Protein Degradation</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74">
        <w:r>
          <w:rPr>
            <w:color w:val="1155CC"/>
            <w:u w:val="single"/>
          </w:rPr>
          <w:t>10.1021/jacs.6c11759</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部分链接已复制！蛋白水解靶向嵌合体 (PROTAC) 为靶向蛋白质降解提供了强大的策略，但经常受到合成复杂性和对单 E3 连接酶的过度依赖的限制，导致连接酶表达低或异质的肿瘤中的功效降低。在这里，我们报告了一种基因编码的人工自剪接 RNA (asRNA) 平台，该平台可以从单个转录本自主生成双 PROTAC 效应子，从而能够协调招募两种不同的 E3 连接酶。转录后，asRNA 经历精确的核酶介导的自裂解，产生基于肽的 PROTAC（招募 VHL 连接酶）和基于 RNA 适体的 PROTAC（与 Dzip3 连接酶结合），从而激活互补的泛素化途径。这种双连接酶结构显着增强了难治性致癌靶标（包括 c-MYC 和 EGFR）的降解，从而在癌症模型中产生显着的抗肿瘤功效。模块化和可编程的遗传设计可以快速重新配置目标识别元件，而无需复杂的化学合成。作为第一个实现协调双 E3 连接酶招募的单转录系统，这项工作建立了一种新的多价蛋白降解基因编码策略，并扩大了基于 PROTAC 的策略可访问的靶标范围。 ACS 出版物 © 2026 美国化学会</w:t>
      </w:r>
    </w:p>
    <w:p>
      <w:pPr>
        <w:spacing w:before="0" w:after="200" w:lineRule="auto" w:line="276"/>
      </w:pPr>
      <w:r>
        <w:rPr>
          <w:b/>
        </w:rPr>
        <w:t xml:space="preserve">Abstract (EN): </w:t>
      </w:r>
      <w:r>
        <w:t>Click to copy section link Section link copied! Proteolysis-targeting chimeras (PROTACs) offer a powerful strategy for targeted protein degradation but are frequently constrained by synthetic complexity and overreliance on a single-E3 ligase, leading to diminished efficacy in tumors with low or heterogeneous ligase expression. Here, we report a genetically encoded artificial self-splicing RNA (asRNA) platform that autonomously generates twin PROTAC effectors from a single transcript, enabling the coordinated recruitment of two distinct E3 ligases. Following transcription, the asRNA undergoes precise ribozyme-mediated self-cleavage to produce a peptide-based PROTAC that recruits the VHL ligase and an RNA aptamer-based PROTAC that engages the Dzip3 ligase, thereby activating complementary ubiquitination pathways. This dual-ligase architecture markedly enhances degradation of otherwise refractory oncogenic targets, including c-MYC and EGFR, resulting in pronounced antitumor efficacy in cancer models. The modular and programmable genetic design enables rapid reconfiguration of target-recognition elements without complex chemical synthesis. As the first single-transcript system to achieve coordinated dual-E3 ligase recruitment, this work establishes a new genetically encoded strategy for multivalent protein degradation and expands the scope of targets accessible to PROTAC-based strategies. ACS Publications © 2026 American Chemical Society</w:t>
      </w:r>
    </w:p>
    <w:p>
      <w:pPr>
        <w:spacing w:before="120" w:after="120"/>
      </w:pPr>
      <w:r>
        <w:rPr>
          <w:sz w:val="18"/>
        </w:rPr>
        <w:t>——————————————————————————————————————————————————————————————————————</w:t>
      </w:r>
    </w:p>
    <w:p>
      <w:pPr>
        <w:spacing w:before="160" w:after="40" w:line="240" w:lineRule="auto"/>
      </w:pPr>
      <w:r>
        <w:rPr>
          <w:b/>
        </w:rPr>
        <w:t xml:space="preserve">[551] </w:t>
      </w:r>
      <w:hyperlink r:id="rId1575">
        <w:r>
          <w:rPr>
            <w:color w:val="1155CC"/>
            <w:u w:val="single"/>
          </w:rPr>
          <w:t>分子内光点击反应合成大环结构</w:t>
        </w:r>
      </w:hyperlink>
    </w:p>
    <w:p>
      <w:pPr>
        <w:spacing w:before="0" w:after="80"/>
      </w:pPr>
      <w:r>
        <w:rPr>
          <w:i/>
          <w:sz w:val="20"/>
        </w:rPr>
        <w:t>EN: Synthesis of Macrocyclic Structures by Intramolecular Photoclick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76">
        <w:r>
          <w:rPr>
            <w:color w:val="1155CC"/>
            <w:u w:val="single"/>
          </w:rPr>
          <w:t>10.1021/jacs.6c09335</w:t>
        </w:r>
      </w:hyperlink>
    </w:p>
    <w:p>
      <w:pPr>
        <w:spacing w:before="0" w:after="120"/>
      </w:pPr>
      <w:r>
        <w:rPr>
          <w:b/>
        </w:rPr>
        <w:t xml:space="preserve">Notes: </w:t>
      </w:r>
      <w:r>
        <w:t>abstract_source=pubmed</w:t>
      </w:r>
    </w:p>
    <w:p>
      <w:pPr>
        <w:spacing w:before="0" w:after="80" w:lineRule="auto" w:line="276"/>
      </w:pPr>
      <w:r>
        <w:rPr>
          <w:b/>
        </w:rPr>
        <w:t xml:space="preserve">摘要（ZH）: </w:t>
      </w:r>
      <w:r>
        <w:t>光SPAAC反应可以有效制备中型至大型大环化合物。双官能线性分子的光SPAAC环化，在一个末端带有环丙烯酮笼状的二苯并环辛炔部分，在另一端带有叠氮基团，导致以高定量产率形成大环化合物。在溶液和纯状态下制备了具有 18 至 51 元环大小的大环，这表明双功能环辛炔-叠氮化物线性分子具有异常高的有效摩尔浓度。在反应混合物中没有观察到二聚体或更高的低聚物。在 DFT 理论水平上分析了 SPAAC 环化途径。具有 17 至 34 元环大小的大环化合物也通过 SPAAC-photo-SPAAC 反应序列成功制备，其中单双功能二苯并环辛二炔或双二苯并环辛炔与双叠氮化物反应。该方法还以高产率产生大环化合物，尽管在某些情况下检测到少量二聚环状副产物。</w:t>
      </w:r>
    </w:p>
    <w:p>
      <w:pPr>
        <w:spacing w:before="0" w:after="200" w:lineRule="auto" w:line="276"/>
      </w:pPr>
      <w:r>
        <w:rPr>
          <w:b/>
        </w:rPr>
        <w:t xml:space="preserve">Abstract (EN): </w:t>
      </w:r>
      <w:r>
        <w:t>The photo-SPAAC reaction allows for the efficient preparation of medium- to large-sized macrocycles. Photo-SPAAC cyclization of bifunctional linear molecules, which carry a cyclopropenone-caged dibenzocyclooctyne moiety at one terminus and an azide group at the other, leads to the formation of macrocycles in high to quantitative yields. Macrocycles with 18- to 51-membered ring sizes were prepared both in solution and in the neat state, indicating an unusually high effective molarity of bifunctional cyclooctyne-azide linear molecules. No dimers or higher oligomers were observed in the reaction mixtures. SPAAC cyclization pathways were analyzed at the DFT level of theory. Macrocycles with 17- to 34-membered ring sizes were also successfully prepared by the SPAAC-photo-SPAAC reaction sequence, where monobifunctional dibenzocyclooctadiyne or bis-dibenzocyclooctynes react with bis-azides. This method also produces macrocycles in high yield, albeit small amounts of dimeric cyclic byproducts were detected in some cases.</w:t>
      </w:r>
    </w:p>
    <w:p>
      <w:pPr>
        <w:spacing w:before="120" w:after="120"/>
      </w:pPr>
      <w:r>
        <w:rPr>
          <w:sz w:val="18"/>
        </w:rPr>
        <w:t>——————————————————————————————————————————————————————————————————————</w:t>
      </w:r>
    </w:p>
    <w:p>
      <w:pPr>
        <w:spacing w:before="160" w:after="40" w:line="240" w:lineRule="auto"/>
      </w:pPr>
      <w:r>
        <w:rPr>
          <w:b/>
        </w:rPr>
        <w:t xml:space="preserve">[552] </w:t>
      </w:r>
      <w:hyperlink r:id="rId1577">
        <w:r>
          <w:rPr>
            <w:color w:val="1155CC"/>
            <w:u w:val="single"/>
          </w:rPr>
          <w:t>通过酶辅助硫醇连接高效可控地组装多型多泛素链以进行结构解析</w:t>
        </w:r>
      </w:hyperlink>
    </w:p>
    <w:p>
      <w:pPr>
        <w:spacing w:before="0" w:after="80"/>
      </w:pPr>
      <w:r>
        <w:rPr>
          <w:i/>
          <w:sz w:val="20"/>
        </w:rPr>
        <w:t>EN: Efficient and Controllable Assembly of Multitype Polyubiquitin Chains via Enzyme-Assisted Thiol Ligation for Structural Elucidation</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78">
        <w:r>
          <w:rPr>
            <w:color w:val="1155CC"/>
            <w:u w:val="single"/>
          </w:rPr>
          <w:t>10.1021/jacs.6c04268</w:t>
        </w:r>
      </w:hyperlink>
    </w:p>
    <w:p>
      <w:pPr>
        <w:spacing w:before="0" w:after="120"/>
      </w:pPr>
      <w:r>
        <w:rPr>
          <w:b/>
        </w:rPr>
        <w:t xml:space="preserve">Notes: </w:t>
      </w:r>
      <w:r>
        <w:t>abstract_source=pubmed</w:t>
      </w:r>
    </w:p>
    <w:p>
      <w:pPr>
        <w:spacing w:before="0" w:after="80" w:lineRule="auto" w:line="276"/>
      </w:pPr>
      <w:r>
        <w:rPr>
          <w:b/>
        </w:rPr>
        <w:t xml:space="preserve">摘要（ZH）: </w:t>
      </w:r>
      <w:r>
        <w:t>构建多聚泛素链的方法极大地增进了我们对其结构、动力学和细胞功能的理解。然而，在生理条件下将多个泛素（Ub）单元有效地组装成具有受控长度和不同连接的明确链，同时保留目标蛋白的天然三维结构，仍然是一个挑战。解决这些问题将有助于利用生物物理技术对生理过程中涉及的多聚泛素链的动力学和相互作用进行高分辨率表征。在此，我们报告了一种通用策略，通过将 5-氟-4-(苯磺酰基)吡啶-2-甲腈 (FPPN) 介导的连续蛋白质-蛋白质偶联与转硫酶催化的 C 端半胱氨酸保护和脱保护相结合，通过表达 Ub 单位的正交连接来构建多型多聚泛素链。硫醇交叉连接和酶促保护-脱保护反应在生理条件下快速进行，转化效率高，从而实现多聚泛素链的定向可控组装。该方法允许制备具有确定的连接和长度的各种同质和混合多聚泛素链，以及支链多聚泛素链。含有同位素富集的 Ub 单元和/或定点自旋标记缀合物的多泛素链的构建进一步证明，该策略允许通过 NMR 和 EPR 在溶液中高分辨率地阐明多泛素链构象，并且</w:t>
      </w:r>
    </w:p>
    <w:p>
      <w:pPr>
        <w:spacing w:before="0" w:after="200" w:lineRule="auto" w:line="276"/>
      </w:pPr>
      <w:r>
        <w:rPr>
          <w:b/>
        </w:rPr>
        <w:t xml:space="preserve">Abstract (EN): </w:t>
      </w:r>
      <w:r>
        <w:t>Methods for constructing polyubiquitin chains have greatly advanced our understanding of their structures, dynamics, and cellular functions. However, efficiently assembling multiple ubiquitin (Ub) units into well-defined chains with controlled lengths and distinct linkages under physiological conditions, while preserving the native three-dimensional structures of target proteins, remains a challenge. Addressing these issues would facilitate high-resolution characterization of dynamics and interactions of polyubiquitin chains involved in physiological processes using biophysical techniques. Herein, we report a versatile strategy for constructing multitype polyubiquitin chains via orthogonal ligation of expressed Ub units by combining 5-fluoro-4-(phenylsulfonyl)pyridine-2-carbonitrile (FPPN)-mediated consecutive protein-protein coupling with transulfurase-catalyzed protection and deprotection of the C-terminal cysteine. Both the thiol cross-ligation and the enzymatic protection-deprotection reactions rapidly proceed under physiological conditions with high conversion efficiency, enabling directional and controllable assembly of polyubiquitin chains. The approach allows the preparation of various homogeneous and mixed polyubiquitin chains with defined linkages and lengths, as well as branched polyubiquitin chains. Construction of polyubiquitin chains containing isotopically enriched Ub units and/or site-directed spin-labeled conjugates further demonstrates that this strategy permits high-resolution elucidation of polyubiquitin-chain conformations by NMR and EPR in solution and in situ, revealing that the conformational ensemble of K11/K48-branched Ub3 shifts toward a more compact state in the cellular environment. This work presents a robust and broadly applicable platform for constructing diverse ubiquitin chains and ubiquitinated proteins, facilitating in situ high-resolution characterization of polyubiquitin-associated structures, dynamics, and interactions.</w:t>
      </w:r>
    </w:p>
    <w:p>
      <w:pPr>
        <w:spacing w:before="120" w:after="120"/>
      </w:pPr>
      <w:r>
        <w:rPr>
          <w:sz w:val="18"/>
        </w:rPr>
        <w:t>——————————————————————————————————————————————————————————————————————</w:t>
      </w:r>
    </w:p>
    <w:p>
      <w:pPr>
        <w:spacing w:before="160" w:after="40" w:line="240" w:lineRule="auto"/>
      </w:pPr>
      <w:r>
        <w:rPr>
          <w:b/>
        </w:rPr>
        <w:t xml:space="preserve">[553] </w:t>
      </w:r>
      <w:hyperlink r:id="rId1579">
        <w:r>
          <w:rPr>
            <w:color w:val="1155CC"/>
            <w:u w:val="single"/>
          </w:rPr>
          <w:t>在恒星的亚星伴星周围检测到行星质量的系外卫星</w:t>
        </w:r>
      </w:hyperlink>
    </w:p>
    <w:p>
      <w:pPr>
        <w:spacing w:before="0" w:after="80"/>
      </w:pPr>
      <w:r>
        <w:rPr>
          <w:i/>
          <w:sz w:val="20"/>
        </w:rPr>
        <w:t>EN: Planetary-mass exosatellite detected around the substellar companion of a star</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80">
        <w:r>
          <w:rPr>
            <w:color w:val="1155CC"/>
            <w:u w:val="single"/>
          </w:rPr>
          <w:t>10.1038/s41586-026-10751-w</w:t>
        </w:r>
      </w:hyperlink>
    </w:p>
    <w:p>
      <w:pPr>
        <w:spacing w:before="0" w:after="120"/>
      </w:pPr>
      <w:r>
        <w:rPr>
          <w:b/>
        </w:rPr>
        <w:t xml:space="preserve">Notes: </w:t>
      </w:r>
      <w:r>
        <w:t>abstract_source=semanticscholar</w:t>
      </w:r>
    </w:p>
    <w:p>
      <w:pPr>
        <w:spacing w:before="0" w:after="80" w:lineRule="auto" w:line="276"/>
      </w:pPr>
      <w:r>
        <w:rPr>
          <w:b/>
        </w:rPr>
        <w:t xml:space="preserve">摘要（ZH）: </w:t>
      </w:r>
      <w:r>
        <w:t>褐矮星占据行星和恒星之间的质量区域。在同时包含恒星和亚恒星伴星（无论是褐矮星还是系外行星）的系统中，围绕伴星运行的第三个物体可以称为系外卫星。系外行星卫星可以很容易地被描述为系外卫星，但目前尚不清楚褐矮星伴星的卫星是否可以被称为系外卫星，因为该术语缺乏正式的定义。尽管已经发现了 6,000 多颗系外行星1，但还没有一个系外卫星被自信地探测到。尽管有候选者，但它们缺乏确认并且仍然存在争议2,3,4-5。在这项工作中，我们提出了一颗系外卫星围绕直接成像的褐矮星伴星 CD-35 2722 B 运行的证据。将径向速度分析（与发现围绕太阳型恒星6 的第一颗系外行星所使用的技术相同）应用到这颗褐矮星的 VLT/CRIRES+ 光谱中，我们发现了至少一颗轨道卫星的周期性信号。据我们所知，这是第一次利用这项技术产生伴星褐矮星周围有卫星的证据。我们最合适的模型包括一颗最小质量约为 0.9 木星质量、周期约为 170 天的卫星。尽管不确定这颗系外卫星是否满足目前尚未定义的系外卫星资格标准，但这是迈向首次无争议探测的显着一步，因为先进的技术将允许将相同的方法应用于较小质量的目标。径向速度测量为木星质量的系外卫星绕褐矮星运行提供了证据</w:t>
      </w:r>
    </w:p>
    <w:p>
      <w:pPr>
        <w:spacing w:before="0" w:after="200" w:lineRule="auto" w:line="276"/>
      </w:pPr>
      <w:r>
        <w:rPr>
          <w:b/>
        </w:rPr>
        <w:t xml:space="preserve">Abstract (EN): </w:t>
      </w:r>
      <w:r>
        <w:t>Brown dwarfs occupy the mass regime between planets and stars. In systems containing both a star and a substellar companion (be it a brown dwarf or an exoplanet), a third object orbiting the companion can be called an exosatellite. Exoplanet satellites can be easily described as exomoons, but it is not clear if satellites of brown dwarf companions can be called the same, as the term lacks a formal definition. Despite more than 6,000 exoplanets being discovered1, no exomoon has ever been confidently detected. Although there are candidates, they lack confirmation and remain controversial2, 3, 4–5. In this work, we present evidence of an exosatellite orbiting the directly imaged brown dwarf companion CD-35 2722 B. Applying radial velocity analysis, the same technique used to discover the first exoplanet around a Solar-type star6, to VLT/CRIRES+ spectra of this brown dwarf, we find what appears to be the periodic signal of at least one orbiting satellite. This is the first time, to our knowledge, this technique has produced evidence of satellites around a companion brown dwarf. Our best-fitting model includes a satellite with a minimum mass of about 0.9 Jupiter masses and a period of around 170 days. Although it is uncertain whether this exosatellite will fulfil the presently undefined criteria for qualifying as an exomoon, it is a marked step towards that first uncontroversial detection, as advancing technology will allow the same method to be applied to less massive targets. Radial velocity measurements provide evidence for a Jupiter-mass exosatellite orbiting the brown dwarf companion CD-35 2722 B, a promising detection of an exomoon-like object.</w:t>
      </w:r>
    </w:p>
    <w:p>
      <w:pPr>
        <w:spacing w:before="120" w:after="120"/>
      </w:pPr>
      <w:r>
        <w:rPr>
          <w:sz w:val="18"/>
        </w:rPr>
        <w:t>——————————————————————————————————————————————————————————————————————</w:t>
      </w:r>
    </w:p>
    <w:p>
      <w:pPr>
        <w:spacing w:before="160" w:after="40" w:line="240" w:lineRule="auto"/>
      </w:pPr>
      <w:r>
        <w:rPr>
          <w:b/>
        </w:rPr>
        <w:t xml:space="preserve">[554] </w:t>
      </w:r>
      <w:hyperlink r:id="rId1581">
        <w:r>
          <w:rPr>
            <w:color w:val="1155CC"/>
            <w:u w:val="single"/>
          </w:rPr>
          <w:t>通过量子点发光二极管的裂解辅助转移印刷实现高分辨率全彩显示器</w:t>
        </w:r>
      </w:hyperlink>
    </w:p>
    <w:p>
      <w:pPr>
        <w:spacing w:before="0" w:after="80"/>
      </w:pPr>
      <w:r>
        <w:rPr>
          <w:i/>
          <w:sz w:val="20"/>
        </w:rPr>
        <w:t>EN: High-resolution full-colour displays from cracking-assisted transfer printing of quantum dot light-emitting diodes</w:t>
      </w:r>
    </w:p>
    <w:p>
      <w:pPr>
        <w:spacing w:before="0" w:after="120"/>
      </w:pPr>
      <w:r>
        <w:rPr>
          <w:b/>
        </w:rPr>
        <w:t xml:space="preserve">Source: </w:t>
      </w:r>
      <w:r>
        <w:t>Nature Electronics</w:t>
      </w:r>
      <w:r>
        <w:t xml:space="preserve">    </w:t>
      </w:r>
      <w:r>
        <w:rPr>
          <w:b/>
        </w:rPr>
        <w:t xml:space="preserve">Pub date: </w:t>
      </w:r>
      <w:r>
        <w:t>2026-07-22 00:00:00+00:00</w:t>
      </w:r>
      <w:r>
        <w:t xml:space="preserve">    </w:t>
      </w:r>
      <w:r>
        <w:rPr>
          <w:b/>
        </w:rPr>
        <w:t xml:space="preserve">DOI: </w:t>
      </w:r>
      <w:hyperlink r:id="rId1582">
        <w:r>
          <w:rPr>
            <w:color w:val="1155CC"/>
            <w:u w:val="single"/>
          </w:rPr>
          <w:t>10.1038/s41928-026-01669-2</w:t>
        </w:r>
      </w:hyperlink>
    </w:p>
    <w:p>
      <w:pPr>
        <w:spacing w:before="0" w:after="120"/>
      </w:pPr>
      <w:r>
        <w:rPr>
          <w:b/>
        </w:rPr>
        <w:t xml:space="preserve">Notes: </w:t>
      </w:r>
      <w:r>
        <w:t>abstract_source=rss_nature</w:t>
      </w:r>
    </w:p>
    <w:p>
      <w:pPr>
        <w:spacing w:before="0" w:after="80" w:lineRule="auto" w:line="276"/>
      </w:pPr>
      <w:r>
        <w:rPr>
          <w:b/>
        </w:rPr>
        <w:t xml:space="preserve">摘要（ZH）: </w:t>
      </w:r>
      <w:r>
        <w:t>基于量子点发光二极管的环保全彩显示器由于难以以高分辨率对量子点进行图案化而受到限制。一种裂纹辅助转移印刷方法能够实现无镉红、绿、蓝量子点纳米像素的超高分辨率图案化，为具有极宽色域的全彩有源矩阵显示器铺平了道路。</w:t>
      </w:r>
    </w:p>
    <w:p>
      <w:pPr>
        <w:spacing w:before="0" w:after="200" w:lineRule="auto" w:line="276"/>
      </w:pPr>
      <w:r>
        <w:rPr>
          <w:b/>
        </w:rPr>
        <w:t xml:space="preserve">Abstract (EN): </w:t>
      </w:r>
      <w:r>
        <w:t>Environmentally friendly, full-colour displays based on quantum dot light-emitting diodes have been limited by the difficulty of patterning quantum dots at high resolution. A cracking-assisted transfer printing method enables ultra-high-resolution patterning of cadmium-free red, green and blue quantum dot nanopixels, paving the way for full-colour active-matrix displays with an extremely wide colour gamut.</w:t>
      </w:r>
    </w:p>
    <w:p>
      <w:pPr>
        <w:spacing w:before="120" w:after="120"/>
      </w:pPr>
      <w:r>
        <w:rPr>
          <w:sz w:val="18"/>
        </w:rPr>
        <w:t>——————————————————————————————————————————————————————————————————————</w:t>
      </w:r>
    </w:p>
    <w:p>
      <w:pPr>
        <w:spacing w:before="160" w:after="40" w:line="240" w:lineRule="auto"/>
      </w:pPr>
      <w:r>
        <w:rPr>
          <w:b/>
        </w:rPr>
        <w:t xml:space="preserve">[555] </w:t>
      </w:r>
      <w:hyperlink r:id="rId1583">
        <w:r>
          <w:rPr>
            <w:color w:val="1155CC"/>
            <w:u w:val="single"/>
          </w:rPr>
          <w:t>光驱动的宪法泵</w:t>
        </w:r>
      </w:hyperlink>
    </w:p>
    <w:p>
      <w:pPr>
        <w:spacing w:before="0" w:after="80"/>
      </w:pPr>
      <w:r>
        <w:rPr>
          <w:i/>
          <w:sz w:val="20"/>
        </w:rPr>
        <w:t>EN: A Light-Driven Constitutional Pump</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84">
        <w:r>
          <w:rPr>
            <w:color w:val="1155CC"/>
            <w:u w:val="single"/>
          </w:rPr>
          <w:t>10.1021/jacs.6c11812</w:t>
        </w:r>
      </w:hyperlink>
    </w:p>
    <w:p>
      <w:pPr>
        <w:spacing w:before="0" w:after="120"/>
      </w:pPr>
      <w:r>
        <w:rPr>
          <w:b/>
        </w:rPr>
        <w:t xml:space="preserve">Notes: </w:t>
      </w:r>
      <w:r>
        <w:t>abstract_source=pubmed</w:t>
      </w:r>
    </w:p>
    <w:p>
      <w:pPr>
        <w:spacing w:before="0" w:after="80" w:lineRule="auto" w:line="276"/>
      </w:pPr>
      <w:r>
        <w:rPr>
          <w:b/>
        </w:rPr>
        <w:t xml:space="preserve">摘要（ZH）: </w:t>
      </w:r>
      <w:r>
        <w:t>在动态共价化学中实现高度非平衡仍然是模拟基于可逆共价键重组的耗能仿生结构行为的主要挑战。在分子水平上，核心困难在于最大化热平衡动态共价反应中能量驱动辅助途径引入的动力学不对称性，其微观可逆性和快速平衡本质上限制了其放大。在这里，我们报告了一种光驱动的组成泵，它通过将单向的、动力学主导的途径嵌入到可逆的动态共价复分解反应中来解决这一限制，使系统在连续照射下达到高度的非平衡。这种泵浦机制通过二芳基乙烯光开关和极性烯烃部分之间的共轭耦合在分子设计水平上进行编码，同时使光子门控能够抑制反向路径并生成具有强动力学偏好的高能光异构体中间体。结果，反应网络被有效地驱动到非平衡稳态（NESS），表现出明显的组成选择，同时在去除光输入时保持完全可逆。这项工作建立了一种接近高度非平衡动态共价系统的新策略，并为开发类生命非平衡物质奠定了基础。</w:t>
      </w:r>
    </w:p>
    <w:p>
      <w:pPr>
        <w:spacing w:before="0" w:after="200" w:lineRule="auto" w:line="276"/>
      </w:pPr>
      <w:r>
        <w:rPr>
          <w:b/>
        </w:rPr>
        <w:t xml:space="preserve">Abstract (EN): </w:t>
      </w:r>
      <w:r>
        <w:t>Achieving high degrees of nonequilibrium in dynamic covalent chemistry remains a major challenge for emulating energy-dissipative, biomimetic constitutional behaviors based on reversible covalent bond reorganization. At the molecular level, the central difficulty lies in maximizing the kinetic asymmetry introduced by energy-driven auxiliary pathways over thermally equilibrating dynamic covalent reactions, whose microscopic reversibility and rapid equilibration intrinsically limit its amplification. Here we report a light-driven constitutional pump that addresses this limitation by embedding a unidirectional, kinetically dominant pathway onto a reversible dynamic covalent metathesis reaction, enabling the system to reach high degrees of nonequilibrium under continuous irradiation. This pumping mechanism is encoded at the molecular design level through conjugative coupling between a diarylethene photoswitch and a polar olefin moiety, which simultaneously enables photonic gating to suppress reverse pathways and generates a high-energy photoisomer intermediate that imposes a strong kinetic preference. As a result, the reaction network is efficiently driven toward a nonequilibrium steady state (NESS), exhibiting pronounced constitutional selection while remaining fully reversible upon removal of the light input. This work establishes a new strategy for approaching highly nonequilibrium dynamic covalent systems and lays the groundwork for the development of life-like nonequilibrium matter.</w:t>
      </w:r>
    </w:p>
    <w:p>
      <w:pPr>
        <w:spacing w:before="120" w:after="120"/>
      </w:pPr>
      <w:r>
        <w:rPr>
          <w:sz w:val="18"/>
        </w:rPr>
        <w:t>——————————————————————————————————————————————————————————————————————</w:t>
      </w:r>
    </w:p>
    <w:p>
      <w:pPr>
        <w:spacing w:before="160" w:after="40" w:line="240" w:lineRule="auto"/>
      </w:pPr>
      <w:r>
        <w:rPr>
          <w:b/>
        </w:rPr>
        <w:t xml:space="preserve">[556] </w:t>
      </w:r>
      <w:hyperlink r:id="rId1585">
        <w:r>
          <w:rPr>
            <w:color w:val="1155CC"/>
            <w:u w:val="single"/>
          </w:rPr>
          <w:t>激发态分子内质子转移使活细胞中的自我报告荧光光亲和标记成为可能</w:t>
        </w:r>
      </w:hyperlink>
    </w:p>
    <w:p>
      <w:pPr>
        <w:spacing w:before="0" w:after="80"/>
      </w:pPr>
      <w:r>
        <w:rPr>
          <w:i/>
          <w:sz w:val="20"/>
        </w:rPr>
        <w:t>EN: Excited-State Intramolecular Proton Transfer Enables Self-Reporting Fluorescent Photoaffinity Labeling in Live Cells</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86">
        <w:r>
          <w:rPr>
            <w:color w:val="1155CC"/>
            <w:u w:val="single"/>
          </w:rPr>
          <w:t>10.1021/jacs.6c08200</w:t>
        </w:r>
      </w:hyperlink>
    </w:p>
    <w:p>
      <w:pPr>
        <w:spacing w:before="0" w:after="120"/>
      </w:pPr>
      <w:r>
        <w:rPr>
          <w:b/>
        </w:rPr>
        <w:t xml:space="preserve">Notes: </w:t>
      </w:r>
      <w:r>
        <w:t>abstract_source=pubmed</w:t>
      </w:r>
    </w:p>
    <w:p>
      <w:pPr>
        <w:spacing w:before="0" w:after="80" w:lineRule="auto" w:line="276"/>
      </w:pPr>
      <w:r>
        <w:rPr>
          <w:b/>
        </w:rPr>
        <w:t xml:space="preserve">摘要（ZH）: </w:t>
      </w:r>
      <w:r>
        <w:t>光亲和标记 (PAL) 长期以来一直是捕获活细胞中瞬时生物分子相互作用的核心策略。然而，传统的光交联标签依赖于高反应性中间体，这些中间体与溶剂不加区别地反应并产生异质交联产物。在这里，我们报告了一种激发态分子内质子转移（ESIPT）化学，它解决了单个支架内的这些限制。光活化后，2-(2'-羟基苯基)苯并咪唑 (HBI) 会发生皮秒烯醇到酮互变异构化，产生瞬态迈克尔受体亲电子试剂，在不存在近端亲核试剂的情况下可逆地返回到基态，本质上保留了空间保真度，无需溶剂猝灭。系统七肽 (X-LHAPTD) 扫描建立了化学选择性半胱氨酸捕获，而 HBI 的明亮酮带发射报告了原位标记事件。我们通过两个案例研究验证了该平台：甲酰甘氨酸生成酶 (FGE)/底物对的邻近定向捕获，以及 HEK-Tau-BiFC 报告细胞中易于聚集的 tau K18-P301L 的从头相互作用组分析，揭示了 tau 传输的 8 个细胞效应器，其中包括 4 个新识别的效应器。因此，ESIPT 光化学提供了一个干扰最小、自我报告的 PAL 平台，用于绘制原生环境中的细胞内相互作用网络。</w:t>
      </w:r>
    </w:p>
    <w:p>
      <w:pPr>
        <w:spacing w:before="0" w:after="200" w:lineRule="auto" w:line="276"/>
      </w:pPr>
      <w:r>
        <w:rPr>
          <w:b/>
        </w:rPr>
        <w:t xml:space="preserve">Abstract (EN): </w:t>
      </w:r>
      <w:r>
        <w:t>Photoaffinity labeling (PAL) has long served as the central strategy for capturing transient biomolecular interactions in living cells. However, conventional photo-cross-linking tags rely on highly reactive intermediates that react indiscriminately with solvents and generate heterogeneous cross-linked products. Here, we report an excited-state intramolecular proton transfer (ESIPT) chemistry that addresses these limitations within a single scaffold. Upon photoactivation, 2-(2'-hydroxyphenyl)benzimidazole (HBI) undergoes picosecond enol-to-keto tautomerization to deliver a transient Michael-acceptor electrophile that reversibly returns to the ground state in the absence of a proximal nucleophile, intrinsically preserving spatial fidelity without solvent quenching. A systematic heptapeptide (X-LHAPTD) scan establishes chemoselective cysteine capture, while the bright keto-band emission of HBI reports the labeling event in situ. We validate the platform across two case studies: proximity-directed capture of a formylglycine-generating enzyme (FGE)/substrate pair, and de novo interactome profiling of aggregation-prone tau K18-P301L in HEK-Tau-BiFC reporter cells, which revealed eight cellular effectors of tau transmission, including four newly identified ones. ESIPT photochemistry thereby provides a minimally perturbing, self-reporting PAL platform for mapping intracellular interaction networks in their native environment.</w:t>
      </w:r>
    </w:p>
    <w:p>
      <w:pPr>
        <w:spacing w:before="120" w:after="120"/>
      </w:pPr>
      <w:r>
        <w:rPr>
          <w:sz w:val="18"/>
        </w:rPr>
        <w:t>——————————————————————————————————————————————————————————————————————</w:t>
      </w:r>
    </w:p>
    <w:p>
      <w:pPr>
        <w:spacing w:before="160" w:after="40" w:line="240" w:lineRule="auto"/>
      </w:pPr>
      <w:r>
        <w:rPr>
          <w:b/>
        </w:rPr>
        <w:t xml:space="preserve">[557] </w:t>
      </w:r>
      <w:hyperlink r:id="rId1587">
        <w:r>
          <w:rPr>
            <w:color w:val="1155CC"/>
            <w:u w:val="single"/>
          </w:rPr>
          <w:t>重氮硼烷促进硼插入烯属 C-H 键</w:t>
        </w:r>
      </w:hyperlink>
    </w:p>
    <w:p>
      <w:pPr>
        <w:spacing w:before="0" w:after="80"/>
      </w:pPr>
      <w:r>
        <w:rPr>
          <w:i/>
          <w:sz w:val="20"/>
        </w:rPr>
        <w:t>EN: Diazoborane-Promoted Boron Insertion into Olefinic C–H Bonds</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88">
        <w:r>
          <w:rPr>
            <w:color w:val="1155CC"/>
            <w:u w:val="single"/>
          </w:rPr>
          <w:t>10.1021/jacs.6c08521</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新的硼化策略的发现仍然是合成化学的一个主要焦点，因为有机硼化合物作为高度通用的中间体，能够实现广泛的转化，同时在小分子活化和先进功能材料中也发挥着越来越重要的作用。在此，我们报告了一种由重氮硼烷介导的新型硼化反应（RLBN 2）。与通过添加不饱和键或取代离去基团进行的传统硼基化过程相反，重氮硼烷作为二配位硼烯，净插入到烯属C-H键中。这种重氮硼烷介导的硼化反应显示出广泛的底物范围，包括单取代和偕二取代的烯烃，以及缺电子和共轭体系。大多数底物都能提供具有优异选择性 (99%) 的 E 异构体。相反，空间位阻较小的烯烃表现出部分形成Z异构体。值得注意的是，丙烯腈提供的 Z 构型产品的选择性为 99%。详细的机理研究表明，这种立体化学结果源于环状中间体转化为 C-H 活化产物过程中轨道相互作用和空间效应之间的微妙相互作用。 ACS 出版物 © 2026 美国化学会</w:t>
      </w:r>
    </w:p>
    <w:p>
      <w:pPr>
        <w:spacing w:before="0" w:after="200" w:lineRule="auto" w:line="276"/>
      </w:pPr>
      <w:r>
        <w:rPr>
          <w:b/>
        </w:rPr>
        <w:t xml:space="preserve">Abstract (EN): </w:t>
      </w:r>
      <w:r>
        <w:t>Click to copy section link Section link copied! The discovery of new borylation strategies remains a major focus in synthetic chemistry, as organoboron compounds serve as highly versatile intermediates that enable a wide range of transformations, while also playing increasingly important roles in small-molecule activation and advanced functional materials. Herein, we report a novel borylation reaction mediated by diazoboranes (RLBN 2). In contrast to conventional borylation processes, which proceed through addition to unsaturated bonds or substitution of leaving groups, diazoboranes, behaving as dicoordinate borylenes, undergo net insertion into olefinic C–H bonds. This diazoborane-mediated borylation displays a broad substrate scope, encompassing monosubstituted and gem-disubstituted olefins, as well as electron-poor and conjugated systems. Most substrates afford the E isomer with excellent selectivity ( 99%). In contrast, less sterically hindered olefins exhibit partial formation of the Z isomer. Notably, acrylonitrile delivers the Z -configured product with 99% selectivity. Detailed mechanistic studies reveal that this stereochemical outcome arises from a subtle interplay between orbital interactions and steric effects during the conversion of a cyclic intermediate to the C–H activation product. ACS Publications © 2026 American Chemical Society</w:t>
      </w:r>
    </w:p>
    <w:p>
      <w:pPr>
        <w:spacing w:before="120" w:after="120"/>
      </w:pPr>
      <w:r>
        <w:rPr>
          <w:sz w:val="18"/>
        </w:rPr>
        <w:t>——————————————————————————————————————————————————————————————————————</w:t>
      </w:r>
    </w:p>
    <w:p>
      <w:pPr>
        <w:spacing w:before="160" w:after="40" w:line="240" w:lineRule="auto"/>
      </w:pPr>
      <w:r>
        <w:rPr>
          <w:b/>
        </w:rPr>
        <w:t xml:space="preserve">[558] </w:t>
      </w:r>
      <w:hyperlink r:id="rId1589">
        <w:r>
          <w:rPr>
            <w:color w:val="1155CC"/>
            <w:u w:val="single"/>
          </w:rPr>
          <w:t>量子顺电 SrTiO3 中纳米级极性纹理的成像</w:t>
        </w:r>
      </w:hyperlink>
    </w:p>
    <w:p>
      <w:pPr>
        <w:spacing w:before="0" w:after="80"/>
      </w:pPr>
      <w:r>
        <w:rPr>
          <w:i/>
          <w:sz w:val="20"/>
        </w:rPr>
        <w:t>EN: Imaging of nanoscale polar textures in quantum paraelectric SrTiO3</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590">
        <w:r>
          <w:rPr>
            <w:color w:val="1155CC"/>
            <w:u w:val="single"/>
          </w:rPr>
          <w:t>10.1038/s41586-026-10823-x</w:t>
        </w:r>
      </w:hyperlink>
    </w:p>
    <w:p>
      <w:pPr>
        <w:spacing w:before="0" w:after="120"/>
      </w:pPr>
      <w:r>
        <w:rPr>
          <w:b/>
        </w:rPr>
        <w:t xml:space="preserve">Notes: </w:t>
      </w:r>
      <w:r>
        <w:t>abstract_source=pubmed</w:t>
      </w:r>
    </w:p>
    <w:p>
      <w:pPr>
        <w:spacing w:before="0" w:after="80" w:lineRule="auto" w:line="276"/>
      </w:pPr>
      <w:r>
        <w:rPr>
          <w:b/>
        </w:rPr>
        <w:t xml:space="preserve">摘要（ZH）: </w:t>
      </w:r>
      <w:r>
        <w:t>当冷却到铁电相变时，集体原子运动（声子）减慢（软化），直到形成静态原子位移模式，从而在整个材料中产生自发极化1。然而，在钛酸锶 (SrTiO3) 等量子顺电材料中，由于离子位置 2,3 的持续量子涨落，长程铁电有序不会在低温下形成。在 SrTiO3 中，量子顺电性在 Tq ≈ 40 K 参考值以下出现。 4-6 之前是异常声子动力学：横向声子模式在有限波矢量处部分软化，暗示纳米级的调制状态7-12。然而，尽管经过数十年的研究，SrTiO3 在低温下的精确实空间结构仍未得到解决。在这里，我们使用低至 20 K 的低温扫描透射电子显微镜直接对 SrTiO3 片层的低温极性结构进行成像。高分辨率成像揭示了纳米级域的空间波动景观。低于约 105 K，短程极性域最初自组织成延伸超过数十纳米的周期性结构；然而，当进入低于 Tq 的量子顺电态时，该过程会逆转，周期性有序的极性纳米域会分裂成更小的簇。 SrTiO3 中的量子顺电性是其显着特性的基础，包括大介电常数 13,14、接近铁电性 15,16、多铁性 17 和非常规超导性 18-20。我们的可视化表明这些现象可能与</w:t>
      </w:r>
    </w:p>
    <w:p>
      <w:pPr>
        <w:spacing w:before="0" w:after="200" w:lineRule="auto" w:line="276"/>
      </w:pPr>
      <w:r>
        <w:rPr>
          <w:b/>
        </w:rPr>
        <w:t xml:space="preserve">Abstract (EN): </w:t>
      </w:r>
      <w:r>
        <w:t>When cooling towards a ferroelectric phase transition, collective atomic motions (phonons) slow down (soften) until a static atomic displacement pattern forms, giving rise to spontaneous polarization throughout the material1. However, in quantum paraelectrics such as strontium titanate (SrTiO3), long-range ferroelectric order does not develop at low temperatures due to persistent quantum fluctuations of ionic positions2,3. In SrTiO3, quantum paraelectricity emerges below Tq ≈ 40 K refs. 4-6 and is preceded by anomalous phonon dynamics: a transverse acoustic phonon mode partially softens at a finite wavevector, hinting at a modulated state at the nanoscale7-12. The precise real-space structure of SrTiO3 at low temperature, however, has remained unresolved despite decades of study. Here we directly image the low-temperature polar structure of a SrTiO3 lamella using cryogenic scanning transmission electron microscopy down to 20 K. High-resolution imaging reveals a spatially fluctuating landscape of nanoscale domains. Below about 105 K, short-range polar domains initially self-organize into a periodic structure extending over tens of nanometres; however, upon entering the quantum paraelectric regime below Tq, the process reverses and the periodically ordered polar nanodomains fragment into smaller clusters. Quantum paraelectricity in SrTiO3 underlies remarkable properties, including large dielectric permittivity13,14, proximity to ferroelectricity15,16, multiferroicity17 and unconventional superconductivity18-20. Our visualizations suggest that these phenomena may be linked to complex ordering and disordering of polar nanodomains at low temperature.</w:t>
      </w:r>
    </w:p>
    <w:p>
      <w:pPr>
        <w:spacing w:before="120" w:after="120"/>
      </w:pPr>
      <w:r>
        <w:rPr>
          <w:sz w:val="18"/>
        </w:rPr>
        <w:t>——————————————————————————————————————————————————————————————————————</w:t>
      </w:r>
    </w:p>
    <w:p>
      <w:pPr>
        <w:spacing w:before="160" w:after="40" w:line="240" w:lineRule="auto"/>
      </w:pPr>
      <w:r>
        <w:rPr>
          <w:b/>
        </w:rPr>
        <w:t xml:space="preserve">[559] </w:t>
      </w:r>
      <w:hyperlink r:id="rId1591">
        <w:r>
          <w:rPr>
            <w:color w:val="1155CC"/>
            <w:u w:val="single"/>
          </w:rPr>
          <w:t>烯炔氢胺化全合成二萜生物碱 Thelepogine</w:t>
        </w:r>
      </w:hyperlink>
    </w:p>
    <w:p>
      <w:pPr>
        <w:spacing w:before="0" w:after="80"/>
      </w:pPr>
      <w:r>
        <w:rPr>
          <w:i/>
          <w:sz w:val="20"/>
        </w:rPr>
        <w:t>EN: Total Synthesis of the Diterpene Alkaloid Thelepogine through Enyne Hydroamination</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92">
        <w:r>
          <w:rPr>
            <w:color w:val="1155CC"/>
            <w:u w:val="single"/>
          </w:rPr>
          <w:t>10.1021/jacs.6c09322</w:t>
        </w:r>
      </w:hyperlink>
    </w:p>
    <w:p>
      <w:pPr>
        <w:spacing w:before="0" w:after="120"/>
      </w:pPr>
      <w:r>
        <w:rPr>
          <w:b/>
        </w:rPr>
        <w:t xml:space="preserve">Notes: </w:t>
      </w:r>
      <w:r>
        <w:t>abstract_source=pubmed</w:t>
      </w:r>
    </w:p>
    <w:p>
      <w:pPr>
        <w:spacing w:before="0" w:after="80" w:lineRule="auto" w:line="276"/>
      </w:pPr>
      <w:r>
        <w:rPr>
          <w:b/>
        </w:rPr>
        <w:t xml:space="preserve">摘要（ZH）: </w:t>
      </w:r>
      <w:r>
        <w:t>报道了非典型二萜生物碱thelepogine的全合成。我们的途径的特点是碳三环中间体的不对称结构，该中间体经历四取代烯丙醇的 2,3-Wittig-Still 重排，安装两个相邻的四元立构中心。 thelepogine 的 α-叔胺是通过贝克曼型重排从季碳中分离出来的，而不寻常的吡咯里西啶部分是通过氨基烯炔的铜 (I) 催化 (4 + 1) 环加成组装而成，相当于 2 倍氢胺化。我们的合成能够对thelepogine进行全面的光谱表征，而以前仅通过衍生物的单晶X射线衍射对其进行表征，并为全面的生物学评估打开了大门。</w:t>
      </w:r>
    </w:p>
    <w:p>
      <w:pPr>
        <w:spacing w:before="0" w:after="200" w:lineRule="auto" w:line="276"/>
      </w:pPr>
      <w:r>
        <w:rPr>
          <w:b/>
        </w:rPr>
        <w:t xml:space="preserve">Abstract (EN): </w:t>
      </w:r>
      <w:r>
        <w:t>The total synthesis of the atypical diterpene alkaloid thelepogine is reported. Our pathway features the asymmetric construction of a carbotricyclic intermediate that undergoes a 2,3-Wittig-Still rearrangement of a tetrasubstituted allylic alcohol, installing two adjacent quaternary stereocenters. The α-tertiary amine of thelepogine was delineated from a quaternary carbon through a Beckmann-type rearrangement, while the unusual pyrrolizidine moiety was assembled through a copper(I)-catalyzed (4 + 1) cycloaddition of an amino enyne, amounting to a 2-fold hydroamination. Our synthesis enables the full spectroscopic characterization of thelepogine, which had previously been characterized only by single-crystal X-ray diffraction of a derivative, and opens the door to comprehensive biological evaluation.</w:t>
      </w:r>
    </w:p>
    <w:p>
      <w:pPr>
        <w:spacing w:before="120" w:after="120"/>
      </w:pPr>
      <w:r>
        <w:rPr>
          <w:sz w:val="18"/>
        </w:rPr>
        <w:t>——————————————————————————————————————————————————————————————————————</w:t>
      </w:r>
    </w:p>
    <w:p>
      <w:pPr>
        <w:spacing w:before="160" w:after="40" w:line="240" w:lineRule="auto"/>
      </w:pPr>
      <w:r>
        <w:rPr>
          <w:b/>
        </w:rPr>
        <w:t xml:space="preserve">[560] </w:t>
      </w:r>
      <w:hyperlink r:id="rId1593">
        <w:r>
          <w:rPr>
            <w:color w:val="1155CC"/>
            <w:u w:val="single"/>
          </w:rPr>
          <w:t>超分子纳米管中激子态的光诱导选择性控制</w:t>
        </w:r>
      </w:hyperlink>
    </w:p>
    <w:p>
      <w:pPr>
        <w:spacing w:before="0" w:after="80"/>
      </w:pPr>
      <w:r>
        <w:rPr>
          <w:i/>
          <w:sz w:val="20"/>
        </w:rPr>
        <w:t>EN: Light-Induced Selective Control of Excitonic States in Supramolecular Nanotubes</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94">
        <w:r>
          <w:rPr>
            <w:color w:val="1155CC"/>
            <w:u w:val="single"/>
          </w:rPr>
          <w:t>10.1021/jacs.6c09487</w:t>
        </w:r>
      </w:hyperlink>
    </w:p>
    <w:p>
      <w:pPr>
        <w:spacing w:before="0" w:after="120"/>
      </w:pPr>
      <w:r>
        <w:rPr>
          <w:b/>
        </w:rPr>
        <w:t xml:space="preserve">Notes: </w:t>
      </w:r>
      <w:r>
        <w:t>abstract_source=pubmed</w:t>
      </w:r>
    </w:p>
    <w:p>
      <w:pPr>
        <w:spacing w:before="0" w:after="80" w:lineRule="auto" w:line="276"/>
      </w:pPr>
      <w:r>
        <w:rPr>
          <w:b/>
        </w:rPr>
        <w:t xml:space="preserve">摘要（ZH）: </w:t>
      </w:r>
      <w:r>
        <w:t>由于光谱拥塞以及电子结构与分子组织之间的密切关系，超分子组装体中激子态的选择性控制仍然是一个基本挑战。在这里，我们证明受控光学照明可用于选择性地重新配置双壁超分子纳米管中的激子功能。通过结合二维电子光谱、低温透射电子显微镜和偏振分辨单纳米管显微镜，我们发现光照通过氧介导的发色团光氧化降解选择性地抑制外壁激子响应。结构分析表明，所产生的无序很大程度上局限于外壁，而内壁的圆柱形支架和激子序则得以保留。对固定在固态基质中的单个纳米管的测量进一步表明，内壁激子的偏振各向异性保持不变，表明其激子对称性和离域特性得以保持。总之，这些发现将光确立为一种无添加剂和非接触式控制参数，用于改变复杂超分子结构中的激子景观。</w:t>
      </w:r>
    </w:p>
    <w:p>
      <w:pPr>
        <w:spacing w:before="0" w:after="200" w:lineRule="auto" w:line="276"/>
      </w:pPr>
      <w:r>
        <w:rPr>
          <w:b/>
        </w:rPr>
        <w:t xml:space="preserve">Abstract (EN): </w:t>
      </w:r>
      <w:r>
        <w:t>Selective control of excitonic states in supramolecular assemblies remains a fundamental challenge, owing to spectral congestion and the close relation between electronic structure and molecular organization. Here, we demonstrate that controlled optical illumination can be used to selectively reconfigure excitonic functionality in double-walled supramolecular nanotubes. By combining two-dimensional electronic spectroscopy, cryogenic transmission electron microscopy, and polarization-resolved single-nanotube microscopy, we show that light exposure selectively suppresses the outer-wall excitonic response through an oxygen-mediated photooxidative degradation of the chromophores. Structural analysis reveals that the resulting disorder is largely confined to the outer wall, while the cylindrical scaffold and excitonic order of the inner wall are preserved. Measurements on individual nanotubes immobilized in a solid-state matrix further demonstrate that the polarization anisotropy of the inner-wall exciton remains unchanged, indicating that its excitonic symmetry and delocalized character are maintained. Together, these findings establish light as an additive-free and noncontact control parameter for modifying excitonic landscapes in complex supramolecular architectures.</w:t>
      </w:r>
    </w:p>
    <w:p>
      <w:pPr>
        <w:spacing w:before="120" w:after="120"/>
      </w:pPr>
      <w:r>
        <w:rPr>
          <w:sz w:val="18"/>
        </w:rPr>
        <w:t>——————————————————————————————————————————————————————————————————————</w:t>
      </w:r>
    </w:p>
    <w:p>
      <w:pPr>
        <w:spacing w:before="160" w:after="40" w:line="240" w:lineRule="auto"/>
      </w:pPr>
      <w:r>
        <w:rPr>
          <w:b/>
        </w:rPr>
        <w:t xml:space="preserve">[561] </w:t>
      </w:r>
      <w:hyperlink r:id="rId1595">
        <w:r>
          <w:rPr>
            <w:color w:val="1155CC"/>
            <w:u w:val="single"/>
          </w:rPr>
          <w:t>更智能，而不是更困难：反应结果机器学习的良好实践</w:t>
        </w:r>
      </w:hyperlink>
    </w:p>
    <w:p>
      <w:pPr>
        <w:spacing w:before="0" w:after="80"/>
      </w:pPr>
      <w:r>
        <w:rPr>
          <w:i/>
          <w:sz w:val="20"/>
        </w:rPr>
        <w:t>EN: Yield Smarter, Not Harder: Good Practices for Machine Learning of Reaction Outcomes</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96">
        <w:r>
          <w:rPr>
            <w:color w:val="1155CC"/>
            <w:u w:val="single"/>
          </w:rPr>
          <w:t>10.1021/jacs.6c02213</w:t>
        </w:r>
      </w:hyperlink>
    </w:p>
    <w:p>
      <w:pPr>
        <w:spacing w:before="0" w:after="120"/>
      </w:pPr>
      <w:r>
        <w:rPr>
          <w:b/>
        </w:rPr>
        <w:t xml:space="preserve">Notes: </w:t>
      </w:r>
      <w:r>
        <w:t>abstract_source=pubmed</w:t>
      </w:r>
    </w:p>
    <w:p>
      <w:pPr>
        <w:spacing w:before="0" w:after="80" w:lineRule="auto" w:line="276"/>
      </w:pPr>
      <w:r>
        <w:rPr>
          <w:b/>
        </w:rPr>
        <w:t xml:space="preserve">摘要（ZH）: </w:t>
      </w:r>
      <w:r>
        <w:t>反应产率预测是合成化学领域长期存在的挑战，对路线规划、可扩展性和高通量实验 (HTE) 具有广泛的影响。虽然最近的机器学习 (ML) 方法在建模反应性方面表现出了良好的前景，但它们经常使用复杂的描述符或深层架构，这些描述符或深层架构的计算成本很高，并且限制了可解释性和可扩展性。在这里，我们评估更简单的描述符中存储了多少信息，以及是否通过增加描述符的复杂性来提高模型准确性。使用在不同复杂程度的描述符上训练的经典 ML 模型，我们对四个公开可用的 HTE 数据集（涵盖三个不同的反应数据集）的预测性能进行了基准测试：Buchwald-Hartwig (BH) 胺化、Suzuki-Miyaura (SM) 耦合和硅胺协议 (SLAP)。我们的评估还讨论了 (1) 通过按组件进行数据分割的泛化，(2) 通过跨数据集的外部验证的稳健性，以及 (3) HTE 数据的不对称产量分布特征的性能。与传统的预期相反，我们发现具有可解释特征的更简单的模型可以在严格的验证协议下实现具有竞争力的性能。根据我们的发现，我们为该领域的未来研究制定了良好的实践。例如，与低成本基线模型的比较应该成为未来反应产率预测的机器学习研究的要求。</w:t>
      </w:r>
    </w:p>
    <w:p>
      <w:pPr>
        <w:spacing w:before="0" w:after="200" w:lineRule="auto" w:line="276"/>
      </w:pPr>
      <w:r>
        <w:rPr>
          <w:b/>
        </w:rPr>
        <w:t xml:space="preserve">Abstract (EN): </w:t>
      </w:r>
      <w:r>
        <w:t>Reaction yield prediction is a longstanding challenge in synthetic chemistry, with broad implications for route planning, scalability, and high-throughput experimentation (HTE). While recent machine learning (ML) approaches have demonstrated promise in modeling reactivity, they often use complex descriptors or deep architectures that are computationally expensive and limit interpretability and scalability. Here, we assess how much information is stored in simpler descriptors and whether model accuracy is improved by increasing the complexity of the descriptors. Using classical ML models trained on descriptors with different complexity levels, we benchmark predictive performance on four publicly available HTE data sets covering three diverse reaction data sets: Buchwald-Hartwig (BH) amination, Suzuki-Miyaura (SM) coupling, and the silicon-amine protocol (SLAP). Our evaluation furthermore discusses (1) generalization via component-wise data splitting, (2) robustness through external validation across data sets, and (3) performance across asymmetric yield distributions characteristic of HTE data. Contrary to conventional expectations, we find that simpler models with interpretable features can achieve competitive performance under rigorous validation protocols. Based on our findings, we formulate good practices for future studies in this area. For example, comparison to low-cost baseline models should become a requirement for future ML studies for reaction-yield prediction.</w:t>
      </w:r>
    </w:p>
    <w:p>
      <w:pPr>
        <w:spacing w:before="120" w:after="120"/>
      </w:pPr>
      <w:r>
        <w:rPr>
          <w:sz w:val="18"/>
        </w:rPr>
        <w:t>——————————————————————————————————————————————————————————————————————</w:t>
      </w:r>
    </w:p>
    <w:p>
      <w:pPr>
        <w:spacing w:before="160" w:after="40" w:line="240" w:lineRule="auto"/>
      </w:pPr>
      <w:r>
        <w:rPr>
          <w:b/>
        </w:rPr>
        <w:t xml:space="preserve">[562] </w:t>
      </w:r>
      <w:hyperlink r:id="rId1597">
        <w:r>
          <w:rPr>
            <w:color w:val="1155CC"/>
            <w:u w:val="single"/>
          </w:rPr>
          <w:t>基于正交纳米佐剂的 RSV 亚基疫苗通过类高熵免疫刺激效应释放强大的免疫能力</w:t>
        </w:r>
      </w:hyperlink>
    </w:p>
    <w:p>
      <w:pPr>
        <w:spacing w:before="0" w:after="80"/>
      </w:pPr>
      <w:r>
        <w:rPr>
          <w:i/>
          <w:sz w:val="20"/>
        </w:rPr>
        <w:t>EN: An Orthogonal Nanoadjuvant-Based RSV Subunit Vaccine Unlocks Potent Immunity through a High-Entropy-like Immunostimulatory Effect</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598">
        <w:r>
          <w:rPr>
            <w:color w:val="1155CC"/>
            <w:u w:val="single"/>
          </w:rPr>
          <w:t>10.1021/jacs.6c11987</w:t>
        </w:r>
      </w:hyperlink>
    </w:p>
    <w:p>
      <w:pPr>
        <w:spacing w:before="0" w:after="120"/>
      </w:pPr>
      <w:r>
        <w:rPr>
          <w:b/>
        </w:rPr>
        <w:t xml:space="preserve">Notes: </w:t>
      </w:r>
      <w:r>
        <w:t>abstract_source=pubmed</w:t>
      </w:r>
    </w:p>
    <w:p>
      <w:pPr>
        <w:spacing w:before="0" w:after="80" w:lineRule="auto" w:line="276"/>
      </w:pPr>
      <w:r>
        <w:rPr>
          <w:b/>
        </w:rPr>
        <w:t xml:space="preserve">摘要（ZH）: </w:t>
      </w:r>
      <w:r>
        <w:t>呼吸道合胞病毒（RSV）是下呼吸道感染的主要原因之一，尤其是在婴儿、儿童和老年人中。寻求临床可接受且有效的 RSV 疫苗是临床实践中长期存在的障碍。在此，我们提出了一种基于正交纳米佐剂的纳米疫苗平台，该平台可解决 RSV F 亚单位疫苗接种中细胞免疫不足的长期挑战。该疫苗基于 Mn/Al 层状双氢氧化物 (Mn/Al-LDH) 纳米片构建，并具有 RSV F 抗原和聚 CpG 基序。在该系统中，Al 作为体液免疫佐剂促进有效的抗体反应，而 Mn 和 CpG 可以分别通过激活 cGAS-STING 途径和 Toll 样受体 (TLR) 来增强细胞免疫。多种免疫途径的协调激活协同产生“高熵”免疫刺激效应，促进有效CD4+和CD8+T细胞的招募和随后激活，从而导致更快速的抗原特异性免疫激活，并促进建立强大的长期T细胞记忆。此外，观察到中央记忆 T 细胞 (TCM) 内 CD134 阳性子集的扩大，表明免疫系统已准备好进行强劲的克隆增殖和分化为效应细胞和记忆细胞谱系。这种免疫学设置确保随后与特定抗原的任何接触都会引发立即而强烈的二次反应。在小鼠挑战模型中，纳米疫苗</w:t>
      </w:r>
    </w:p>
    <w:p>
      <w:pPr>
        <w:spacing w:before="0" w:after="200" w:lineRule="auto" w:line="276"/>
      </w:pPr>
      <w:r>
        <w:rPr>
          <w:b/>
        </w:rPr>
        <w:t xml:space="preserve">Abstract (EN): </w:t>
      </w:r>
      <w:r>
        <w:t>Respiratory syncytial virus (RSV) is one of the primary contributors to lower respiratory tract infections, especially in infants, children, and the elderly. The quest for a clinically acceptable and potent RSV vaccine constitutes a long-standing hurdle in clinical practice. Herein, we propose an orthogonal nanoadjuvant-based nanovaccine platform that addresses the long-standing challenge of insufficient cellular immunity in RSV F subunit vaccination. The vaccine is constructed based on Mn/Al-layered double hydroxide (Mn/Al-LDH) nanosheet functionalized with RSV F antigen and poly-CpG motifs. In this system, Al acts as a humoral immunity adjuvant promoting potent antibody responses, while Mn and CpG can enhance cellular immunity through activation of the cGAS-STING pathway and Toll-like receptor (TLR), respectively. The orchestrated activation of multiple immune pathways synergistically produces a "high-entropy" immunostimulatory effect, which facilitates the recruitment and subsequent activation of potent CD4+ and CD8+ T cells, thus leading to more rapid antigen-specific immune activation and fostering the establishment of robust long-term T cell memory. Furthermore, an expanded CD134-positive subset within central memory T cells (TCM) is observed, demonstrating that the immune system is primed for robust clonal proliferation and differentiation into effector and memory cell lineages. This immunological setup ensures that any subsequent encounter with the specific antigen will trigger an immediate and vigorous secondary response. In murine challenge models, the nanovaccine outperforms traditional aluminum (Al)-based vaccines by significantly reducing viral load and mitigating lung pathology. This study establishes a new paradigm for developing efficacious RSV vaccines, and the underlying strategy is broadly applicable to vaccine development against other intractable pathogens.</w:t>
      </w:r>
    </w:p>
    <w:p>
      <w:pPr>
        <w:spacing w:before="120" w:after="120"/>
      </w:pPr>
      <w:r>
        <w:rPr>
          <w:sz w:val="18"/>
        </w:rPr>
        <w:t>——————————————————————————————————————————————————————————————————————</w:t>
      </w:r>
    </w:p>
    <w:p>
      <w:pPr>
        <w:spacing w:before="160" w:after="40" w:line="240" w:lineRule="auto"/>
      </w:pPr>
      <w:r>
        <w:rPr>
          <w:b/>
        </w:rPr>
        <w:t xml:space="preserve">[563] </w:t>
      </w:r>
      <w:hyperlink r:id="rId1599">
        <w:r>
          <w:rPr>
            <w:color w:val="1155CC"/>
            <w:u w:val="single"/>
          </w:rPr>
          <w:t>共轭有机硼烷的精确融合：具有窄带荧光和微尺度激光的四硼掺杂分子碳</w:t>
        </w:r>
      </w:hyperlink>
    </w:p>
    <w:p>
      <w:pPr>
        <w:spacing w:before="0" w:after="80"/>
      </w:pPr>
      <w:r>
        <w:rPr>
          <w:i/>
          <w:sz w:val="20"/>
        </w:rPr>
        <w:t>EN: Precise Fusion of Conjugated Organoboranes: A Tetraboron-Doped Molecular Carbon with Narrowband Fluorescence and Microscale Lasing</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600">
        <w:r>
          <w:rPr>
            <w:color w:val="1155CC"/>
            <w:u w:val="single"/>
          </w:rPr>
          <w:t>10.1021/jacs.6c07985</w:t>
        </w:r>
      </w:hyperlink>
    </w:p>
    <w:p>
      <w:pPr>
        <w:spacing w:before="0" w:after="120"/>
      </w:pPr>
      <w:r>
        <w:rPr>
          <w:b/>
        </w:rPr>
        <w:t xml:space="preserve">Notes: </w:t>
      </w:r>
      <w:r>
        <w:t>abstract_source=pubmed</w:t>
      </w:r>
    </w:p>
    <w:p>
      <w:pPr>
        <w:spacing w:before="0" w:after="80" w:lineRule="auto" w:line="276"/>
      </w:pPr>
      <w:r>
        <w:rPr>
          <w:b/>
        </w:rPr>
        <w:t xml:space="preserve">摘要（ZH）: </w:t>
      </w:r>
      <w:r>
        <w:t>操纵杂环拓扑是改变电子结构并实现分子碳所需的激发态特性的有效方法。在这里，我们公开了共轭有机硼烷的精确融合作为构建复杂的硼掺杂分子碳的有效策略。这使得能够通过一锅多重 Scholl 反应成功合成两种四硼掺杂分子碳。它们分别具有C68B4和C76B4多环π骨架，具有上/下边缘硼掺杂模式，带长度超过2.3 nm，是迄今为止报道的最长的硼掺杂分子碳。综合研究揭示了它们独特的电子结构、激发态动力学和特性。值得注意的是，这两种分子都表现出窄带红色荧光（半峰全宽&lt; 24 nm）、意外的受激发射和放大的自发发射特性，这些特性很少集成到单个有机分子中。我们制造了一种基于 C76B4 分子的概念验证回音壁模式谐振器，该谐振器表现出卓越的微尺度激光性能，激光波长为 725/731 nm，阈值为 23.2 μJ cm-2，品质因数 &gt;1800。这代表了硼/碳复合 π 系统中激光的首次实现，凸显了硼掺杂分子碳作为有机激光器光学增益介质的潜力。</w:t>
      </w:r>
    </w:p>
    <w:p>
      <w:pPr>
        <w:spacing w:before="0" w:after="200" w:lineRule="auto" w:line="276"/>
      </w:pPr>
      <w:r>
        <w:rPr>
          <w:b/>
        </w:rPr>
        <w:t xml:space="preserve">Abstract (EN): </w:t>
      </w:r>
      <w:r>
        <w:t>Manipulating heterocyclic topologies is a powerful method to alter the electronic structures and achieve desirable excited-state properties of molecular carbons. Here, we disclose precise fusion of conjugated organoboranes as an efficient strategy to construct sophisticated boron-doped molecular carbons. This enables the successful synthesis of two tetraboron-doped molecular carbons via one-pot multifold Scholl reaction. They possess the C68B4 and C76B4 polycyclic π-skeletons, respectively, featuring the upper-/lower-edged boron-doping mode and ribbon lengths exceeding 2.3 nm, thus representing the longest boron-doped molecular carbons reported so far. Comprehensive studies reveal their distinctive electronic structures, excited-state dynamics, and properties. Notably, both molecules exhibit narrowband red fluorescence (full width at half-maximum &lt; 24 nm), unexpected stimulated emission, and amplified spontaneous emission characteristics, which have been rarely integrated into a single organic molecule. We fabricated a proof-of-concept whispering-gallery-mode resonator based on the C76B4 molecule, which displays remarkable microscale lasing performance with a lasing wavelength of 725/731 nm, a threshold of 23.2 μJ cm-2, and a quality factor of &gt;1800. This represents the first realization of lasing in boron/carbon-composited π-systems, highlighting the potential of boron-doped molecular carbons as optical gain media for organic lasers.</w:t>
      </w:r>
    </w:p>
    <w:p>
      <w:pPr>
        <w:spacing w:before="120" w:after="120"/>
      </w:pPr>
      <w:r>
        <w:rPr>
          <w:sz w:val="18"/>
        </w:rPr>
        <w:t>——————————————————————————————————————————————————————————————————————</w:t>
      </w:r>
    </w:p>
    <w:p>
      <w:pPr>
        <w:spacing w:before="160" w:after="40" w:line="240" w:lineRule="auto"/>
      </w:pPr>
      <w:r>
        <w:rPr>
          <w:b/>
        </w:rPr>
        <w:t xml:space="preserve">[564] </w:t>
      </w:r>
      <w:hyperlink r:id="rId1601">
        <w:r>
          <w:rPr>
            <w:color w:val="1155CC"/>
            <w:u w:val="single"/>
          </w:rPr>
          <w:t>太阳风引起的地磁风暴可能比之前想象的更加极端</w:t>
        </w:r>
      </w:hyperlink>
    </w:p>
    <w:p>
      <w:pPr>
        <w:spacing w:before="0" w:after="80"/>
      </w:pPr>
      <w:r>
        <w:rPr>
          <w:i/>
          <w:sz w:val="20"/>
        </w:rPr>
        <w:t>EN: Geomagnetic storms caused by solar wind might be more extreme than previously thought</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02">
        <w:r>
          <w:rPr>
            <w:color w:val="1155CC"/>
            <w:u w:val="single"/>
          </w:rPr>
          <w:t>10.1038/d41586-026-02245-6</w:t>
        </w:r>
      </w:hyperlink>
    </w:p>
    <w:p>
      <w:pPr>
        <w:spacing w:before="0" w:after="120"/>
      </w:pPr>
      <w:r>
        <w:rPr>
          <w:b/>
        </w:rPr>
        <w:t xml:space="preserve">Notes: </w:t>
      </w:r>
      <w:r>
        <w:t>abstract_source=openalex</w:t>
      </w:r>
    </w:p>
    <w:p>
      <w:pPr>
        <w:spacing w:before="0" w:after="80" w:lineRule="auto" w:line="276"/>
      </w:pPr>
      <w:r>
        <w:rPr>
          <w:b/>
        </w:rPr>
        <w:t xml:space="preserve">摘要（ZH）: </w:t>
      </w:r>
      <w:r>
        <w:t>人们普遍认为，随着太阳风强度的增加，地磁风暴​​（地球外层大气中的磁扰动）的严重程度将达到上限。但这个上限是一种幻觉，是由于太阳风强度测量的不确定性造成的，因为真实值会回归平均值。均值回归解释了与强太阳风相关的地磁扰动的明显限制。</w:t>
      </w:r>
    </w:p>
    <w:p>
      <w:pPr>
        <w:spacing w:before="0" w:after="200" w:lineRule="auto" w:line="276"/>
      </w:pPr>
      <w:r>
        <w:rPr>
          <w:b/>
        </w:rPr>
        <w:t xml:space="preserve">Abstract (EN): </w:t>
      </w:r>
      <w:r>
        <w:t>The severity of geomagnetic storms — magnetic disturbances in Earth’s outer atmosphere — is widely understood to reach an upper limit as the strength of the solar wind increases. But this upper limit is an illusion that results from uncertainty in the measurement of solar-wind strength as the true value regresses towards the mean. Regression to the mean explains away the apparent limit to geomagnetic disturbances linked to strong solar winds.</w:t>
      </w:r>
    </w:p>
    <w:p>
      <w:pPr>
        <w:spacing w:before="120" w:after="120"/>
      </w:pPr>
      <w:r>
        <w:rPr>
          <w:sz w:val="18"/>
        </w:rPr>
        <w:t>——————————————————————————————————————————————————————————————————————</w:t>
      </w:r>
    </w:p>
    <w:p>
      <w:pPr>
        <w:spacing w:before="160" w:after="40" w:line="240" w:lineRule="auto"/>
      </w:pPr>
      <w:r>
        <w:rPr>
          <w:b/>
        </w:rPr>
        <w:t xml:space="preserve">[565] </w:t>
      </w:r>
      <w:hyperlink r:id="rId1603">
        <w:r>
          <w:rPr>
            <w:color w:val="1155CC"/>
            <w:u w:val="single"/>
          </w:rPr>
          <w:t>对“不使用并四苯衍生物通过近红外-II 激发进行三重态介导的光子上转换”的更正</w:t>
        </w:r>
      </w:hyperlink>
    </w:p>
    <w:p>
      <w:pPr>
        <w:spacing w:before="0" w:after="80"/>
      </w:pPr>
      <w:r>
        <w:rPr>
          <w:i/>
          <w:sz w:val="20"/>
        </w:rPr>
        <w:t>EN: Correction to “Triplet-Mediated Photon Upconversion via Near-Infrared-II Excitation without Tetracene Derivatives”</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604">
        <w:r>
          <w:rPr>
            <w:color w:val="1155CC"/>
            <w:u w:val="single"/>
          </w:rPr>
          <w:t>10.1021/jacs.6c12940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[566] </w:t>
      </w:r>
      <w:hyperlink r:id="rId1605">
        <w:r>
          <w:rPr>
            <w:color w:val="1155CC"/>
            <w:u w:val="single"/>
          </w:rPr>
          <w:t>果蝇神经元携带一个分子“时间戳”，编码它们的出生顺序</w:t>
        </w:r>
      </w:hyperlink>
    </w:p>
    <w:p>
      <w:pPr>
        <w:spacing w:before="0" w:after="80"/>
      </w:pPr>
      <w:r>
        <w:rPr>
          <w:i/>
          <w:sz w:val="20"/>
        </w:rPr>
        <w:t>EN: Fly neurons carry a molecular ‘timestamp’ that encodes their birth order</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06">
        <w:r>
          <w:rPr>
            <w:color w:val="1155CC"/>
            <w:u w:val="single"/>
          </w:rPr>
          <w:t>10.1038/d41586-026-02240-x</w:t>
        </w:r>
      </w:hyperlink>
    </w:p>
    <w:p>
      <w:pPr>
        <w:spacing w:before="0" w:after="120"/>
      </w:pPr>
      <w:r>
        <w:rPr>
          <w:b/>
        </w:rPr>
        <w:t xml:space="preserve">Notes: </w:t>
      </w:r>
      <w:r>
        <w:t>abstract_source=openalex</w:t>
      </w:r>
    </w:p>
    <w:p>
      <w:pPr>
        <w:spacing w:before="0" w:after="80" w:lineRule="auto" w:line="276"/>
      </w:pPr>
      <w:r>
        <w:rPr>
          <w:b/>
        </w:rPr>
        <w:t xml:space="preserve">摘要（ZH）: </w:t>
      </w:r>
      <w:r>
        <w:t>苍蝇神经索的单细胞基因表达图谱映射到其接线图上，揭示了一个简单的共享基因表达代码。该代码使神经元能够从母细胞携带其出生顺序的分子记忆，并塑造其多样性。基因表达密码在产生果蝇中枢大脑和神经索的所有干细胞产生的神经元之间共享。</w:t>
      </w:r>
    </w:p>
    <w:p>
      <w:pPr>
        <w:spacing w:before="0" w:after="200" w:lineRule="auto" w:line="276"/>
      </w:pPr>
      <w:r>
        <w:rPr>
          <w:b/>
        </w:rPr>
        <w:t xml:space="preserve">Abstract (EN): </w:t>
      </w:r>
      <w:r>
        <w:t>A single-cell gene-expression atlas of the fly nerve cord mapped onto its wiring diagram has uncovered a simple shared gene-expression code. The code enables neurons to carry a molecular memory of the order of their birth from a parent cell, and shapes their diversity. The gene-expression code is shared across neurons born from all the stem cells that produce the fly central brain and nerve cord.</w:t>
      </w:r>
    </w:p>
    <w:p>
      <w:pPr>
        <w:spacing w:before="120" w:after="120"/>
      </w:pPr>
      <w:r>
        <w:rPr>
          <w:sz w:val="18"/>
        </w:rPr>
        <w:t>——————————————————————————————————————————————————————————————————————</w:t>
      </w:r>
    </w:p>
    <w:p>
      <w:pPr>
        <w:spacing w:before="160" w:after="40" w:line="240" w:lineRule="auto"/>
      </w:pPr>
      <w:r>
        <w:rPr>
          <w:b/>
        </w:rPr>
        <w:t xml:space="preserve">[567] </w:t>
      </w:r>
      <w:hyperlink r:id="rId1607">
        <w:r>
          <w:rPr>
            <w:color w:val="1155CC"/>
            <w:u w:val="single"/>
          </w:rPr>
          <w:t>不完整拓扑和参数信息下水电系统的鲁棒学习电压控制</w:t>
        </w:r>
      </w:hyperlink>
    </w:p>
    <w:p>
      <w:pPr>
        <w:spacing w:before="0" w:after="80"/>
      </w:pPr>
      <w:r>
        <w:rPr>
          <w:i/>
          <w:sz w:val="20"/>
        </w:rPr>
        <w:t>EN: Robust learning-enabled voltage control for water–electricity systems under incomplete topology and parameter information</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1608">
        <w:r>
          <w:rPr>
            <w:color w:val="1155CC"/>
            <w:u w:val="single"/>
          </w:rPr>
          <w:t>10.1016/j.apenergy.2026.128483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[568] </w:t>
      </w:r>
      <w:hyperlink r:id="rId1609">
        <w:r>
          <w:rPr>
            <w:color w:val="1155CC"/>
            <w:u w:val="single"/>
          </w:rPr>
          <w:t>相互扩散驱动的相变的关键评估：从二元合金到复杂的浓缩合金</w:t>
        </w:r>
      </w:hyperlink>
    </w:p>
    <w:p>
      <w:pPr>
        <w:spacing w:before="0" w:after="80"/>
      </w:pPr>
      <w:r>
        <w:rPr>
          <w:i/>
          <w:sz w:val="20"/>
        </w:rPr>
        <w:t>EN: Critical Assessment of Interdiffusion-Driven Phase Transformations: from Binary Alloys to Complex Concentrated Alloys</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10">
        <w:r>
          <w:rPr>
            <w:color w:val="1155CC"/>
            <w:u w:val="single"/>
          </w:rPr>
          <w:t>10.1021/acsami.6c04947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[569] </w:t>
      </w:r>
      <w:hyperlink r:id="rId1611">
        <w:r>
          <w:rPr>
            <w:color w:val="1155CC"/>
            <w:u w:val="single"/>
          </w:rPr>
          <w:t>PEDOT 的亚衍射多光子聚合</w:t>
        </w:r>
      </w:hyperlink>
    </w:p>
    <w:p>
      <w:pPr>
        <w:spacing w:before="0" w:after="80"/>
      </w:pPr>
      <w:r>
        <w:rPr>
          <w:i/>
          <w:sz w:val="20"/>
        </w:rPr>
        <w:t>EN: Subdiffraction Multiphoton Polymerization of PEDOT</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12">
        <w:r>
          <w:rPr>
            <w:color w:val="1155CC"/>
            <w:u w:val="single"/>
          </w:rPr>
          <w:t>10.1021/acsami.6c10753</w:t>
        </w:r>
      </w:hyperlink>
    </w:p>
    <w:p>
      <w:pPr>
        <w:spacing w:before="0" w:after="120"/>
      </w:pPr>
      <w:r>
        <w:rPr>
          <w:b/>
        </w:rPr>
        <w:t xml:space="preserve">Notes: </w:t>
      </w:r>
      <w:r>
        <w:t>abstract_source=pubmed</w:t>
      </w:r>
    </w:p>
    <w:p>
      <w:pPr>
        <w:spacing w:before="0" w:after="80" w:lineRule="auto" w:line="276"/>
      </w:pPr>
      <w:r>
        <w:rPr>
          <w:b/>
        </w:rPr>
        <w:t xml:space="preserve">摘要（ZH）: </w:t>
      </w:r>
      <w:r>
        <w:t>通过多光子聚合（MPP）光刻的直接激光写入显着推进了微米和纳米制造，但其适用性仍然主要局限于丙烯酸酯和甲基丙烯酸酯的自由基聚合。在这里，我们证明，受受激发射损耗（STED）显微镜启发，酮香豆素7-二乙氨基-3-噻吩酰香豆素（DETC）广泛用作亚衍射自由基聚合光刻中的光引发剂，也能有效引发EDOT的氧化逐步生长聚合，从而能够使用可见光直接光刻形成亚100 nm PEDOT纳米结构。研究了两种亚衍射 MPP 方法：(i) 低激发功率慢速扫描，允许氧气流入照明点扩散函数 (PSF)，导致 DETC 三重态化学猝灭；(ii) STED 启发的瞬态吸收耗尽光刻，其中 DETC 三重态在激发 PSF 的外缘被光学猝灭。方法 (i) 以 2.5 μm/s 的超慢扫描速度为代价产生 65 nm 线宽，而方法 (ii) 以 100 μm/s 的速度产生 105 nm 宽的线。拉曼光谱表明，MPP 写入的 PEDOT 线材的导电性仅在形成石墨相时才会出现。</w:t>
      </w:r>
    </w:p>
    <w:p>
      <w:pPr>
        <w:spacing w:before="0" w:after="200" w:lineRule="auto" w:line="276"/>
      </w:pPr>
      <w:r>
        <w:rPr>
          <w:b/>
        </w:rPr>
        <w:t xml:space="preserve">Abstract (EN): </w:t>
      </w:r>
      <w:r>
        <w:t>Direct laser writing via multiphoton polymerization (MPP) lithography has significantly advanced micro- and nanofabrication, yet its applicability remains largely confined to radical polymerization of acrylates and methacrylates. Here, we demonstrate that the ketocoumarin 7-diethylamino-3-thenoylcoumarin (DETC), widely used as a photoinitiator in subdiffractional radical polymerization lithography inspired by stimulated emission depletion (STED) microscopy, also effectively initiates oxidative step-growth polymerization of EDOT, enabling direct lithographic formation of sub-100 nm PEDOT nanostructures using visible light. Two approaches for subdiffraction MPP are pursued: (i) slow scanning with low excitation power, allowing for the influx of oxygen into the illumination point spread function (PSF), leading to chemical quenching of the DETC triplet state, and (ii) STED-inspired transient state absorption depletion lithography, where the DETC triplet states are optically quenched in the outer rim of the excitation PSF. Approach (i) yields 65 nm linewidths at the cost of an ultra-slow scan speed of 2.5 μm/s, while approach (ii) yields 105 nm wide lines at 100 μm/s. Raman spectroscopy suggests that conductivity in MPP-written PEDOT wires arises only when graphitic phases are formed.</w:t>
      </w:r>
    </w:p>
    <w:p>
      <w:pPr>
        <w:spacing w:before="120" w:after="120"/>
      </w:pPr>
      <w:r>
        <w:rPr>
          <w:sz w:val="18"/>
        </w:rPr>
        <w:t>——————————————————————————————————————————————————————————————————————</w:t>
      </w:r>
    </w:p>
    <w:p>
      <w:pPr>
        <w:spacing w:before="160" w:after="40" w:line="240" w:lineRule="auto"/>
      </w:pPr>
      <w:r>
        <w:rPr>
          <w:b/>
        </w:rPr>
        <w:t xml:space="preserve">[570] </w:t>
      </w:r>
      <w:hyperlink r:id="rId1613">
        <w:r>
          <w:rPr>
            <w:color w:val="1155CC"/>
            <w:u w:val="single"/>
          </w:rPr>
          <w:t>用于耐用碳化硅抛光垫的界面设计热塑性聚氨酯/三元乙丙二烯单体复合泡沫</w:t>
        </w:r>
      </w:hyperlink>
    </w:p>
    <w:p>
      <w:pPr>
        <w:spacing w:before="0" w:after="80"/>
      </w:pPr>
      <w:r>
        <w:rPr>
          <w:i/>
          <w:sz w:val="20"/>
        </w:rPr>
        <w:t>EN: Interface-Engineered Thermoplastic Polyurethane/Ethylene-Propylene-Diene Monomer Composite Foams for Durable Silicon Carbide Polishing Pads</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14">
        <w:r>
          <w:rPr>
            <w:color w:val="1155CC"/>
            <w:u w:val="single"/>
          </w:rPr>
          <w:t>10.1021/acsami.6c10511</w:t>
        </w:r>
      </w:hyperlink>
    </w:p>
    <w:p>
      <w:pPr>
        <w:spacing w:before="0" w:after="120"/>
      </w:pPr>
      <w:r>
        <w:rPr>
          <w:b/>
        </w:rPr>
        <w:t xml:space="preserve">Notes: </w:t>
      </w:r>
      <w:r>
        <w:t>abstract_source=pubmed</w:t>
      </w:r>
    </w:p>
    <w:p>
      <w:pPr>
        <w:spacing w:before="0" w:after="80" w:lineRule="auto" w:line="276"/>
      </w:pPr>
      <w:r>
        <w:rPr>
          <w:b/>
        </w:rPr>
        <w:t xml:space="preserve">摘要（ZH）: </w:t>
      </w:r>
      <w:r>
        <w:t>碳化硅 (SiC) 的化学机械抛光 (CMP) 在同时机械负载和强氧化环境下进行，对抛光垫材料提出了严格要求。高硬度热塑性聚氨酯（TPU）虽然应用广泛，但在长时间运行过程中表现出柔顺性不足、局部应力积累以及容易疲劳损坏的问题。与此同时，聚合物复合材料在这种机械氧化耦合条件下的摩擦学响应仍然没有得到充分的了解。在此，引入乙烯-丙烯-二烯单体 (EPDM) 来改性高硬度 TPU，同时使用马来酸酐接枝 EPDM (EPDM-g-MAH) 和辐射诱导网络形成来定制界面相容性和结构稳健性。使用超临界二氧化碳 (CO2) 发泡制备具有相似膨胀率和泡孔尺寸的微孔泡沫，从而能够系统评估其磨损和摩擦学性能。与纯 TPU 相比，改进后的系统表现出更高的耐磨性，材料损失减少，损坏演变受到抑制。值得注意的是，微孔结构的引入导致了一种依赖于环境的权衡效应：虽然承载能力的降低会降低非氧化条件下的耐磨性，但多孔结构通过限制活性物质的渗透来增强氧化环境中的耐用性。摩擦学响应受相组织、界面凝聚力和网络的综合影响</w:t>
      </w:r>
    </w:p>
    <w:p>
      <w:pPr>
        <w:spacing w:before="0" w:after="200" w:lineRule="auto" w:line="276"/>
      </w:pPr>
      <w:r>
        <w:rPr>
          <w:b/>
        </w:rPr>
        <w:t xml:space="preserve">Abstract (EN): </w:t>
      </w:r>
      <w:r>
        <w:t>Chemical mechanical polishing (CMP) of silicon carbide (SiC) operates under simultaneous mechanical loading and strong oxidative environments, placing stringent demands on polishing pad materials. High-hardness thermoplastic polyurethane (TPU), although widely employed, exhibits insufficient compliance, localized stress accumulation, and vulnerability to fatigue damage during prolonged operation. Meanwhile, the tribological response of polymer composites under such coupled mechanical-oxidative conditions remains insufficiently understood. Here, ethylene-propylene-diene monomer (EPDM) was introduced to modify high-hardness TPU, while interfacial compatibility and structural robustness were tailored using maleic anhydride grafted EPDM (EPDM-g-MAH) and irradiation-induced network formation. Microcellular foams with similar expansion ratios and cell sizes were prepared using supercritical carbon dioxide (CO2) foaming, enabling a systematic assessment of their wear and tribological performance. The modified systems exhibit improved wear resistance, as evidenced by reduced material loss and suppressed damage evolution compared to neat TPU. Notably, the introduction of microcellular architecture leads to an environment-dependent trade-off effect: while the reduced load-bearing capacity deteriorates wear resistance under nonoxidative conditions, the cellular structure enhances durability in oxidative environments by restricting the penetration of reactive species. The tribological response is governed by the combined influence of phase organization, interfacial cohesion, and network constraints, which together contribute to more stable sliding behavior. Improved resistance to thermal perturbation further contributes to maintaining functional integrity during sliding. These findings clarify the interplay between interfacial design and structural architecture, providing an interface-controlled design strategy for developing advanced polymer-based composite polishing materials for SiC CMP applications.</w:t>
      </w:r>
    </w:p>
    <w:p>
      <w:pPr>
        <w:spacing w:before="120" w:after="120"/>
      </w:pPr>
      <w:r>
        <w:rPr>
          <w:sz w:val="18"/>
        </w:rPr>
        <w:t>——————————————————————————————————————————————————————————————————————</w:t>
      </w:r>
    </w:p>
    <w:p>
      <w:pPr>
        <w:spacing w:before="160" w:after="40" w:line="240" w:lineRule="auto"/>
      </w:pPr>
      <w:r>
        <w:rPr>
          <w:b/>
        </w:rPr>
        <w:t xml:space="preserve">[571] </w:t>
      </w:r>
      <w:hyperlink r:id="rId1615">
        <w:r>
          <w:rPr>
            <w:color w:val="1155CC"/>
            <w:u w:val="single"/>
          </w:rPr>
          <w:t>抗感染和免疫调节多功能水凝胶协同治疗糖尿病伤口</w:t>
        </w:r>
      </w:hyperlink>
    </w:p>
    <w:p>
      <w:pPr>
        <w:spacing w:before="0" w:after="80"/>
      </w:pPr>
      <w:r>
        <w:rPr>
          <w:i/>
          <w:sz w:val="20"/>
        </w:rPr>
        <w:t>EN: Anti-Infection and Immunoregulatory Multifunctional Hydrogel for Synergistic Treatment of Diabetic Wounds</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16">
        <w:r>
          <w:rPr>
            <w:color w:val="1155CC"/>
            <w:u w:val="single"/>
          </w:rPr>
          <w:t>10.1021/acsami.6c12616</w:t>
        </w:r>
      </w:hyperlink>
    </w:p>
    <w:p>
      <w:pPr>
        <w:spacing w:before="0" w:after="120"/>
      </w:pPr>
      <w:r>
        <w:rPr>
          <w:b/>
        </w:rPr>
        <w:t xml:space="preserve">Notes: </w:t>
      </w:r>
      <w:r>
        <w:t>abstract_source=pubmed</w:t>
      </w:r>
    </w:p>
    <w:p>
      <w:pPr>
        <w:spacing w:before="0" w:after="80" w:lineRule="auto" w:line="276"/>
      </w:pPr>
      <w:r>
        <w:rPr>
          <w:b/>
        </w:rPr>
        <w:t xml:space="preserve">摘要（ZH）: </w:t>
      </w:r>
      <w:r>
        <w:t>糖尿病伤口的有效愈合需要全面控制细菌感染、调节过度炎症和促进细胞增殖。目前的临床策略包括全身血糖控制结合局部干预措施，如清创、抗生素治疗和先进的伤口敷料。然而，这些策略的功效往往受到抗生素耐药性等挑战的限制。为了克服这些挑战，我们开发了一种抗感染和免疫调节水凝胶，其中载有两种源自鱼腥草的生物活性纳米制剂。 （H.cordata）。该单一组分包含使用 H. cordata 通过水热法合成的碳点 (CD)，然后用聚乙烯亚胺 (PEI) 修饰以形成 PEI 修饰的 CD (PCD)，表现出有效的抗菌活性。另一种是植物来源的细胞外囊泡（EV），具有很强的抗氧化和抗炎特性，可有效降低活性氧水平，减弱炎症反应，促进成纤维细胞增殖和迁移。这两种成分被共同掺入甲基丙烯酸明胶 (GelMA) 中，形成称为 Gel@P&amp;E 的复合材料。该系统能够持续释放 PCD 和 EV，从而协调调节炎症并促进组织再生。综上所述，本研究成功构建了集抗感染和免疫调节功能于一体的多功能水凝胶平台，为糖尿病提供了一种替代治疗策略</w:t>
      </w:r>
    </w:p>
    <w:p>
      <w:pPr>
        <w:spacing w:before="0" w:after="200" w:lineRule="auto" w:line="276"/>
      </w:pPr>
      <w:r>
        <w:rPr>
          <w:b/>
        </w:rPr>
        <w:t xml:space="preserve">Abstract (EN): </w:t>
      </w:r>
      <w:r>
        <w:t>Effective healing of diabetic wounds requires comprehensive management of bacterial infection, modulation of excessive inflammation, and promotion of cellular proliferation. Current clinical strategies include systemic blood glucose control combined with localized interventions such as debridement, antibiotic regimens, and advanced wound dressings. However, the efficacy of these strategies is often limited by challenges like antibiotic resistance. To overcome these challenges, we developed an anti-infection and immunoregulatory hydrogel loaded with two bioactive nanopreparations derived from Houttuynia cordata Thunb. (H. cordata). The one component, comprising carbon dots (CDs) synthesized via hydrothermal method using H. cordata and then modified with polyethylenimine (PEI) to form PEI-modified CDs (PCDs), demonstrates potent antibacterial activity. The other consists of plant-derived extracellular vesicles (EVs) that exhibit strong antioxidative and anti-inflammatory properties, effectively reducing reactive oxygen species levels, attenuating inflammatory responses, and promoting fibroblast proliferation and migration. These two components were co-incorporated into methylacrylated gelatin (GelMA) to form composite termed Gel@P&amp;E. This system enables the sustained release of both PCDs and EVs, thereby coordinately regulating inflammation and facilitating tissue regeneration. In summary, this study successfully constructs multifunctional hydrogel platform that integrates anti-infective and immunoregulatory functions, presenting an alternative therapeutic strategy for diabetic wounds management.</w:t>
      </w:r>
    </w:p>
    <w:p>
      <w:pPr>
        <w:spacing w:before="120" w:after="120"/>
      </w:pPr>
      <w:r>
        <w:rPr>
          <w:sz w:val="18"/>
        </w:rPr>
        <w:t>——————————————————————————————————————————————————————————————————————</w:t>
      </w:r>
    </w:p>
    <w:p>
      <w:pPr>
        <w:spacing w:before="160" w:after="40" w:line="240" w:lineRule="auto"/>
      </w:pPr>
      <w:r>
        <w:rPr>
          <w:b/>
        </w:rPr>
        <w:t xml:space="preserve">[572] </w:t>
      </w:r>
      <w:hyperlink r:id="rId1617">
        <w:r>
          <w:rPr>
            <w:color w:val="1155CC"/>
            <w:u w:val="single"/>
          </w:rPr>
          <w:t>通过顺序电子供体-受体组装对惰性卤代芳烃进行关联门控多光子激活</w:t>
        </w:r>
      </w:hyperlink>
    </w:p>
    <w:p>
      <w:pPr>
        <w:spacing w:before="0" w:after="80"/>
      </w:pPr>
      <w:r>
        <w:rPr>
          <w:i/>
          <w:sz w:val="20"/>
        </w:rPr>
        <w:t>EN: Association-gated multiphoton activation of inert haloarenes via sequential electron donor–acceptor assembly</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需要极端还原电位的顽固化学键的功能化常常因缺乏控制有效中间体的明确反应场而受阻。传统的多光子光催化产生超级还原剂，其巨大的能量通过混乱的、扩散控制的途径消散。在此，引入了“关联门控”策略，将连续的电子供体-受体复合物构建为可编程反应微环境。该系统最初通过其硫化物/萘单酰亚胺复合物捕获单个光子。所得的萘单酰亚胺自由基阴离子充当支架，将卤代芳烃底物预组织成第二个不同的电子供体-受体复合物，为最终的储能激发创建反应袋。这种超分子限制在碳-卤键处产生极端的还原电位，抑制扩散副反应和来自胺供体的寄生氢原子转移。这在耐空气条件下开启了广泛的转化，为后期多样化提供了多功能工具。</w:t>
      </w:r>
    </w:p>
    <w:p>
      <w:pPr>
        <w:spacing w:before="0" w:after="200" w:lineRule="auto" w:line="276"/>
      </w:pPr>
      <w:r>
        <w:rPr>
          <w:b/>
        </w:rPr>
        <w:t xml:space="preserve">Abstract (EN): </w:t>
      </w:r>
      <w:r>
        <w:t>The functionalization of recalcitrant chemical bonds that require extreme reduction potentials is often thwarted by the absence of a defined reaction field to control potent intermediates. Conventional multiphoton photocatalysis generates super-reductants, whose immense energy dissipates through chaotic, diffusion-controlled pathways. Herein, an “association-gated” strategy is introduced that constructs sequential electron donor–acceptor complexes as programmable reaction microenvironments. This system initially captures a single photon through its sulfide/naphthalene monoimide complex. The resulting naphthalene monoimide radical anion serves as a scaffold to pre-organize the haloarene substrate into a second, distinct electron donor–acceptor complex, creating a reaction pocket for the final, energy-storing excitation. Such supramolecular confinement generates an extreme reducing potential at the carbon–halogen bond, suppressing both diffusive side-reactions and parasitic hydrogen atom transfer from amine donors. This unlocks a broad scope of transformations under air-tolerant conditions, providing a versatile tool for late-stage diversification.</w:t>
      </w:r>
    </w:p>
    <w:p>
      <w:pPr>
        <w:spacing w:before="120" w:after="120"/>
      </w:pPr>
      <w:r>
        <w:rPr>
          <w:sz w:val="18"/>
        </w:rPr>
        <w:t>——————————————————————————————————————————————————————————————————————</w:t>
      </w:r>
    </w:p>
    <w:p>
      <w:pPr>
        <w:spacing w:before="160" w:after="40" w:line="240" w:lineRule="auto"/>
      </w:pPr>
      <w:r>
        <w:rPr>
          <w:b/>
        </w:rPr>
        <w:t xml:space="preserve">[573] </w:t>
      </w:r>
      <w:hyperlink r:id="rId1618">
        <w:r>
          <w:rPr>
            <w:color w:val="1155CC"/>
            <w:u w:val="single"/>
          </w:rPr>
          <w:t>用于共形 X 射线成像和可穿戴辐射警报的可拉伸和自修复碘化铜闪烁体</w:t>
        </w:r>
      </w:hyperlink>
    </w:p>
    <w:p>
      <w:pPr>
        <w:spacing w:before="0" w:after="80"/>
      </w:pPr>
      <w:r>
        <w:rPr>
          <w:i/>
          <w:sz w:val="20"/>
        </w:rPr>
        <w:t>EN: Stretchable and self-healing copper–iodide scintillator for conformal X-ray imaging and wearable radiation alerting</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柔性 X 射线闪烁体对于下一代共形成像和可穿戴辐射监测至关重要，但其发展受到传统复合材料设计中粒子分散、闪烁效率和机械鲁棒性之间持续权衡的阻碍。在这里，我们通过配体-基质界面工程策略克服了这些限制，将高度可溶的碘化铜簇与自修复氟化嵌段共聚物集成，以生产高度可拉伸和自主自修复的闪烁体薄膜。界面配位和离子偶极相互作用引导聚合物基质内均匀分散、聚集诱导的发射活性簇的原位自组装，而氟化链段之间的动态偶极-偶极相互作用赋予高拉伸性（高达 2000% 应变）和室温自修复能力。所得薄膜实现了 16.4 lp mm−1 的高空间分辨率，能够对弯曲物体进行无失真的保形成像，并在严重的机械变形或水环境中保持高保真成像。此外，用该复合材料功能化的浸涂纺织品可作为可穿戴辐射警报系统，将实时视觉检测与被动 X 射线屏蔽相结合。这项工作提供了一个多功能材料平台，可以解决长期存在的性能冲突，为先进的适形诊断和可扩展的个人辐射防护技术铺平道路。</w:t>
      </w:r>
    </w:p>
    <w:p>
      <w:pPr>
        <w:spacing w:before="0" w:after="200" w:lineRule="auto" w:line="276"/>
      </w:pPr>
      <w:r>
        <w:rPr>
          <w:b/>
        </w:rPr>
        <w:t xml:space="preserve">Abstract (EN): </w:t>
      </w:r>
      <w:r>
        <w:t>Flexible X-ray scintillators are critical for next-generation conformal imaging and wearable radiation monitoring, yet their development is hindered by the persistent trade-offs among particle dispersion, scintillation efficiency, and mechanical robustness in conventional composite designs. Here, we overcome these limitations via a ligand-matrix interface engineering strategy, integrating highly soluble copper-iodide clusters with a self-healing fluorinated block copolymer to produce highly stretchable and autonomously self-healing scintillator films. Interfacial coordination and ion-dipole interactions guide the in situ self-assembly of uniformly dispersed, aggregation-induced emission-active clusters within the polymer matrix, while dynamic dipole-dipole interactions between fluorinated segments confer high stretchability (up to 2000% strain) and room-temperature self-healing capability. The resulting films achieve a high spatial resolution of 16.4 lp mm−1, enabling distortion-free conformal imaging of curved objects and maintaining high-fidelity imaging under severe mechanical deformation or in aqueous environments. Furthermore, dip-coated textiles functionalized with the composite serve as wearable radiation-alert systems that synergize real-time visual detection with passive X-ray shielding. This work provides a versatile materials platform that reconciles long-standing performance conflicts, paving the way for advanced conformal diagnostics and scalable personal radiation protection technologies.</w:t>
      </w:r>
    </w:p>
    <w:p>
      <w:pPr>
        <w:spacing w:before="120" w:after="120"/>
      </w:pPr>
      <w:r>
        <w:rPr>
          <w:sz w:val="18"/>
        </w:rPr>
        <w:t>——————————————————————————————————————————————————————————————————————</w:t>
      </w:r>
    </w:p>
    <w:p>
      <w:pPr>
        <w:spacing w:before="160" w:after="40" w:line="240" w:lineRule="auto"/>
      </w:pPr>
      <w:r>
        <w:rPr>
          <w:b/>
        </w:rPr>
        <w:t xml:space="preserve">[574] </w:t>
      </w:r>
      <w:hyperlink r:id="rId1619">
        <w:r>
          <w:rPr>
            <w:color w:val="1155CC"/>
            <w:u w:val="single"/>
          </w:rPr>
          <w:t>对“使用超低电子温度等离子体的 TiN 薄膜的等离子体增强原子层沉积”的修正</w:t>
        </w:r>
      </w:hyperlink>
    </w:p>
    <w:p>
      <w:pPr>
        <w:spacing w:before="0" w:after="80"/>
      </w:pPr>
      <w:r>
        <w:rPr>
          <w:i/>
          <w:sz w:val="20"/>
        </w:rPr>
        <w:t>EN: Correction to “Plasma-Enhanced Atomic Layer Deposition of TiN Thin Films Using Ultralow Electron Temperature Plasma”</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20">
        <w:r>
          <w:rPr>
            <w:color w:val="1155CC"/>
            <w:u w:val="single"/>
          </w:rPr>
          <w:t>10.1021/acsami.6c13589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[575] </w:t>
      </w:r>
      <w:hyperlink r:id="rId1621">
        <w:r>
          <w:rPr>
            <w:color w:val="1155CC"/>
            <w:u w:val="single"/>
          </w:rPr>
          <w:t>碳硅烷树枝状聚合物−siRNA 纳米平台的多级评估：细胞相容性、血脑屏障模型完整性和小鼠模型生物分布</w:t>
        </w:r>
      </w:hyperlink>
    </w:p>
    <w:p>
      <w:pPr>
        <w:spacing w:before="0" w:after="80"/>
      </w:pPr>
      <w:r>
        <w:rPr>
          <w:i/>
          <w:sz w:val="20"/>
        </w:rPr>
        <w:t>EN: Multilevel Assessment of a Carbosilane Dendrimer−siRNA Nanoplatform: Cellular Compatibility, Blood−Brain Barrier Model Integrity, and Murine Model Biodistribution</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22">
        <w:r>
          <w:rPr>
            <w:color w:val="1155CC"/>
            <w:u w:val="single"/>
          </w:rPr>
          <w:t>10.1021/acsami.6c06027</w:t>
        </w:r>
      </w:hyperlink>
    </w:p>
    <w:p>
      <w:pPr>
        <w:spacing w:before="0" w:after="120"/>
      </w:pPr>
      <w:r>
        <w:rPr>
          <w:b/>
        </w:rPr>
        <w:t xml:space="preserve">Notes: </w:t>
      </w:r>
      <w:r>
        <w:t>abstract_source=pubmed</w:t>
      </w:r>
    </w:p>
    <w:p>
      <w:pPr>
        <w:spacing w:before="0" w:after="80" w:lineRule="auto" w:line="276"/>
      </w:pPr>
      <w:r>
        <w:rPr>
          <w:b/>
        </w:rPr>
        <w:t xml:space="preserve">摘要（ZH）: </w:t>
      </w:r>
      <w:r>
        <w:t>血脑屏障（BBB）对体循环和神经组织之间双向溶质通量的严格调节仍然是中枢神经系统有效药物治疗的主要障碍。在这项研究中，我们使用分层的上游策略，从 BBB 相关单一培养发展到毛细血管加权 BBB 模型以及小鼠体内/离体生物分布，评估了新型第三代聚乙二醇化碳硅烷树枝状聚合物 (G3Si PEG6000) 及其 siRNA 树枝状复合物的生物相容性和生物分布，该策略与晚发性阿尔茨海默病相关。当前纳米材料测试的建议。在内皮细胞、周细胞和星形胶质细胞中，线粒体/氧化还原分析（MTT、DCF-ROS 和 JC-1 ΔΨm）定义了耐受暴露范围。与 siRNA 的复合始终减弱跨细胞类型的明显细胞毒性，但游离和复合制剂均引发适度的 ROS 和剂量依赖性 ΔΨm 去极化，表明持续的线粒体应激。在 BBB 模型中，反应取决于浓度和配方：10 µM 游离树枝状聚合物产生持续的阻抗和核汇合损失，并伴有片状分离，而 0.1-2.5 µM 游离树枝状聚合物和树枝状聚合物则诱导瞬时、可恢复的扰动或阻抗和增殖的增加。在体内，全身 IVIS 成像证明树突体有长时间的全身暴露，并且离体以肾脏为主，肝脏为次要分布；在 brai 中未检测到强树突状信号</w:t>
      </w:r>
    </w:p>
    <w:p>
      <w:pPr>
        <w:spacing w:before="0" w:after="200" w:lineRule="auto" w:line="276"/>
      </w:pPr>
      <w:r>
        <w:rPr>
          <w:b/>
        </w:rPr>
        <w:t xml:space="preserve">Abstract (EN): </w:t>
      </w:r>
      <w:r>
        <w:t>The tight regulation of bidirectional solute flux between the systemic circulation and neural tissue by the blood-brain barrier (BBB) remains a principal obstacle to effective pharmacotherapy of the central nervous system. In this study, we evaluate the biocompatibility and biodistribution of a novel third-generation PEGylated carbosilane dendrimer (G3Si PEG6000) and its siRNA dendriplex with an APOE4-directed siRNA relevant to late-onset Alzheimer's disease using a tiered, upstream strategy that progresses from BBB-relevant monocultures to a capillary-weighted BBB model and in vivo/ex vivo biodistribution in mice, in accordance with current recommendations for nanomaterial testing. In endothelial cells, pericytes, and astrocytes, mitochondrial/redox profiling (MTT, DCF-ROS, and JC-1 ΔΨm) defined tolerated exposure ranges. Complexation with siRNA consistently attenuated apparent cytotoxicity across cell types, yet both free and complexed formulations elicited modest ROS and dose-dependent ΔΨm depolarization, indicating persistent mitochondrial stress. In the BBB model, responses were concentration- and formulation-dependent: 10 µM free dendrimers produced sustained impedance and nuclear confluence loss with sheet-like detachment, whereas the 0.1-2.5 µM free dendrimer and the dendriplex induced transient, recoverable perturbations or increases in impedance and proliferation. In vivo, whole-body IVIS imaging demonstrated prolonged systemic exposure for the dendriplex and an ex vivo kidney-dominant, liver-secondary distribution; no robust dendriplex signal was detected in brain fluorescence by planar NIR-I IVIS under the applied acquisition conditions. Collectively, these data indicate that siRNA complexation broadens the functional window at the BBB model with partially recoverable barrier effects and improved systemic exposure, while not substantially reducing mitochondrial or oxidative stress responses. The results provide a mechanistically informed basis for dose optimization and efficacy testing of this dendrimer-siRNA platform in CNS indications and for advancing this platform in further investigations targeting Alzheimer's disease.</w:t>
      </w:r>
    </w:p>
    <w:p>
      <w:pPr>
        <w:spacing w:before="120" w:after="120"/>
      </w:pPr>
      <w:r>
        <w:rPr>
          <w:sz w:val="18"/>
        </w:rPr>
        <w:t>——————————————————————————————————————————————————————————————————————</w:t>
      </w:r>
    </w:p>
    <w:p>
      <w:pPr>
        <w:spacing w:before="160" w:after="40" w:line="240" w:lineRule="auto"/>
      </w:pPr>
      <w:r>
        <w:rPr>
          <w:b/>
        </w:rPr>
        <w:t xml:space="preserve">[576] </w:t>
      </w:r>
      <w:hyperlink r:id="rId1623">
        <w:r>
          <w:rPr>
            <w:color w:val="1155CC"/>
            <w:u w:val="single"/>
          </w:rPr>
          <w:t>培育可持续发展文化</w:t>
        </w:r>
      </w:hyperlink>
    </w:p>
    <w:p>
      <w:pPr>
        <w:spacing w:before="0" w:after="80"/>
      </w:pPr>
      <w:r>
        <w:rPr>
          <w:i/>
          <w:sz w:val="20"/>
        </w:rPr>
        <w:t>EN: Culturalizing sustainability</w:t>
      </w:r>
    </w:p>
    <w:p>
      <w:pPr>
        <w:spacing w:before="0" w:after="120"/>
      </w:pPr>
      <w:r>
        <w:rPr>
          <w:b/>
        </w:rPr>
        <w:t xml:space="preserve">Source: </w:t>
      </w:r>
      <w:r>
        <w:t>Nature Sustainability</w:t>
      </w:r>
      <w:r>
        <w:t xml:space="preserve">    </w:t>
      </w:r>
      <w:r>
        <w:rPr>
          <w:b/>
        </w:rPr>
        <w:t xml:space="preserve">Pub date: </w:t>
      </w:r>
      <w:r>
        <w:t>2026-07-22 00:00:00+00:00</w:t>
      </w:r>
      <w:r>
        <w:t xml:space="preserve">    </w:t>
      </w:r>
      <w:r>
        <w:rPr>
          <w:b/>
        </w:rPr>
        <w:t xml:space="preserve">DOI: </w:t>
      </w:r>
      <w:hyperlink r:id="rId1624">
        <w:r>
          <w:rPr>
            <w:color w:val="1155CC"/>
            <w:u w:val="single"/>
          </w:rPr>
          <w:t>10.1038/s41893-026-01898-5</w:t>
        </w:r>
      </w:hyperlink>
    </w:p>
    <w:p>
      <w:pPr>
        <w:spacing w:before="0" w:after="120"/>
      </w:pPr>
      <w:r>
        <w:rPr>
          <w:b/>
        </w:rPr>
        <w:t xml:space="preserve">Notes: </w:t>
      </w:r>
      <w:r>
        <w:t>abstract_source=rss_nature</w:t>
      </w:r>
    </w:p>
    <w:p>
      <w:pPr>
        <w:spacing w:before="0" w:after="80" w:lineRule="auto" w:line="276"/>
      </w:pPr>
      <w:r>
        <w:rPr>
          <w:b/>
        </w:rPr>
        <w:t xml:space="preserve">摘要（ZH）: </w:t>
      </w:r>
      <w:r>
        <w:t>政策制定者和科学家主导着高层可持续发展辩论，但随后的任何决定都会对当地社区和环境中的普通民众产生影响。我们请专家们反思在可持续发展讨论和行动中采用文化知情、自下而上方法的重要性。</w:t>
      </w:r>
    </w:p>
    <w:p>
      <w:pPr>
        <w:spacing w:before="0" w:after="200" w:lineRule="auto" w:line="276"/>
      </w:pPr>
      <w:r>
        <w:rPr>
          <w:b/>
        </w:rPr>
        <w:t xml:space="preserve">Abstract (EN): </w:t>
      </w:r>
      <w:r>
        <w:t>Policy-makers and scientists dominate high-level sustainability debates but any decision that follows has consequences for ordinary people in their local communities and environments. We asked experts to reflect on the importance of embracing a culturally informed, bottom-up approach to the sustainability discourse and action.</w:t>
      </w:r>
    </w:p>
    <w:p>
      <w:pPr>
        <w:spacing w:before="120" w:after="120"/>
      </w:pPr>
      <w:r>
        <w:rPr>
          <w:sz w:val="18"/>
        </w:rPr>
        <w:t>——————————————————————————————————————————————————————————————————————</w:t>
      </w:r>
    </w:p>
    <w:p>
      <w:pPr>
        <w:spacing w:before="160" w:after="40" w:line="240" w:lineRule="auto"/>
      </w:pPr>
      <w:r>
        <w:rPr>
          <w:b/>
        </w:rPr>
        <w:t xml:space="preserve">[577] </w:t>
      </w:r>
      <w:hyperlink r:id="rId1625">
        <w:r>
          <w:rPr>
            <w:color w:val="1155CC"/>
            <w:u w:val="single"/>
          </w:rPr>
          <w:t>半导体中连续时间晶体的非局域同步</w:t>
        </w:r>
      </w:hyperlink>
    </w:p>
    <w:p>
      <w:pPr>
        <w:spacing w:before="0" w:after="80"/>
      </w:pPr>
      <w:r>
        <w:rPr>
          <w:i/>
          <w:sz w:val="20"/>
        </w:rPr>
        <w:t>EN: Non-local synchronization of continuous time crystals in a semiconductor</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同步导致系统中彼此弱耦合的各个元素的统一集体行为长期以来一直令科学家们着迷。示例范围从耦合摆钟的周期性振荡到生物系统中的节律行为。在这里，我们在固态平台中演示了这种效应：半导体中的空间远程、自动振荡电子核自旋系统。当两个相距达 40 μm 的此类振荡器被光泵浦时，它们各自不同的频率锁定到一个公共值，从而揭示了长程耦合。对于较大的间隔，同步会中断。相互作用距离与电子自旋扩散长度相匹配，将自旋输运识别为耦合介导机制，并在介观距离上保持相关行为。因此，广域光泵将照明点内的所有振荡器驱动到单一同步状态，尽管它们不均匀。这种同步导致了所产生的自振荡的异常稳定性，从而实现了分布式自旋系统中的集体运动，并为自旋电子学中的自旋网络铺平了道路。</w:t>
      </w:r>
    </w:p>
    <w:p>
      <w:pPr>
        <w:spacing w:before="0" w:after="200" w:lineRule="auto" w:line="276"/>
      </w:pPr>
      <w:r>
        <w:rPr>
          <w:b/>
        </w:rPr>
        <w:t xml:space="preserve">Abstract (EN): </w:t>
      </w:r>
      <w:r>
        <w:t>Synchronization resulting in unified collective behavior of the individual elements of a system that are weakly coupled to each other has long fascinated scientists. Examples range from the periodic oscillation of coupled pendulum clocks to the rhythmic behavior in biological systems. Here we demonstrate this effect in a solid-state platform: spatially remote, auto-oscillating electron-nuclear spin systems in a semiconductor. When two such oscillators separated by up to 40 μm are optically pumped, their individually different frequencies lock to a common value, revealing long-range coupling. For larger separations, the synchronization breaks. The interaction distance matches the electron spin diffusion length, identifying spin transport as the coupling-mediating mechanism and maintaining correlated behavior over mesoscopic distances. As a consequence, a wide-area optical pump drives all oscillators within the illuminated spot into a single synchronized state, despite their inhomogeneity. This synchronization accounts for the exceptional stability of the resulting auto-oscillations, enabling collective motion in distributed spin systems and paving the way toward spin networks in spintronics.</w:t>
      </w:r>
    </w:p>
    <w:p>
      <w:pPr>
        <w:spacing w:before="120" w:after="120"/>
      </w:pPr>
      <w:r>
        <w:rPr>
          <w:sz w:val="18"/>
        </w:rPr>
        <w:t>——————————————————————————————————————————————————————————————————————</w:t>
      </w:r>
    </w:p>
    <w:p>
      <w:pPr>
        <w:spacing w:before="160" w:after="40" w:line="240" w:lineRule="auto"/>
      </w:pPr>
      <w:r>
        <w:rPr>
          <w:b/>
        </w:rPr>
        <w:t xml:space="preserve">[578] </w:t>
      </w:r>
      <w:hyperlink r:id="rId1626">
        <w:r>
          <w:rPr>
            <w:color w:val="1155CC"/>
            <w:u w:val="single"/>
          </w:rPr>
          <w:t>通过卤化物配体和基质工程，Mo6 簇掺杂混合卤化物玻璃的近红外发射</w:t>
        </w:r>
      </w:hyperlink>
    </w:p>
    <w:p>
      <w:pPr>
        <w:spacing w:before="0" w:after="80"/>
      </w:pPr>
      <w:r>
        <w:rPr>
          <w:i/>
          <w:sz w:val="20"/>
        </w:rPr>
        <w:t>EN: Near-unity near-infrared emission from Mo6 cluster doped hybrid halide glasses via halide-ligand and matrix engineering</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紧凑型光学系统需要高效且空气稳定的近红外发射器，但将高发射性分子三重态发射器转化为可加工的块状固体仍然具有挑战性，因为聚集、分子运动和氧气会使长寿命的激发态失活。在这里，我们证明分子杂化卤化物玻璃可以作为钼簇三线态发射的保护和调节主体。通过比较同构簇盐与氯化物、溴化物和碘化物末端配体，我们确定了顶端卤化物化学如何控制电子结构和近红外辐射动力学。以氯为末端的簇在分子盐中表现出最高的效率。当掺入氯化镉基分子杂化玻璃中时，簇变得分子分散，而基质控制的卤化物重新分布和无定形限制抑制聚集、振动失活和氧气可及性。经过优化的玻璃在空气中可实现 96.95% 的内量子效率和 91.43% 的外量子效率，从而为成像应用提供紧凑的近红外照明。</w:t>
      </w:r>
    </w:p>
    <w:p>
      <w:pPr>
        <w:spacing w:before="0" w:after="200" w:lineRule="auto" w:line="276"/>
      </w:pPr>
      <w:r>
        <w:rPr>
          <w:b/>
        </w:rPr>
        <w:t xml:space="preserve">Abstract (EN): </w:t>
      </w:r>
      <w:r>
        <w:t>Efficient and air-stable near-infrared emitters are needed for compact optical systems, but translating highly emissive molecular triplet emitters into processable bulk solids remains challenging because aggregation, molecular motion and oxygen deactivate long-lived excited states. Here we show that a molecular hybrid halide glass can serve as a protective and regulating host for the triplet emission of molybdenum cluster. By comparing isostructural cluster salts with chloride, bromide and iodide terminal ligands, we establish how apical halide chemistry controls electronic structure and near-infrared radiative dynamics. The chloride-terminated cluster shows the highest efficiency among the molecular salts. When incorporated into a cadmium chloride-based molecular hybrid glass, the clusters become molecularly dispersed, while matrix-dictated halide redistribution and amorphous confinement suppress aggregation, vibrational deactivation and oxygen accessibility. The optimized glass achieves 96.95% internal quantum efficiency and 91.43% external quantum efficiency in air, enabling compact near-infrared illumination for imaging applications.</w:t>
      </w:r>
    </w:p>
    <w:p>
      <w:pPr>
        <w:spacing w:before="120" w:after="120"/>
      </w:pPr>
      <w:r>
        <w:rPr>
          <w:sz w:val="18"/>
        </w:rPr>
        <w:t>——————————————————————————————————————————————————————————————————————</w:t>
      </w:r>
    </w:p>
    <w:p>
      <w:pPr>
        <w:spacing w:before="160" w:after="40" w:line="240" w:lineRule="auto"/>
      </w:pPr>
      <w:r>
        <w:rPr>
          <w:b/>
        </w:rPr>
        <w:t xml:space="preserve">[579] </w:t>
      </w:r>
      <w:hyperlink r:id="rId1627">
        <w:r>
          <w:rPr>
            <w:color w:val="1155CC"/>
            <w:u w:val="single"/>
          </w:rPr>
          <w:t>增加环境服务支付的灵活性可提高巴西亚马逊地区的成本效益</w:t>
        </w:r>
      </w:hyperlink>
    </w:p>
    <w:p>
      <w:pPr>
        <w:spacing w:before="0" w:after="80"/>
      </w:pPr>
      <w:r>
        <w:rPr>
          <w:i/>
          <w:sz w:val="20"/>
        </w:rPr>
        <w:t>EN: Adding flexibility to payments for environmental services enhances cost-effectiveness in the Brazilian Amazon</w:t>
      </w:r>
    </w:p>
    <w:p>
      <w:pPr>
        <w:spacing w:before="0" w:after="120"/>
      </w:pPr>
      <w:r>
        <w:rPr>
          <w:b/>
        </w:rPr>
        <w:t xml:space="preserve">Source: </w:t>
      </w:r>
      <w:r>
        <w:t>Earth and environmental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环境服务付费（PES）广泛用于保护热带森林，但当土地所有者的机会成本波动时，严格的定价可能会失败。不灵活的激励措施可能导致合同违约，降低环境效益。我们测试灵活的 PES 合同是否可以通过在森林砍伐保持在阈值以下时允许部分付款来改善结果。我们在随机对照试验中使用 Becker-DeGroot-Marschak 拍卖，比较了灵活的 PES 合同、零毁林合同和对照组。尽管零毁林合同在避免毁林方面具有更大的潜力，但高违约率降低了已实现的保护。灵活的 PES 合同虽然由于合规性更高而成本更高，但每公顷森林保护效果更好：参与者在高峰期的森林砍伐量比严格合同下减少了 31%（95% CI [2%, 60%]，d = 0.12）。这些发现表明，灵活的 PES 合同可以提高保护计划的有效性和成本效益。</w:t>
      </w:r>
    </w:p>
    <w:p>
      <w:pPr>
        <w:spacing w:before="0" w:after="200" w:lineRule="auto" w:line="276"/>
      </w:pPr>
      <w:r>
        <w:rPr>
          <w:b/>
        </w:rPr>
        <w:t xml:space="preserve">Abstract (EN): </w:t>
      </w:r>
      <w:r>
        <w:t>Payments for Environmental Services (PES) are widely used to protect tropical forests, but rigid pricing may fail when landowners’ opportunity costs fluctuate. Inflexible incentives can lead to contract breaches, reducing environmental benefits. We test whether flexible PES contracts improve outcomes by allowing partial payments when deforestation remains below a threshold. Using a Becker-DeGroot-Marschak auction within a randomized controlled trial, we compare a flexible PES contract, a zero-deforestation contract, and a control group. Although the zero-deforestation contract had greater potential to avoid deforestation, high breach rates reduced realized conservation. The flexible PES contract, while more costly due to higher compliance, achieved greater forest protection per hectare: participants deforested 31% less than under the stringent contract in the peak period (95% CI [2%, 60%], d = 0.12). These findings suggest that flexible PES contracts can improve the effectiveness and cost-effectiveness of conservation programs.</w:t>
      </w:r>
    </w:p>
    <w:p>
      <w:pPr>
        <w:spacing w:before="120" w:after="120"/>
      </w:pPr>
      <w:r>
        <w:rPr>
          <w:sz w:val="18"/>
        </w:rPr>
        <w:t>——————————————————————————————————————————————————————————————————————</w:t>
      </w:r>
    </w:p>
    <w:p>
      <w:pPr>
        <w:spacing w:before="160" w:after="40" w:line="240" w:lineRule="auto"/>
      </w:pPr>
      <w:r>
        <w:rPr>
          <w:b/>
        </w:rPr>
        <w:t xml:space="preserve">[580] </w:t>
      </w:r>
      <w:hyperlink r:id="rId1628">
        <w:r>
          <w:rPr>
            <w:color w:val="1155CC"/>
            <w:u w:val="single"/>
          </w:rPr>
          <w:t>欧洲绿色协议中能源多样化和环境可持续性的关键挑战：来自欧洲国家的经验证据</w:t>
        </w:r>
      </w:hyperlink>
    </w:p>
    <w:p>
      <w:pPr>
        <w:spacing w:before="0" w:after="80"/>
      </w:pPr>
      <w:r>
        <w:rPr>
          <w:i/>
          <w:sz w:val="20"/>
        </w:rPr>
        <w:t>EN: The critical challenges of energy diversification and environmental sustainability in the European Green Deal: Empirical evidence from European countries</w:t>
      </w:r>
    </w:p>
    <w:p>
      <w:pPr>
        <w:spacing w:before="0" w:after="120"/>
      </w:pPr>
      <w:r>
        <w:rPr>
          <w:b/>
        </w:rPr>
        <w:t xml:space="preserve">Source: </w:t>
      </w:r>
      <w:r>
        <w:t>ScienceDirect Publication: Energy Policy</w:t>
      </w:r>
      <w:r>
        <w:t xml:space="preserve">    </w:t>
      </w:r>
      <w:r>
        <w:rPr>
          <w:b/>
        </w:rPr>
        <w:t xml:space="preserve">Pub date: </w:t>
      </w:r>
      <w:r>
        <w:t>2026-07-22 00:00:00+00:00</w:t>
      </w:r>
      <w:r>
        <w:t xml:space="preserve">    </w:t>
      </w:r>
      <w:r>
        <w:rPr>
          <w:b/>
        </w:rPr>
        <w:t xml:space="preserve">DOI: </w:t>
      </w:r>
      <w:hyperlink r:id="rId1629">
        <w:r>
          <w:rPr>
            <w:color w:val="1155CC"/>
            <w:u w:val="single"/>
          </w:rPr>
          <w:t>10.1016/j.enpol.2026.115517</w:t>
        </w:r>
      </w:hyperlink>
    </w:p>
    <w:p>
      <w:pPr>
        <w:spacing w:before="0" w:after="120"/>
      </w:pPr>
      <w:r>
        <w:rPr>
          <w:b/>
        </w:rPr>
        <w:t xml:space="preserve">Notes: </w:t>
      </w:r>
      <w:r>
        <w:t>abstract_source=openalex</w:t>
      </w:r>
    </w:p>
    <w:p>
      <w:pPr>
        <w:spacing w:before="0" w:after="80" w:lineRule="auto" w:line="276"/>
      </w:pPr>
      <w:r>
        <w:rPr>
          <w:b/>
        </w:rPr>
        <w:t xml:space="preserve">摘要（ZH）: </w:t>
      </w:r>
      <w:r>
        <w:t>《欧洲绿色协议》将能源多样化和环境可持续性确定为实现安全、有弹性和气候中性的能源系统的两个核心支柱。尽管之前的研究分别考察了环境可持续性和能源转型的决定因素，但关于能源多样化、全球化、金融发展、自然资本和结构变革如何在欧洲绿色新政框架内共同塑造环境可持续性的证据有限。本研究通过调查 1995 年至 2023 年期间 26 个欧洲国家环境可持续性的宏观经济决定因素来弥补这一差距。该分析采用动态系统 GMM 作为主要估计方法，并辅以 CS-ARDL 来检查长期关系，并采用具有 SHAP 可解释性的机器学习模型来评估解释变量的相对重要性。结果表明，随着时间的推移，环境可持续性具有很强的持久性。结构变化是唯一重要的短期决定因素，而能源多样化和政治全球化表现出显着的负面长期影响，而金融发展和自然资本对环境可持续性没有表现出强大的长期影响。这些研究结果表明，除非有可再生能源部署、技术创新和有效的环境治理的支持，否则单靠能源多样化并不能保证环境的可持续性。通过将动态计量经济学技术与可解释的机器学习相结合</w:t>
      </w:r>
    </w:p>
    <w:p>
      <w:pPr>
        <w:spacing w:before="0" w:after="200" w:lineRule="auto" w:line="276"/>
      </w:pPr>
      <w:r>
        <w:rPr>
          <w:b/>
        </w:rPr>
        <w:t xml:space="preserve">Abstract (EN): </w:t>
      </w:r>
      <w:r>
        <w:t>The European Green Deal identifies energy diversification and environmental sustainability as two central pillars for achieving a secure, resilient, and climate-neutral energy system. Although previous studies have examined the determinants of environmental sustainability and the energy transition separately, limited evidence exists on how energy diversification, globalization, financial development, natural capital, and structural change jointly shape environmental sustainability within the European Green Deal framework. This study addresses this gap by investigating the macroeconomic determinants of environmental sustainability across 26 European countries during 1995-2023. The analysis employs dynamic System GMM as the primary estimation method, complemented by CS-ARDL to examine long-run relationships and machine-learning models with SHAP explainability to assess the relative importance of the explanatory variables. The results reveal strong persistence in environmental sustainability over time. Structural change is the only significant short-run determinant, while energy diversification and political globalization exhibit significant negative long-run effects, whereas financial development and natural capital show no robust long-run influence on environmental sustainability. These findings suggest that energy diversification alone does not guarantee environmental sustainability unless supported by renewable energy deployment, technological innovation, and effective environmental governance. By integrating dynamic econometric techniques with explainable machine learning, this study provides new evidence on the macroeconomic drivers of environmental sustainability and offers policy insights for implementing the European Green Deal more effectively.</w:t>
      </w:r>
    </w:p>
    <w:p>
      <w:pPr>
        <w:spacing w:before="120" w:after="120"/>
      </w:pPr>
      <w:r>
        <w:rPr>
          <w:sz w:val="18"/>
        </w:rPr>
        <w:t>——————————————————————————————————————————————————————————————————————</w:t>
      </w:r>
    </w:p>
    <w:p>
      <w:pPr>
        <w:spacing w:before="160" w:after="40" w:line="240" w:lineRule="auto"/>
      </w:pPr>
      <w:r>
        <w:rPr>
          <w:b/>
        </w:rPr>
        <w:t xml:space="preserve">[581] </w:t>
      </w:r>
      <w:hyperlink r:id="rId1630">
        <w:r>
          <w:rPr>
            <w:color w:val="1155CC"/>
            <w:u w:val="single"/>
          </w:rPr>
          <w:t>干旱加剧战争心理负担</w:t>
        </w:r>
      </w:hyperlink>
    </w:p>
    <w:p>
      <w:pPr>
        <w:spacing w:before="0" w:after="80"/>
      </w:pPr>
      <w:r>
        <w:rPr>
          <w:i/>
          <w:sz w:val="20"/>
        </w:rPr>
        <w:t>EN: Drought amplifies the psychological burden of war</w:t>
      </w:r>
    </w:p>
    <w:p>
      <w:pPr>
        <w:spacing w:before="0" w:after="120"/>
      </w:pPr>
      <w:r>
        <w:rPr>
          <w:b/>
        </w:rPr>
        <w:t xml:space="preserve">Source: </w:t>
      </w:r>
      <w:r>
        <w:t>Nature Sustainability</w:t>
      </w:r>
      <w:r>
        <w:t xml:space="preserve">    </w:t>
      </w:r>
      <w:r>
        <w:rPr>
          <w:b/>
        </w:rPr>
        <w:t xml:space="preserve">Pub date: </w:t>
      </w:r>
      <w:r>
        <w:t>2026-07-22 00:00:00+00:00</w:t>
      </w:r>
      <w:r>
        <w:t xml:space="preserve">    </w:t>
      </w:r>
      <w:r>
        <w:rPr>
          <w:b/>
        </w:rPr>
        <w:t xml:space="preserve">DOI: </w:t>
      </w:r>
      <w:hyperlink r:id="rId1631">
        <w:r>
          <w:rPr>
            <w:color w:val="1155CC"/>
            <w:u w:val="single"/>
          </w:rPr>
          <w:t>10.1038/s41893-026-01882-z</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气候冲击和武装冲突的交织对人类安全和可持续发展构成严重威胁。然而，它们对人类的共同影响，特别是社会心理复原力的侵蚀，仍然难以量化。在这里，将受访者流离失所前地区的地理参考干旱数据与叙利亚和伊拉克难民的调查数据相结合（</w:t>
      </w:r>
      <w:r>
        <w:t xml:space="preserve"> </w:t>
      </w:r>
      <w:r>
        <w:t>氮</w:t>
      </w:r>
      <w:r>
        <w:t xml:space="preserve"> </w:t>
      </w:r>
      <w:r>
        <w:t>= 3,751），我们发现，对于来自受干旱影响较严重的原产地的人来说，战争经历与创伤后应激之间的关联更强。在严重干旱条件下，与战争相关的创伤后应激的增加是平均潮湿条件下的两倍多。这种模式与复原力腐蚀是一致的，即气候引起的困难可能会降低心理健康，并削弱社区应对未来冲击所需的适应能力。这些发现支持将心理健康纳入重叠危机环境中的气候适应和人道主义应对措施的政策方法。</w:t>
      </w:r>
    </w:p>
    <w:p>
      <w:pPr>
        <w:spacing w:before="0" w:after="200" w:lineRule="auto" w:line="276"/>
      </w:pPr>
      <w:r>
        <w:rPr>
          <w:b/>
        </w:rPr>
        <w:t xml:space="preserve">Abstract (EN): </w:t>
      </w:r>
      <w:r>
        <w:t>The convergence of climate shocks and armed conflict poses a critical threat to human security and sustainable development. However, their joint impacts on human populations, particularly the erosion of psychosocial resilience, remain poorly quantified. Here, integrating georeferenced drought data from respondents’ pre-displacement regions with survey data from Syrian and Iraqi refugees (</w:t>
      </w:r>
      <w:r>
        <w:t xml:space="preserve"> </w:t>
      </w:r>
      <w:r>
        <w:t>N</w:t>
      </w:r>
      <w:r>
        <w:t xml:space="preserve"> </w:t>
      </w:r>
      <w:r>
        <w:t>= 3,751), we find that the association between war exposure and post-traumatic stress is stronger among those from more drought-affected areas of origin. Under severe drought conditions, the increase in post-traumatic stress associated with war exposure was more than twice as large as under average moisture conditions. This pattern is consistent with resilience corrosion, whereby climate-induced hardship may degrade mental health and weaken the adaptive capacities communities need to navigate future shocks. These findings support policy approaches that integrate mental health into climate adaptation and humanitarian response in settings shaped by overlapping crises.</w:t>
      </w:r>
    </w:p>
    <w:p>
      <w:pPr>
        <w:spacing w:before="120" w:after="120"/>
      </w:pPr>
      <w:r>
        <w:rPr>
          <w:sz w:val="18"/>
        </w:rPr>
        <w:t>——————————————————————————————————————————————————————————————————————</w:t>
      </w:r>
    </w:p>
    <w:p>
      <w:pPr>
        <w:spacing w:before="160" w:after="40" w:line="240" w:lineRule="auto"/>
      </w:pPr>
      <w:r>
        <w:rPr>
          <w:b/>
        </w:rPr>
        <w:t xml:space="preserve">[582] </w:t>
      </w:r>
      <w:hyperlink r:id="rId1632">
        <w:r>
          <w:rPr>
            <w:color w:val="1155CC"/>
            <w:u w:val="single"/>
          </w:rPr>
          <w:t>具有葫芦[8]脲稳定紫精自由基二聚体的机械联锁双壁共价有机框架</w:t>
        </w:r>
      </w:hyperlink>
    </w:p>
    <w:p>
      <w:pPr>
        <w:spacing w:before="0" w:after="80"/>
      </w:pPr>
      <w:r>
        <w:rPr>
          <w:i/>
          <w:sz w:val="20"/>
        </w:rPr>
        <w:t>EN: Mechanically Interlocked Double-Walled Covalent Organic Framework with Cucurbit[8]Uril-Stabilized Viologen Radical Dimers</w:t>
      </w:r>
    </w:p>
    <w:p>
      <w:pPr>
        <w:spacing w:before="0" w:after="120"/>
      </w:pPr>
      <w:r>
        <w:rPr>
          <w:b/>
        </w:rPr>
        <w:t xml:space="preserve">Source: </w:t>
      </w:r>
      <w:r>
        <w:t>Journal of the American Chemical Society: Latest Articles (ACS Publications)</w:t>
      </w:r>
      <w:r>
        <w:t xml:space="preserve">    </w:t>
      </w:r>
      <w:r>
        <w:rPr>
          <w:b/>
        </w:rPr>
        <w:t xml:space="preserve">Pub date: </w:t>
      </w:r>
      <w:r>
        <w:t>2026-07-22 00:00:00+00:00</w:t>
      </w:r>
      <w:r>
        <w:t xml:space="preserve">    </w:t>
      </w:r>
      <w:r>
        <w:rPr>
          <w:b/>
        </w:rPr>
        <w:t xml:space="preserve">DOI: </w:t>
      </w:r>
      <w:hyperlink r:id="rId1633">
        <w:r>
          <w:rPr>
            <w:color w:val="1155CC"/>
            <w:u w:val="single"/>
          </w:rPr>
          <w:t>10.1021/jacs.6c01520</w:t>
        </w:r>
      </w:hyperlink>
    </w:p>
    <w:p>
      <w:pPr>
        <w:spacing w:before="0" w:after="120"/>
      </w:pPr>
      <w:r>
        <w:rPr>
          <w:b/>
        </w:rPr>
        <w:t xml:space="preserve">Notes: </w:t>
      </w:r>
      <w:r>
        <w:t>abstract_source=pubmed</w:t>
      </w:r>
    </w:p>
    <w:p>
      <w:pPr>
        <w:spacing w:before="0" w:after="80" w:lineRule="auto" w:line="276"/>
      </w:pPr>
      <w:r>
        <w:rPr>
          <w:b/>
        </w:rPr>
        <w:t xml:space="preserve">摘要（ZH）: </w:t>
      </w:r>
      <w:r>
        <w:t>晶体框架内有机自由基的稳定性和功能整合仍然是材料化学中的重大挑战，特别是对于光电子和传感领域的应用。在此，我们报告了一种富含自由基的多轮烷共价有机框架（VCB COF）的设计和合成，该框架具有基于紫精的自由基阳离子二聚体，机械联锁在葫芦[8]脲（CB[8]）大环内。这种超分子结构产生了双壁框架，显着增强了自由基稳定性、光物理性质和光响应性。电子顺磁共振 (EPR) 分析表明，VCB 在空气暴露 7 天后保留了超过 72% 的自由基信号，而其非旋转类似物 TpV COF 中仅保留了 22%。光物理研究表明，光致发光强度增加了 3 倍，而光电化学测量表明，在 405 nm 照明下，具有可逆开/关切换的稳定光电流密度为 1.3 μA cm-2。分子动力学模拟与固态核磁共振一起支持 CB[8] 在 COF 连接处的定位，并且与偶极和长程非共价相互作用稳定的双壁结构的形成一致。这项工作建立了一种通用策略，通过大环辅助封装和机械键合将持久性自由基整合到COF中，为开发鲁棒的光活性、氧化还原活性和自旋功能材料开辟了新途径。</w:t>
      </w:r>
    </w:p>
    <w:p>
      <w:pPr>
        <w:spacing w:before="0" w:after="200" w:lineRule="auto" w:line="276"/>
      </w:pPr>
      <w:r>
        <w:rPr>
          <w:b/>
        </w:rPr>
        <w:t xml:space="preserve">Abstract (EN): </w:t>
      </w:r>
      <w:r>
        <w:t>The stabilization and functional integration of organic radicals within crystalline frameworks remain a significant challenge in materials chemistry, particularly for applications in optoelectronics and sensing. Herein, we report the design and synthesis of a radical-rich, polyrotaxanated covalent organic framework (VCB COF) featuring viologen-based radical cation dimers mechanically interlocked within cucurbit[8]uril (CB[8]) macrocycles. This supramolecular architecture gives rise to a double-walled framework that significantly enhances radical stability, photophysical properties, and photoresponsivity. Electron paramagnetic resonance (EPR) analysis reveals that VCB retains over 72% of its radical signal after 7 days of air exposure, compared to just 22% in its nonrotaxanated analogue, TpV COF. Photophysical studies reveal a 3-fold increase in photoluminescence intensity, while photoelectrochemical measurements demonstrate a stable photocurrent density of 1.3 μA cm-2 under 405 nm illumination with reversible on/off switching. Molecular dynamics simulations together with solid-state NMR support the localization of CB[8] at COF junctions and are consistent with the formation of a double-walled architecture stabilized by dipolar and long-range noncovalent interactions. This work establishes a generalizable strategy for integrating persistent radicals within COFs through macrocycle-assisted encapsulation and mechanical bonding, opening new avenues for the development of robust photoactive, redox-active, and spin-functional materials.</w:t>
      </w:r>
    </w:p>
    <w:p>
      <w:pPr>
        <w:spacing w:before="120" w:after="120"/>
      </w:pPr>
      <w:r>
        <w:rPr>
          <w:sz w:val="18"/>
        </w:rPr>
        <w:t>——————————————————————————————————————————————————————————————————————</w:t>
      </w:r>
    </w:p>
    <w:p>
      <w:pPr>
        <w:spacing w:before="160" w:after="40" w:line="240" w:lineRule="auto"/>
      </w:pPr>
      <w:r>
        <w:rPr>
          <w:b/>
        </w:rPr>
        <w:t xml:space="preserve">[583] </w:t>
      </w:r>
      <w:hyperlink r:id="rId1634">
        <w:r>
          <w:rPr>
            <w:color w:val="1155CC"/>
            <w:u w:val="single"/>
          </w:rPr>
          <w:t>DS-MS-conformer：基于双流多尺度卷积变压器和分层动态融合的超短期风电功率预测</w:t>
        </w:r>
      </w:hyperlink>
    </w:p>
    <w:p>
      <w:pPr>
        <w:spacing w:before="0" w:after="80"/>
      </w:pPr>
      <w:r>
        <w:rPr>
          <w:i/>
          <w:sz w:val="20"/>
        </w:rPr>
        <w:t>EN: DS-MS-convformer: Ultra-short-term wind power prediction based on dual-stream multi-scale convolutional transformer and hierarchical dynamic fusion</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1635">
        <w:r>
          <w:rPr>
            <w:color w:val="1155CC"/>
            <w:u w:val="single"/>
          </w:rPr>
          <w:t>10.1016/j.apenergy.2026.128477</w:t>
        </w:r>
      </w:hyperlink>
    </w:p>
    <w:p>
      <w:pPr>
        <w:spacing w:before="0" w:after="120"/>
      </w:pPr>
      <w:r>
        <w:rPr>
          <w:b/>
        </w:rPr>
        <w:t xml:space="preserve">Notes: </w:t>
      </w:r>
      <w:r>
        <w:t>abstract_source=openalex</w:t>
      </w:r>
    </w:p>
    <w:p>
      <w:pPr>
        <w:spacing w:before="0" w:after="80" w:lineRule="auto" w:line="276"/>
      </w:pPr>
      <w:r>
        <w:rPr>
          <w:b/>
        </w:rPr>
        <w:t xml:space="preserve">摘要（ZH）: </w:t>
      </w:r>
      <w:r>
        <w:t>在全球能源转型和大规模风电并网的背景下，超短期风电预测对于保障电网安全运行和风电场高效调度具有重要意义。然而，风电序列受复杂气象因素和运行工况影响，表现出明显的非平稳性。其波动特性主要表现为时域瞬态扰动与频域周期性变化之间的连续耦合，对多尺度时频结构表示和动态特征融合提出了挑战。现有方法通常难以在保留原始时间演化信息的同时解耦和协作融合时域动态特征和频域周期性结构。针对这一问题，本文提出一种基于双流时频解耦建模、多尺度卷积Transformer和分层动态融合机制的超短期风电功率预测模型，即DS-MS-Convformer。该模型首先使用双流时频解耦框架分别对原始时域动态特征和频域周期性特征进行建模。然后，通过集成不同感受野的卷积核和自注意力机制，构建多尺度卷积增强的 Transformer 编码器，从而共同捕获局部波动特征和长程时间依赖性。最后，</w:t>
      </w:r>
    </w:p>
    <w:p>
      <w:pPr>
        <w:spacing w:before="0" w:after="200" w:lineRule="auto" w:line="276"/>
      </w:pPr>
      <w:r>
        <w:rPr>
          <w:b/>
        </w:rPr>
        <w:t xml:space="preserve">Abstract (EN): </w:t>
      </w:r>
      <w:r>
        <w:t>Against the backdrop of the global energy transition and the integration of large-scale wind power, ultra-short-term wind power forecasting is of great significance for ensuring the secure operation of power grids and the efficient dispatch of wind farms. However, wind power sequences are affected by complex meteorological factors and operating conditions, exhibiting pronounced non-stationarity. Their fluctuation characteristics primarily manifest as a continuous coupling between transient disturbances in the time domain and periodic variations in the frequency domain, posing challenges for multi-scale time-frequency structural representation and dynamic feature fusion. Existing methods often struggle to decouple and collaboratively fuse time-domain dynamic features and frequency-domain periodic structures while preserving the original temporal evolution information. To address this issue, this paper proposes an ultra-short-term wind power forecasting model based on dual-stream time-frequency decoupled modelling, a multi-scale convolutional Transformer, and a hierarchical dynamic fusion mechanism, namely DS-MS-Convformer. The proposed model first models the original time-domain dynamic features and the frequency-domain periodic features separately using a dual-stream time-frequency-decoupled framework. Then, a multi-scale convolution-enhanced Transformer encoder is constructed by integrating convolution kernels with different receptive fields and the self-attention mechanism, thereby jointly capturing local fluctuation features and long-range temporal dependencies. Finally, adaptive fusion of multi-source time-frequency features is achieved through low-, medium-, and high-frequency feature reconstruction, cross-attention interaction, and gated weight allocation. Experimental results on real wind farm datasets show that the proposed method achieves lower forecasting errors across single-step, multi-step, cross-seasonal validation, and generalizability testing. Ablation studies further verify the effectiveness of each key module. The results provide a reference for structured time-frequency modelling of non-stationary wind power sequences.</w:t>
      </w:r>
    </w:p>
    <w:p>
      <w:pPr>
        <w:spacing w:before="120" w:after="120"/>
      </w:pPr>
      <w:r>
        <w:rPr>
          <w:sz w:val="18"/>
        </w:rPr>
        <w:t>——————————————————————————————————————————————————————————————————————</w:t>
      </w:r>
    </w:p>
    <w:p>
      <w:pPr>
        <w:spacing w:before="160" w:after="40" w:line="240" w:lineRule="auto"/>
      </w:pPr>
      <w:r>
        <w:rPr>
          <w:b/>
        </w:rPr>
        <w:t xml:space="preserve">[584] </w:t>
      </w:r>
      <w:hyperlink r:id="rId1636">
        <w:r>
          <w:rPr>
            <w:color w:val="1155CC"/>
            <w:u w:val="single"/>
          </w:rPr>
          <w:t>工程益生菌-银纳米界面通过 Wnt 和趋化因子重新校准实现发炎结肠的多模式修复</w:t>
        </w:r>
      </w:hyperlink>
    </w:p>
    <w:p>
      <w:pPr>
        <w:spacing w:before="0" w:after="80"/>
      </w:pPr>
      <w:r>
        <w:rPr>
          <w:i/>
          <w:sz w:val="20"/>
        </w:rPr>
        <w:t>EN: Engineered Probiotic-Silver Nanointerfaces Enable Multimodal Repair of Inflamed Colon via Wnt and Chemokine Recalibration</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37">
        <w:r>
          <w:rPr>
            <w:color w:val="1155CC"/>
            <w:u w:val="single"/>
          </w:rPr>
          <w:t>10.1021/acsami.6c07451</w:t>
        </w:r>
      </w:hyperlink>
    </w:p>
    <w:p>
      <w:pPr>
        <w:spacing w:before="0" w:after="120"/>
      </w:pPr>
      <w:r>
        <w:rPr>
          <w:b/>
        </w:rPr>
        <w:t xml:space="preserve">Notes: </w:t>
      </w:r>
      <w:r>
        <w:t>abstract_source=pubmed</w:t>
      </w:r>
    </w:p>
    <w:p>
      <w:pPr>
        <w:spacing w:before="0" w:after="80" w:lineRule="auto" w:line="276"/>
      </w:pPr>
      <w:r>
        <w:rPr>
          <w:b/>
        </w:rPr>
        <w:t xml:space="preserve">摘要（ZH）: </w:t>
      </w:r>
      <w:r>
        <w:t>炎症性肠病的发病机制涉及系统中上皮完整性、免疫细胞迁移和炎症稳态的相互关联的失败，这使得多功能治疗方法成为一种有前途的选择。在这项研究中，我们在单宁酸铁 (TA-Fe) 金属酚网络中开发了一种以地衣芽孢杆菌为模板的纳米银 (Nano-Ag) 复合材料，并评估了其对 TNBS 诱导的结肠炎的治疗效果。该复合材料表现出良好的物理化学性质，包括稳定的表面结构和均匀的纳米银沉积，支持其作为生物混合纳米治疗平台的潜在应用。体内治疗产生了剂量反应性保护作用，其中 1 mg 制剂显示出最一致的反应。这种治疗方案提高了生存率，降低了发病率，减轻了腹泻和粪便出血，降低了疾病活动度，保留了结肠长度，并显着恢复了结肠组织结构。进一步的组织学检查显示炎症浸润减少，肝脏形态改善，表明对肠道以外的保护作用。在分子水平上，治疗效果与 LEF-1 抑制、轴蛋白恢复、CXCR2 和 CCR7 减弱以及 CCR5 恢复相关，与 Wnt 相关上皮信号传导和趋化因子引导的免疫运输的协调正常化一致。血清分析进一步揭示了趋化因子网络失调的广泛调节以及与肠肝和 g 相关的生化紊乱的部分纠正</w:t>
      </w:r>
    </w:p>
    <w:p>
      <w:pPr>
        <w:spacing w:before="0" w:after="200" w:lineRule="auto" w:line="276"/>
      </w:pPr>
      <w:r>
        <w:rPr>
          <w:b/>
        </w:rPr>
        <w:t xml:space="preserve">Abstract (EN): </w:t>
      </w:r>
      <w:r>
        <w:t>The pathogenesis of inflammatory bowel disease involves interconnected failures in epithelial integrity, immune cell migration, and inflammatory homeostasis in the system, making multifunctional therapeutic approaches a promising option. In this study, we developed a Bacillus licheniformis-templated nano-silver (Nano-Ag) composite within a tannic acid-iron (TA-Fe) metal-phenolic network and evaluated its therapeutic effects in TNBS-induced colitis. The composite exhibited favorable physicochemical properties, including a stable surface architecture and uniform nanosilver deposition, supporting its potential application as a biohybrid nanotherapeutic platform. In vivo treatment produced a dose-responsive protective effect, with the 1 mg formulation showing the most consistent response. This treatment regimen improved survival, reduced morbidity, alleviated diarrhea and fecal bleeding, lowered disease activity, preserved colon length, and significantly restored colonic histoarchitecture. Further histological examination revealed reduced inflammatory infiltration and improved hepatic morphology, indicating protective effects beyond the intestine. At the molecular level, therapeutic efficacy was associated with LEF-1 suppression, axin restoration, CXCR2 and CCR7 attenuation, and CCR5 recovery, consistent with coordinated normalization of Wnt-associated epithelial signaling and chemokine-guided immune trafficking. Serum profiling further revealed broad modulation of dysregulated chemokine networks and partial correction of biochemical disturbances associated with gut-liver and gut-kidney axis dysfunction. Collectively, these findings indicate that the engineered biohybrid nano-Ag platform does not act through a single anti-inflammatory mechanism, but rather through integrated remodeling of epithelial repair, inflammatory signaling, and systemic metabolic stress. Our study identifies TA-Fe-stabilized probiotic nano-Ag therapy as a promising multifunctional strategy for experimental colitis and provides a mechanistic framework for developing next-generation nanomedicines for inflammatory bowel disease.</w:t>
      </w:r>
    </w:p>
    <w:p>
      <w:pPr>
        <w:spacing w:before="120" w:after="120"/>
      </w:pPr>
      <w:r>
        <w:rPr>
          <w:sz w:val="18"/>
        </w:rPr>
        <w:t>——————————————————————————————————————————————————————————————————————</w:t>
      </w:r>
    </w:p>
    <w:p>
      <w:pPr>
        <w:spacing w:before="160" w:after="40" w:line="240" w:lineRule="auto"/>
      </w:pPr>
      <w:r>
        <w:rPr>
          <w:b/>
        </w:rPr>
        <w:t xml:space="preserve">[585] </w:t>
      </w:r>
      <w:hyperlink r:id="rId1638">
        <w:r>
          <w:rPr>
            <w:color w:val="1155CC"/>
            <w:u w:val="single"/>
          </w:rPr>
          <w:t>基于元学习启发的适应和共形分位数回归的细粒度潜在负载灵活性估计</w:t>
        </w:r>
      </w:hyperlink>
    </w:p>
    <w:p>
      <w:pPr>
        <w:spacing w:before="0" w:after="80"/>
      </w:pPr>
      <w:r>
        <w:rPr>
          <w:i/>
          <w:sz w:val="20"/>
        </w:rPr>
        <w:t>EN: Fine-grained potential load flexibility estimation based on meta-learning-inspired adaptation and conformal quantile regression</w:t>
      </w:r>
    </w:p>
    <w:p>
      <w:pPr>
        <w:spacing w:before="0" w:after="120"/>
      </w:pPr>
      <w:r>
        <w:rPr>
          <w:b/>
        </w:rPr>
        <w:t xml:space="preserve">Source: </w:t>
      </w:r>
      <w:r>
        <w:t>ScienceDirect Publication: Applied Energy</w:t>
      </w:r>
      <w:r>
        <w:t xml:space="preserve">    </w:t>
      </w:r>
      <w:r>
        <w:rPr>
          <w:b/>
        </w:rPr>
        <w:t xml:space="preserve">Pub date: </w:t>
      </w:r>
      <w:r>
        <w:t>2026-07-22 00:00:00+00:00</w:t>
      </w:r>
      <w:r>
        <w:t xml:space="preserve">    </w:t>
      </w:r>
      <w:r>
        <w:rPr>
          <w:b/>
        </w:rPr>
        <w:t xml:space="preserve">DOI: </w:t>
      </w:r>
      <w:hyperlink r:id="rId1639">
        <w:r>
          <w:rPr>
            <w:color w:val="1155CC"/>
            <w:u w:val="single"/>
          </w:rPr>
          <w:t>10.1016/j.apenergy.2026.128502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[586] </w:t>
      </w:r>
      <w:hyperlink r:id="rId1640">
        <w:r>
          <w:rPr>
            <w:color w:val="1155CC"/>
            <w:u w:val="single"/>
          </w:rPr>
          <w:t>避免人工智能图像在科学中出现错误的三个技巧</w:t>
        </w:r>
      </w:hyperlink>
    </w:p>
    <w:p>
      <w:pPr>
        <w:spacing w:before="0" w:after="80"/>
      </w:pPr>
      <w:r>
        <w:rPr>
          <w:i/>
          <w:sz w:val="20"/>
        </w:rPr>
        <w:t>EN: Three tips to avoid AI image mistakes in science</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41">
        <w:r>
          <w:rPr>
            <w:color w:val="1155CC"/>
            <w:u w:val="single"/>
          </w:rPr>
          <w:t>10.1038/d41586-026-02233-w</w:t>
        </w:r>
      </w:hyperlink>
    </w:p>
    <w:p>
      <w:pPr>
        <w:spacing w:before="0" w:after="120"/>
      </w:pPr>
      <w:r>
        <w:rPr>
          <w:b/>
        </w:rPr>
        <w:t xml:space="preserve">Notes: </w:t>
      </w:r>
      <w:r>
        <w:t>abstract_source=rss_nature</w:t>
      </w:r>
    </w:p>
    <w:p>
      <w:pPr>
        <w:spacing w:before="0" w:after="80" w:lineRule="auto" w:line="276"/>
      </w:pPr>
      <w:r>
        <w:rPr>
          <w:b/>
        </w:rPr>
        <w:t xml:space="preserve">摘要（ZH）: </w:t>
      </w:r>
      <w:r>
        <w:t>人工智能工具对于集思广益和创建图形很有用，但它们可能会引入错误。如果您要使用它们，请按照以下方法避免出现问题。</w:t>
      </w:r>
    </w:p>
    <w:p>
      <w:pPr>
        <w:spacing w:before="0" w:after="200" w:lineRule="auto" w:line="276"/>
      </w:pPr>
      <w:r>
        <w:rPr>
          <w:b/>
        </w:rPr>
        <w:t xml:space="preserve">Abstract (EN): </w:t>
      </w:r>
      <w:r>
        <w:t>Artificial-intelligence tools can be useful for brainstorming and creating graphics, but they can introduce errors. If you’re going to use them, here’s how to avoid problems.</w:t>
      </w:r>
    </w:p>
    <w:p>
      <w:pPr>
        <w:spacing w:before="120" w:after="120"/>
      </w:pPr>
      <w:r>
        <w:rPr>
          <w:sz w:val="18"/>
        </w:rPr>
        <w:t>——————————————————————————————————————————————————————————————————————</w:t>
      </w:r>
    </w:p>
    <w:p>
      <w:pPr>
        <w:spacing w:before="160" w:after="40" w:line="240" w:lineRule="auto"/>
      </w:pPr>
      <w:r>
        <w:rPr>
          <w:b/>
        </w:rPr>
        <w:t xml:space="preserve">[587] </w:t>
      </w:r>
      <w:hyperlink r:id="rId1642">
        <w:r>
          <w:rPr>
            <w:color w:val="1155CC"/>
            <w:u w:val="single"/>
          </w:rPr>
          <w:t>碳纳米点中的微小红色磷光</w:t>
        </w:r>
      </w:hyperlink>
    </w:p>
    <w:p>
      <w:pPr>
        <w:spacing w:before="0" w:after="80"/>
      </w:pPr>
      <w:r>
        <w:rPr>
          <w:i/>
          <w:sz w:val="20"/>
        </w:rPr>
        <w:t>EN: Minute-scale red phosphorescence in carbon nanodots</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具有长寿命三线态激子的红色磷光材料对于光电和生物相关应用来说是非常理想的，但仍然受到发射寿命短的限制。在这里，我们展示了超长红色磷光碳纳米点，它表现出微小的磷光。通过结合机器学习优化辅助的激发态工程，获得的红色碳纳米点的磷光寿命达到353秒，发射持久性超过4000秒。光谱分析揭示了从 3(n, π*) 到 1n2 的快速辐射跃迁通道和从 3(π, π*) 到 1(π, π*) 的慢速跃迁通道的共存，其中后者在超长磷光中占主导地位。作为概念验证，展示了一种基于碳纳米点的可穿戴无源发光二极管指示器，可在断电后在限时环境中发出视觉信号。</w:t>
      </w:r>
    </w:p>
    <w:p>
      <w:pPr>
        <w:spacing w:before="0" w:after="200" w:lineRule="auto" w:line="276"/>
      </w:pPr>
      <w:r>
        <w:rPr>
          <w:b/>
        </w:rPr>
        <w:t xml:space="preserve">Abstract (EN): </w:t>
      </w:r>
      <w:r>
        <w:t>Red phosphorescent materials with long-lived triplet excitons are highly desirable for optoelectronic and bio-related applications but remain limited by short emission lifetime. Here we show ultralong red phosphorescent carbon nanodots, which exhibit minute-scale phosphorescence. Through combining excited-state engineering assisted by machine learning optimization, the obtained red carbon nanodots achieve the phosphorescence lifetime of 353 second, with emission persistence exceeding 4000 second. Spectroscopic analysis reveals the coexistence of a fast radiative transition channel from 3(n, π*) to 1n2 and a slow transition channel from 3(π, π*) to 1(π, π*), where the latter dominates the ultralong phosphorescence. As a proof of concept, a wearable passive light-emitting-diode indicator based on the carbon nanodots is demonstrated, enabling visual signaling in time-limited environments after power-off.</w:t>
      </w:r>
    </w:p>
    <w:p>
      <w:pPr>
        <w:spacing w:before="120" w:after="120"/>
      </w:pPr>
      <w:r>
        <w:rPr>
          <w:sz w:val="18"/>
        </w:rPr>
        <w:t>——————————————————————————————————————————————————————————————————————</w:t>
      </w:r>
    </w:p>
    <w:p>
      <w:pPr>
        <w:spacing w:before="160" w:after="40" w:line="240" w:lineRule="auto"/>
      </w:pPr>
      <w:r>
        <w:rPr>
          <w:b/>
        </w:rPr>
        <w:t xml:space="preserve">[588] </w:t>
      </w:r>
      <w:hyperlink r:id="rId1643">
        <w:r>
          <w:rPr>
            <w:color w:val="1155CC"/>
            <w:u w:val="single"/>
          </w:rPr>
          <w:t>气候变化引发的生态新奇</w:t>
        </w:r>
      </w:hyperlink>
    </w:p>
    <w:p>
      <w:pPr>
        <w:spacing w:before="0" w:after="80"/>
      </w:pPr>
      <w:r>
        <w:rPr>
          <w:i/>
          <w:sz w:val="20"/>
        </w:rPr>
        <w:t>EN: Ecological novelty induced by climate change</w:t>
      </w:r>
    </w:p>
    <w:p>
      <w:pPr>
        <w:spacing w:before="0" w:after="120"/>
      </w:pPr>
      <w:r>
        <w:rPr>
          <w:b/>
        </w:rPr>
        <w:t xml:space="preserve">Source: </w:t>
      </w:r>
      <w:r>
        <w:t>Nature Climate Change</w:t>
      </w:r>
      <w:r>
        <w:t xml:space="preserve">    </w:t>
      </w:r>
      <w:r>
        <w:rPr>
          <w:b/>
        </w:rPr>
        <w:t xml:space="preserve">Pub date: </w:t>
      </w:r>
      <w:r>
        <w:t>2026-07-22 00:00:00+00:00</w:t>
      </w:r>
      <w:r>
        <w:t xml:space="preserve">    </w:t>
      </w:r>
      <w:r>
        <w:rPr>
          <w:b/>
        </w:rPr>
        <w:t xml:space="preserve">DOI: </w:t>
      </w:r>
      <w:hyperlink r:id="rId1644">
        <w:r>
          <w:rPr>
            <w:color w:val="1155CC"/>
            <w:u w:val="single"/>
          </w:rPr>
          <w:t>10.1038/s41558-026-02697-8</w:t>
        </w:r>
      </w:hyperlink>
    </w:p>
    <w:p>
      <w:pPr>
        <w:spacing w:before="0" w:after="120"/>
      </w:pPr>
      <w:r>
        <w:rPr>
          <w:b/>
        </w:rPr>
        <w:t xml:space="preserve">Notes: </w:t>
      </w:r>
      <w:r>
        <w:t>abstract_source=rss_nature</w:t>
      </w:r>
    </w:p>
    <w:p>
      <w:pPr>
        <w:spacing w:before="0" w:after="80" w:lineRule="auto" w:line="276"/>
      </w:pPr>
      <w:r>
        <w:rPr>
          <w:b/>
        </w:rPr>
        <w:t xml:space="preserve">摘要（ZH）: </w:t>
      </w:r>
      <w:r>
        <w:t>作者回顾了气候变化带来的生态新颖性——前所未有的生态状况。他们讨论了气候变化的直接和间接影响以及适应和缓解措施带来的生态新颖性，并探索反对、支持或容忍生态新颖性的管理方案。</w:t>
      </w:r>
    </w:p>
    <w:p>
      <w:pPr>
        <w:spacing w:before="0" w:after="200" w:lineRule="auto" w:line="276"/>
      </w:pPr>
      <w:r>
        <w:rPr>
          <w:b/>
        </w:rPr>
        <w:t xml:space="preserve">Abstract (EN): </w:t>
      </w:r>
      <w:r>
        <w:t>The authors review ecological novelty—ecological situations with no precedent—arising from climate change. They discuss ecological novelty due to direct and indirect effects of climate change, and due to adaptation and mitigation measures, and explore management options that are against, for or tolerant of ecological novelty.</w:t>
      </w:r>
    </w:p>
    <w:p>
      <w:pPr>
        <w:spacing w:before="120" w:after="120"/>
      </w:pPr>
      <w:r>
        <w:rPr>
          <w:sz w:val="18"/>
        </w:rPr>
        <w:t>——————————————————————————————————————————————————————————————————————</w:t>
      </w:r>
    </w:p>
    <w:p>
      <w:pPr>
        <w:spacing w:before="160" w:after="40" w:line="240" w:lineRule="auto"/>
      </w:pPr>
      <w:r>
        <w:rPr>
          <w:b/>
        </w:rPr>
        <w:t xml:space="preserve">[589] </w:t>
      </w:r>
      <w:hyperlink r:id="rId1645">
        <w:r>
          <w:rPr>
            <w:color w:val="1155CC"/>
            <w:u w:val="single"/>
          </w:rPr>
          <w:t>使用 CsPbBr 3 单晶钙钛矿探测器进行高速光谱分辨 X 射线光子计数</w:t>
        </w:r>
      </w:hyperlink>
    </w:p>
    <w:p>
      <w:pPr>
        <w:spacing w:before="0" w:after="80"/>
      </w:pPr>
      <w:r>
        <w:rPr>
          <w:i/>
          <w:sz w:val="20"/>
        </w:rPr>
        <w:t>EN: High-Rate Spectrally Resolved X-ray Photon Counting with CsPbBr 3 Single-Crystal Perovskite Detectors</w:t>
      </w:r>
    </w:p>
    <w:p>
      <w:pPr>
        <w:spacing w:before="0" w:after="120"/>
      </w:pPr>
      <w:r>
        <w:rPr>
          <w:b/>
        </w:rPr>
        <w:t xml:space="preserve">Source: </w:t>
      </w:r>
      <w:r>
        <w:t>ACS Energy Letters: Latest Articles (ACS Publications)</w:t>
      </w:r>
      <w:r>
        <w:t xml:space="preserve">    </w:t>
      </w:r>
      <w:r>
        <w:rPr>
          <w:b/>
        </w:rPr>
        <w:t xml:space="preserve">Pub date: </w:t>
      </w:r>
      <w:r>
        <w:t>2026-07-22 00:00:00+00:00</w:t>
      </w:r>
      <w:r>
        <w:t xml:space="preserve">    </w:t>
      </w:r>
      <w:r>
        <w:rPr>
          <w:b/>
        </w:rPr>
        <w:t xml:space="preserve">DOI: </w:t>
      </w:r>
      <w:hyperlink r:id="rId1646">
        <w:r>
          <w:rPr>
            <w:color w:val="1155CC"/>
            <w:u w:val="single"/>
          </w:rPr>
          <w:t>10.1021/acsenergylett.6c01545</w:t>
        </w:r>
      </w:hyperlink>
    </w:p>
    <w:p>
      <w:pPr>
        <w:spacing w:before="0" w:after="120"/>
      </w:pPr>
      <w:r>
        <w:rPr>
          <w:b/>
        </w:rPr>
        <w:t xml:space="preserve">Notes: </w:t>
      </w:r>
      <w:r>
        <w:t>abstract_source=jina_reader</w:t>
      </w:r>
    </w:p>
    <w:p>
      <w:pPr>
        <w:spacing w:before="0" w:after="80" w:lineRule="auto" w:line="276"/>
      </w:pPr>
      <w:r>
        <w:rPr>
          <w:b/>
        </w:rPr>
        <w:t xml:space="preserve">摘要（ZH）: </w:t>
      </w:r>
      <w:r>
        <w:t>单击复制部分链接 部分链接已复制！传统的能量积分 X 射线探测器无法解析单个光子的能量，因此提供的材料辨别能力有限。在这里，我们报告了用于光谱分辨 X 射线光子计数的 CsPbBr 3 单晶钙钛矿探测器。 CsPbBr 3 探测器可解析铟、钡和铅的透射 X 射线光谱中的 K 边缘特征。与我们之前的工作相比，改进的晶体质量和器件制造使 CsPbBr 3 探测器能够维持高达约 13 kV cm-1 的电场，并在死区时间损失 10% 和 30% 时分别实现约 230 和 420 kcps Pixel-1 的入射光子计数率。在这些条件下，它们还在 59.5 keV (241 Am) 和 2.9% 下实现约 5.2% 的能量分辨率。 122 keV（57 Co）。这些结果表明，低成本的 CsPbBr 3 在高速率、光谱分辨 X 射线光子计数方面很有前景。 ACS 出版物 © 2026 UChicago Argonne, LLC，阿贡国家实验室运营商。美国化学会出版</w:t>
      </w:r>
    </w:p>
    <w:p>
      <w:pPr>
        <w:spacing w:before="0" w:after="200" w:lineRule="auto" w:line="276"/>
      </w:pPr>
      <w:r>
        <w:rPr>
          <w:b/>
        </w:rPr>
        <w:t xml:space="preserve">Abstract (EN): </w:t>
      </w:r>
      <w:r>
        <w:t>Click to copy section link Section link copied! Conventional energy-integrating X-ray detectors do not resolve the energies of individual photons and therefore offer limited material discrimination. Here, we report CsPbBr 3 single-crystal perovskite detectors for spectrally resolved X-ray photon counting. CsPbBr 3 detectors resolve the K-edge features in transmitted X-ray spectra of indium, barium, and lead. Compared with our previous work, the improved crystal quality and device fabrication enable CsPbBr 3 detectors to sustain electric fields up to about 13 kV cm–1 and achieve incident photon count rates of about 230 and 420 kcps pixel–1 at 10 and 30% dead-time loss, respectively.Under these conditions, they also achieve energy resolutions of about 5.2% at 59.5 keV (241 Am) and 2.9% at 122 keV (57 Co). These results indicate that the low-cost CsPbBr 3 is promising for high-rate, spectrally resolved X-ray photon counting. ACS Publications © 2026 UChicago Argonne, LLC, Operator of Argonne National Laboratory. Published by American Chemical Society</w:t>
      </w:r>
    </w:p>
    <w:p>
      <w:pPr>
        <w:spacing w:before="120" w:after="120"/>
      </w:pPr>
      <w:r>
        <w:rPr>
          <w:sz w:val="18"/>
        </w:rPr>
        <w:t>——————————————————————————————————————————————————————————————————————</w:t>
      </w:r>
    </w:p>
    <w:p>
      <w:pPr>
        <w:spacing w:before="160" w:after="40" w:line="240" w:lineRule="auto"/>
      </w:pPr>
      <w:r>
        <w:rPr>
          <w:b/>
        </w:rPr>
        <w:t xml:space="preserve">[590] </w:t>
      </w:r>
      <w:hyperlink r:id="rId1647">
        <w:r>
          <w:rPr>
            <w:color w:val="1155CC"/>
            <w:u w:val="single"/>
          </w:rPr>
          <w:t>2025年能源期刊引文分析</w:t>
        </w:r>
      </w:hyperlink>
    </w:p>
    <w:p>
      <w:pPr>
        <w:spacing w:before="0" w:after="80"/>
      </w:pPr>
      <w:r>
        <w:rPr>
          <w:i/>
          <w:sz w:val="20"/>
        </w:rPr>
        <w:t>EN: 2025 Citation Analysis of Energy Journals</w:t>
      </w:r>
    </w:p>
    <w:p>
      <w:pPr>
        <w:spacing w:before="0" w:after="120"/>
      </w:pPr>
      <w:r>
        <w:rPr>
          <w:b/>
        </w:rPr>
        <w:t xml:space="preserve">Source: </w:t>
      </w:r>
      <w:r>
        <w:t>ACS Energy Letters: Latest Articles (ACS Publications)</w:t>
      </w:r>
      <w:r>
        <w:t xml:space="preserve">    </w:t>
      </w:r>
      <w:r>
        <w:rPr>
          <w:b/>
        </w:rPr>
        <w:t xml:space="preserve">Pub date: </w:t>
      </w:r>
      <w:r>
        <w:t>2026-07-22 00:00:00+00:00</w:t>
      </w:r>
      <w:r>
        <w:t xml:space="preserve">    </w:t>
      </w:r>
      <w:r>
        <w:rPr>
          <w:b/>
        </w:rPr>
        <w:t xml:space="preserve">DOI: </w:t>
      </w:r>
      <w:hyperlink r:id="rId1648">
        <w:r>
          <w:rPr>
            <w:color w:val="1155CC"/>
            <w:u w:val="single"/>
          </w:rPr>
          <w:t>10.1021/acsenergylett.6c02086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[591] </w:t>
      </w:r>
      <w:hyperlink r:id="rId1649">
        <w:r>
          <w:rPr>
            <w:color w:val="1155CC"/>
            <w:u w:val="single"/>
          </w:rPr>
          <w:t>当干旱遇上战争创伤</w:t>
        </w:r>
      </w:hyperlink>
    </w:p>
    <w:p>
      <w:pPr>
        <w:spacing w:before="0" w:after="80"/>
      </w:pPr>
      <w:r>
        <w:rPr>
          <w:i/>
          <w:sz w:val="20"/>
        </w:rPr>
        <w:t>EN: When drought meets war trauma</w:t>
      </w:r>
    </w:p>
    <w:p>
      <w:pPr>
        <w:spacing w:before="0" w:after="120"/>
      </w:pPr>
      <w:r>
        <w:rPr>
          <w:b/>
        </w:rPr>
        <w:t xml:space="preserve">Source: </w:t>
      </w:r>
      <w:r>
        <w:t>Nature Sustainability</w:t>
      </w:r>
      <w:r>
        <w:t xml:space="preserve">    </w:t>
      </w:r>
      <w:r>
        <w:rPr>
          <w:b/>
        </w:rPr>
        <w:t xml:space="preserve">Pub date: </w:t>
      </w:r>
      <w:r>
        <w:t>2026-07-22 00:00:00+00:00</w:t>
      </w:r>
      <w:r>
        <w:t xml:space="preserve">    </w:t>
      </w:r>
      <w:r>
        <w:rPr>
          <w:b/>
        </w:rPr>
        <w:t xml:space="preserve">DOI: </w:t>
      </w:r>
      <w:hyperlink r:id="rId1650">
        <w:r>
          <w:rPr>
            <w:color w:val="1155CC"/>
            <w:u w:val="single"/>
          </w:rPr>
          <w:t>10.1038/s41893-026-01909-5</w:t>
        </w:r>
      </w:hyperlink>
    </w:p>
    <w:p>
      <w:pPr>
        <w:spacing w:before="0" w:after="120"/>
      </w:pPr>
      <w:r>
        <w:rPr>
          <w:b/>
        </w:rPr>
        <w:t xml:space="preserve">Notes: </w:t>
      </w:r>
      <w:r>
        <w:t>abstract_source=rss_nature</w:t>
      </w:r>
    </w:p>
    <w:p>
      <w:pPr>
        <w:spacing w:before="0" w:after="80" w:lineRule="auto" w:line="276"/>
      </w:pPr>
      <w:r>
        <w:rPr>
          <w:b/>
        </w:rPr>
        <w:t xml:space="preserve">摘要（ZH）: </w:t>
      </w:r>
      <w:r>
        <w:t>尽管武装冲突和气候变化在脆弱地区经常同时发生，但武装冲突和气候变化对人类造成的后果往往被分开研究。现在的一项研究揭示了干旱对战争造成的创伤后应激的复合影响，强调了将心理健康服务作为适应和人道主义应对措施的一部分的必要性。</w:t>
      </w:r>
    </w:p>
    <w:p>
      <w:pPr>
        <w:spacing w:before="0" w:after="200" w:lineRule="auto" w:line="276"/>
      </w:pPr>
      <w:r>
        <w:rPr>
          <w:b/>
        </w:rPr>
        <w:t xml:space="preserve">Abstract (EN): </w:t>
      </w:r>
      <w:r>
        <w:t>The human consequences of armed conflict and climate change are often studied separately despite frequent co-occurrence of those events in fragile regions. A study now reveals a compounding effect of drought on post-traumatic stress from war, underlining the need for mental health services as a component of adaptation and humanitarian responses.</w:t>
      </w:r>
    </w:p>
    <w:p>
      <w:pPr>
        <w:spacing w:before="120" w:after="120"/>
      </w:pPr>
      <w:r>
        <w:rPr>
          <w:sz w:val="18"/>
        </w:rPr>
        <w:t>——————————————————————————————————————————————————————————————————————</w:t>
      </w:r>
    </w:p>
    <w:p>
      <w:pPr>
        <w:spacing w:before="160" w:after="40" w:line="240" w:lineRule="auto"/>
      </w:pPr>
      <w:r>
        <w:rPr>
          <w:b/>
        </w:rPr>
        <w:t xml:space="preserve">[592] </w:t>
      </w:r>
      <w:hyperlink r:id="rId1651">
        <w:r>
          <w:rPr>
            <w:color w:val="1155CC"/>
            <w:u w:val="single"/>
          </w:rPr>
          <w:t>迭代非视距成像的瞬态光传输矩阵</w:t>
        </w:r>
      </w:hyperlink>
    </w:p>
    <w:p>
      <w:pPr>
        <w:spacing w:before="0" w:after="80"/>
      </w:pPr>
      <w:r>
        <w:rPr>
          <w:i/>
          <w:sz w:val="20"/>
        </w:rPr>
        <w:t>EN: Iterating the transient light transport matrix for non-line-of-sight imaging</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飞行时间非视距成像系统测量可见中继表面的瞬态光传输，以对隐藏物体进行成像。此类测量形成瞬态光传输矩阵（TLTM）。由于传统方法仅捕获该矩阵的低维子集，因此它们在很大程度上仅限于重建隐藏的几何形状。在这里，我们展示了在可见中继表面贴片之间测量的全维一阶 TLTM (TLTM-1)，能够恢复 TLTM-2，即隐藏表面贴片之间的时间分辨光传输。使用密集激光扫描和门控 16 × 16 单光子雪崩二极管阵列，我们在平面中继墙上对 TLTM-1 的所有尺寸进行采样。然后，我们通过计算将虚拟照明和检测独立地聚焦在隐藏场景内，从而有效地将中继表面转变为合成的飞行时间相机。实验和模拟表明，TLTM-2 揭示了间接阴影、相互反射和体积散射。我们进一步演示了直接-间接传输分离、虚拟重新照明和双重摄影。这些结果建立了用于恢复高阶传输（TLTM-n）的迭代框架。</w:t>
      </w:r>
    </w:p>
    <w:p>
      <w:pPr>
        <w:spacing w:before="0" w:after="200" w:lineRule="auto" w:line="276"/>
      </w:pPr>
      <w:r>
        <w:rPr>
          <w:b/>
        </w:rPr>
        <w:t xml:space="preserve">Abstract (EN): </w:t>
      </w:r>
      <w:r>
        <w:t>Time-of-flight non-line-of-sight imaging systems measure transient light transport at a visible relay surface to image hidden objects. Such measurements form a transient light transport matrix (TLTM). Because conventional methods capture only lower-dimensional subsets of this matrix, they are largely limited to reconstructing hidden geometry. Here, we show that a full-dimensional first-order TLTM (TLTM-1), measured between visible relay-surface patches, enables recovery of TLTM-2, the time-resolved light transport between hidden-surface patches. Using a dense laser scan and gated 16 × 16 single-photon avalanche diode array, we sample all dimensions of TLTM-1 on a planar relay wall. We then computationally focus virtual illumination and detection independently within the hidden scene, effectively turning the relay surface into a synthetic time-of-flight camera. Experiments and simulations show that TLTM-2 reveals indirect shadows, interreflections, and volumetric scattering. We further demonstrate direct-indirect transport separation, virtual relighting, and dual photography. These results establish an iterative framework for recovering higher-order transport (TLTM-n).</w:t>
      </w:r>
    </w:p>
    <w:p>
      <w:pPr>
        <w:spacing w:before="120" w:after="120"/>
      </w:pPr>
      <w:r>
        <w:rPr>
          <w:sz w:val="18"/>
        </w:rPr>
        <w:t>——————————————————————————————————————————————————————————————————————</w:t>
      </w:r>
    </w:p>
    <w:p>
      <w:pPr>
        <w:spacing w:before="160" w:after="40" w:line="240" w:lineRule="auto"/>
      </w:pPr>
      <w:r>
        <w:rPr>
          <w:b/>
        </w:rPr>
        <w:t xml:space="preserve">[593] </w:t>
      </w:r>
      <w:hyperlink r:id="rId1652">
        <w:r>
          <w:rPr>
            <w:color w:val="1155CC"/>
            <w:u w:val="single"/>
          </w:rPr>
          <w:t>作为亲核开壳氮合成子的可分离氮宾自由基阴离子</w:t>
        </w:r>
      </w:hyperlink>
    </w:p>
    <w:p>
      <w:pPr>
        <w:spacing w:before="0" w:after="80"/>
      </w:pPr>
      <w:r>
        <w:rPr>
          <w:i/>
          <w:sz w:val="20"/>
        </w:rPr>
        <w:t>EN: An isolable nitrene radical anion as a nucleophilic open-shell nitrogen synthon</w:t>
      </w:r>
    </w:p>
    <w:p>
      <w:pPr>
        <w:spacing w:before="0" w:after="120"/>
      </w:pPr>
      <w:r>
        <w:rPr>
          <w:b/>
        </w:rPr>
        <w:t xml:space="preserve">Source: </w:t>
      </w:r>
      <w:r>
        <w:t>Chem</w:t>
      </w:r>
      <w:r>
        <w:t xml:space="preserve">    </w:t>
      </w:r>
      <w:r>
        <w:rPr>
          <w:b/>
        </w:rPr>
        <w:t xml:space="preserve">Pub date: </w:t>
      </w:r>
      <w:r>
        <w:t>2026-07-22 00:00:00+00:00</w:t>
      </w:r>
      <w:r>
        <w:t xml:space="preserve">    </w:t>
      </w:r>
      <w:r>
        <w:rPr>
          <w:b/>
        </w:rPr>
        <w:t xml:space="preserve">DOI: </w:t>
      </w:r>
      <w:hyperlink r:id="rId1653">
        <w:r>
          <w:rPr>
            <w:color w:val="1155CC"/>
            <w:u w:val="single"/>
          </w:rPr>
          <w:t>10.1016/j.chempr.2026.103162</w:t>
        </w:r>
      </w:hyperlink>
    </w:p>
    <w:p>
      <w:pPr>
        <w:spacing w:before="0" w:after="120"/>
      </w:pPr>
      <w:r>
        <w:rPr>
          <w:b/>
        </w:rPr>
        <w:t xml:space="preserve">Notes: </w:t>
      </w:r>
      <w:r>
        <w:t>abstract_source=rss_cell</w:t>
      </w:r>
    </w:p>
    <w:p>
      <w:pPr>
        <w:spacing w:before="0" w:after="80" w:lineRule="auto" w:line="276"/>
      </w:pPr>
      <w:r>
        <w:rPr>
          <w:b/>
        </w:rPr>
        <w:t xml:space="preserve">摘要（ZH）: </w:t>
      </w:r>
      <w:r>
        <w:t>氮烯是众所周知的反应中间体，用于形成各种含氮分子，但它们的还原自由基阴离子在环境温度下仍然难以接近。在这里，持久性氮宾可以转化为具有非 Aufbau 电子构型的可分离自由基阴离子。该物种充当亲核氮自由基，在温和条件下形成新的 N-Se、N-Si 和 N-C 键。</w:t>
      </w:r>
    </w:p>
    <w:p>
      <w:pPr>
        <w:spacing w:before="0" w:after="200" w:lineRule="auto" w:line="276"/>
      </w:pPr>
      <w:r>
        <w:rPr>
          <w:b/>
        </w:rPr>
        <w:t xml:space="preserve">Abstract (EN): </w:t>
      </w:r>
      <w:r>
        <w:t>Nitrenes are well-known reactive intermediates used to form a variety of nitrogen-containing molecules, but their reduced radical anions have remained inaccessible under ambient temperature. Here, a persistent nitrene can be converted into an isolable radical anion that features a non-Aufbau electronic configuration. This species acts as a nucleophilic nitrogen radical that forms new N–Se, N–Si, and N–C bonds under mild conditions.</w:t>
      </w:r>
    </w:p>
    <w:p>
      <w:pPr>
        <w:spacing w:before="120" w:after="120"/>
      </w:pPr>
      <w:r>
        <w:rPr>
          <w:sz w:val="18"/>
        </w:rPr>
        <w:t>——————————————————————————————————————————————————————————————————————</w:t>
      </w:r>
    </w:p>
    <w:p>
      <w:pPr>
        <w:spacing w:before="160" w:after="40" w:line="240" w:lineRule="auto"/>
      </w:pPr>
      <w:r>
        <w:rPr>
          <w:b/>
        </w:rPr>
        <w:t xml:space="preserve">[594] </w:t>
      </w:r>
      <w:hyperlink r:id="rId1654">
        <w:r>
          <w:rPr>
            <w:color w:val="1155CC"/>
            <w:u w:val="single"/>
          </w:rPr>
          <w:t>三对三，栅极间距为 42 nm</w:t>
        </w:r>
      </w:hyperlink>
    </w:p>
    <w:p>
      <w:pPr>
        <w:spacing w:before="0" w:after="80"/>
      </w:pPr>
      <w:r>
        <w:rPr>
          <w:i/>
          <w:sz w:val="20"/>
        </w:rPr>
        <w:t>EN: Three on three with a gate pitch of 42 nm</w:t>
      </w:r>
    </w:p>
    <w:p>
      <w:pPr>
        <w:spacing w:before="0" w:after="120"/>
      </w:pPr>
      <w:r>
        <w:rPr>
          <w:b/>
        </w:rPr>
        <w:t xml:space="preserve">Source: </w:t>
      </w:r>
      <w:r>
        <w:t>Nature Electronics</w:t>
      </w:r>
      <w:r>
        <w:t xml:space="preserve">    </w:t>
      </w:r>
      <w:r>
        <w:rPr>
          <w:b/>
        </w:rPr>
        <w:t xml:space="preserve">Pub date: </w:t>
      </w:r>
      <w:r>
        <w:t>2026-07-22 00:00:00+00:00</w:t>
      </w:r>
      <w:r>
        <w:t xml:space="preserve">    </w:t>
      </w:r>
      <w:r>
        <w:rPr>
          <w:b/>
        </w:rPr>
        <w:t xml:space="preserve">DOI: </w:t>
      </w:r>
      <w:hyperlink r:id="rId1655">
        <w:r>
          <w:rPr>
            <w:color w:val="1155CC"/>
            <w:u w:val="single"/>
          </w:rPr>
          <w:t>10.1038/s41928-026-01678-1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[595] </w:t>
      </w:r>
      <w:hyperlink r:id="rId1656">
        <w:r>
          <w:rPr>
            <w:color w:val="1155CC"/>
            <w:u w:val="single"/>
          </w:rPr>
          <w:t>通过 CMOS 上宽带图像传感器和亚玻尔兹曼晶体管的异构集成实现多光谱图像融合</w:t>
        </w:r>
      </w:hyperlink>
    </w:p>
    <w:p>
      <w:pPr>
        <w:spacing w:before="0" w:after="80"/>
      </w:pPr>
      <w:r>
        <w:rPr>
          <w:i/>
          <w:sz w:val="20"/>
        </w:rPr>
        <w:t>EN: Multispectral image fusion via heterogeneous integration of broadband image sensor and sub‑Boltzmann Transistors on CMOS</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从紫外到近红外的宽带多光谱成像可以将光谱信息融合到单个复合材料中，从而丰富了机器视觉和医疗诊断的输入。传统的融合系统需要多个光电探测器和共同配准算法，导致分辨率不匹配、面积开销和计算负担，而读出电路则增加了芯片面积和功耗。缩小尺寸的晶体管还受到断态泄漏和热离子限制的影响，从而增加暗电流并降低信噪比。在这里，我们报告了一种异构集成量子点敏化光电晶体管有源像素传感器阵列，在垂直堆叠架构中结合了串联的基于 CMOS 的陡亚阈值开关晶体管。这些开关在玻尔兹曼极限以下运行，在 6 个十年内实现了约 3.27 mV/dec 的亚阈值摆幅，比 CMOS 低约 52 倍，漏电流约 0.1 pA。该阵列具有约 36 fA 的超低暗电流、&gt;120 dB 的线性动态范围和约 30 fJ/像素的开关能量。该光电晶体管具有约 2 × 106 A/W 响应度​​和约 1.3 × 1014 琼斯探测度，可实现用于医学成像的单传感器像素级多光谱融合。</w:t>
      </w:r>
    </w:p>
    <w:p>
      <w:pPr>
        <w:spacing w:before="0" w:after="200" w:lineRule="auto" w:line="276"/>
      </w:pPr>
      <w:r>
        <w:rPr>
          <w:b/>
        </w:rPr>
        <w:t xml:space="preserve">Abstract (EN): </w:t>
      </w:r>
      <w:r>
        <w:t>Broadband multispectral imaging from ultraviolet to near-infrared enables spectral information fusion into a single composite, enriching inputs for machine vision and medical diagnostics. Conventional fusion systems require multiple photodetectors and co-registration algorithms, leading to resolution mismatch, area overhead, and computational burden, while readout circuitry increases chip area and power. Scaled transistors also suffer from off-state leakage and thermionic limits, increasing dark current and degrading signal-to-noise ratio. Here, we report a heterogeneously integrated quantum-dot-sensitized phototransistor active pixel sensor array incorporating series-connected CMOS-based steep-subthreshold switching transistors in a vertically stacked architecture. The switches operate below the Boltzmann limit, achieving a subthreshold swing of ~3.27 mV/dec over six decades, ~52-fold lower than CMOS, with ~0.1 pA leakage. The array exhibits ultralow dark current of ~36 fA, &gt;120 dB linear dynamic range, and ~30 fJ/pixel switching energy. The phototransistor exhibits ~2 × 106 A/W responsivity and ~1.3 × 1014 Jones detectivity, enabling single-sensor pixel-level multispectral fusion for medical imaging.</w:t>
      </w:r>
    </w:p>
    <w:p>
      <w:pPr>
        <w:spacing w:before="120" w:after="120"/>
      </w:pPr>
      <w:r>
        <w:rPr>
          <w:sz w:val="18"/>
        </w:rPr>
        <w:t>——————————————————————————————————————————————————————————————————————</w:t>
      </w:r>
    </w:p>
    <w:p>
      <w:pPr>
        <w:spacing w:before="160" w:after="40" w:line="240" w:lineRule="auto"/>
      </w:pPr>
      <w:r>
        <w:rPr>
          <w:b/>
        </w:rPr>
        <w:t xml:space="preserve">[596] </w:t>
      </w:r>
      <w:hyperlink r:id="rId1657">
        <w:r>
          <w:rPr>
            <w:color w:val="1155CC"/>
            <w:u w:val="single"/>
          </w:rPr>
          <w:t>遗传背景决定了实验性癌症进化的轨迹</w:t>
        </w:r>
      </w:hyperlink>
    </w:p>
    <w:p>
      <w:pPr>
        <w:spacing w:before="0" w:after="80"/>
      </w:pPr>
      <w:r>
        <w:rPr>
          <w:i/>
          <w:sz w:val="20"/>
        </w:rPr>
        <w:t>EN: Genetic background sets the trajectory of experimental cancer evolution</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58">
        <w:r>
          <w:rPr>
            <w:color w:val="1155CC"/>
            <w:u w:val="single"/>
          </w:rPr>
          <w:t>10.1038/s41586-026-10821-z</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人类癌症具有异质性</w:t>
      </w:r>
      <w:r>
        <w:rPr>
          <w:vertAlign w:val="subscript"/>
        </w:rPr>
        <w:t>1</w:t>
      </w:r>
      <w:r>
        <w:t>。使用人类数据集剖析种系遗传变异和环境因素如何影响肿瘤进化受到遗传背景固有多样性的限制</w:t>
      </w:r>
      <w:r>
        <w:rPr>
          <w:vertAlign w:val="subscript"/>
        </w:rPr>
        <w:t>2</w:t>
      </w:r>
      <w:r>
        <w:t>和环境暴露</w:t>
      </w:r>
      <w:r>
        <w:t xml:space="preserve"> </w:t>
      </w:r>
      <w:r>
        <w:t>3–5</w:t>
      </w:r>
      <w:r>
        <w:t xml:space="preserve"> </w:t>
      </w:r>
      <w:r>
        <w:t>。在这里，为了克服这些限制，我们在不同的近交系小鼠品系中重新进行了早期肿瘤进化数百次，生成匹配的组织学以及全基因组和转录组序列。性别、环境和致癌暴露均受到控制，研究设计使我们能够捕获与在人群中观察到的遗传变异相当的遗传变异，同时利用菌株-幼仔-动物-肿瘤关系的嵌套层次结构。我们的分析表明，遗传背景和获得性体细胞突变之间的上位相互作用导致人群特异性疾病进展，包括驱动突变的选择、全基因组重复的发生以及反映癌症易感性和肿瘤生长速率的亚克隆选择动态。即使是与人类祖先群体中发现的微小遗传差异相比，也可以显着改变癌症发展过程中的选择压力，从而影响癌症风险和肿瘤进化轨迹。</w:t>
      </w:r>
    </w:p>
    <w:p>
      <w:pPr>
        <w:spacing w:before="0" w:after="200" w:lineRule="auto" w:line="276"/>
      </w:pPr>
      <w:r>
        <w:rPr>
          <w:b/>
        </w:rPr>
        <w:t xml:space="preserve">Abstract (EN): </w:t>
      </w:r>
      <w:r>
        <w:t>Human cancers are heterogeneous</w:t>
      </w:r>
      <w:r>
        <w:rPr>
          <w:vertAlign w:val="subscript"/>
        </w:rPr>
        <w:t>1</w:t>
      </w:r>
      <w:r>
        <w:t>. Dissecting how germline genetic variation and environmental factors shape tumour evolution using human datasets is limited by inherent diversity in genetic backgrounds</w:t>
      </w:r>
      <w:r>
        <w:rPr>
          <w:vertAlign w:val="subscript"/>
        </w:rPr>
        <w:t>2</w:t>
      </w:r>
      <w:r>
        <w:t>and environmental exposures</w:t>
      </w:r>
      <w:r>
        <w:t xml:space="preserve"> </w:t>
      </w:r>
      <w:r>
        <w:t>3–5</w:t>
      </w:r>
      <w:r>
        <w:t xml:space="preserve"> </w:t>
      </w:r>
      <w:r>
        <w:t>. Here, to overcome these limitations, we re-ran early tumour evolution hundreds of times in diverged inbred mouse strains, generating matched histology and whole-genome and transcriptome sequences. The sex, environment and carcinogenic exposures were all controlled, and the study design allowed us to capture genetic variation comparable with that observed across human populations while exploiting the nested hierarchical structure of strain–litter–animal–tumour relationships. Our analyses reveal that epistatic interactions between genetic background and acquired somatic mutations result in population-specific disease progression, including choice of driver mutations, occurrence of whole-genome duplication and subclonal selection dynamics that mirror both cancer susceptibility and tumour growth rate. Even modest genetic divergence, comparable with that found across human ancestry groups, can strikingly alter selection pressures during cancer development to shape both cancer risk and the trajectory of tumour evolution.</w:t>
      </w:r>
    </w:p>
    <w:p>
      <w:pPr>
        <w:spacing w:before="120" w:after="120"/>
      </w:pPr>
      <w:r>
        <w:rPr>
          <w:sz w:val="18"/>
        </w:rPr>
        <w:t>——————————————————————————————————————————————————————————————————————</w:t>
      </w:r>
    </w:p>
    <w:p>
      <w:pPr>
        <w:spacing w:before="160" w:after="40" w:line="240" w:lineRule="auto"/>
      </w:pPr>
      <w:r>
        <w:rPr>
          <w:b/>
        </w:rPr>
        <w:t xml:space="preserve">[597] </w:t>
      </w:r>
      <w:hyperlink r:id="rId1659">
        <w:r>
          <w:rPr>
            <w:color w:val="1155CC"/>
            <w:u w:val="single"/>
          </w:rPr>
          <w:t>眼睛向上看向无限远</w:t>
        </w:r>
      </w:hyperlink>
    </w:p>
    <w:p>
      <w:pPr>
        <w:spacing w:before="0" w:after="80"/>
      </w:pPr>
      <w:r>
        <w:rPr>
          <w:i/>
          <w:sz w:val="20"/>
        </w:rPr>
        <w:t>EN: Eyes upturned towards infinity</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60">
        <w:r>
          <w:rPr>
            <w:color w:val="1155CC"/>
            <w:u w:val="single"/>
          </w:rPr>
          <w:t>10.1038/d41586-026-02256-3</w:t>
        </w:r>
      </w:hyperlink>
    </w:p>
    <w:p>
      <w:pPr>
        <w:spacing w:before="0" w:after="120"/>
      </w:pPr>
      <w:r>
        <w:rPr>
          <w:b/>
        </w:rPr>
        <w:t xml:space="preserve">Notes: </w:t>
      </w:r>
      <w:r>
        <w:t>abstract_source=nature_html</w:t>
      </w:r>
    </w:p>
    <w:p>
      <w:pPr>
        <w:spacing w:before="0" w:after="80" w:lineRule="auto" w:line="276"/>
      </w:pPr>
      <w:r>
        <w:rPr>
          <w:b/>
        </w:rPr>
        <w:t xml:space="preserve">摘要（ZH）: </w:t>
      </w:r>
      <w:r>
        <w:t>我们眼中的星星。</w:t>
      </w:r>
    </w:p>
    <w:p>
      <w:pPr>
        <w:spacing w:before="0" w:after="200" w:lineRule="auto" w:line="276"/>
      </w:pPr>
      <w:r>
        <w:rPr>
          <w:b/>
        </w:rPr>
        <w:t xml:space="preserve">Abstract (EN): </w:t>
      </w:r>
      <w:r>
        <w:t>Stars in our eyes.</w:t>
      </w:r>
    </w:p>
    <w:p>
      <w:pPr>
        <w:spacing w:before="120" w:after="120"/>
      </w:pPr>
      <w:r>
        <w:rPr>
          <w:sz w:val="18"/>
        </w:rPr>
        <w:t>——————————————————————————————————————————————————————————————————————</w:t>
      </w:r>
    </w:p>
    <w:p>
      <w:pPr>
        <w:spacing w:before="160" w:after="40" w:line="240" w:lineRule="auto"/>
      </w:pPr>
      <w:r>
        <w:rPr>
          <w:b/>
        </w:rPr>
        <w:t xml:space="preserve">[598] </w:t>
      </w:r>
      <w:hyperlink r:id="rId1661">
        <w:r>
          <w:rPr>
            <w:color w:val="1155CC"/>
            <w:u w:val="single"/>
          </w:rPr>
          <w:t>这是阿耳忒弥斯二号宇航员的下一步</w:t>
        </w:r>
      </w:hyperlink>
    </w:p>
    <w:p>
      <w:pPr>
        <w:spacing w:before="0" w:after="80"/>
      </w:pPr>
      <w:r>
        <w:rPr>
          <w:i/>
          <w:sz w:val="20"/>
        </w:rPr>
        <w:t>EN: Here’s what’s next for the Artemis II astronauts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62">
        <w:r>
          <w:rPr>
            <w:color w:val="1155CC"/>
            <w:u w:val="single"/>
          </w:rPr>
          <w:t>10.1038/d41586-026-02020-7</w:t>
        </w:r>
      </w:hyperlink>
    </w:p>
    <w:p>
      <w:pPr>
        <w:spacing w:before="0" w:after="120"/>
      </w:pPr>
      <w:r>
        <w:rPr>
          <w:b/>
        </w:rPr>
        <w:t xml:space="preserve">Notes: </w:t>
      </w:r>
      <w:r>
        <w:t>abstract_source=rss_nature</w:t>
      </w:r>
    </w:p>
    <w:p>
      <w:pPr>
        <w:spacing w:before="0" w:after="80" w:lineRule="auto" w:line="276"/>
      </w:pPr>
      <w:r>
        <w:rPr>
          <w:b/>
        </w:rPr>
        <w:t xml:space="preserve">摘要（ZH）: </w:t>
      </w:r>
      <w:r>
        <w:t>事实证明，新获得的名声对于一些宇航员来说是巨大的，但对于另一些宇航员来说则困难重重。 NASA 受欢迎的宇航员需要一些空间吗？</w:t>
      </w:r>
    </w:p>
    <w:p>
      <w:pPr>
        <w:spacing w:before="0" w:after="200" w:lineRule="auto" w:line="276"/>
      </w:pPr>
      <w:r>
        <w:rPr>
          <w:b/>
        </w:rPr>
        <w:t xml:space="preserve">Abstract (EN): </w:t>
      </w:r>
      <w:r>
        <w:t>Newfound fame has proved to be stellar for some astronauts but harder for others. Will NASA’s popular crew need some space?</w:t>
      </w:r>
    </w:p>
    <w:p>
      <w:pPr>
        <w:spacing w:before="120" w:after="120"/>
      </w:pPr>
      <w:r>
        <w:rPr>
          <w:sz w:val="18"/>
        </w:rPr>
        <w:t>——————————————————————————————————————————————————————————————————————</w:t>
      </w:r>
    </w:p>
    <w:p>
      <w:pPr>
        <w:spacing w:before="160" w:after="40" w:line="240" w:lineRule="auto"/>
      </w:pPr>
      <w:r>
        <w:rPr>
          <w:b/>
        </w:rPr>
        <w:t xml:space="preserve">[599] </w:t>
      </w:r>
      <w:hyperlink r:id="rId1663">
        <w:r>
          <w:rPr>
            <w:color w:val="1155CC"/>
            <w:u w:val="single"/>
          </w:rPr>
          <w:t>如何使用人工智能在几分钟内制作图形摘要</w:t>
        </w:r>
      </w:hyperlink>
    </w:p>
    <w:p>
      <w:pPr>
        <w:spacing w:before="0" w:after="80"/>
      </w:pPr>
      <w:r>
        <w:rPr>
          <w:i/>
          <w:sz w:val="20"/>
        </w:rPr>
        <w:t>EN: How to use AI to make a graphical abstract in minutes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64">
        <w:r>
          <w:rPr>
            <w:color w:val="1155CC"/>
            <w:u w:val="single"/>
          </w:rPr>
          <w:t>10.1038/d41586-026-02072-9</w:t>
        </w:r>
      </w:hyperlink>
    </w:p>
    <w:p>
      <w:pPr>
        <w:spacing w:before="0" w:after="120"/>
      </w:pPr>
      <w:r>
        <w:rPr>
          <w:b/>
        </w:rPr>
        <w:t xml:space="preserve">Notes: </w:t>
      </w:r>
      <w:r>
        <w:t>abstract_source=rss_nature</w:t>
      </w:r>
    </w:p>
    <w:p>
      <w:pPr>
        <w:spacing w:before="0" w:after="80" w:lineRule="auto" w:line="276"/>
      </w:pPr>
      <w:r>
        <w:rPr>
          <w:b/>
        </w:rPr>
        <w:t xml:space="preserve">摘要（ZH）: </w:t>
      </w:r>
      <w:r>
        <w:t>对于那些没有图形设计经验的人来说，只要认真使用人工智能，它就是一股民主化的力量。</w:t>
      </w:r>
    </w:p>
    <w:p>
      <w:pPr>
        <w:spacing w:before="0" w:after="200" w:lineRule="auto" w:line="276"/>
      </w:pPr>
      <w:r>
        <w:rPr>
          <w:b/>
        </w:rPr>
        <w:t xml:space="preserve">Abstract (EN): </w:t>
      </w:r>
      <w:r>
        <w:t>Artificial intelligence is a democratizing force for those without graphic-design experience, as long as it is used conscientiously.</w:t>
      </w:r>
    </w:p>
    <w:p>
      <w:pPr>
        <w:spacing w:before="120" w:after="120"/>
      </w:pPr>
      <w:r>
        <w:rPr>
          <w:sz w:val="18"/>
        </w:rPr>
        <w:t>——————————————————————————————————————————————————————————————————————</w:t>
      </w:r>
    </w:p>
    <w:p>
      <w:pPr>
        <w:spacing w:before="160" w:after="40" w:line="240" w:lineRule="auto"/>
      </w:pPr>
      <w:r>
        <w:rPr>
          <w:b/>
        </w:rPr>
        <w:t xml:space="preserve">[600] </w:t>
      </w:r>
      <w:hyperlink r:id="rId1665">
        <w:r>
          <w:rPr>
            <w:color w:val="1155CC"/>
            <w:u w:val="single"/>
          </w:rPr>
          <w:t>“好的设计需要精通”：科学插画家勾画人工智能的未来</w:t>
        </w:r>
      </w:hyperlink>
    </w:p>
    <w:p>
      <w:pPr>
        <w:spacing w:before="0" w:after="80"/>
      </w:pPr>
      <w:r>
        <w:rPr>
          <w:i/>
          <w:sz w:val="20"/>
        </w:rPr>
        <w:t>EN: ‘Good design takes mastery’: scientific illustrators sketch out AI’s future</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66">
        <w:r>
          <w:rPr>
            <w:color w:val="1155CC"/>
            <w:u w:val="single"/>
          </w:rPr>
          <w:t>10.1038/d41586-026-02230-z</w:t>
        </w:r>
      </w:hyperlink>
    </w:p>
    <w:p>
      <w:pPr>
        <w:spacing w:before="0" w:after="120"/>
      </w:pPr>
      <w:r>
        <w:rPr>
          <w:b/>
        </w:rPr>
        <w:t xml:space="preserve">Notes: </w:t>
      </w:r>
      <w:r>
        <w:t>abstract_source=rss_nature</w:t>
      </w:r>
    </w:p>
    <w:p>
      <w:pPr>
        <w:spacing w:before="0" w:after="80" w:lineRule="auto" w:line="276"/>
      </w:pPr>
      <w:r>
        <w:rPr>
          <w:b/>
        </w:rPr>
        <w:t xml:space="preserve">摘要（ZH）: </w:t>
      </w:r>
      <w:r>
        <w:t>《自然》杂志采访了五位艺术家，谈论他们以视觉方式传达科学的方法。</w:t>
      </w:r>
    </w:p>
    <w:p>
      <w:pPr>
        <w:spacing w:before="0" w:after="200" w:lineRule="auto" w:line="276"/>
      </w:pPr>
      <w:r>
        <w:rPr>
          <w:b/>
        </w:rPr>
        <w:t xml:space="preserve">Abstract (EN): </w:t>
      </w:r>
      <w:r>
        <w:t>Nature talks to five artists about their approaches to communicating science visually.</w:t>
      </w:r>
    </w:p>
    <w:p>
      <w:pPr>
        <w:spacing w:before="120" w:after="120"/>
      </w:pPr>
      <w:r>
        <w:rPr>
          <w:sz w:val="18"/>
        </w:rPr>
        <w:t>——————————————————————————————————————————————————————————————————————</w:t>
      </w:r>
    </w:p>
    <w:p>
      <w:pPr>
        <w:spacing w:before="160" w:after="40" w:line="240" w:lineRule="auto"/>
      </w:pPr>
      <w:r>
        <w:rPr>
          <w:b/>
        </w:rPr>
        <w:t xml:space="preserve">[601] </w:t>
      </w:r>
      <w:hyperlink r:id="rId1667">
        <w:r>
          <w:rPr>
            <w:color w:val="1155CC"/>
            <w:u w:val="single"/>
          </w:rPr>
          <w:t>AI 识别 CRISPR 复合物中的相互作用以提高 DNA 编辑的特异性</w:t>
        </w:r>
      </w:hyperlink>
    </w:p>
    <w:p>
      <w:pPr>
        <w:spacing w:before="0" w:after="80"/>
      </w:pPr>
      <w:r>
        <w:rPr>
          <w:i/>
          <w:sz w:val="20"/>
        </w:rPr>
        <w:t>EN: AI identifies interactions in CRISPR complexes to improve specificity of DNA editing</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68">
        <w:r>
          <w:rPr>
            <w:color w:val="1155CC"/>
            <w:u w:val="single"/>
          </w:rPr>
          <w:t>10.1038/d41586-026-02042-1</w:t>
        </w:r>
      </w:hyperlink>
    </w:p>
    <w:p>
      <w:pPr>
        <w:spacing w:before="0" w:after="120"/>
      </w:pPr>
      <w:r>
        <w:rPr>
          <w:b/>
        </w:rPr>
        <w:t xml:space="preserve">Notes: </w:t>
      </w:r>
      <w:r>
        <w:t>abstract_source=rss_nature</w:t>
      </w:r>
    </w:p>
    <w:p>
      <w:pPr>
        <w:spacing w:before="0" w:after="80" w:lineRule="auto" w:line="276"/>
      </w:pPr>
      <w:r>
        <w:rPr>
          <w:b/>
        </w:rPr>
        <w:t xml:space="preserve">摘要（ZH）: </w:t>
      </w:r>
      <w:r>
        <w:t>AlphaFold3 对基因组编辑酶产生的分子接触的预测已被用来提高酶对目标 DNA 序列的选择性。</w:t>
      </w:r>
    </w:p>
    <w:p>
      <w:pPr>
        <w:spacing w:before="0" w:after="200" w:lineRule="auto" w:line="276"/>
      </w:pPr>
      <w:r>
        <w:rPr>
          <w:b/>
        </w:rPr>
        <w:t xml:space="preserve">Abstract (EN): </w:t>
      </w:r>
      <w:r>
        <w:t>AlphaFold3 predictions of the molecular contacts made by a genome-editing enzyme have been used to improve the enzyme’s selectivity for target DNA sequences.</w:t>
      </w:r>
    </w:p>
    <w:p>
      <w:pPr>
        <w:spacing w:before="120" w:after="120"/>
      </w:pPr>
      <w:r>
        <w:rPr>
          <w:sz w:val="18"/>
        </w:rPr>
        <w:t>——————————————————————————————————————————————————————————————————————</w:t>
      </w:r>
    </w:p>
    <w:p>
      <w:pPr>
        <w:spacing w:before="160" w:after="40" w:line="240" w:lineRule="auto"/>
      </w:pPr>
      <w:r>
        <w:rPr>
          <w:b/>
        </w:rPr>
        <w:t xml:space="preserve">[602] </w:t>
      </w:r>
      <w:hyperlink r:id="rId1669">
        <w:r>
          <w:rPr>
            <w:color w:val="1155CC"/>
            <w:u w:val="single"/>
          </w:rPr>
          <w:t>背景遗传学和新突变相互作用以指导癌症进化</w:t>
        </w:r>
      </w:hyperlink>
    </w:p>
    <w:p>
      <w:pPr>
        <w:spacing w:before="0" w:after="80"/>
      </w:pPr>
      <w:r>
        <w:rPr>
          <w:i/>
          <w:sz w:val="20"/>
        </w:rPr>
        <w:t>EN: Background genetics and new mutations interact to direct cancer evolution</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70">
        <w:r>
          <w:rPr>
            <w:color w:val="1155CC"/>
            <w:u w:val="single"/>
          </w:rPr>
          <w:t>10.1038/d41586-026-02155-7</w:t>
        </w:r>
      </w:hyperlink>
    </w:p>
    <w:p>
      <w:pPr>
        <w:spacing w:before="0" w:after="120"/>
      </w:pPr>
      <w:r>
        <w:rPr>
          <w:b/>
        </w:rPr>
        <w:t xml:space="preserve">Notes: </w:t>
      </w:r>
      <w:r>
        <w:t>abstract_source=openalex</w:t>
      </w:r>
    </w:p>
    <w:p>
      <w:pPr>
        <w:spacing w:before="0" w:after="80" w:lineRule="auto" w:line="276"/>
      </w:pPr>
      <w:r>
        <w:rPr>
          <w:b/>
        </w:rPr>
        <w:t xml:space="preserve">摘要（ZH）: </w:t>
      </w:r>
      <w:r>
        <w:t>重新运行小鼠肿瘤进化研究，揭示了 DNA 损伤后癌症如何发展，并揭示了背景遗传学和获得性突变相互作用，塑造了基因组的稳定性和选择。这提供了实验证据，证明遗传血统在设定癌症进化轨迹方面发挥着重要作用。对小鼠的研究表明，癌症动态取决于遗传基因组和获得性突变之间的相互作用。</w:t>
      </w:r>
    </w:p>
    <w:p>
      <w:pPr>
        <w:spacing w:before="0" w:after="200" w:lineRule="auto" w:line="276"/>
      </w:pPr>
      <w:r>
        <w:rPr>
          <w:b/>
        </w:rPr>
        <w:t xml:space="preserve">Abstract (EN): </w:t>
      </w:r>
      <w:r>
        <w:t>Rerunning tumour evolution in mice shows how cancer develops after DNA damage and reveals that background genetics and acquired mutations interact to shape genome stability and selection. This provides experimental evidence that genetic ancestry has an important role in setting the trajectory of cancer evolution. Studies of mice show that cancer dynamics depend on an interplay between the inherited genome and acquired mutations.</w:t>
      </w:r>
    </w:p>
    <w:p>
      <w:pPr>
        <w:spacing w:before="120" w:after="120"/>
      </w:pPr>
      <w:r>
        <w:rPr>
          <w:sz w:val="18"/>
        </w:rPr>
        <w:t>——————————————————————————————————————————————————————————————————————</w:t>
      </w:r>
    </w:p>
    <w:p>
      <w:pPr>
        <w:spacing w:before="160" w:after="40" w:line="240" w:lineRule="auto"/>
      </w:pPr>
      <w:r>
        <w:rPr>
          <w:b/>
        </w:rPr>
        <w:t xml:space="preserve">[603] </w:t>
      </w:r>
      <w:hyperlink r:id="rId1671">
        <w:r>
          <w:rPr>
            <w:color w:val="1155CC"/>
            <w:u w:val="single"/>
          </w:rPr>
          <w:t>制造 C-糖苷分子的激进方法</w:t>
        </w:r>
      </w:hyperlink>
    </w:p>
    <w:p>
      <w:pPr>
        <w:spacing w:before="0" w:after="80"/>
      </w:pPr>
      <w:r>
        <w:rPr>
          <w:i/>
          <w:sz w:val="20"/>
        </w:rPr>
        <w:t>EN: A radical approach to making C-glycoside molecules</w:t>
      </w:r>
    </w:p>
    <w:p>
      <w:pPr>
        <w:spacing w:before="0" w:after="120"/>
      </w:pPr>
      <w:r>
        <w:rPr>
          <w:b/>
        </w:rPr>
        <w:t xml:space="preserve">Source: </w:t>
      </w:r>
      <w:r>
        <w:t>Nature</w:t>
      </w:r>
      <w:r>
        <w:t xml:space="preserve">    </w:t>
      </w:r>
      <w:r>
        <w:rPr>
          <w:b/>
        </w:rPr>
        <w:t xml:space="preserve">Pub date: </w:t>
      </w:r>
      <w:r>
        <w:t>2026-07-22 00:00:00+00:00</w:t>
      </w:r>
      <w:r>
        <w:t xml:space="preserve">    </w:t>
      </w:r>
      <w:r>
        <w:rPr>
          <w:b/>
        </w:rPr>
        <w:t xml:space="preserve">DOI: </w:t>
      </w:r>
      <w:hyperlink r:id="rId1672">
        <w:r>
          <w:rPr>
            <w:color w:val="1155CC"/>
            <w:u w:val="single"/>
          </w:rPr>
          <w:t>10.1038/d41586-026-02237-6</w:t>
        </w:r>
      </w:hyperlink>
    </w:p>
    <w:p>
      <w:pPr>
        <w:spacing w:before="0" w:after="120"/>
      </w:pPr>
      <w:r>
        <w:rPr>
          <w:b/>
        </w:rPr>
        <w:t xml:space="preserve">Notes: </w:t>
      </w:r>
      <w:r>
        <w:t>abstract_source=openalex</w:t>
      </w:r>
    </w:p>
    <w:p>
      <w:pPr>
        <w:spacing w:before="0" w:after="80" w:lineRule="auto" w:line="276"/>
      </w:pPr>
      <w:r>
        <w:rPr>
          <w:b/>
        </w:rPr>
        <w:t xml:space="preserve">摘要（ZH）: </w:t>
      </w:r>
      <w:r>
        <w:t>已经开发出一种从糖合成高度理想的 C-糖苷分子的平台，该平台使用糖基磺酰肼作为易于获得的自由基前体。该策略能够在碳水化合物支架上有针对性地形成碳-碳键，并具有所需的原子 3D 排列的特异性。使用这种合成路线可以更容易地制造一类糖尿病药物。</w:t>
      </w:r>
    </w:p>
    <w:p>
      <w:pPr>
        <w:spacing w:before="0" w:after="200" w:lineRule="auto" w:line="276"/>
      </w:pPr>
      <w:r>
        <w:rPr>
          <w:b/>
        </w:rPr>
        <w:t xml:space="preserve">Abstract (EN): </w:t>
      </w:r>
      <w:r>
        <w:t>A platform for synthesizing highly desirable C-glycoside molecules from sugar has been developed that uses glycosyl sulfonyl hydrazides as readily accessible free-radical precursors. The strategy enables targeted formation of carbon–carbon bonds across carbohydrate scaffolds and with specificity for the desired 3D arrangement of atoms. A class of diabetes drug could be easier to make using this synthetic route.</w:t>
      </w:r>
    </w:p>
    <w:p>
      <w:pPr>
        <w:spacing w:before="120" w:after="120"/>
      </w:pPr>
      <w:r>
        <w:rPr>
          <w:sz w:val="18"/>
        </w:rPr>
        <w:t>——————————————————————————————————————————————————————————————————————</w:t>
      </w:r>
    </w:p>
    <w:p>
      <w:pPr>
        <w:spacing w:before="160" w:after="40" w:line="240" w:lineRule="auto"/>
      </w:pPr>
      <w:r>
        <w:rPr>
          <w:b/>
        </w:rPr>
        <w:t xml:space="preserve">[604] </w:t>
      </w:r>
      <w:hyperlink r:id="rId1673">
        <w:r>
          <w:rPr>
            <w:color w:val="1155CC"/>
            <w:u w:val="single"/>
          </w:rPr>
          <w:t>高阶光子简并性使得连续体中束缚态的拓扑重构成为可能</w:t>
        </w:r>
      </w:hyperlink>
    </w:p>
    <w:p>
      <w:pPr>
        <w:spacing w:before="0" w:after="80"/>
      </w:pPr>
      <w:r>
        <w:rPr>
          <w:i/>
          <w:sz w:val="20"/>
        </w:rPr>
        <w:t>EN: High-order photonic degeneracy enables topological reconfiguration in bound states in the continuum</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开放平面光子系统中自由空间辐射的极端抑制仍然是纳米光子学的长期目标。连续体中的传统束缚态 (BIC) 受到对称性保护或偶然奇点的约束，将实验 Q-k 标度指数限制为 n = 2-8，因为普通能带缺乏足够的自由度来容纳、重新分布或合并其他辐射抑制奇点。在这里，我们演示了一种简并驱动的拓扑重构机制：在 Γ 处的 E2 型高阶简并充当多电荷库，能够在对称破缺下实现拓扑电荷的受控释放、反转和合并。这在单层全电介质超表面中解锁了 Q ∝ k−10 辐射抑制机制。通过实验，我们实现了超高的自由空间 Q 因子，几何鲁棒性为 3%，最大 Q 为 1.1 × 106。利用这些共振的 100 像素阵列通过解析超窄 H13C14N 吸收线来演示皮米级光谱辨别。这些结果建立了支持高阶简并的 BIC 物理，用于稳健的超高 Q 光子学和精密自由空间光谱学。</w:t>
      </w:r>
    </w:p>
    <w:p>
      <w:pPr>
        <w:spacing w:before="0" w:after="200" w:lineRule="auto" w:line="276"/>
      </w:pPr>
      <w:r>
        <w:rPr>
          <w:b/>
        </w:rPr>
        <w:t xml:space="preserve">Abstract (EN): </w:t>
      </w:r>
      <w:r>
        <w:t>Extreme suppression of free-space radiation in open planar photonic systems remains a long-standing goal in nanophotonics. Conventional bound states in the continuum (BICs), constrained by symmetry-protected or accidental singularities, restrict experimental Q-k scaling exponents to n = 2-8 because ordinary bands lack sufficient degrees of freedom to host, redistribute or merge additional radiation-suppressing singularities. Here we demonstrate a degeneracy-driven topological-reconfiguration mechanism: an E2-type high-order degeneracy at Γ acts as a multi-charge reservoir, enabling controlled release, inversion and merging of topological charges under symmetry breaking. This unlocks a Q ∝ k−10 radiation-suppression regime in a single-layer all-dielectric metasurface. Experimentally, we realize ultrahigh free-space Q-factors with 3% geometric robustness and a maximum Q of 1.1 × 106. A 100-pixel array exploiting these resonances demonstrates picometre-scale spectral discrimination by resolving ultranarrow H13C14N absorption lines. These results establish high-order-degeneracy-enabled BIC physics for robust ultrahigh-Q photonics and precision free-space spectroscopy.</w:t>
      </w:r>
    </w:p>
    <w:p>
      <w:pPr>
        <w:spacing w:before="120" w:after="120"/>
      </w:pPr>
      <w:r>
        <w:rPr>
          <w:sz w:val="18"/>
        </w:rPr>
        <w:t>——————————————————————————————————————————————————————————————————————</w:t>
      </w:r>
    </w:p>
    <w:p>
      <w:pPr>
        <w:spacing w:before="160" w:after="40" w:line="240" w:lineRule="auto"/>
      </w:pPr>
      <w:r>
        <w:rPr>
          <w:b/>
        </w:rPr>
        <w:t xml:space="preserve">[605] </w:t>
      </w:r>
      <w:hyperlink r:id="rId1674">
        <w:r>
          <w:rPr>
            <w:color w:val="1155CC"/>
            <w:u w:val="single"/>
          </w:rPr>
          <w:t>嵌入聚合物刷的超高分子量聚乙烯/埃洛石纳米管复合材料的增强水化润滑</w:t>
        </w:r>
      </w:hyperlink>
    </w:p>
    <w:p>
      <w:pPr>
        <w:spacing w:before="0" w:after="80"/>
      </w:pPr>
      <w:r>
        <w:rPr>
          <w:i/>
          <w:sz w:val="20"/>
        </w:rPr>
        <w:t>EN: Enhanced Hydration Lubrication of Ultrahigh Molecular Weight Polyethylene/Halloysite Nanotubes Composites with Embedded Polymer Brushes</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75">
        <w:r>
          <w:rPr>
            <w:color w:val="1155CC"/>
            <w:u w:val="single"/>
          </w:rPr>
          <w:t>10.1021/acsami.6c11453</w:t>
        </w:r>
      </w:hyperlink>
    </w:p>
    <w:p>
      <w:pPr>
        <w:spacing w:before="0" w:after="120"/>
      </w:pPr>
      <w:r>
        <w:rPr>
          <w:b/>
        </w:rPr>
        <w:t xml:space="preserve">Notes: </w:t>
      </w:r>
      <w:r>
        <w:t>abstract_source=pubmed</w:t>
      </w:r>
    </w:p>
    <w:p>
      <w:pPr>
        <w:spacing w:before="0" w:after="80" w:lineRule="auto" w:line="276"/>
      </w:pPr>
      <w:r>
        <w:rPr>
          <w:b/>
        </w:rPr>
        <w:t xml:space="preserve">摘要（ZH）: </w:t>
      </w:r>
      <w:r>
        <w:t>骨关节炎是一种影响全世界数亿人的退行性关节疾病，会导致慢性疼痛和活动能力下降，而全关节置换术仍然是最有效的治疗方法。超高分子量聚乙烯（UHMWPE）由于其优异的摩擦学性能和生物相容性，已成为人工关节中应用最广泛的轴承材料。然而，这种治疗的长期临床结果受到 UHMWPE 种植体磨损引起的失效的限制。受自然关节润滑机制的启发，采用本体接枝改性策略来制造具有延长使用寿命的生物润滑UHMWPE复合材料。通过光诱导聚合将亲水性阴离子聚合物刷聚（3-磺基甲基丙烯酸钾盐）（PSPMK）接枝到 UHMWPE 粉末上，同时对埃洛石纳米管（HNT）进行类似改性以增强分散性和界面协同作用。含有 1 wt% 改性 HNT 的复合材料表现出极低的摩擦系数 (0.012) 和磨损率 (8.98 × 10-7 mm3·N-1·m-1)，与原始 UHMWPE 相比，分别降低了 52.9% 和 66.2%。由于分散良好的 HNT 的增强作用，包括压缩强度、模量和硬度在内的机械性能也得到了改善。嵌入整个散装材料的集成 PSPMK 刷即使在表面磨损后也能确保持久的水合润滑。这项工作为下一代持久人工关节提供了一种有前景的材料设计，结合了</w:t>
      </w:r>
    </w:p>
    <w:p>
      <w:pPr>
        <w:spacing w:before="0" w:after="200" w:lineRule="auto" w:line="276"/>
      </w:pPr>
      <w:r>
        <w:rPr>
          <w:b/>
        </w:rPr>
        <w:t xml:space="preserve">Abstract (EN): </w:t>
      </w:r>
      <w:r>
        <w:t>Osteoarthritis, a degenerative joint disease affecting hundreds of millions of people worldwide, leads to chronic pain and reduced mobility, for which total joint arthroplasty remains the definitive and most effective treatment. Ultrahigh molecular weight polyethylene (UHMWPE) has been the most widely used bearing material in artificial joints owing to its excellent tribological properties and biocompatibility. However, the long-term clinical outcome of this treatment is limited by the wear-induced failure of UHMWPE implants. Inspired by the natural joint's lubrication mechanism, a bulk grafting modification strategy was adopted to fabricate a bio-lubricating UHMWPE composite with an extended service life. Hydrophilic anionic polymer brushes poly(3-sulfopropyl methacrylate potassium salt) (PSPMK) were grafted onto UHMWPE powder via photo-induced polymerization, while halloysite nanotubes (HNTs) were similarly modified to enhance dispersion and interfacial synergy. The composite with 1 wt % modified HNTs exhibited a remarkably low coefficient of friction (0.012) and wear rate (8.98 × 10-7 mm3·N-1·m-1), representing reductions of 52.9% and 66.2%, respectively, compared to pristine UHMWPE. Mechanical properties, including compressive strength, modulus, and hardness, were also improved due to the reinforcing effect of well-dispersed HNTs. The integrated PSPMK brushes embedded throughout the bulk material ensure persistent hydration lubrication even after surface wear. This work provides a promising material design for next-generation long-lasting artificial joints with combined high strength and superior lubrication.</w:t>
      </w:r>
    </w:p>
    <w:p>
      <w:pPr>
        <w:spacing w:before="120" w:after="120"/>
      </w:pPr>
      <w:r>
        <w:rPr>
          <w:sz w:val="18"/>
        </w:rPr>
        <w:t>——————————————————————————————————————————————————————————————————————</w:t>
      </w:r>
    </w:p>
    <w:p>
      <w:pPr>
        <w:spacing w:before="160" w:after="40" w:line="240" w:lineRule="auto"/>
      </w:pPr>
      <w:r>
        <w:rPr>
          <w:b/>
        </w:rPr>
        <w:t xml:space="preserve">[606] </w:t>
      </w:r>
      <w:hyperlink r:id="rId1676">
        <w:r>
          <w:rPr>
            <w:color w:val="1155CC"/>
            <w:u w:val="single"/>
          </w:rPr>
          <w:t>多功能存储器的类同质结层状结构实现界面锑隔离-排出</w:t>
        </w:r>
      </w:hyperlink>
    </w:p>
    <w:p>
      <w:pPr>
        <w:spacing w:before="0" w:after="80"/>
      </w:pPr>
      <w:r>
        <w:rPr>
          <w:i/>
          <w:sz w:val="20"/>
        </w:rPr>
        <w:t>EN: Interfacial Sb Sequestration-Expulsion Enabled by Homojunction-like Layered Structures for Multifunctional Memory</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77">
        <w:r>
          <w:rPr>
            <w:color w:val="1155CC"/>
            <w:u w:val="single"/>
          </w:rPr>
          <w:t>10.1021/acsami.6c04137</w:t>
        </w:r>
      </w:hyperlink>
    </w:p>
    <w:p>
      <w:pPr>
        <w:spacing w:before="0" w:after="120"/>
      </w:pPr>
      <w:r>
        <w:rPr>
          <w:b/>
        </w:rPr>
        <w:t xml:space="preserve">Notes: </w:t>
      </w:r>
      <w:r>
        <w:t>abstract_source=pubmed</w:t>
      </w:r>
    </w:p>
    <w:p>
      <w:pPr>
        <w:spacing w:before="0" w:after="80" w:lineRule="auto" w:line="276"/>
      </w:pPr>
      <w:r>
        <w:rPr>
          <w:b/>
        </w:rPr>
        <w:t xml:space="preserve">摘要（ZH）: </w:t>
      </w:r>
      <w:r>
        <w:t>单质锑 (Sb) 能够实现超快结晶，但非晶态稳定性较差。在这里，我们报告了一种类似 Sb/GaSb4 同质结的结构，其中化学相似但电子不同的界面调节相变行为。增加界面密度可显着提高结晶温度并增强数据保留，同时延迟结晶并保留层状结构。我们进一步确定了界面封存-排出机制：相邻的 Sb 层抑制过量的 Sb 从 GaSb4 基体中排出，而 Ga 促进 Sb 的容纳和热驱动的重新分布，从而稳定富含 Sb 的局部环境。因此，器件可实现 5 ns 开关时间、&gt;105 个耐久性周期和低电阻漂移。此外，界面密度缩放可实现线性电导调制，支持高速存储器和神经形态功能。这些发现将界面工程的类同质结结构确立为一种有效的策略，以减轻相变权衡并实现多功能电子产品。</w:t>
      </w:r>
    </w:p>
    <w:p>
      <w:pPr>
        <w:spacing w:before="0" w:after="200" w:lineRule="auto" w:line="276"/>
      </w:pPr>
      <w:r>
        <w:rPr>
          <w:b/>
        </w:rPr>
        <w:t xml:space="preserve">Abstract (EN): </w:t>
      </w:r>
      <w:r>
        <w:t>Elemental antimony (Sb) enables ultrafast crystallization but suffers from poor amorphous stability. Here, we report a Sb/GaSb4 homojunction-like architecture in which chemically similar yet electronically distinct interfaces regulate phase-change behavior. Increasing interfacial density markedly elevates the crystallization temperature and enhances data retention, accompanied by delayed crystallization and preserved layered structures. We further identify an interfacial sequestration-expulsion mechanism: adjacent Sb layers suppress excess-Sb expulsion from the GaSb4 matrix, while Ga promotes Sb accommodation and thermally driven redistribution, stabilizing Sb-rich local environments. As a result, devices achieve 5 ns switching, &gt;105 endurance cycles, and low resistance drift. Moreover, interfacial-density scaling enables linear conductance modulation, supporting both high-speed memory and neuromorphic functionality. These findings establish interface-engineered homojunction-like structures as an effective strategy to mitigate phase-change trade-offs and enable multifunctional electronics.</w:t>
      </w:r>
    </w:p>
    <w:p>
      <w:pPr>
        <w:spacing w:before="120" w:after="120"/>
      </w:pPr>
      <w:r>
        <w:rPr>
          <w:sz w:val="18"/>
        </w:rPr>
        <w:t>——————————————————————————————————————————————————————————————————————</w:t>
      </w:r>
    </w:p>
    <w:p>
      <w:pPr>
        <w:spacing w:before="160" w:after="40" w:line="240" w:lineRule="auto"/>
      </w:pPr>
      <w:r>
        <w:rPr>
          <w:b/>
        </w:rPr>
        <w:t xml:space="preserve">[607] </w:t>
      </w:r>
      <w:hyperlink r:id="rId1678">
        <w:r>
          <w:rPr>
            <w:color w:val="1155CC"/>
            <w:u w:val="single"/>
          </w:rPr>
          <w:t>具有受控动态收缩的本质多功能肽卷曲螺旋水凝胶，用于主动感染伤口管理</w:t>
        </w:r>
      </w:hyperlink>
    </w:p>
    <w:p>
      <w:pPr>
        <w:spacing w:before="0" w:after="80"/>
      </w:pPr>
      <w:r>
        <w:rPr>
          <w:i/>
          <w:sz w:val="20"/>
        </w:rPr>
        <w:t>EN: An Intrinsically Multifunctional Peptide Coiled-Coil Hydrogel with Controlled Dynamic Contraction for Active Infected Wound Management</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79">
        <w:r>
          <w:rPr>
            <w:color w:val="1155CC"/>
            <w:u w:val="single"/>
          </w:rPr>
          <w:t>10.1021/acsami.6c07923</w:t>
        </w:r>
      </w:hyperlink>
    </w:p>
    <w:p>
      <w:pPr>
        <w:spacing w:before="0" w:after="120"/>
      </w:pPr>
      <w:r>
        <w:rPr>
          <w:b/>
        </w:rPr>
        <w:t xml:space="preserve">Notes: </w:t>
      </w:r>
      <w:r>
        <w:t>abstract_source=pubmed</w:t>
      </w:r>
    </w:p>
    <w:p>
      <w:pPr>
        <w:spacing w:before="0" w:after="80" w:lineRule="auto" w:line="276"/>
      </w:pPr>
      <w:r>
        <w:rPr>
          <w:b/>
        </w:rPr>
        <w:t xml:space="preserve">摘要（ZH）: </w:t>
      </w:r>
      <w:r>
        <w:t>恶劣的微环境和有限的积极治疗方案阻碍了感染伤口的愈合。虽然目前的水凝胶提供了部分好处，但它们很难同时调节伤口环境和物理闭合伤口。我们通过整合两个肽卷曲螺旋基序设计了一种智能水凝胶：抗菌四聚体和刺激响应二聚体。抗菌四聚体、源自卷曲螺旋二聚体的未折叠单肽和星形聚乙二醇（PEG）的共价聚合在伤口部位原位产生本质抗菌水凝胶。当用 Zn2+ 处理时，单肽在基质内折叠并组装成卷曲螺旋二聚体，引发快速、可控的水凝胶收缩，主动将伤口边缘拉在一起。两种卷曲线圈还赋予水凝胶固有的抗氧化活性。此外，这些卷曲线圈起到可逆、牺牲性非共价交联的作用，可以有效地耗散机械能，协同增强水凝胶的韧性和抗溶胀性。总的来说，这种本质上多功能的水凝胶可以加速感染伤口的愈合，无需更换敷料，并通过一系列协调一致的作用：按需动态伤口收缩、根除细菌、清除活性氧、抑制炎症和促进上皮再形成。这种集成设计代表了智能生物活性敷料的重大进步，能够主动协调伤口愈合过程的多个阶段</w:t>
      </w:r>
    </w:p>
    <w:p>
      <w:pPr>
        <w:spacing w:before="0" w:after="200" w:lineRule="auto" w:line="276"/>
      </w:pPr>
      <w:r>
        <w:rPr>
          <w:b/>
        </w:rPr>
        <w:t xml:space="preserve">Abstract (EN): </w:t>
      </w:r>
      <w:r>
        <w:t>Infected wound healing is hindered by a hostile microenvironment and limited active treatment options. While current hydrogels offer partial benefits, they struggle to simultaneously modulate the wound environment and physically close wounds. We design a smart hydrogel by integrating two peptide coiled-coil motifs: an antimicrobial tetramer and a stimuli-responsive dimer. Covalent polymerization of the antimicrobial tetramers, unfolded monopeptides derived from the coiled-coil dimer, and star-shaped polyethylene glycol (PEG) yields an intrinsically antimicrobial hydrogel in situ at the wound site. When treated by Zn2+, the monopeptides fold and assemble into coiled-coil dimers within the matrix, triggering rapid, controllable hydrogel contraction that actively pulls wound edges together. Both coiled-coils also endow the hydrogel with intrinsic antioxidant activity. Furthermore, these coiled-coils function as reversible, sacrificial noncovalent crosslinks that effectively dissipate mechanical energy, synergistically enhancing the hydrogel's toughness and resistance to swelling. Collectively, this intrinsically multifunctional hydrogel accelerates infected wound healing without the need for dressing changes and through a coordinated cascade of actions: on-demand dynamic wound contraction, bacterial eradication, reactive oxygen species scavenging, inflammation suppression, and promotion of re-epithelialization. This integrated design represents a significant advance toward smart, bioactive dressings capable of actively orchestrating multiple phases of the wound healing process.</w:t>
      </w:r>
    </w:p>
    <w:p>
      <w:pPr>
        <w:spacing w:before="120" w:after="120"/>
      </w:pPr>
      <w:r>
        <w:rPr>
          <w:sz w:val="18"/>
        </w:rPr>
        <w:t>——————————————————————————————————————————————————————————————————————</w:t>
      </w:r>
    </w:p>
    <w:p>
      <w:pPr>
        <w:spacing w:before="160" w:after="40" w:line="240" w:lineRule="auto"/>
      </w:pPr>
      <w:r>
        <w:rPr>
          <w:b/>
        </w:rPr>
        <w:t xml:space="preserve">[608] </w:t>
      </w:r>
      <w:hyperlink r:id="rId1680">
        <w:r>
          <w:rPr>
            <w:color w:val="1155CC"/>
            <w:u w:val="single"/>
          </w:rPr>
          <w:t>皮克林乳液界面工程与双金属电子调制协同选择性加氢</w:t>
        </w:r>
      </w:hyperlink>
    </w:p>
    <w:p>
      <w:pPr>
        <w:spacing w:before="0" w:after="80"/>
      </w:pPr>
      <w:r>
        <w:rPr>
          <w:i/>
          <w:sz w:val="20"/>
        </w:rPr>
        <w:t>EN: Pickering Emulsion Interfacial Engineering Synergized with Bimetallic Electronic Modulation for Selective Hydrogenation</w:t>
      </w:r>
    </w:p>
    <w:p>
      <w:pPr>
        <w:spacing w:before="0" w:after="120"/>
      </w:pPr>
      <w:r>
        <w:rPr>
          <w:b/>
        </w:rPr>
        <w:t xml:space="preserve">Source: </w:t>
      </w:r>
      <w:r>
        <w:t>ACS Applied Materials &amp; Interfaces: Latest Articles (ACS Publications)</w:t>
      </w:r>
      <w:r>
        <w:t xml:space="preserve">    </w:t>
      </w:r>
      <w:r>
        <w:rPr>
          <w:b/>
        </w:rPr>
        <w:t xml:space="preserve">Pub date: </w:t>
      </w:r>
      <w:r>
        <w:t>2026-07-22 00:00:00+00:00</w:t>
      </w:r>
      <w:r>
        <w:t xml:space="preserve">    </w:t>
      </w:r>
      <w:r>
        <w:rPr>
          <w:b/>
        </w:rPr>
        <w:t xml:space="preserve">DOI: </w:t>
      </w:r>
      <w:hyperlink r:id="rId1681">
        <w:r>
          <w:rPr>
            <w:color w:val="1155CC"/>
            <w:u w:val="single"/>
          </w:rPr>
          <w:t>10.1021/acsami.6c08565</w:t>
        </w:r>
      </w:hyperlink>
    </w:p>
    <w:p>
      <w:pPr>
        <w:spacing w:before="0" w:after="120"/>
      </w:pPr>
      <w:r>
        <w:rPr>
          <w:b/>
        </w:rPr>
        <w:t xml:space="preserve">Notes: </w:t>
      </w:r>
      <w:r>
        <w:t>abstract_source=pubmed</w:t>
      </w:r>
    </w:p>
    <w:p>
      <w:pPr>
        <w:spacing w:before="0" w:after="80" w:lineRule="auto" w:line="276"/>
      </w:pPr>
      <w:r>
        <w:rPr>
          <w:b/>
        </w:rPr>
        <w:t xml:space="preserve">摘要（ZH）: </w:t>
      </w:r>
      <w:r>
        <w:t>打破多功能底物异相氢化中活性和选择性之间的平衡仍然是一个艰巨的挑战。在这项工作中，我们提出了一种通过协同调节界面微环境和活性位点的电子结构来调节对氯硝基苯（p-CNB）选择性氢化的策略。设计了一种功能化季铵聚醚表面活性剂，通过静电相互作用和疏水效应在SiO2-OH纳米颗粒表面自组装，形成具有金属螯合能力的Pickering乳液界面，作为PdCu双金属催化剂原位锚定的微反应器。系统实验和密度泛函理论（DFT）计算揭示了一种独特的协同催化机制，其中皮克林乳液界面的水分子通过氢键稳定反应中间体，大大降低了N-O键断裂的活化势垒并促进产物解吸。同时，Cu2+的掺入通过电子和几何效应使Pd位点失活，从而使C-Cl键活化，从而抑制脱卤副反应。受益于这种协同作用，催化剂在温和条件下实现了≥99.9%的转化率和95.4%的对氯苯胺选择性，同时保持了优异的可回收性。这项工作将Pickering乳液界面工程与双金属电子调制相结合，为快速构建高效的界面催化系统提供了新的见解。</w:t>
      </w:r>
    </w:p>
    <w:p>
      <w:pPr>
        <w:spacing w:before="0" w:after="200" w:lineRule="auto" w:line="276"/>
      </w:pPr>
      <w:r>
        <w:rPr>
          <w:b/>
        </w:rPr>
        <w:t xml:space="preserve">Abstract (EN): </w:t>
      </w:r>
      <w:r>
        <w:t>Breaking the trade-off between activity and selectivity in heterogeneous hydrogenation of multifunctional substrates remains a formidable challenge. In this work, we present a strategy for regulating the selective hydrogenation of p-chloronitrobenzene (p-CNB) by synergistically modulating the interfacial microenvironment and the electronic structure of the active sites. A functionalized quaternary ammonium polyether surfactant was designed to self-assemble on SiO2-OH nanoparticle surfaces via electrostatic interactions and hydrophobic effects, forming a Pickering emulsion interface with metal-chelating capability that served as a microreactor for in situ anchoring of PdCu bimetallic catalysts. Systematic experiments and density functional theory (DFT) calculations revealed a unique synergistic catalytic mechanism in which water molecules at the Pickering emulsion interface stabilized reaction intermediates through hydrogen bonding, substantially reducing the activation barrier for N-O bond cleavage and facilitating product desorption. Concurrently, Cu2+ incorporation deactivated Pd sites toward C-Cl bond activation through electronic and geometric effects, thereby suppressing dehalogenation side reactions. Benefiting from this synergy, the catalyst achieved ≥99.9% conversion with 95.4% selectivity toward p-chloroaniline under mild conditions while maintaining excellent recyclability. This work integrates Pickering emulsion interfacial engineering with bimetallic electronic modulation, providing new insights for rapidly constructing efficient interfacial catalytic systems to address the selective transformation challenges of complex substrates.</w:t>
      </w:r>
    </w:p>
    <w:p>
      <w:pPr>
        <w:spacing w:before="120" w:after="120"/>
      </w:pPr>
      <w:r>
        <w:rPr>
          <w:sz w:val="18"/>
        </w:rPr>
        <w:t>——————————————————————————————————————————————————————————————————————</w:t>
      </w:r>
    </w:p>
    <w:p>
      <w:pPr>
        <w:spacing w:before="160" w:after="40" w:line="240" w:lineRule="auto"/>
      </w:pPr>
      <w:r>
        <w:rPr>
          <w:b/>
        </w:rPr>
        <w:t xml:space="preserve">[609] </w:t>
      </w:r>
      <w:hyperlink r:id="rId1682">
        <w:r>
          <w:rPr>
            <w:color w:val="1155CC"/>
            <w:u w:val="single"/>
          </w:rPr>
          <w:t>体外多器官侵袭模型探索心脏对癌症转移的抵抗力</w:t>
        </w:r>
      </w:hyperlink>
    </w:p>
    <w:p>
      <w:pPr>
        <w:spacing w:before="0" w:after="80"/>
      </w:pPr>
      <w:r>
        <w:rPr>
          <w:i/>
          <w:sz w:val="20"/>
        </w:rPr>
        <w:t>EN: In vitro multi-organ invasion model for exploring cardiac resistance to cancer metastasis</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尽管癌症存在全身性扩散，但心室心肌是最不常见的转移部位之一，但人们对这一现象仍知之甚少。为了研究这一点，我们开发了多器官侵入设备（MInD），这是一种器官芯片平台，可以在流动下进行多器官培养。 MInD 中的器官区室使用 PermeoTubes 连接，PermeoTubes 是一种支持癌细胞内渗、迁移和外渗的 3D 打印多孔导管。在双器官装置中，高度侵袭性的乳腺癌细胞与肝或心脏组织共培养，相对于肝共培养，对心脏组织的侵袭被显着抑制。重要的是，在心脏-肝癌-癌症三重培养中，心脏组织的存在减少了整体侵袭，癌细胞优先迁移到肝区。细胞因子分析和 RNA 测序表明，心脏共培养可抑制细胞转移和侵袭，同时诱导免疫激活。总体而言，该平台提供了一种发现转移的器官特异性驱动因素的方法，加速了未来转移抑制疗法的发现。</w:t>
      </w:r>
    </w:p>
    <w:p>
      <w:pPr>
        <w:spacing w:before="0" w:after="200" w:lineRule="auto" w:line="276"/>
      </w:pPr>
      <w:r>
        <w:rPr>
          <w:b/>
        </w:rPr>
        <w:t xml:space="preserve">Abstract (EN): </w:t>
      </w:r>
      <w:r>
        <w:t>Despite the systemic spread of cancer, the ventricular myocardium is one of the least common sites of metastasis—a phenomenon that remains poorly understood. To examine this, we develop the Multi-organ Invasion Device (MInD), an organ-on-a-chip platform that enables multi-organ culture under flow. Organ compartments are connected in MInD using PermeoTubes—3D-printed porous conduits that support cancer cell intravasation, migration, and extravasation. In dual-organ devices, where highly aggressive breast cancer cells are co-cultured with either hepatic or cardiac tissue, invasion into cardiac tissue is significantly suppressed relative to hepatic co-culture. Importantly, in cardiac–hepatic–cancer tri-culture, the presence of cardiac tissue reduces overall invasion, with cancer cells preferentially migrating toward hepatic compartments. Cytokine profiling and RNA sequencing reveal that cardiac co-culture suppresses cell metastasis and invasion, while inducing immune activation. Overall, this platform presents an approach for uncovering organ-specific drivers of metastasis, accelerating future discovery of metastasis-inhibiting therapies.</w:t>
      </w:r>
    </w:p>
    <w:p>
      <w:pPr>
        <w:spacing w:before="120" w:after="120"/>
      </w:pPr>
      <w:r>
        <w:rPr>
          <w:sz w:val="18"/>
        </w:rPr>
        <w:t>——————————————————————————————————————————————————————————————————————</w:t>
      </w:r>
    </w:p>
    <w:p>
      <w:pPr>
        <w:spacing w:before="160" w:after="40" w:line="240" w:lineRule="auto"/>
      </w:pPr>
      <w:r>
        <w:rPr>
          <w:b/>
        </w:rPr>
        <w:t xml:space="preserve">[610] </w:t>
      </w:r>
      <w:hyperlink r:id="rId1683">
        <w:r>
          <w:rPr>
            <w:color w:val="1155CC"/>
            <w:u w:val="single"/>
          </w:rPr>
          <w:t>用于综合牙科诊断和增强临床实践的多模态视觉语言模型</w:t>
        </w:r>
      </w:hyperlink>
    </w:p>
    <w:p>
      <w:pPr>
        <w:spacing w:before="0" w:after="80"/>
      </w:pPr>
      <w:r>
        <w:rPr>
          <w:i/>
          <w:sz w:val="20"/>
        </w:rPr>
        <w:t>EN: A multimodal vision-language model for comprehensive dental diagnosis and enhanced clinical practice</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口腔疾病影响着数十亿人，但牙科专业知识仍然分布不均，诊断通常需要综合多种成像方式。现有的人工智能系统主要解决孤立的任务，限制了它们在综合牙科评估中的适用性。在这里，我们介绍 DentVLM，这是一种牙科视觉语言模型，可以联合解释图像和文本，支持跨 7 种牙科成像模式和 36 项任务的专家级口腔疾病诊断。 DentVLM 使用 110,447 张图像和 246 万个双语视觉问答对开发，在内部和外部测试中优于领先的专有、开源和特定领域的医学模型。在一项对 32 名参与者进行的研究中，DentVLM 超越了初级读者，与中级全科医生相匹配，并接近高级专家。在协作工作流程中，它将初级和中级读者提高到专家级的性能，并将所有读者的诊断时间减少 15.0-37.0%。这些结果使 DentVLM 成为一种临床决策支持工具，可减少专科护理差距并扩大获得高质量牙科专业知识的机会。</w:t>
      </w:r>
    </w:p>
    <w:p>
      <w:pPr>
        <w:spacing w:before="0" w:after="200" w:lineRule="auto" w:line="276"/>
      </w:pPr>
      <w:r>
        <w:rPr>
          <w:b/>
        </w:rPr>
        <w:t xml:space="preserve">Abstract (EN): </w:t>
      </w:r>
      <w:r>
        <w:t>Oral diseases affect billions of people, yet specialist dental expertise remains unevenly distributed, and diagnosis often requires synthesis across diverse imaging modalities. Existing artificial intelligence systems mostly address isolated tasks, limiting their applicability in comprehensive dental assessment. Here we introduce DentVLM, a dental vision-language model that jointly interprets images and text, supports expert-level oral disease diagnosis across seven dental imaging modalities and 36 tasks. Developed using 110,447 images and 2.46 million bilingual visual question-answer pairs, DentVLM outperforms leading proprietary, open-source and domain-specific medical models on internal and external tests. In a study of 32 participants, DentVLM surpasses junior readers, matches intermediate general practitioners and approaches senior specialists. In collaborative workflows, it raises junior and intermediate readers toward specialist-level performance and reduces diagnostic time for all readers by 15.0-37.0%. These results establish DentVLM as a clinical decision support tool for reducing specialist care gaps and broadening access to high-quality dental expertise.</w:t>
      </w:r>
    </w:p>
    <w:p>
      <w:pPr>
        <w:spacing w:before="120" w:after="120"/>
      </w:pPr>
      <w:r>
        <w:rPr>
          <w:sz w:val="18"/>
        </w:rPr>
        <w:t>——————————————————————————————————————————————————————————————————————</w:t>
      </w:r>
    </w:p>
    <w:p>
      <w:pPr>
        <w:spacing w:before="160" w:after="40" w:line="240" w:lineRule="auto"/>
      </w:pPr>
      <w:r>
        <w:rPr>
          <w:b/>
        </w:rPr>
        <w:t xml:space="preserve">[611] </w:t>
      </w:r>
      <w:hyperlink r:id="rId1684">
        <w:r>
          <w:rPr>
            <w:color w:val="1155CC"/>
            <w:u w:val="single"/>
          </w:rPr>
          <w:t>微滴的超分子纳米纤维稳定性可实现超灵敏的病毒感染分析</w:t>
        </w:r>
      </w:hyperlink>
    </w:p>
    <w:p>
      <w:pPr>
        <w:spacing w:before="0" w:after="80"/>
      </w:pPr>
      <w:r>
        <w:rPr>
          <w:i/>
          <w:sz w:val="20"/>
        </w:rPr>
        <w:t>EN: Supramolecular nanofiber stabilization of microdroplets enables ultra-sensitive virus infection analysis</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细胞中的水两相系统（ATPS）液滴通过浓缩生物大分子充当流体微反应器。受这一现象的启发，在ATPS中与聚乙二醇形成的富含葡聚糖的微滴已被探索作为人工微反应器，用于生化反应的灵敏检测和时空控制。然而，微滴快速融合成体相分离限制了这种方法的实际应用。在这里，我们报告了使用偶氮苯附加自组装肽（AzSAP）的超分子纳米纤维稳定富含葡聚糖的微滴。物理化学表征和结构分析阐明了纳米纤维的形成机制及其在液滴稳定中的作用。纳米纤维网络可防止液滴聚结，同时保持宏观流动性，从而通过微流体分析将感染病毒限制在液滴内，从而实现高度灵敏的定量病毒检测。此外，AzSAP 的光响应特性允许动态控制液滴大小和液滴内病毒活性，突出了其作为可编程人工微反应器平台的非凡潜力。</w:t>
      </w:r>
    </w:p>
    <w:p>
      <w:pPr>
        <w:spacing w:before="0" w:after="200" w:lineRule="auto" w:line="276"/>
      </w:pPr>
      <w:r>
        <w:rPr>
          <w:b/>
        </w:rPr>
        <w:t xml:space="preserve">Abstract (EN): </w:t>
      </w:r>
      <w:r>
        <w:t>Aqueous two-phase system (ATPS) droplets in cells act as fluidic microreactors by concentrating biomacromolecules. Inspired by this phenomenon, dextran-rich microdroplets formed in an ATPS with polyethylene glycol have been explored as artificial microreactors for sensitive detection and spatiotemporal control of biochemical reactions. However, the rapid fusion of the microdroplets into bulk phase separation has limited practical applications of this approach. Here, we report the stabilization of dextran-rich microdroplets using supramolecular nanofibers of an azobenzene-appending self-assembling peptide (AzSAP). Physicochemical characterization and structural analyses elucidate the mechanism of nanofiber formation and its role in droplet stabilization. The nanofiber network prevents droplet coalescence while maintaining macroscopic fluidity, thereby enabling highly sensitive quantitative virus detection via microfluidic analysis by confining infecting viruses within droplets. Furthermore, the photo-responsive properties of the AzSAP allow dynamic control over droplet size and intra-droplet virus activity, highlighting its exceptional potential as a platform for programmable artificial microreactors.</w:t>
      </w:r>
    </w:p>
    <w:p>
      <w:pPr>
        <w:spacing w:before="120" w:after="120"/>
      </w:pPr>
      <w:r>
        <w:rPr>
          <w:sz w:val="18"/>
        </w:rPr>
        <w:t>——————————————————————————————————————————————————————————————————————</w:t>
      </w:r>
    </w:p>
    <w:p>
      <w:pPr>
        <w:spacing w:before="160" w:after="40" w:line="240" w:lineRule="auto"/>
      </w:pPr>
      <w:r>
        <w:rPr>
          <w:b/>
        </w:rPr>
        <w:t xml:space="preserve">[612] </w:t>
      </w:r>
      <w:hyperlink r:id="rId1685">
        <w:r>
          <w:rPr>
            <w:color w:val="1155CC"/>
            <w:u w:val="single"/>
          </w:rPr>
          <w:t>分子转子揭示了粘液定植细菌的 3D 粘性栖息地</w:t>
        </w:r>
      </w:hyperlink>
    </w:p>
    <w:p>
      <w:pPr>
        <w:spacing w:before="0" w:after="80"/>
      </w:pPr>
      <w:r>
        <w:rPr>
          <w:i/>
          <w:sz w:val="20"/>
        </w:rPr>
        <w:t>EN: Molecular rotors reveal the 3D viscous habitat of mucus-colonizing bacteria</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细菌与颗粒有机物、藻类、珊瑚礁、鱼类、植物根系、动物和人类之间的相互作用主要通过粘液或粘液的动态界面发生。虽然粘液影响细菌感染、呼吸以及碳和养分循环的基本速率，但我们对细菌这种物理栖息地的观察受到破坏材料和混淆空间关系的方法的限制。我们提出了一种使用分子转子共焦显微镜来揭示未受干扰的粘液和相关细菌的 3D 粘性结构的技术。对不同来源的粘液内部粘度的量化突显了构成微生物分布和生态相互作用的微观形态的变化。来自亲缘角毛藻和拟菱形藻培养物的粘液聚集体的个别例子。硅藻分别表现出坚固的粘性形态和斑片状的粘性形态，以及不同的微生物定植模式。倒置水母 Cassiopea xamachana 的叶藻周围的粘液层可以维持局部微生物组，同时防止与动物直接接触。通过量化形成细菌与有机物相互作用的复杂“粘膜景观”，该方法为不同生态系统中的化学通量和微生物活动提供了物理背景。</w:t>
      </w:r>
    </w:p>
    <w:p>
      <w:pPr>
        <w:spacing w:before="0" w:after="200" w:lineRule="auto" w:line="276"/>
      </w:pPr>
      <w:r>
        <w:rPr>
          <w:b/>
        </w:rPr>
        <w:t xml:space="preserve">Abstract (EN): </w:t>
      </w:r>
      <w:r>
        <w:t>Interactions between bacteria and particulate organic matter, algae, coral reefs, fish, plant root systems, animals, and humans occur primarily through a dynamic interface of viscous mucus or mucilage. While mucus influences fundamental rates of bacterial infection, respiration, and carbon and nutrient cycling, our observations of this physical habitat of bacteria are limited by methods that damage the material and obfuscate spatial relationships. We present a technique using confocal microscopy of molecular rotors to reveal the 3D viscous structure of undisturbed mucus and associated bacteria. Quantification of the internal viscosity of mucus from different sources highlights variations in microscale morphologies that structure microbial distributions and ecological interactions. Individual examples of mucus aggregates from cultures of Chaetoceros affinis and Pseudo-nitzschia sp. diatoms exhibit consolidated versus patchy viscous morphologies, respectively, along with distinct patterns of microbial colonization. A viscous mucus layer surrounding an ephyra of the upside-down jellyfish Cassiopea xamachana may maintain a local microbiome while preventing direct contact with the animal. By quantifying the complex “mucoscape” shaping bacteria-organic matter interactions, this method provides a physical context for chemical fluxes and microbial activity in diverse ecosystems.</w:t>
      </w:r>
    </w:p>
    <w:p>
      <w:pPr>
        <w:spacing w:before="120" w:after="120"/>
      </w:pPr>
      <w:r>
        <w:rPr>
          <w:sz w:val="18"/>
        </w:rPr>
        <w:t>——————————————————————————————————————————————————————————————————————</w:t>
      </w:r>
    </w:p>
    <w:p>
      <w:pPr>
        <w:spacing w:before="160" w:after="40" w:line="240" w:lineRule="auto"/>
      </w:pPr>
      <w:r>
        <w:rPr>
          <w:b/>
        </w:rPr>
        <w:t xml:space="preserve">[613] </w:t>
      </w:r>
      <w:hyperlink r:id="rId1686">
        <w:r>
          <w:rPr>
            <w:color w:val="1155CC"/>
            <w:u w:val="single"/>
          </w:rPr>
          <w:t>氟化π共轭碳点的超分子自组装诱导的手性，用于明亮的圆偏振电致发光二极管</w:t>
        </w:r>
      </w:hyperlink>
    </w:p>
    <w:p>
      <w:pPr>
        <w:spacing w:before="0" w:after="80"/>
      </w:pPr>
      <w:r>
        <w:rPr>
          <w:i/>
          <w:sz w:val="20"/>
        </w:rPr>
        <w:t>EN: Chirality induced by supramolecular self-assembly of fluorinated π-conjugated carbon dots for bright circularly polarized electroluminescent light-emitting diodes</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圆偏振发光二极管在三维显示、量子信息处理和光学自旋电子学等先进光子应用中具有广阔的前景。碳点由于其不含金属的性质、高稳定性和结构多功能性，已成为有吸引力的替代品。然而，由于缺乏对结构和分子排列的精确控制，它们的固有手性通常很弱，并且它们在电致发光器件中的应用尚未实现。在这里，我们报道了一类由氟化π-共轭碳点组成的超分子组装体。与作为手性诱导剂的 M/P-[N] 六螺旋烯相互作用后，通过强静电和氢键相互作用形成定向超分子自组装，产生高达 0.107 的高吸收不对称因子。更重要的是，我们展示了基于这些超分子组装体的器件，实现了 9655 cd m−2 的最大亮度和 0.035 的电致发光不对称因子值。这些结果标志着朝着无金属手性光电子学迈出的重要一步，并凸显了碳纳米材料在下一代显示技术中的潜力。</w:t>
      </w:r>
    </w:p>
    <w:p>
      <w:pPr>
        <w:spacing w:before="0" w:after="200" w:lineRule="auto" w:line="276"/>
      </w:pPr>
      <w:r>
        <w:rPr>
          <w:b/>
        </w:rPr>
        <w:t xml:space="preserve">Abstract (EN): </w:t>
      </w:r>
      <w:r>
        <w:t>Circularly polarized light-emitting diodes hold great promise for advanced photonic applications such as three-dimensional displays, quantum information processing, and optical spintronics. Carbon dots, owing to their metal-free nature, high stability, and structural versatility, have emerged as attractive alternatives. However, their intrinsic chirality is typically weak due to a lack of precise control over structure and molecular arrangement, and their application in electroluminescent devices has remained unrealized. Here, we report a class of supramolecular assemblies consisting of fluorinated π-conjugated carbon dots. Upon interaction with M/P-[N] hexahelicene as chiral inducers, a directed supramolecular self-assembly is formed via strong electrostatic and hydrogen bonding interactions, yielding a high absorption dissymmetry factor of up to 0.107. More significantly, we demonstrate the devices based on these supramolecular assemblies, achieving a maximum luminance of 9655 cd m−2 and electroluminescent dissymmetry factor value of 0.035. These results mark a significant step toward metal-free chiral optoelectronics and highlight the potential of carbon nanomaterials in next-generation display technologies.</w:t>
      </w:r>
    </w:p>
    <w:p>
      <w:pPr>
        <w:spacing w:before="120" w:after="120"/>
      </w:pPr>
      <w:r>
        <w:rPr>
          <w:sz w:val="18"/>
        </w:rPr>
        <w:t>——————————————————————————————————————————————————————————————————————</w:t>
      </w:r>
    </w:p>
    <w:p>
      <w:pPr>
        <w:spacing w:before="160" w:after="40" w:line="240" w:lineRule="auto"/>
      </w:pPr>
      <w:r>
        <w:rPr>
          <w:b/>
        </w:rPr>
        <w:t xml:space="preserve">[614] </w:t>
      </w:r>
      <w:hyperlink r:id="rId1687">
        <w:r>
          <w:rPr>
            <w:color w:val="1155CC"/>
            <w:u w:val="single"/>
          </w:rPr>
          <w:t>二维超原子超导体中的反常电荷密度波</w:t>
        </w:r>
      </w:hyperlink>
    </w:p>
    <w:p>
      <w:pPr>
        <w:spacing w:before="0" w:after="80"/>
      </w:pPr>
      <w:r>
        <w:rPr>
          <w:i/>
          <w:sz w:val="20"/>
        </w:rPr>
        <w:t>EN: Anomalous charge density wave in a two-dimensional superatomic superconductor</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将电子密度空间调制成波状图案，称为电荷密度波（CDW），代表了一种基本量子态，通常与超导性、量子霍尔态和轴子绝缘相共存。传统的 CDW 由纵向声声子介导，表现出皮米级晶格畸变 (10−12−10−11 m)，并且通常在接近原子极限时消失。在这里，我们报告了二维超原子超导体 Au6Te12Se8 中的一系列异常 CDW 行为。值得注意的是，它的 CDW 受横向声子控制，并表现出约 4 埃的实空间位移，这比传统 CDW 的位移大一个数量级。此外，我们观察到尺寸响应持续到微米级厚度，在这种情况下其他材料已经被视为块状。通过液氦温度透射电子显微镜、超快泵浦探针光谱和输运测量，我们证明了 CDW 转变温度 (TCDW) 的显着增强</w:t>
      </w:r>
    </w:p>
    <w:p>
      <w:pPr>
        <w:spacing w:before="0" w:after="200" w:lineRule="auto" w:line="276"/>
      </w:pPr>
      <w:r>
        <w:rPr>
          <w:b/>
        </w:rPr>
        <w:t xml:space="preserve">Abstract (EN): </w:t>
      </w:r>
      <w:r>
        <w:t>The spatial modulation of electron density into a wave-like pattern, known as charge density wave (CDW), represents a fundamental quantum state that often coexists with superconductivity, quantum Hall states and axion insulating phases. Conventional CDWs are mediated by longitudinal acoustic phonons, exhibit picometer-scale lattice distortions (10−12−10−11 m), and typically vanish upon approaching the atomic limit. Here, we report a series of anomalous CDW behaviors in the 2D superatomic superconductor Au6Te12Se8. Remarkably, its CDW is governed by transverse phonons and exhibits a real-space displacement of ~ 4 Ångström, which is an order of magnitude larger than that in conventional CDW. Furthermore, we observe a dimensional response persisting up to micrometer-scale thickness, a regime where other materials are already considered as bulk. Through liquid helium-temperature transmission electron microscopy, ultrafast pump-probe spectroscopy and transport measurements, we demonstrate a prominent enhancement of the CDW transition temperature (TCDW) from</w:t>
      </w:r>
    </w:p>
    <w:p>
      <w:pPr>
        <w:spacing w:before="120" w:after="120"/>
      </w:pPr>
      <w:r>
        <w:rPr>
          <w:sz w:val="18"/>
        </w:rPr>
        <w:t>——————————————————————————————————————————————————————————————————————</w:t>
      </w:r>
    </w:p>
    <w:p>
      <w:pPr>
        <w:spacing w:before="160" w:after="40" w:line="240" w:lineRule="auto"/>
      </w:pPr>
      <w:r>
        <w:rPr>
          <w:b/>
        </w:rPr>
        <w:t xml:space="preserve">[615] </w:t>
      </w:r>
      <w:hyperlink r:id="rId1688">
        <w:r>
          <w:rPr>
            <w:color w:val="1155CC"/>
            <w:u w:val="single"/>
          </w:rPr>
          <w:t>高线性度全二维异质结神经形态图像传感晶体管阵列，具有用于动态视觉的夹层隧道层</w:t>
        </w:r>
      </w:hyperlink>
    </w:p>
    <w:p>
      <w:pPr>
        <w:spacing w:before="0" w:after="80"/>
      </w:pPr>
      <w:r>
        <w:rPr>
          <w:i/>
          <w:sz w:val="20"/>
        </w:rPr>
        <w:t>EN: High-linearity all-2D heterojunction-based neuromorphic image-sensing transistor array with a sandwiched tunneling layer for dynamic vision</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神经形态视觉系统因其复制人类视觉系统的传感器内图像传感和信息预处理范例而引起了极大的关注。然而，目前这些系统中使用的神经形态视觉设备仍然面临横向传导性、空气稳定性和光响应线性方面的挑战。在这里，我们展示了一种基于由 MoS2、(BA)2PbI4 和石墨二炔 (GDY) 组成的三层范德华异质结构的神经形态图像传感晶体管阵列。具有高本征迁移率的顶部 MoS2 层可用作载流子传输通道，同时封装二维钙钛矿以使其免受环境空气的影响。夹在中间的 2D-(BA)2PbI4 纳米片将光转化为电，并充当光可调隧道结，促进光生载流子向下面的 GDY 层单向隧道。 GDY 具有分布均匀的炔键，能够实现均匀的相互作用和电荷存储。该器件在 2D 异质结突触晶体管中表现出长期空气稳定性（&gt;10 周）、突触晶体管重量调制中极具竞争力的线性度（αP = 0.006、αD = 0.025）以及显着低的能耗（每个突触事件约 41.8 aJ）。此外，使用这些异质结构设备的突触阵列构建的硬件级神经形态内核实现了时空神经形态传感器内动态图像处理和物体运动的轨迹检测。这项工作为下一代神经形态视觉提供了硬件架构。</w:t>
      </w:r>
    </w:p>
    <w:p>
      <w:pPr>
        <w:spacing w:before="0" w:after="200" w:lineRule="auto" w:line="276"/>
      </w:pPr>
      <w:r>
        <w:rPr>
          <w:b/>
        </w:rPr>
        <w:t xml:space="preserve">Abstract (EN): </w:t>
      </w:r>
      <w:r>
        <w:t>Neuromorphic visual systems have attracted tremendous attention for their in-sensor image sensing and information preprocessing paradigm that replicates human visual system. However, current neuromorphic visual devices employed in these systems still confront challenges on lateral conductivity, air-stability, and photo-response linearity. Here, we demonstrate a neuromorphic image-sensing transistor array based on a tri-layer van der Waals heterostructure composed of MoS2, (BA)2PbI4 and graphdiyne (GDY). The top MoS2 layer with high intrinsic mobility serves as carrier-transport channel, while encapsulating the 2D perovskite to shield it from ambient air. The sandwiched 2D-(BA)2PbI4 nanosheet converts light into electricity, and functions as a photo-tunable tunneling junction, facilitating unidirectional tunneling of photo-generated carriers toward the underlying GDY layer. GDY, featuring well-distributed alkyne bonds, enables uniform interaction and storage of charges. The device demonstrates long-term air-stability (&gt;10 weeks), highly competitive linearity in synaptic transistor weight modulation (αP = 0.006, αD = 0.025), and remarkably low energy consumption (~41.8 aJ per synaptic event) among 2D heterojunction synaptic transistors. Furthermore, a hardware-level neuromorphic kernel constructed using a synaptic array of these heterostructure devices realizes spatiotemporal neuromorphic in-sensor dynamic image processing and trajectory detection for object movement. This work provides hardware architecture for the next-generation neuromorphic vision.</w:t>
      </w:r>
    </w:p>
    <w:p>
      <w:pPr>
        <w:spacing w:before="120" w:after="120"/>
      </w:pPr>
      <w:r>
        <w:rPr>
          <w:sz w:val="18"/>
        </w:rPr>
        <w:t>——————————————————————————————————————————————————————————————————————</w:t>
      </w:r>
    </w:p>
    <w:p>
      <w:pPr>
        <w:spacing w:before="160" w:after="40" w:line="240" w:lineRule="auto"/>
      </w:pPr>
      <w:r>
        <w:rPr>
          <w:b/>
        </w:rPr>
        <w:t xml:space="preserve">[616] </w:t>
      </w:r>
      <w:hyperlink r:id="rId1689">
        <w:r>
          <w:rPr>
            <w:color w:val="1155CC"/>
            <w:u w:val="single"/>
          </w:rPr>
          <w:t>用于工业 2D-CMOS 制造的可扩展传输</w:t>
        </w:r>
      </w:hyperlink>
    </w:p>
    <w:p>
      <w:pPr>
        <w:spacing w:before="0" w:after="80"/>
      </w:pPr>
      <w:r>
        <w:rPr>
          <w:i/>
          <w:sz w:val="20"/>
        </w:rPr>
        <w:t>EN: Scalable transfer for industrial 2D-CMOS manufacturing</w:t>
      </w:r>
    </w:p>
    <w:p>
      <w:pPr>
        <w:spacing w:before="0" w:after="120"/>
      </w:pPr>
      <w:r>
        <w:rPr>
          <w:b/>
        </w:rPr>
        <w:t xml:space="preserve">Source: </w:t>
      </w:r>
      <w:r>
        <w:t>Nature Nanotechnology</w:t>
      </w:r>
      <w:r>
        <w:t xml:space="preserve">    </w:t>
      </w:r>
      <w:r>
        <w:rPr>
          <w:b/>
        </w:rPr>
        <w:t xml:space="preserve">Pub date: </w:t>
      </w:r>
      <w:r>
        <w:t>2026-07-22 00:00:00+00:00</w:t>
      </w:r>
      <w:r>
        <w:t xml:space="preserve">    </w:t>
      </w:r>
      <w:r>
        <w:rPr>
          <w:b/>
        </w:rPr>
        <w:t xml:space="preserve">DOI: </w:t>
      </w:r>
      <w:hyperlink r:id="rId1690">
        <w:r>
          <w:rPr>
            <w:color w:val="1155CC"/>
            <w:u w:val="single"/>
          </w:rPr>
          <w:t>10.1038/s41565-026-02217-x</w:t>
        </w:r>
      </w:hyperlink>
    </w:p>
    <w:p>
      <w:pPr>
        <w:spacing w:before="0" w:after="120"/>
      </w:pPr>
      <w:r>
        <w:rPr>
          <w:b/>
        </w:rPr>
        <w:t xml:space="preserve">Notes: </w:t>
      </w:r>
      <w:r>
        <w:t>abstract_source=rss_nature</w:t>
      </w:r>
    </w:p>
    <w:p>
      <w:pPr>
        <w:spacing w:before="0" w:after="80" w:lineRule="auto" w:line="276"/>
      </w:pPr>
      <w:r>
        <w:rPr>
          <w:b/>
        </w:rPr>
        <w:t xml:space="preserve">摘要（ZH）: </w:t>
      </w:r>
      <w:r>
        <w:t>二维材料的铸造兼容转移是埃时代互补 FET 逻辑的核心，其中原子级薄通道必须从生长晶圆转移到目标堆叠，而不会受到污染、应变或界面损坏。需要可扩展的分层、键合和晶圆级计量来连接实验室规模的器件性能与 300 毫米 CMOS 制造。</w:t>
      </w:r>
    </w:p>
    <w:p>
      <w:pPr>
        <w:spacing w:before="0" w:after="200" w:lineRule="auto" w:line="276"/>
      </w:pPr>
      <w:r>
        <w:rPr>
          <w:b/>
        </w:rPr>
        <w:t xml:space="preserve">Abstract (EN): </w:t>
      </w:r>
      <w:r>
        <w:t>Foundry-compatible transfer of two-dimensional materials is central to angstrom-era complementary FET logic, where atomically thin channels must be moved from growth wafers to target stacks without contamination, strain or interfacial damage. Scalable delamination, bonding and wafer-level metrology are needed to bridge lab-scale device performance with 300-mm CMOS manufacturing.</w:t>
      </w:r>
    </w:p>
    <w:p>
      <w:pPr>
        <w:spacing w:before="120" w:after="120"/>
      </w:pPr>
      <w:r>
        <w:rPr>
          <w:sz w:val="18"/>
        </w:rPr>
        <w:t>——————————————————————————————————————————————————————————————————————</w:t>
      </w:r>
    </w:p>
    <w:p>
      <w:pPr>
        <w:spacing w:before="160" w:after="40" w:line="240" w:lineRule="auto"/>
      </w:pPr>
      <w:r>
        <w:rPr>
          <w:b/>
        </w:rPr>
        <w:t xml:space="preserve">[617] </w:t>
      </w:r>
      <w:hyperlink r:id="rId1691">
        <w:r>
          <w:rPr>
            <w:color w:val="1155CC"/>
            <w:u w:val="single"/>
          </w:rPr>
          <w:t>拉伸可减缓受应力分子弓中顺式烯烃的开环复分解反应</w:t>
        </w:r>
      </w:hyperlink>
    </w:p>
    <w:p>
      <w:pPr>
        <w:spacing w:before="0" w:after="80"/>
      </w:pPr>
      <w:r>
        <w:rPr>
          <w:i/>
          <w:sz w:val="20"/>
        </w:rPr>
        <w:t>EN: Stretching decelerates ring-opening metathesis at cis-olefins in stressed molecular bows</w:t>
      </w:r>
    </w:p>
    <w:p>
      <w:pPr>
        <w:spacing w:before="0" w:after="120"/>
      </w:pPr>
      <w:r>
        <w:rPr>
          <w:b/>
        </w:rPr>
        <w:t xml:space="preserve">Source: </w:t>
      </w:r>
      <w:r>
        <w:t>Physical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由角应力消除驱动的应变环烯烃的开环复分解聚合（ROMP）已成为合成大分子材料的强大且通用的方法。然而，C=C 键在拉伸时的 ROMP 仍未被探索。在这里，我们采用分子应变工程方法，将拉伸的 C=C 键合并到具有不同张力水平的分子弓 (MB) 的弓弦中。这种方法使我们能够研究 C=C 键在不同张力下的 ROMP。值得注意的是，增加施加在顺式-C=C键上的张力会导致ROMP反应显着减速，而反式异构体在相同条件下表现出明显的加速。从理论上讲，这种对比响应源自差异应变诱导的活化能调制。至关重要的是，施加的张力直接控制 ROMP 的动力学和机械途径，选择性地促进环状低聚物的形成，并建立超越传统环应变驱动聚合的分子应变工程范例。</w:t>
      </w:r>
    </w:p>
    <w:p>
      <w:pPr>
        <w:spacing w:before="0" w:after="200" w:lineRule="auto" w:line="276"/>
      </w:pPr>
      <w:r>
        <w:rPr>
          <w:b/>
        </w:rPr>
        <w:t xml:space="preserve">Abstract (EN): </w:t>
      </w:r>
      <w:r>
        <w:t>Ring-opening metathesis polymerization (ROMP) of strained cycloalkenes, driven by angle strain relief, has emerged as a powerful and versatile approach for synthesizing macromolecular materials. Nevertheless, the ROMP of C=C bonds upon stretching remains unexplored. Here, we employ a molecular-strain engineering approach by incorporating stretched C=C bonds into bowstrings of molecular bows (MBs) with different tension levels. This approach enables us to investigate the ROMP of the C=C bonds under varying tensile forces. Remarkably, increased tensile force applied to the cis-C=C bond leads to significant deceleration of the ROMP reaction, whereas the trans-isomer exhibits a pronounced acceleration under the same conditions. This contrasting response was theoretically established to originate from the differential strain-induced modulation of the activation energy. Critically, applied tensile force thus governs directly both the kinetics and mechanistic pathway of ROMP, selectively promoting cyclic oligomer formation and establishing a molecular-strain-engineering paradigm that transcends conventional ring-strain-driven polymerization.</w:t>
      </w:r>
    </w:p>
    <w:p>
      <w:pPr>
        <w:spacing w:before="120" w:after="120"/>
      </w:pPr>
      <w:r>
        <w:rPr>
          <w:sz w:val="18"/>
        </w:rPr>
        <w:t>——————————————————————————————————————————————————————————————————————</w:t>
      </w:r>
    </w:p>
    <w:p>
      <w:pPr>
        <w:spacing w:before="160" w:after="40" w:line="240" w:lineRule="auto"/>
      </w:pPr>
      <w:r>
        <w:rPr>
          <w:b/>
        </w:rPr>
        <w:t xml:space="preserve">[618] </w:t>
      </w:r>
      <w:hyperlink r:id="rId1692">
        <w:r>
          <w:rPr>
            <w:color w:val="1155CC"/>
            <w:u w:val="single"/>
          </w:rPr>
          <w:t>现代早期希腊的新兴资本主义和社会文化利基建设</w:t>
        </w:r>
      </w:hyperlink>
    </w:p>
    <w:p>
      <w:pPr>
        <w:spacing w:before="0" w:after="80"/>
      </w:pPr>
      <w:r>
        <w:rPr>
          <w:i/>
          <w:sz w:val="20"/>
        </w:rPr>
        <w:t>EN: Emerging capitalism and sociocultural niche construction in early modern Greece</w:t>
      </w:r>
    </w:p>
    <w:p>
      <w:pPr>
        <w:spacing w:before="0" w:after="120"/>
      </w:pPr>
      <w:r>
        <w:rPr>
          <w:b/>
        </w:rPr>
        <w:t xml:space="preserve">Source: </w:t>
      </w:r>
      <w:r>
        <w:t>Earth and environmental sciences : Nature Communications subject feeds</w:t>
      </w:r>
      <w:r>
        <w:t xml:space="preserve">    </w:t>
      </w:r>
      <w:r>
        <w:rPr>
          <w:b/>
        </w:rPr>
        <w:t xml:space="preserve">Pub date: </w:t>
      </w:r>
      <w:r>
        <w:t>2026-07-22 00:00:00+00:00</w:t>
      </w:r>
    </w:p>
    <w:p>
      <w:pPr>
        <w:spacing w:before="0" w:after="120"/>
      </w:pPr>
      <w:r>
        <w:rPr>
          <w:b/>
        </w:rPr>
        <w:t xml:space="preserve">Notes: </w:t>
      </w:r>
      <w:r>
        <w:t>abstract_source=nature_html</w:t>
      </w:r>
    </w:p>
    <w:p>
      <w:pPr>
        <w:spacing w:before="0" w:after="80" w:lineRule="auto" w:line="276"/>
      </w:pPr>
      <w:r>
        <w:rPr>
          <w:b/>
        </w:rPr>
        <w:t xml:space="preserve">摘要（ZH）: </w:t>
      </w:r>
      <w:r>
        <w:t>社会文化利基建设是当前全球危机背后的关键机制。由于缺乏数据和建模的复杂性，过去社会中其因果驱动因素仍然知之甚少。在这里，我们将贝叶斯机器学习算法应用于 15-16 世纪编译的地理空间定量数据集。 CE 奥斯曼税务登记册，旨在探索希腊南部村庄社区土地使用选择驱动因素的变化。生活在同一地区的希腊和阿尔巴尼亚社区经历了从不稳定的政治条件和有限的农业商品化到持久和平、强烈的市场一体化和国家财政压力的转变，这是早期欧洲资本主义的特征。我们发现，在经济转型之前，民族文化身份（希腊或阿尔巴尼亚）在当地生态位建设中发挥着重要作用。然而，在两代人（50 年）内，村庄社区在生态选择中不再依赖民族身份，其策略与每个村庄社区的投资潜力及其周围环境特征密切相关。因此，我们的分析表明，早期现代社会经济系统的压力需要当地社区采取高度适应性的行为，从而降低了传统身份的生态意义。</w:t>
      </w:r>
    </w:p>
    <w:p>
      <w:pPr>
        <w:spacing w:before="0" w:after="200" w:lineRule="auto" w:line="276"/>
      </w:pPr>
      <w:r>
        <w:rPr>
          <w:b/>
        </w:rPr>
        <w:t xml:space="preserve">Abstract (EN): </w:t>
      </w:r>
      <w:r>
        <w:t>Sociocultural niche construction is a key mechanism behind the current planetary crisis. Its causal drivers in past societies remain poorly understood due to a lack of data and modeling complexities. Here, we apply a Bayesian machine learning algorithm to a geospatial quantitative dataset compiled from 15th−16th c. CE Ottoman taxation registers, to explore shifts in drivers of land use choices in village communities in southern Greece. Greek and Albanian communities living within the same landscape experienced a transition from unstable political conditions and limited commodification of agriculture to lasting peace, intense market integration and state fiscal pressure, characteristic for early European capitalism. We found that prior to this economic transformation, ethno-cultural identities (Greek or Albanian) played an important role in local ecological niche construction. However, within two human generations (50 years), village communities shifted away from relying on ethnic identities in their ecological choices and their strategies became strongly connected to the investment potential of each village community and the environmental characteristics of their surroundings. Thus, our analysis demonstrates that the pressures of early modern socio-economic systems necessitated highly adaptive behavior from local communities that reduced the ecological significance of traditional identities.</w:t>
      </w:r>
    </w:p>
    <w:p>
      <w:pPr>
        <w:spacing w:before="120" w:after="120"/>
      </w:pPr>
      <w:r>
        <w:rPr>
          <w:sz w:val="18"/>
        </w:rPr>
        <w:t>——————————————————————————————————————————————————————————————————————</w:t>
      </w:r>
    </w:p>
    <w:p>
      <w:pPr>
        <w:spacing w:before="160" w:after="40" w:line="240" w:lineRule="auto"/>
      </w:pPr>
      <w:r>
        <w:rPr>
          <w:b/>
        </w:rPr>
        <w:t xml:space="preserve">[619] </w:t>
      </w:r>
      <w:hyperlink r:id="rId1693">
        <w:r>
          <w:rPr>
            <w:color w:val="1155CC"/>
            <w:u w:val="single"/>
          </w:rPr>
          <w:t>可回收的铂催化双相水硅烷化反应：从功能化单体到聚合物材料</w:t>
        </w:r>
      </w:hyperlink>
    </w:p>
    <w:p>
      <w:pPr>
        <w:spacing w:before="0" w:after="80"/>
      </w:pPr>
      <w:r>
        <w:rPr>
          <w:i/>
          <w:sz w:val="20"/>
        </w:rPr>
        <w:t>EN: Recyclable Pt‐Catalyzed Biphase Hydrosilylation on Water: From Functionalized Monomers to Polymer Materials</w:t>
      </w:r>
    </w:p>
    <w:p>
      <w:pPr>
        <w:spacing w:before="0" w:after="120"/>
      </w:pPr>
      <w:r>
        <w:rPr>
          <w:b/>
        </w:rPr>
        <w:t xml:space="preserve">Source: </w:t>
      </w:r>
      <w:r>
        <w:t>Wiley: Angewandte Chemie International Edition: Table of Contents</w:t>
      </w:r>
      <w:r>
        <w:t xml:space="preserve">    </w:t>
      </w:r>
      <w:r>
        <w:rPr>
          <w:b/>
        </w:rPr>
        <w:t xml:space="preserve">Pub date: </w:t>
      </w:r>
      <w:r>
        <w:t>2026-07-22 05:17:05+00:00</w:t>
      </w:r>
      <w:r>
        <w:t xml:space="preserve">    </w:t>
      </w:r>
      <w:r>
        <w:rPr>
          <w:b/>
        </w:rPr>
        <w:t xml:space="preserve">DOI: </w:t>
      </w:r>
      <w:hyperlink r:id="rId1694">
        <w:r>
          <w:rPr>
            <w:color w:val="1155CC"/>
            <w:u w:val="single"/>
          </w:rPr>
          <w:t>10.1002/anie.5126293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提出了解决重要工业氢化硅烷化过程的主要挑战的方法。可回收双相</w:t>
      </w:r>
      <w:r>
        <w:t xml:space="preserve"> </w:t>
      </w:r>
      <w:r>
        <w:t>铂/氢</w:t>
      </w:r>
      <w:r>
        <w:rPr>
          <w:vertAlign w:val="subscript"/>
        </w:rPr>
        <w:t>2</w:t>
      </w:r>
      <w:r>
        <w:t>O-</w:t>
      </w:r>
      <w:r>
        <w:t xml:space="preserve"> </w:t>
      </w:r>
      <w:r>
        <w:t>和</w:t>
      </w:r>
      <w:r>
        <w:t xml:space="preserve"> </w:t>
      </w:r>
      <w:r>
        <w:t>铂/钾</w:t>
      </w:r>
      <w:r>
        <w:t xml:space="preserve"> </w:t>
      </w:r>
      <w:r>
        <w:t>乙</w:t>
      </w:r>
      <w:r>
        <w:t xml:space="preserve"> </w:t>
      </w:r>
      <w:r>
        <w:t>r/H</w:t>
      </w:r>
      <w:r>
        <w:rPr>
          <w:vertAlign w:val="subscript"/>
        </w:rPr>
        <w:t>2</w:t>
      </w:r>
      <w:r>
        <w:t>氧</w:t>
      </w:r>
      <w:r>
        <w:t xml:space="preserve"> </w:t>
      </w:r>
      <w:r>
        <w:t>‐ 开发出催化剂。它们是通过溶解 K 来制备的</w:t>
      </w:r>
      <w:r>
        <w:rPr>
          <w:vertAlign w:val="subscript"/>
        </w:rPr>
        <w:t>2</w:t>
      </w:r>
      <w:r>
        <w:t>氯化铂</w:t>
      </w:r>
      <w:r>
        <w:rPr>
          <w:vertAlign w:val="subscript"/>
        </w:rPr>
        <w:t>4</w:t>
      </w:r>
      <w:r>
        <w:t>H 中含或不含 KBr</w:t>
      </w:r>
      <w:r>
        <w:rPr>
          <w:vertAlign w:val="subscript"/>
        </w:rPr>
        <w:t>2</w:t>
      </w:r>
      <w:r>
        <w:t>室温下 O 2 分钟。机理研究揭示了以前未知的高催化活性单原子（</w:t>
      </w:r>
      <w:r>
        <w:t xml:space="preserve"> </w:t>
      </w:r>
      <w:r>
        <w:t>铂/氢</w:t>
      </w:r>
      <w:r>
        <w:rPr>
          <w:vertAlign w:val="subscript"/>
        </w:rPr>
        <w:t>2</w:t>
      </w:r>
      <w:r>
        <w:t>氧</w:t>
      </w:r>
      <w:r>
        <w:t xml:space="preserve"> </w:t>
      </w:r>
      <w:r>
        <w:t>) 或簇 (</w:t>
      </w:r>
      <w:r>
        <w:t xml:space="preserve"> </w:t>
      </w:r>
      <w:r>
        <w:t>铂/钾</w:t>
      </w:r>
      <w:r>
        <w:t xml:space="preserve"> </w:t>
      </w:r>
      <w:r>
        <w:t>乙</w:t>
      </w:r>
      <w:r>
        <w:t xml:space="preserve"> </w:t>
      </w:r>
      <w:r>
        <w:t>r/H</w:t>
      </w:r>
      <w:r>
        <w:rPr>
          <w:vertAlign w:val="subscript"/>
        </w:rPr>
        <w:t>2</w:t>
      </w:r>
      <w:r>
        <w:t>氧</w:t>
      </w:r>
      <w:r>
        <w:t xml:space="preserve"> </w:t>
      </w:r>
      <w:r>
        <w:t>) [铂</w:t>
      </w:r>
      <w:r>
        <w:rPr>
          <w:vertAlign w:val="subscript"/>
        </w:rPr>
        <w:t>0</w:t>
      </w:r>
      <w:r>
        <w:t>]-复合物生成。 H</w:t>
      </w:r>
      <w:r>
        <w:rPr>
          <w:vertAlign w:val="subscript"/>
        </w:rPr>
        <w:t>2</w:t>
      </w:r>
      <w:r>
        <w:t>氧、氯</w:t>
      </w:r>
      <w:r>
        <w:t xml:space="preserve"> </w:t>
      </w:r>
      <w:r>
        <w:t>–</w:t>
      </w:r>
      <w:r>
        <w:t xml:space="preserve"> </w:t>
      </w:r>
      <w:r>
        <w:t>/Br</w:t>
      </w:r>
      <w:r>
        <w:t xml:space="preserve"> </w:t>
      </w:r>
      <w:r>
        <w:t>–</w:t>
      </w:r>
      <w:r>
        <w:t xml:space="preserve"> </w:t>
      </w:r>
      <w:r>
        <w:t>，并且烯烃/炔烃配位这样的[Pt</w:t>
      </w:r>
      <w:r>
        <w:rPr>
          <w:vertAlign w:val="subscript"/>
        </w:rPr>
        <w:t>0</w:t>
      </w:r>
      <w:r>
        <w:t>]-物种，“调整”它们的稳定性、催化活性和结构（单原子或簇）。 [Pt的合作</w:t>
      </w:r>
      <w:r>
        <w:rPr>
          <w:vertAlign w:val="subscript"/>
        </w:rPr>
        <w:t>0</w:t>
      </w:r>
    </w:p>
    <w:p>
      <w:pPr>
        <w:spacing w:before="0" w:after="200" w:lineRule="auto" w:line="276"/>
      </w:pPr>
      <w:r>
        <w:rPr>
          <w:b/>
        </w:rPr>
        <w:t xml:space="preserve">Abstract (EN): </w:t>
      </w:r>
      <w:r>
        <w:t>Ways to resolve the main challenges of the important industrial hydrosilylation process are proposed. Recyclable biphasic</w:t>
      </w:r>
      <w:r>
        <w:t xml:space="preserve"> </w:t>
      </w:r>
      <w:r>
        <w:t>Pt/H</w:t>
      </w:r>
      <w:r>
        <w:rPr>
          <w:vertAlign w:val="subscript"/>
        </w:rPr>
        <w:t>2</w:t>
      </w:r>
      <w:r>
        <w:t>O‐</w:t>
      </w:r>
      <w:r>
        <w:t xml:space="preserve"> </w:t>
      </w:r>
      <w:r>
        <w:t>and</w:t>
      </w:r>
      <w:r>
        <w:t xml:space="preserve"> </w:t>
      </w:r>
      <w:r>
        <w:t>Pt/K</w:t>
      </w:r>
      <w:r>
        <w:t xml:space="preserve"> </w:t>
      </w:r>
      <w:r>
        <w:t>B</w:t>
      </w:r>
      <w:r>
        <w:t xml:space="preserve"> </w:t>
      </w:r>
      <w:r>
        <w:t>r/H</w:t>
      </w:r>
      <w:r>
        <w:rPr>
          <w:vertAlign w:val="subscript"/>
        </w:rPr>
        <w:t>2</w:t>
      </w:r>
      <w:r>
        <w:t>O</w:t>
      </w:r>
      <w:r>
        <w:t xml:space="preserve"> </w:t>
      </w:r>
      <w:r>
        <w:t>‐catalysts are developed. They are prepared by dissolving K</w:t>
      </w:r>
      <w:r>
        <w:rPr>
          <w:vertAlign w:val="subscript"/>
        </w:rPr>
        <w:t>2</w:t>
      </w:r>
      <w:r>
        <w:t>PtCl</w:t>
      </w:r>
      <w:r>
        <w:rPr>
          <w:vertAlign w:val="subscript"/>
        </w:rPr>
        <w:t>4</w:t>
      </w:r>
      <w:r>
        <w:t>with or without KBr in H</w:t>
      </w:r>
      <w:r>
        <w:rPr>
          <w:vertAlign w:val="subscript"/>
        </w:rPr>
        <w:t>2</w:t>
      </w:r>
      <w:r>
        <w:t>O at r.t. for 2 min. Mechanistic studies revealed that previously unknown highly catalytically active single‐atom (</w:t>
      </w:r>
      <w:r>
        <w:t xml:space="preserve"> </w:t>
      </w:r>
      <w:r>
        <w:t>Pt/H</w:t>
      </w:r>
      <w:r>
        <w:rPr>
          <w:vertAlign w:val="subscript"/>
        </w:rPr>
        <w:t>2</w:t>
      </w:r>
      <w:r>
        <w:t>O</w:t>
      </w:r>
      <w:r>
        <w:t xml:space="preserve"> </w:t>
      </w:r>
      <w:r>
        <w:t>) or cluster (</w:t>
      </w:r>
      <w:r>
        <w:t xml:space="preserve"> </w:t>
      </w:r>
      <w:r>
        <w:t>Pt/K</w:t>
      </w:r>
      <w:r>
        <w:t xml:space="preserve"> </w:t>
      </w:r>
      <w:r>
        <w:t>B</w:t>
      </w:r>
      <w:r>
        <w:t xml:space="preserve"> </w:t>
      </w:r>
      <w:r>
        <w:t>r/H</w:t>
      </w:r>
      <w:r>
        <w:rPr>
          <w:vertAlign w:val="subscript"/>
        </w:rPr>
        <w:t>2</w:t>
      </w:r>
      <w:r>
        <w:t>O</w:t>
      </w:r>
      <w:r>
        <w:t xml:space="preserve"> </w:t>
      </w:r>
      <w:r>
        <w:t>) [Pt</w:t>
      </w:r>
      <w:r>
        <w:rPr>
          <w:vertAlign w:val="subscript"/>
        </w:rPr>
        <w:t>0</w:t>
      </w:r>
      <w:r>
        <w:t>]‐complexes are generated. H</w:t>
      </w:r>
      <w:r>
        <w:rPr>
          <w:vertAlign w:val="subscript"/>
        </w:rPr>
        <w:t>2</w:t>
      </w:r>
      <w:r>
        <w:t>O, Cl</w:t>
      </w:r>
      <w:r>
        <w:t xml:space="preserve"> </w:t>
      </w:r>
      <w:r>
        <w:t>–</w:t>
      </w:r>
      <w:r>
        <w:t xml:space="preserve"> </w:t>
      </w:r>
      <w:r>
        <w:t>/Br</w:t>
      </w:r>
      <w:r>
        <w:t xml:space="preserve"> </w:t>
      </w:r>
      <w:r>
        <w:t>–</w:t>
      </w:r>
      <w:r>
        <w:t xml:space="preserve"> </w:t>
      </w:r>
      <w:r>
        <w:t>, and alkenes/alkynes coordinate such [Pt</w:t>
      </w:r>
      <w:r>
        <w:rPr>
          <w:vertAlign w:val="subscript"/>
        </w:rPr>
        <w:t>0</w:t>
      </w:r>
      <w:r>
        <w:t>]‐species, “tuning” their stability, catalytic activity, and structure (single‐atom or cluster). The cooperation of [Pt</w:t>
      </w:r>
      <w:r>
        <w:rPr>
          <w:vertAlign w:val="subscript"/>
        </w:rPr>
        <w:t>0</w:t>
      </w:r>
      <w:r>
        <w:t>]‐species and</w:t>
      </w:r>
      <w:r>
        <w:t xml:space="preserve"> </w:t>
      </w:r>
      <w:r>
        <w:t>“on water”</w:t>
      </w:r>
      <w:r>
        <w:t xml:space="preserve"> </w:t>
      </w:r>
      <w:r>
        <w:t>effect enabled high efficiency in hydrosilylation. Using</w:t>
      </w:r>
      <w:r>
        <w:t xml:space="preserve"> </w:t>
      </w:r>
      <w:r>
        <w:t>Pt/H</w:t>
      </w:r>
      <w:r>
        <w:rPr>
          <w:vertAlign w:val="subscript"/>
        </w:rPr>
        <w:t>2</w:t>
      </w:r>
      <w:r>
        <w:t>O</w:t>
      </w:r>
      <w:r>
        <w:t xml:space="preserve"> </w:t>
      </w:r>
      <w:r>
        <w:t>and</w:t>
      </w:r>
      <w:r>
        <w:t xml:space="preserve"> </w:t>
      </w:r>
      <w:r>
        <w:t>Pt/K</w:t>
      </w:r>
      <w:r>
        <w:t xml:space="preserve"> </w:t>
      </w:r>
      <w:r>
        <w:t>B</w:t>
      </w:r>
      <w:r>
        <w:t xml:space="preserve"> </w:t>
      </w:r>
      <w:r>
        <w:t>r/H</w:t>
      </w:r>
      <w:r>
        <w:rPr>
          <w:vertAlign w:val="subscript"/>
        </w:rPr>
        <w:t>2</w:t>
      </w:r>
      <w:r>
        <w:t>O</w:t>
      </w:r>
      <w:r>
        <w:t xml:space="preserve"> </w:t>
      </w:r>
      <w:r>
        <w:t>, a wide range of hydrosilanes, including oligomeric and polymeric ones, as well as aliphatic and aromatic alkenes and alkynes with functional groups, were employed to prepare</w:t>
      </w:r>
      <w:r>
        <w:t xml:space="preserve"> </w:t>
      </w:r>
      <w:r>
        <w:t>anti</w:t>
      </w:r>
      <w:r>
        <w:t xml:space="preserve"> </w:t>
      </w:r>
      <w:r>
        <w:t>‐Markovnikov products.</w:t>
      </w:r>
      <w:r>
        <w:t xml:space="preserve"> </w:t>
      </w:r>
      <w:r>
        <w:t>Pt/K</w:t>
      </w:r>
      <w:r>
        <w:t xml:space="preserve"> </w:t>
      </w:r>
      <w:r>
        <w:t>B</w:t>
      </w:r>
      <w:r>
        <w:t xml:space="preserve"> </w:t>
      </w:r>
      <w:r>
        <w:t>r/H</w:t>
      </w:r>
      <w:r>
        <w:rPr>
          <w:vertAlign w:val="subscript"/>
        </w:rPr>
        <w:t>2</w:t>
      </w:r>
      <w:r>
        <w:t>O</w:t>
      </w:r>
      <w:r>
        <w:t xml:space="preserve"> </w:t>
      </w:r>
      <w:r>
        <w:t>made it possible to obtain cured monoliths and thin films from PDMS derivatives with Si–H‐groups, and vinylsiloxanes, dienes, including gaseous acetylene or butadiene. Pt‐free products, including cross‐linked materials can be isolated from the biphasic catalytic system by decantation. The recyclability (≥15 cycles), low Pt‐loadings and high yields enable a low E‐factor (≤0.07) and a high TON (&amp;gt;10</w:t>
      </w:r>
      <w:r>
        <w:rPr>
          <w:vertAlign w:val="subscript"/>
        </w:rPr>
        <w:t>4</w:t>
      </w:r>
      <w:r>
        <w:t>). Furthermore, a constructed tube‐in‐tube flow reactor allows for effective scale‐up, automatic separation and recycling of the catalytic system with continuous product synthesis.</w:t>
      </w:r>
    </w:p>
    <w:p>
      <w:pPr>
        <w:spacing w:before="120" w:after="120"/>
      </w:pPr>
      <w:r>
        <w:rPr>
          <w:sz w:val="18"/>
        </w:rPr>
        <w:t>——————————————————————————————————————————————————————————————————————</w:t>
      </w:r>
    </w:p>
    <w:p>
      <w:pPr>
        <w:spacing w:before="160" w:after="40" w:line="240" w:lineRule="auto"/>
      </w:pPr>
      <w:r>
        <w:rPr>
          <w:b/>
        </w:rPr>
        <w:t xml:space="preserve">[620] </w:t>
      </w:r>
      <w:hyperlink r:id="rId1695">
        <w:r>
          <w:rPr>
            <w:color w:val="1155CC"/>
            <w:u w:val="single"/>
          </w:rPr>
          <w:t>手性磷酸催化不对称 SN1 反应中联芳基氧氮杂试剂活化烯丙伯醇</w:t>
        </w:r>
      </w:hyperlink>
    </w:p>
    <w:p>
      <w:pPr>
        <w:spacing w:before="0" w:after="80"/>
      </w:pPr>
      <w:r>
        <w:rPr>
          <w:i/>
          <w:sz w:val="20"/>
        </w:rPr>
        <w:t>EN: Activation of Allylic Primary Alcohols With Biaryl Oxazepine Reagent for Chiral Phosphoric Acid‐Catalyzed Asymmetric SN1 Reaction</w:t>
      </w:r>
    </w:p>
    <w:p>
      <w:pPr>
        <w:spacing w:before="0" w:after="120"/>
      </w:pPr>
      <w:r>
        <w:rPr>
          <w:b/>
        </w:rPr>
        <w:t xml:space="preserve">Source: </w:t>
      </w:r>
      <w:r>
        <w:t>Wiley: Angewandte Chemie International Edition: Table of Contents</w:t>
      </w:r>
      <w:r>
        <w:t xml:space="preserve">    </w:t>
      </w:r>
      <w:r>
        <w:rPr>
          <w:b/>
        </w:rPr>
        <w:t xml:space="preserve">Pub date: </w:t>
      </w:r>
      <w:r>
        <w:t>2026-07-22 05:18:34+00:00</w:t>
      </w:r>
      <w:r>
        <w:t xml:space="preserve">    </w:t>
      </w:r>
      <w:r>
        <w:rPr>
          <w:b/>
        </w:rPr>
        <w:t xml:space="preserve">DOI: </w:t>
      </w:r>
      <w:hyperlink r:id="rId1696">
        <w:r>
          <w:rPr>
            <w:color w:val="1155CC"/>
            <w:u w:val="single"/>
          </w:rPr>
          <w:t>10.1002/anie.5149199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阳离子长期以来一直是有机合成中重要的反应中间体。然而，它们固有的不稳定性和高反应性对实现精确的立体控制提出了巨大的挑战。以前的策略需要手性催化剂在碳阳离子周围建立最佳的手性环境，从而在这些S中获得高对映选择性</w:t>
      </w:r>
      <w:r>
        <w:t xml:space="preserve"> </w:t>
      </w:r>
      <w:r>
        <w:t>氮</w:t>
      </w:r>
      <w:r>
        <w:t xml:space="preserve"> </w:t>
      </w:r>
      <w:r>
        <w:t>1 反应。在此，我们报道了一种手性磷酸（CPA）催化的S</w:t>
      </w:r>
      <w:r>
        <w:t xml:space="preserve"> </w:t>
      </w:r>
      <w:r>
        <w:t>氮</w:t>
      </w:r>
      <w:r>
        <w:t xml:space="preserve"> </w:t>
      </w:r>
      <w:r>
        <w:t>伯烯丙醇的 1 反应，其中离去基团可以通过与手性催化剂形成络合物来调节反应活性并控制对映选择性。该反应成功的关键是开发了醇活化试剂（联芳基氧氮杂卓），它可以化学选择性地活化烯丙醇，形成具有良好离去能力的中间体。一系列烯丙基5,6-二氢菲啶和6</w:t>
      </w:r>
      <w:r>
        <w:t xml:space="preserve"> </w:t>
      </w:r>
      <w:r>
        <w:t>H</w:t>
      </w:r>
      <w:r>
        <w:t xml:space="preserve"> </w:t>
      </w:r>
      <w:r>
        <w:t>‐苯并[</w:t>
      </w:r>
      <w:r>
        <w:t xml:space="preserve"> </w:t>
      </w:r>
      <w:r>
        <w:t>c</w:t>
      </w:r>
      <w:r>
        <w:t xml:space="preserve"> </w:t>
      </w:r>
      <w:r>
        <w:t>] 可以高产率获得具有优异对映选择性的色烯产品。所得5,6-二氢菲啶衍生物的进一步转化和应用以及几种天然产物的不对称形式全合成证明了该反应的实用性。机理研究支持该反应通过 S 进行</w:t>
      </w:r>
      <w:r>
        <w:t xml:space="preserve"> </w:t>
      </w:r>
      <w:r>
        <w:t>氮</w:t>
      </w:r>
      <w:r>
        <w:t xml:space="preserve"> </w:t>
      </w:r>
      <w:r>
        <w:t>1途径，其中实现了烯丙基碳阳离子的对映体控制</w:t>
      </w:r>
    </w:p>
    <w:p>
      <w:pPr>
        <w:spacing w:before="0" w:after="200" w:lineRule="auto" w:line="276"/>
      </w:pPr>
      <w:r>
        <w:rPr>
          <w:b/>
        </w:rPr>
        <w:t xml:space="preserve">Abstract (EN): </w:t>
      </w:r>
      <w:r>
        <w:t>Carbocations have long been important reactive intermediates in organic synthesis. Nevertheless, their inherent instability and high reactivity present formidable challenges to achieving precise stereocontrol. Previous strategies require the chiral catalyst to establish an optimal chiral environment around the carbocations, thus, high enantioselectivity can be obtained in these S</w:t>
      </w:r>
      <w:r>
        <w:t xml:space="preserve"> </w:t>
      </w:r>
      <w:r>
        <w:t>N</w:t>
      </w:r>
      <w:r>
        <w:t xml:space="preserve"> </w:t>
      </w:r>
      <w:r>
        <w:t>1 reactions. Herein, we report a chiral phosphoric acid (CPA)‐catalyzed S</w:t>
      </w:r>
      <w:r>
        <w:t xml:space="preserve"> </w:t>
      </w:r>
      <w:r>
        <w:t>N</w:t>
      </w:r>
      <w:r>
        <w:t xml:space="preserve"> </w:t>
      </w:r>
      <w:r>
        <w:t>1 reaction of primary allylic alcohol, in which the leaving group can modulate the reactivity and control enantioselectivity by forming a complex with the chiral catalyst. The key to the success of this reaction is the development of an alcohol activation reagent (biaryl oxazepine), which can chemoselectively activate allylic alcohol to form an intermediate with good leaving ability. A series of allylic 5,6‐dihydrophenanthridine and 6</w:t>
      </w:r>
      <w:r>
        <w:t xml:space="preserve"> </w:t>
      </w:r>
      <w:r>
        <w:t>H</w:t>
      </w:r>
      <w:r>
        <w:t xml:space="preserve"> </w:t>
      </w:r>
      <w:r>
        <w:t>‐benzo[</w:t>
      </w:r>
      <w:r>
        <w:t xml:space="preserve"> </w:t>
      </w:r>
      <w:r>
        <w:t>c</w:t>
      </w:r>
      <w:r>
        <w:t xml:space="preserve"> </w:t>
      </w:r>
      <w:r>
        <w:t>]chromene products could be obtained in high yields with excellent enantioselectivities. Further transformations and applications of the resulting 5,6‐dihydrophenanthridine derivatives and the asymmetric formal total synthesis of several natural products demonstrated the utilities of this reaction. Mechanistic studies support that the reaction proceeds via an S</w:t>
      </w:r>
      <w:r>
        <w:t xml:space="preserve"> </w:t>
      </w:r>
      <w:r>
        <w:t>N</w:t>
      </w:r>
      <w:r>
        <w:t xml:space="preserve"> </w:t>
      </w:r>
      <w:r>
        <w:t>1 pathway, in which the enantio‐control of allyl carbocations was achieved by in situ formed complex from chiral catalysts and leaving groups.</w:t>
      </w:r>
    </w:p>
    <w:p>
      <w:pPr>
        <w:spacing w:before="120" w:after="120"/>
      </w:pPr>
      <w:r>
        <w:rPr>
          <w:sz w:val="18"/>
        </w:rPr>
        <w:t>——————————————————————————————————————————————————————————————————————</w:t>
      </w:r>
    </w:p>
    <w:p>
      <w:pPr>
        <w:spacing w:before="160" w:after="40" w:line="240" w:lineRule="auto"/>
      </w:pPr>
      <w:r>
        <w:rPr>
          <w:b/>
        </w:rPr>
        <w:t xml:space="preserve">[621] </w:t>
      </w:r>
      <w:hyperlink r:id="rId1697">
        <w:r>
          <w:rPr>
            <w:color w:val="1155CC"/>
            <w:u w:val="single"/>
          </w:rPr>
          <w:t>Myltayloriones A-B 和 Mylnudones A-D 的仿生全合成</w:t>
        </w:r>
      </w:hyperlink>
    </w:p>
    <w:p>
      <w:pPr>
        <w:spacing w:before="0" w:after="80"/>
      </w:pPr>
      <w:r>
        <w:rPr>
          <w:i/>
          <w:sz w:val="20"/>
        </w:rPr>
        <w:t>EN: Bioinspired Total Synthesis of Myltayloriones A‐B and Mylnudones A–D</w:t>
      </w:r>
    </w:p>
    <w:p>
      <w:pPr>
        <w:spacing w:before="0" w:after="120"/>
      </w:pPr>
      <w:r>
        <w:rPr>
          <w:b/>
        </w:rPr>
        <w:t xml:space="preserve">Source: </w:t>
      </w:r>
      <w:r>
        <w:t>Wiley: Angewandte Chemie International Edition: Table of Contents</w:t>
      </w:r>
      <w:r>
        <w:t xml:space="preserve">    </w:t>
      </w:r>
      <w:r>
        <w:rPr>
          <w:b/>
        </w:rPr>
        <w:t xml:space="preserve">Pub date: </w:t>
      </w:r>
      <w:r>
        <w:t>2026-07-22 05:22:32+00:00</w:t>
      </w:r>
      <w:r>
        <w:t xml:space="preserve">    </w:t>
      </w:r>
      <w:r>
        <w:rPr>
          <w:b/>
        </w:rPr>
        <w:t xml:space="preserve">DOI: </w:t>
      </w:r>
      <w:hyperlink r:id="rId1698">
        <w:r>
          <w:rPr>
            <w:color w:val="1155CC"/>
            <w:u w:val="single"/>
          </w:rPr>
          <w:t>10.1002/anie.5419423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在此，我们报道了二聚倍半萜类myltayloriones A和B的首次不对称合成。该合成采用立体发散的Echavarren Au催化反应，能够从共同的二烯前体合成两个亚基，然后通过</w:t>
      </w:r>
      <w:r>
        <w:t xml:space="preserve"> </w:t>
      </w:r>
      <w:r>
        <w:t>内切</w:t>
      </w:r>
      <w:r>
        <w:t xml:space="preserve"> </w:t>
      </w:r>
      <w:r>
        <w:t>‐Diels-Alder 异二聚化。其他关键转化包括配体控制的 Pd 催化还原氢解以实现 C1 异构化，以及金属催化氢原子转移 (MHAT) 引发的 Baran-Giese 环化以形成高度拥挤的五取代环丙烷。密度泛函理论 (DFT) 计算进一步阐明了 Pd 催化氢解的选择性源自两种不同的氧化加成途径。这项合成工作使得进一步研究 mylnudone A 所表现出的有效生长分化因子 15 (GDF15) 抑制和昆虫拒食活性成为可能。此外，所开发的策略使得能够简明合成 mylnudones A-D，并修改了 mylnudones A 和 B 的结构。</w:t>
      </w:r>
    </w:p>
    <w:p>
      <w:pPr>
        <w:spacing w:before="0" w:after="200" w:lineRule="auto" w:line="276"/>
      </w:pPr>
      <w:r>
        <w:rPr>
          <w:b/>
        </w:rPr>
        <w:t xml:space="preserve">Abstract (EN): </w:t>
      </w:r>
      <w:r>
        <w:t>Herein, we report the first asymmetric synthesis of the dimeric sesquiterpenoid myltayloriones A and B. The synthesis features a stereodivergent Echavarren Au‐catalyzed reaction that enables the synthesis of two subunits from a common dienyne precursor, followed by an</w:t>
      </w:r>
      <w:r>
        <w:t xml:space="preserve"> </w:t>
      </w:r>
      <w:r>
        <w:t>endo</w:t>
      </w:r>
      <w:r>
        <w:t xml:space="preserve"> </w:t>
      </w:r>
      <w:r>
        <w:t>‐Diels–Alder heterodimerization. Additional key transformations include a ligand‐controlled Pd‐catalyzed reductive hydrogenolysis for C1 isomerization, and a metal‐catalyzed hydrogen atom transfer (MHAT)‐initiated Baran–Giese cyclization to forge a highly congested penta‐substituted cyclopropane. The selectivity of Pd‐catalyzed hydrogenolysis originates from two different oxidative addition pathways, as further elucidated by density functional theory (DFT) calculations. This synthetic work has enabled further investigation of the potent growth differentiation factor 15 (GDF15) inhibitory and insect antifeedant activity exhibited by myltaylorione A. Furthermore, the developed strategy enabled the concise synthesis of mylnudones A–D and revised the structures of mylnudones A and B.</w:t>
      </w:r>
    </w:p>
    <w:p>
      <w:pPr>
        <w:spacing w:before="120" w:after="120"/>
      </w:pPr>
      <w:r>
        <w:rPr>
          <w:sz w:val="18"/>
        </w:rPr>
        <w:t>——————————————————————————————————————————————————————————————————————</w:t>
      </w:r>
    </w:p>
    <w:p>
      <w:pPr>
        <w:spacing w:before="160" w:after="40" w:line="240" w:lineRule="auto"/>
      </w:pPr>
      <w:r>
        <w:rPr>
          <w:b/>
        </w:rPr>
        <w:t xml:space="preserve">[622] </w:t>
      </w:r>
      <w:hyperlink r:id="rId1699">
        <w:r>
          <w:rPr>
            <w:color w:val="1155CC"/>
            <w:u w:val="single"/>
          </w:rPr>
          <w:t>双（二硫化物）钛配合物实现催化硫原子转移</w:t>
        </w:r>
      </w:hyperlink>
    </w:p>
    <w:p>
      <w:pPr>
        <w:spacing w:before="0" w:after="80"/>
      </w:pPr>
      <w:r>
        <w:rPr>
          <w:i/>
          <w:sz w:val="20"/>
        </w:rPr>
        <w:t>EN: Catalytic Sulfur‐Atom Transfer Enabled by a Bis(disulfide) Titanium Complex</w:t>
      </w:r>
    </w:p>
    <w:p>
      <w:pPr>
        <w:spacing w:before="0" w:after="120"/>
      </w:pPr>
      <w:r>
        <w:rPr>
          <w:b/>
        </w:rPr>
        <w:t xml:space="preserve">Source: </w:t>
      </w:r>
      <w:r>
        <w:t>Wiley: Angewandte Chemie International Edition: Table of Contents</w:t>
      </w:r>
      <w:r>
        <w:t xml:space="preserve">    </w:t>
      </w:r>
      <w:r>
        <w:rPr>
          <w:b/>
        </w:rPr>
        <w:t xml:space="preserve">Pub date: </w:t>
      </w:r>
      <w:r>
        <w:t>2026-07-22 05:28:34+00:00</w:t>
      </w:r>
      <w:r>
        <w:t xml:space="preserve">    </w:t>
      </w:r>
      <w:r>
        <w:rPr>
          <w:b/>
        </w:rPr>
        <w:t xml:space="preserve">DOI: </w:t>
      </w:r>
      <w:hyperlink r:id="rId1700">
        <w:r>
          <w:rPr>
            <w:color w:val="1155CC"/>
            <w:u w:val="single"/>
          </w:rPr>
          <w:t>10.1002/anie.5196140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多电子过程是小分子激活和增值的关键步骤。由于钛的正电性和低价前体的可及性有限，多电子转化及其在涉及该元素的原子转移反应中的应用仍然相对不发达。在此，我们报道了一种新型的 Ti(IV) 络合物的四电子转变，该络合物能够形成稀有的双（二硫化物）钛（Ti(S</w:t>
      </w:r>
      <w:r>
        <w:rPr>
          <w:vertAlign w:val="subscript"/>
        </w:rPr>
        <w:t>2</w:t>
      </w:r>
      <w:r>
        <w:t>）</w:t>
      </w:r>
      <w:r>
        <w:rPr>
          <w:vertAlign w:val="subscript"/>
        </w:rPr>
        <w:t>2</w:t>
      </w:r>
      <w:r>
        <w:t>）在螺戊烷主题中。这种独特的富硫络合物的快速选择性形成可用于从相应的异腈催化合成异硫氰酸酯。值得注意的是，该反应即使在环境温度下也非常高效，并且能够耐受含氧官能团，这标志着贵金属催化方法的进步。包括反应动力学和量子化学计算在内的详细机理研究提供了对硫原子转移过程的见解，并强调了非共价相互作用的作用。总的来说，这些结果代表了开发 IV 族金属多电子过程和原子转移催化的新方法。</w:t>
      </w:r>
    </w:p>
    <w:p>
      <w:pPr>
        <w:spacing w:before="0" w:after="200" w:lineRule="auto" w:line="276"/>
      </w:pPr>
      <w:r>
        <w:rPr>
          <w:b/>
        </w:rPr>
        <w:t xml:space="preserve">Abstract (EN): </w:t>
      </w:r>
      <w:r>
        <w:t>Multi‐electron processes are key steps in the activation and valorization of small molecules. Due to titanium's electropositivity and the limited accessibility of low‐valent precursors, multi‐electron transformations and their application in atom‐transfer reactions involving this element remain comparatively underdeveloped. Herein, we report a novel four‐electron transformation from a Ti(IV) complex which enabled the formation of a rare titanium bis(disulfide) (Ti(S</w:t>
      </w:r>
      <w:r>
        <w:rPr>
          <w:vertAlign w:val="subscript"/>
        </w:rPr>
        <w:t>2</w:t>
      </w:r>
      <w:r>
        <w:t>)</w:t>
      </w:r>
      <w:r>
        <w:rPr>
          <w:vertAlign w:val="subscript"/>
        </w:rPr>
        <w:t>2</w:t>
      </w:r>
      <w:r>
        <w:t>) in a spiropentane motif. The fast and selective formation of this unique sulfur‐rich complex was leveraged for the catalytic synthesis of isothiocyanates from the corresponding isonitriles. Notably, this reaction is highly efficient even at ambient temperatures and tolerates oxygen‐containing functional groups, marking an advance over noble‐metal catalyzed methods. Detailed mechanistic studies including reaction kinetics and quantum chemical calculations provide insights into the sulfur‐atom transfer process and highlight the role of non‐covalent interactions. Overall, these results represent a new approach in the development of multi‐electron processes and atom‐transfer catalysis with group IV metals.</w:t>
      </w:r>
    </w:p>
    <w:p>
      <w:pPr>
        <w:spacing w:before="120" w:after="120"/>
      </w:pPr>
      <w:r>
        <w:rPr>
          <w:sz w:val="18"/>
        </w:rPr>
        <w:t>——————————————————————————————————————————————————————————————————————</w:t>
      </w:r>
    </w:p>
    <w:p>
      <w:pPr>
        <w:spacing w:before="160" w:after="40" w:line="240" w:lineRule="auto"/>
      </w:pPr>
      <w:r>
        <w:rPr>
          <w:b/>
        </w:rPr>
        <w:t xml:space="preserve">[623] </w:t>
      </w:r>
      <w:hyperlink r:id="rId1701">
        <w:r>
          <w:rPr>
            <w:color w:val="1155CC"/>
            <w:u w:val="single"/>
          </w:rPr>
          <w:t>通过镍催化多种烯的对映选择性氢化硅烷化</w:t>
        </w:r>
      </w:hyperlink>
    </w:p>
    <w:p>
      <w:pPr>
        <w:spacing w:before="0" w:after="80"/>
      </w:pPr>
      <w:r>
        <w:rPr>
          <w:i/>
          <w:sz w:val="20"/>
        </w:rPr>
        <w:t>EN: Enantioselective Hydrosilylation of Diverse Allenes via Nickel Catalysis</w:t>
      </w:r>
    </w:p>
    <w:p>
      <w:pPr>
        <w:spacing w:before="0" w:after="120"/>
      </w:pPr>
      <w:r>
        <w:rPr>
          <w:b/>
        </w:rPr>
        <w:t xml:space="preserve">Source: </w:t>
      </w:r>
      <w:r>
        <w:t>Wiley: Angewandte Chemie International Edition: Table of Contents</w:t>
      </w:r>
      <w:r>
        <w:t xml:space="preserve">    </w:t>
      </w:r>
      <w:r>
        <w:rPr>
          <w:b/>
        </w:rPr>
        <w:t xml:space="preserve">Pub date: </w:t>
      </w:r>
      <w:r>
        <w:t>2026-07-22 06:24:56+00:00</w:t>
      </w:r>
      <w:r>
        <w:t xml:space="preserve">    </w:t>
      </w:r>
      <w:r>
        <w:rPr>
          <w:b/>
        </w:rPr>
        <w:t xml:space="preserve">DOI: </w:t>
      </w:r>
      <w:hyperlink r:id="rId1702">
        <w:r>
          <w:rPr>
            <w:color w:val="1155CC"/>
            <w:u w:val="single"/>
          </w:rPr>
          <w:t>10.1002/anie.4069826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丙二烯的对映选择性氢化硅烷化是制备光学纯烯丙基硅烷的最有效方法之一，但由于难以控制区域选择性和对映选择性，因此其范围仍然是一个重大挑战。在这里，我们报告了一个通用平台，通过镍催化的各种丙二烯衍生物（包括单取代丙二烯和1,3-二取代丙二烯）的硅氢加成来有效和模块化地制备各种烯丙基硅烷。通过新开发的 SSiOL 衍生的二亚次膦酸酯配体 (SPSOP)，单取代丙二烯的氢化硅烷化已经实现，具有优异的区域选择性和对映选择性。此外，使用市售手性 QuinoxP* 配体首次动力学拆分外消旋 1,3-二取代丙二烯，提供了一系列具有高立体诱导性的仲烯丙基硅烷（</w:t>
      </w:r>
      <w:r>
        <w:t xml:space="preserve"> </w:t>
      </w:r>
      <w:r>
        <w:t>S</w:t>
      </w:r>
      <w:r>
        <w:t xml:space="preserve"> </w:t>
      </w:r>
      <w:r>
        <w:t>因数高达 133）。所得的对映体富集的烯丙基硅烷在合成上非常有用，这已通过甲硅烷基和烯烃官能团的各种转化得到证明，最终实现了硅环的有效合成和几种生物活性分子的正式合成。</w:t>
      </w:r>
    </w:p>
    <w:p>
      <w:pPr>
        <w:spacing w:before="0" w:after="200" w:lineRule="auto" w:line="276"/>
      </w:pPr>
      <w:r>
        <w:rPr>
          <w:b/>
        </w:rPr>
        <w:t xml:space="preserve">Abstract (EN): </w:t>
      </w:r>
      <w:r>
        <w:t>Enantioselective hydrosilylation of allenes remains a significant challenge with a limited scope due to the difficulties in controlling both regioselectivities and enantioselectivities, despite it representing one of the most efficient manners for the preparation of optically pure allylsilanes. Here, we report a general platform for the efficient and modular preparation of diverse allylsilanes via nickel‐catalyzed hydrosilylation of various allene derivatives, including mono‐substituted allenes and 1,3‐disubstituted allenes. Enabled by a newly developed SPSiOL‐derived diphosphinite ligand (SPSiOP), hydrosilylation of mono‐substituted allenes has been realized with excellent regioselectivity and enantioselectivity. Moreover, the first kinetic resolution of racemic 1,3‐disubstituted allenes has been disclosed using a commercially available chiral QuinoxP* ligand, affording a series of secondary allylsilanes with high stereo induction (</w:t>
      </w:r>
      <w:r>
        <w:t xml:space="preserve"> </w:t>
      </w:r>
      <w:r>
        <w:t>S</w:t>
      </w:r>
      <w:r>
        <w:t xml:space="preserve"> </w:t>
      </w:r>
      <w:r>
        <w:t>factor up to 133). The resulting enantioenriched allylsilanes are highly synthetically useful, which has been demonstrated by a variety of transformations of the silyl and alkene functional groups, culminating in efficient synthesis of silacycles and formal synthesis of several bioactive molecules.</w:t>
      </w:r>
    </w:p>
    <w:p>
      <w:pPr>
        <w:spacing w:before="120" w:after="120"/>
      </w:pPr>
      <w:r>
        <w:rPr>
          <w:sz w:val="18"/>
        </w:rPr>
        <w:t>——————————————————————————————————————————————————————————————————————</w:t>
      </w:r>
    </w:p>
    <w:p>
      <w:pPr>
        <w:spacing w:before="160" w:after="40" w:line="240" w:lineRule="auto"/>
      </w:pPr>
      <w:r>
        <w:rPr>
          <w:b/>
        </w:rPr>
        <w:t xml:space="preserve">[624] </w:t>
      </w:r>
      <w:hyperlink r:id="rId1703">
        <w:r>
          <w:rPr>
            <w:color w:val="1155CC"/>
            <w:u w:val="single"/>
          </w:rPr>
          <w:t>用于增强选择性氢化的同核双原子钴位点</w:t>
        </w:r>
      </w:hyperlink>
    </w:p>
    <w:p>
      <w:pPr>
        <w:spacing w:before="0" w:after="80"/>
      </w:pPr>
      <w:r>
        <w:rPr>
          <w:i/>
          <w:sz w:val="20"/>
        </w:rPr>
        <w:t>EN: Homonuclear Dual‐Atom Cobalt Sites for Enhanced Selective Hydrogenation</w:t>
      </w:r>
    </w:p>
    <w:p>
      <w:pPr>
        <w:spacing w:before="0" w:after="120"/>
      </w:pPr>
      <w:r>
        <w:rPr>
          <w:b/>
        </w:rPr>
        <w:t xml:space="preserve">Source: </w:t>
      </w:r>
      <w:r>
        <w:t>Wiley: Angewandte Chemie International Edition: Table of Contents</w:t>
      </w:r>
      <w:r>
        <w:t xml:space="preserve">    </w:t>
      </w:r>
      <w:r>
        <w:rPr>
          <w:b/>
        </w:rPr>
        <w:t xml:space="preserve">Pub date: </w:t>
      </w:r>
      <w:r>
        <w:t>2026-07-22 06:29:07+00:00</w:t>
      </w:r>
      <w:r>
        <w:t xml:space="preserve">    </w:t>
      </w:r>
      <w:r>
        <w:rPr>
          <w:b/>
        </w:rPr>
        <w:t xml:space="preserve">DOI: </w:t>
      </w:r>
      <w:hyperlink r:id="rId1704">
        <w:r>
          <w:rPr>
            <w:color w:val="1155CC"/>
            <w:u w:val="single"/>
          </w:rPr>
          <w:t>10.1002/anie.2095526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非贵金属的单原子催化剂在选择性加氢中表现出显着的选择性。然而，它们的缺电子金属位点和邻近金属位点的缺乏通常限制了它们的氢化活性。本研究通过吸附Co-Co键合成了一种含有Co─Co键的同核双原子钴位催化剂（Co-DAC）。</w:t>
      </w:r>
      <w:r>
        <w:rPr>
          <w:vertAlign w:val="subscript"/>
        </w:rPr>
        <w:t>2</w:t>
      </w:r>
      <w:r>
        <w:t>‐通过简单的浸渍-热解过程复合到 ZIF-8 上。然后研究了 Co-DAC 在选择性氢化中的固有活性，包括硝基芳烃氢化为芳胺和炔半氢化为烯烃。 Co-DAC的周转频率为431小时</w:t>
      </w:r>
      <w:r>
        <w:t xml:space="preserve"> </w:t>
      </w:r>
      <w:r>
        <w:t>-</w:t>
      </w:r>
      <w:r>
        <w:rPr>
          <w:vertAlign w:val="subscript"/>
        </w:rPr>
        <w:t>1</w:t>
      </w:r>
      <w:r>
        <w:t>硝基苯加氢1665 h</w:t>
      </w:r>
      <w:r>
        <w:t xml:space="preserve"> </w:t>
      </w:r>
      <w:r>
        <w:t>-</w:t>
      </w:r>
      <w:r>
        <w:rPr>
          <w:vertAlign w:val="subscript"/>
        </w:rPr>
        <w:t>1</w:t>
      </w:r>
      <w:r>
        <w:t>苯乙炔半加氢反应中。这些值分别比单原子催化剂高 6.8 倍和 17.5 倍。此外，它在这两个反应中表现出广泛的底物范围。机理研究表明Co─Co双原子位点增强了硝基的吸附能力。同时，由于Co─Co原子对之间的电子耦合，Co原子上的电子密度增加。这促进了H的激活</w:t>
      </w:r>
      <w:r>
        <w:rPr>
          <w:vertAlign w:val="subscript"/>
        </w:rPr>
        <w:t>2</w:t>
      </w:r>
      <w:r>
        <w:t>以及苯胺从Co位点的解吸。此外，Co─Co位点使得H能够均裂</w:t>
      </w:r>
      <w:r>
        <w:rPr>
          <w:vertAlign w:val="subscript"/>
        </w:rPr>
        <w:t>2</w:t>
      </w:r>
      <w:r>
        <w:t>机智</w:t>
      </w:r>
    </w:p>
    <w:p>
      <w:pPr>
        <w:spacing w:before="0" w:after="200" w:lineRule="auto" w:line="276"/>
      </w:pPr>
      <w:r>
        <w:rPr>
          <w:b/>
        </w:rPr>
        <w:t xml:space="preserve">Abstract (EN): </w:t>
      </w:r>
      <w:r>
        <w:t>Single‐atom catalysts based on non‐noble metals have demonstrated remarkable selectivity in selective hydrogenation. However, their electron‐deficient metal sites and the absence of adjacent metal sites often limit their hydrogenation activity. In this study, a homonuclear dual‐atom cobalt site catalyst (Co‐DAC) containing Co─Co bonds was synthesized by adsorbing a Co</w:t>
      </w:r>
      <w:r>
        <w:rPr>
          <w:vertAlign w:val="subscript"/>
        </w:rPr>
        <w:t>2</w:t>
      </w:r>
      <w:r>
        <w:t>‐complex onto ZIF‐8 through a simple impregnation–pyrolysis process. The intrinsic activity of Co‐DAC in selective hydrogenation, including nitroarene hydrogenation to arylamines and alkyne semi‐hydrogenation to alkenes, was then investigated. The turnover frequency of Co‐DAC was 431 h</w:t>
      </w:r>
      <w:r>
        <w:t xml:space="preserve"> </w:t>
      </w:r>
      <w:r>
        <w:t>−</w:t>
      </w:r>
      <w:r>
        <w:rPr>
          <w:vertAlign w:val="subscript"/>
        </w:rPr>
        <w:t>1</w:t>
      </w:r>
      <w:r>
        <w:t>in nitrobenzene hydrogenation and 1665 h</w:t>
      </w:r>
      <w:r>
        <w:t xml:space="preserve"> </w:t>
      </w:r>
      <w:r>
        <w:t>−</w:t>
      </w:r>
      <w:r>
        <w:rPr>
          <w:vertAlign w:val="subscript"/>
        </w:rPr>
        <w:t>1</w:t>
      </w:r>
      <w:r>
        <w:t>in phenylacetylene semi‐hydrogenation. These values were 6.8‐fold and 17.5‐fold higher than those of the single‐atom catalyst, respectively. Moreover, it demonstrated broad substrate scope in these two reactions. Mechanistic studies revealed that the Co─Co dual‐atomic sites enhanced the adsorption capacity for nitro groups. Simultaneously, due to the electron coupling between Co─Co atom pairs, the electron density on the Co atoms increased. This facilitated the activation of H</w:t>
      </w:r>
      <w:r>
        <w:rPr>
          <w:vertAlign w:val="subscript"/>
        </w:rPr>
        <w:t>2</w:t>
      </w:r>
      <w:r>
        <w:t>and the desorption of aniline from the Co sites. Furthermore, the Co─Co sites enabled the homolytic cleavage of H</w:t>
      </w:r>
      <w:r>
        <w:rPr>
          <w:vertAlign w:val="subscript"/>
        </w:rPr>
        <w:t>2</w:t>
      </w:r>
      <w:r>
        <w:t>with a lower activation energy barrier. Therefore, Co‐DAC exhibited significantly improved catalytic performance in selective hydrogenation.</w:t>
      </w:r>
    </w:p>
    <w:p>
      <w:pPr>
        <w:spacing w:before="120" w:after="120"/>
      </w:pPr>
      <w:r>
        <w:rPr>
          <w:sz w:val="18"/>
        </w:rPr>
        <w:t>——————————————————————————————————————————————————————————————————————</w:t>
      </w:r>
    </w:p>
    <w:p>
      <w:pPr>
        <w:spacing w:before="160" w:after="40" w:line="240" w:lineRule="auto"/>
      </w:pPr>
      <w:r>
        <w:rPr>
          <w:b/>
        </w:rPr>
        <w:t xml:space="preserve">[625] </w:t>
      </w:r>
      <w:hyperlink r:id="rId1705">
        <w:r>
          <w:rPr>
            <w:color w:val="1155CC"/>
            <w:u w:val="single"/>
          </w:rPr>
          <w:t>皮质灰质髓磷脂在不增加传导速度的情况下降低了尖峰传播的能量成本</w:t>
        </w:r>
      </w:hyperlink>
    </w:p>
    <w:p>
      <w:pPr>
        <w:spacing w:before="0" w:after="80"/>
      </w:pPr>
      <w:r>
        <w:rPr>
          <w:i/>
          <w:sz w:val="20"/>
        </w:rPr>
        <w:t>EN: Cortical gray matter myelin cuts energy cost of spike propagation without increasing conduction velocity</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06">
        <w:r>
          <w:rPr>
            <w:color w:val="1155CC"/>
            <w:u w:val="single"/>
          </w:rPr>
          <w:t>10.1073/pnas.2536534123</w:t>
        </w:r>
      </w:hyperlink>
    </w:p>
    <w:p>
      <w:pPr>
        <w:spacing w:before="0" w:after="120"/>
      </w:pPr>
      <w:r>
        <w:rPr>
          <w:b/>
        </w:rPr>
        <w:t xml:space="preserve">Notes: </w:t>
      </w:r>
      <w:r>
        <w:t>abstract_source=crossref</w:t>
      </w:r>
    </w:p>
    <w:p>
      <w:pPr>
        <w:spacing w:before="0" w:after="80" w:lineRule="auto" w:line="276"/>
      </w:pPr>
      <w:r>
        <w:rPr>
          <w:b/>
        </w:rPr>
        <w:t xml:space="preserve">摘要（ZH）: </w:t>
      </w:r>
      <w:r>
        <w:t>髓磷脂是脊椎动物神经系统的标志，但它在中央轴突中的作用仍然难以捉摸。利用来自任一性别的小鼠皮质灰质中第 5 层锥体神经元细轴突的光学和电学记录以及计算模型，我们认为髓鞘形成使尖峰传播的代谢成本减半，而对传导速度影响很小。建模表明，虽然理论上可以实现更高的速度和能量效率，但这会损害复极化以及节间电压门控通道和泵的功能。我们进一步表明，与周围轴突相比，皮质髓磷脂隔离轴突周围纳米域内的电流。高频电流是动作电位上升阶段的关键，它穿过髓鞘以促进传播，而低频电流则通过节旁连接泄漏，支持复极化和离子稳态。这些结果表明，皮质髓磷脂采用了一种结构权衡，有利于代谢效率和离子稳态而不是最大速度。</w:t>
      </w:r>
    </w:p>
    <w:p>
      <w:pPr>
        <w:spacing w:before="0" w:after="200" w:lineRule="auto" w:line="276"/>
      </w:pPr>
      <w:r>
        <w:rPr>
          <w:b/>
        </w:rPr>
        <w:t xml:space="preserve">Abstract (EN): </w:t>
      </w:r>
      <w:r>
        <w:t>Myelin is a hallmark of vertebrate nervous systems, yet its roles in central axons remain elusive. Using optical and electrical recordings from thin axons of Layer 5 pyramidal neurons in murine cortical gray matter of animals of either sex, and computational modeling, we argue that myelination halves the metabolic cost of spike propagation with little effect on conduction velocity. Modeling indicates that, although greater speed and energy efficiency are theoretically possible, these would compromise repolarization and the function of internodal voltage-gated channels and pumps. We further suggest that, in contrast to peripheral axons, cortical myelin segregates current flow within periaxonal nanodomains. High-frequency currents, key for the rising phase of the action potential, traverse the myelin sheath to facilitate propagation, whereas low-frequency currents leak through paranodal junctions, supporting repolarization and ion homeostasis. These results suggest that cortical myelin adopts a structural trade-off that favors metabolic efficiency and ionic homeostasis over maximal velocity.</w:t>
      </w:r>
    </w:p>
    <w:p>
      <w:pPr>
        <w:spacing w:before="120" w:after="120"/>
      </w:pPr>
      <w:r>
        <w:rPr>
          <w:sz w:val="18"/>
        </w:rPr>
        <w:t>——————————————————————————————————————————————————————————————————————</w:t>
      </w:r>
    </w:p>
    <w:p>
      <w:pPr>
        <w:spacing w:before="160" w:after="40" w:line="240" w:lineRule="auto"/>
      </w:pPr>
      <w:r>
        <w:rPr>
          <w:b/>
        </w:rPr>
        <w:t xml:space="preserve">[626] </w:t>
      </w:r>
      <w:hyperlink r:id="rId1707">
        <w:r>
          <w:rPr>
            <w:color w:val="1155CC"/>
            <w:u w:val="single"/>
          </w:rPr>
          <w:t>致癌 Gα 信号传导需要 AP-3 依赖性募集至内溶酶体区室</w:t>
        </w:r>
      </w:hyperlink>
    </w:p>
    <w:p>
      <w:pPr>
        <w:spacing w:before="0" w:after="80"/>
      </w:pPr>
      <w:r>
        <w:rPr>
          <w:i/>
          <w:sz w:val="20"/>
        </w:rPr>
        <w:t>EN: Oncogenic Gα signaling requires AP-3-dependent recruitment to the endolysosomal compartment</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08">
        <w:r>
          <w:rPr>
            <w:color w:val="1155CC"/>
            <w:u w:val="single"/>
          </w:rPr>
          <w:t>10.1073/pnas.2615774123</w:t>
        </w:r>
      </w:hyperlink>
    </w:p>
    <w:p>
      <w:pPr>
        <w:spacing w:before="0" w:after="120"/>
      </w:pPr>
      <w:r>
        <w:rPr>
          <w:b/>
        </w:rPr>
        <w:t xml:space="preserve">Notes: </w:t>
      </w:r>
      <w:r>
        <w:t>abstract_source=crossref</w:t>
      </w:r>
    </w:p>
    <w:p>
      <w:pPr>
        <w:spacing w:before="0" w:after="80" w:lineRule="auto" w:line="276"/>
      </w:pPr>
      <w:r>
        <w:rPr>
          <w:b/>
        </w:rPr>
        <w:t xml:space="preserve">摘要（ZH）: </w:t>
      </w:r>
      <w:r>
        <w:t>G蛋白偶联受体（GPCR）构成了最大的细胞表面受体超家族，但控制其信号传导的空间限制仍然不明确。在这里，我们证明 Gα（GPCR 信号传导的重要下游成分）在其组成性激活后经历从质膜到内溶酶体区室的空间转移。使用全基因组 CRISPR 筛选，我们确定接头蛋白 AP-3 是该贩运事件的重要介质。 AP-3 依赖性募集的缺失会损害含有致癌性 Gα 突变的葡萄膜黑色素瘤细胞中 Gα 驱动的信号传导和增殖。我们进一步在从酵母到人类的所有 Gα 蛋白中鉴定出高度进化保守的 AP-3 结合基序。破坏该位点会导致 Gα 错误定位，并有效抑制体内肿瘤生长和转移。相反，将 Gα 束缚在内溶酶体膜上足以挽救致癌信号。我们的研究结果表明，内溶酶体募集是 Gα 活性的一个基本的、保守的要求，揭示了一个空间脆弱性，可用于针对人类疾病中失调的 G 蛋白信号传导。</w:t>
      </w:r>
    </w:p>
    <w:p>
      <w:pPr>
        <w:spacing w:before="0" w:after="200" w:lineRule="auto" w:line="276"/>
      </w:pPr>
      <w:r>
        <w:rPr>
          <w:b/>
        </w:rPr>
        <w:t xml:space="preserve">Abstract (EN): </w:t>
      </w:r>
      <w:r>
        <w:t>G protein–coupled receptors (GPCRs) constitute the largest superfamily of cell-surface receptors, yet the spatial constraints governing their signaling remain poorly defined. Here, we demonstrate that Gα, an essential downstream component of GPCR signaling, undergoes a spatial shift from the plasma membrane to the endolysosomal compartment upon its constitutive activation. Using a genome-wide CRISPR screen, we identify the adaptor protein AP-3 as the essential mediator of this trafficking event. Loss of AP-3-dependent recruitment impairs Gα-driven signaling and proliferation in uveal melanoma cells harboring oncogenic Gα mutations. We further identify a highly evolutionarily conserved AP-3 binding motif in all Gα proteins, present from yeast to humans. Disrupting this site causes Gα mislocalization and potently suppresses tumor growth and metastasis in vivo. Conversely, tethering Gα to the endolysosomal membrane is sufficient to rescue oncogenic signaling. Our findings reveal that endolysosomal recruitment is a fundamental, conserved requirement for Gα activity, uncovering a spatial vulnerability that may be exploited to target dysregulated G-protein signaling in human disease.</w:t>
      </w:r>
    </w:p>
    <w:p>
      <w:pPr>
        <w:spacing w:before="120" w:after="120"/>
      </w:pPr>
      <w:r>
        <w:rPr>
          <w:sz w:val="18"/>
        </w:rPr>
        <w:t>——————————————————————————————————————————————————————————————————————</w:t>
      </w:r>
    </w:p>
    <w:p>
      <w:pPr>
        <w:spacing w:before="160" w:after="40" w:line="240" w:lineRule="auto"/>
      </w:pPr>
      <w:r>
        <w:rPr>
          <w:b/>
        </w:rPr>
        <w:t xml:space="preserve">[627] </w:t>
      </w:r>
      <w:hyperlink r:id="rId1709">
        <w:r>
          <w:rPr>
            <w:color w:val="1155CC"/>
            <w:u w:val="single"/>
          </w:rPr>
          <w:t>PIP4K 通过破坏膜介导的二聚化来减弱 PIP5K 脂质激酶活性</w:t>
        </w:r>
      </w:hyperlink>
    </w:p>
    <w:p>
      <w:pPr>
        <w:spacing w:before="0" w:after="80"/>
      </w:pPr>
      <w:r>
        <w:rPr>
          <w:i/>
          <w:sz w:val="20"/>
        </w:rPr>
        <w:t>EN: PIP4K attenuates PIP5K lipid kinase activity by disrupting membrane-mediated dimerization</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10">
        <w:r>
          <w:rPr>
            <w:color w:val="1155CC"/>
            <w:u w:val="single"/>
          </w:rPr>
          <w:t>10.1073/pnas.2529784123</w:t>
        </w:r>
      </w:hyperlink>
    </w:p>
    <w:p>
      <w:pPr>
        <w:spacing w:before="0" w:after="120"/>
      </w:pPr>
      <w:r>
        <w:rPr>
          <w:b/>
        </w:rPr>
        <w:t xml:space="preserve">Notes: </w:t>
      </w:r>
      <w:r>
        <w:t>abstract_source=crossref</w:t>
      </w:r>
    </w:p>
    <w:p>
      <w:pPr>
        <w:spacing w:before="0" w:after="80" w:lineRule="auto" w:line="276"/>
      </w:pPr>
      <w:r>
        <w:rPr>
          <w:b/>
        </w:rPr>
        <w:t xml:space="preserve">摘要（ZH）: </w:t>
      </w:r>
      <w:r>
        <w:t>磷脂酰肌醇 4-磷酸 5-激酶 (PIP5K) 家族酶产生大部分磷脂酰肌醇 4,5-二磷酸 [PI(4,5)P</w:t>
      </w:r>
      <w:r>
        <w:rPr>
          <w:vertAlign w:val="subscript"/>
        </w:rPr>
        <w:t>2</w:t>
      </w:r>
      <w:r>
        <w:t>] 真核生物中的脂质。在溶液中，PIP5K 存在于弱单体-二聚体平衡中，但会发生膜介导的二聚化，从而增强脂质激酶活性。我们假设调节 PIP5K 二聚化的机制可以起到缓冲脂质激酶活性的作用，从而提供维持相对恒定的 PI(4,5)P 的机制</w:t>
      </w:r>
      <w:r>
        <w:rPr>
          <w:vertAlign w:val="subscript"/>
        </w:rPr>
        <w:t>2</w:t>
      </w:r>
      <w:r>
        <w:t>质膜上的水平。由于 PIP5K 二聚化的瞬时性和密度依赖性，破译其他蛋白质如何调节 PIP5K 二聚化尚不可行。为了解决这一限制，我们建立了单分子 Förster 共振能量转移 (FRET) 测定，使用全内反射荧光显微镜可视化膜介导的 PIP5K 旁系同源物在支持的脂质双层上的同二聚化和异二聚化。使用这种方法，我们发现 PIP4K 通过破坏膜介导的二聚化来减弱 PIP5K 脂质激酶活性。在结构预测的指导下，我们生成了 PIP4K 突变体，该突变体无法破坏 PIP5K 膜介导的二聚化，从而防止脂质激酶活性减弱。在体内，破坏 PIP4K-PIP5K 相互作用的突变同样会阻止 PIP4K 介导​​的 PIP5K 活性抑制。总的来说，这项工作揭示了 PIP4K 介导​​的 PIP5K 抑制的分子基础，这已被证明可以</w:t>
      </w:r>
    </w:p>
    <w:p>
      <w:pPr>
        <w:spacing w:before="0" w:after="200" w:lineRule="auto" w:line="276"/>
      </w:pPr>
      <w:r>
        <w:rPr>
          <w:b/>
        </w:rPr>
        <w:t xml:space="preserve">Abstract (EN): </w:t>
      </w:r>
      <w:r>
        <w:t>The phosphatidylinositol 4-phosphate 5-kinase (PIP5K) family of enzymes generate most of the phosphatidylinositol-4,5-bisphosphate [PI(4,5)P</w:t>
      </w:r>
      <w:r>
        <w:rPr>
          <w:vertAlign w:val="subscript"/>
        </w:rPr>
        <w:t>2</w:t>
      </w:r>
      <w:r>
        <w:t>] lipids in eukaryotes. In solution, PIP5K exists in a weak monomer-dimer equilibrium but undergoes membrane-mediated dimerization, which potentiates lipid kinase activity. We hypothesized that mechanisms that regulate PIP5K dimerization could function to buffer lipid kinase activity, thus providing a mechanism for maintaining relatively constant PI(4,5)P</w:t>
      </w:r>
      <w:r>
        <w:rPr>
          <w:vertAlign w:val="subscript"/>
        </w:rPr>
        <w:t>2</w:t>
      </w:r>
      <w:r>
        <w:t>levels at the plasma membrane. Due to the transient nature and density dependence of PIP5K dimerization, deciphering how other proteins modulate PIP5K dimerization has not been feasible. To address this limitation, we established a single molecule Förster resonance energy transfer (FRET) assay to visualize membrane-mediated homodimerization and heterodimerization of PIP5K paralogs on supported lipid bilayers using Total Internal Reflection Fluorescence Microscopy. Using this approach, we find that PIP4K attenuates PIP5K lipid kinase activity by disrupting membrane-mediated dimerization. Guided by structure prediction, we generated PIP4K mutants that are unable to disrupt PIP5K membrane-mediated dimerization thus preventing the attenuation of lipid kinase activity. In vivo, mutations that disrupt the PIP4K–PIP5K interaction similarly prevent PIP4K-mediated inhibition of the PIP5K activity. Overall, this work reveals the molecular basis of the PIP4K-mediated inhibition of PIP5K, which has been shown to regulate PI(4,5)P</w:t>
      </w:r>
      <w:r>
        <w:rPr>
          <w:vertAlign w:val="subscript"/>
        </w:rPr>
        <w:t>2</w:t>
      </w:r>
      <w:r>
        <w:t>lipid homeostasis. Creation of this PIP5K dimerization FRET biosensor also establishes a tool for deciphering how proteins modulate membrane-mediated dimerization of PIP5K in the future.</w:t>
      </w:r>
    </w:p>
    <w:p>
      <w:pPr>
        <w:spacing w:before="120" w:after="120"/>
      </w:pPr>
      <w:r>
        <w:rPr>
          <w:sz w:val="18"/>
        </w:rPr>
        <w:t>——————————————————————————————————————————————————————————————————————</w:t>
      </w:r>
    </w:p>
    <w:p>
      <w:pPr>
        <w:spacing w:before="160" w:after="40" w:line="240" w:lineRule="auto"/>
      </w:pPr>
      <w:r>
        <w:rPr>
          <w:b/>
        </w:rPr>
        <w:t xml:space="preserve">[628] </w:t>
      </w:r>
      <w:hyperlink r:id="rId1711">
        <w:r>
          <w:rPr>
            <w:color w:val="1155CC"/>
            <w:u w:val="single"/>
          </w:rPr>
          <w:t>带有 3D 液态金属电极的无线贴皮贴片，用于抑郁症患者的迷走神经刺激</w:t>
        </w:r>
      </w:hyperlink>
    </w:p>
    <w:p>
      <w:pPr>
        <w:spacing w:before="0" w:after="80"/>
      </w:pPr>
      <w:r>
        <w:rPr>
          <w:i/>
          <w:sz w:val="20"/>
        </w:rPr>
        <w:t>EN: Wireless, skin-attachable patch with 3D liquid metal electrodes for vagus nerve stimulation in depression</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12">
        <w:r>
          <w:rPr>
            <w:color w:val="1155CC"/>
            <w:u w:val="single"/>
          </w:rPr>
          <w:t>10.1073/pnas.2530526123</w:t>
        </w:r>
      </w:hyperlink>
    </w:p>
    <w:p>
      <w:pPr>
        <w:spacing w:before="0" w:after="120"/>
      </w:pPr>
      <w:r>
        <w:rPr>
          <w:b/>
        </w:rPr>
        <w:t xml:space="preserve">Notes: </w:t>
      </w:r>
      <w:r>
        <w:t>abstract_source=crossref</w:t>
      </w:r>
    </w:p>
    <w:p>
      <w:pPr>
        <w:spacing w:before="0" w:after="80" w:lineRule="auto" w:line="276"/>
      </w:pPr>
      <w:r>
        <w:rPr>
          <w:b/>
        </w:rPr>
        <w:t xml:space="preserve">摘要（ZH）: </w:t>
      </w:r>
      <w:r>
        <w:t>目前的非手术迷走神经刺激 (VNS) 方法通常会遇到电流分布宽、电极-皮肤阻抗高以及对周围组织的意外刺激等问题，从而降低疗效并引起副作用。在这里，我们提出了一种可无线操作、可贴在皮肤上的 VNS 贴片，具有模仿生物组织低模量的三维液态金属电极，开发为微创平台，用于研究抑郁症小鼠模型中 VNS 的生物学机制。与传统的平面或刚性电极相比，柔软、低模量的三维液态金属电极轻轻地穿透皮肤，绕过角质层，改善电极与组织的耦合，同时最大限度地减少组织损伤。为了全面评估治疗效果，我们对抑郁模型小鼠进行了行为测试、基于神经探针的脑信号分析、树突棘密度测量以及血液和腹股沟淋巴结分析。 VNS 增加了血浆血清素水平并增加了树突棘密度，表明神经可塑性得到改善。皮质酮诱导的抑郁小鼠表现出 CD4+ 和 B220+ 细胞升高，并通过 VNS 恢复正常。这些结果建立了动物水平的概念验证，即微创 VNS 可以参与与抑郁症相关的关键神经和免疫通路，为未来的神经调节策略奠定了基础。</w:t>
      </w:r>
    </w:p>
    <w:p>
      <w:pPr>
        <w:spacing w:before="0" w:after="200" w:lineRule="auto" w:line="276"/>
      </w:pPr>
      <w:r>
        <w:rPr>
          <w:b/>
        </w:rPr>
        <w:t xml:space="preserve">Abstract (EN): </w:t>
      </w:r>
      <w:r>
        <w:t>Current nonsurgical vagus nerve stimulation (VNS) approaches often suffer from broad current spread, high electrode-skin impedance, and unintended stimulation of surrounding tissues, which can reduce efficacy and cause side effects. Here, we present a wirelessly operable, skin-attachable VNS patch with three-dimensional liquid-metal electrodes that mimic the low modulus of biological tissues, developed as a minimally invasive platform for investigating the biological mechanisms underlying VNS in a mouse model of depression. The soft, low-modulus three-dimensional liquid metal electrodes gently penetrate the skin, bypass the stratum corneum, and improve electrode–tissue coupling while minimizing tissue damage compared with conventional planar or rigid electrodes. To comprehensively assess therapeutic effects, we conducted behavioral tests, neural probe-based brain signal analysis, dendritic spine density measurements, and blood and inguinal lymph node profiling in depression model mice. VNS increased plasma serotonin levels and increased dendritic spine density, indicating improved neuroplasticity. Corticosterone-induced depressive mice exhibited elevated CD4+ and B220+ cells, which normalized with VNS. These results establish an animal-level proof-of-concept that minimally invasive VNS can engage key neural and immunological pathways relevant to depression, providing a foundation for future neuromodulation strategies.</w:t>
      </w:r>
    </w:p>
    <w:p>
      <w:pPr>
        <w:spacing w:before="120" w:after="120"/>
      </w:pPr>
      <w:r>
        <w:rPr>
          <w:sz w:val="18"/>
        </w:rPr>
        <w:t>——————————————————————————————————————————————————————————————————————</w:t>
      </w:r>
    </w:p>
    <w:p>
      <w:pPr>
        <w:spacing w:before="160" w:after="40" w:line="240" w:lineRule="auto"/>
      </w:pPr>
      <w:r>
        <w:rPr>
          <w:b/>
        </w:rPr>
        <w:t xml:space="preserve">[629] </w:t>
      </w:r>
      <w:hyperlink r:id="rId1713">
        <w:r>
          <w:rPr>
            <w:color w:val="1155CC"/>
            <w:u w:val="single"/>
          </w:rPr>
          <w:t>TmVO4 中的电核量子相变</w:t>
        </w:r>
      </w:hyperlink>
    </w:p>
    <w:p>
      <w:pPr>
        <w:spacing w:before="0" w:after="80"/>
      </w:pPr>
      <w:r>
        <w:rPr>
          <w:i/>
          <w:sz w:val="20"/>
        </w:rPr>
        <w:t>EN: Electro-nuclear quantum phase transition in TmVO4</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14">
        <w:r>
          <w:rPr>
            <w:color w:val="1155CC"/>
            <w:u w:val="single"/>
          </w:rPr>
          <w:t>10.1073/pnas.2530567123</w:t>
        </w:r>
      </w:hyperlink>
    </w:p>
    <w:p>
      <w:pPr>
        <w:spacing w:before="0" w:after="120"/>
      </w:pPr>
      <w:r>
        <w:rPr>
          <w:b/>
        </w:rPr>
        <w:t xml:space="preserve">Notes: </w:t>
      </w:r>
      <w:r>
        <w:t>abstract_source=crossref</w:t>
      </w:r>
    </w:p>
    <w:p>
      <w:pPr>
        <w:spacing w:before="0" w:after="80" w:lineRule="auto" w:line="276"/>
      </w:pPr>
      <w:r>
        <w:rPr>
          <w:b/>
        </w:rPr>
        <w:t xml:space="preserve">摘要（ZH）: </w:t>
      </w:r>
      <w:r>
        <w:t>超精细相互作用耦合了核自由度和电子自由度。目前的工作探讨了 TmVO 中 Tm 离子内的超精细耦合如何</w:t>
      </w:r>
      <w:r>
        <w:rPr>
          <w:vertAlign w:val="subscript"/>
        </w:rPr>
        <w:t>4</w:t>
      </w:r>
      <w:r>
        <w:t>单晶影响电子铁四极有序基态及其相关的场调谐量子相变。随着温度通过超精细能级逐渐降低，核矩降低了电子有序的临界场，导致描绘铁四极有序的相界急剧后弯。这种行为可以通过低至约 50 mK 的单离子半经典平均场模型得到很好的描述。对有效哈密顿量的分析可预测由 4 介导的自发核磁序</w:t>
      </w:r>
      <w:r>
        <w:t xml:space="preserve"> </w:t>
      </w:r>
      <w:r>
        <w:t>f</w:t>
      </w:r>
      <w:r>
        <w:t xml:space="preserve"> </w:t>
      </w:r>
      <w:r>
        <w:t>电子，原则上随着正交反对称应变的应用而持续存在，产生所提出的电核四临界点。</w:t>
      </w:r>
    </w:p>
    <w:p>
      <w:pPr>
        <w:spacing w:before="0" w:after="200" w:lineRule="auto" w:line="276"/>
      </w:pPr>
      <w:r>
        <w:rPr>
          <w:b/>
        </w:rPr>
        <w:t xml:space="preserve">Abstract (EN): </w:t>
      </w:r>
      <w:r>
        <w:t>Hyperfine interactions couple nuclear and electronic degrees of freedom. The present work explores how hyperfine coupling within the Tm ions in TmVO</w:t>
      </w:r>
      <w:r>
        <w:rPr>
          <w:vertAlign w:val="subscript"/>
        </w:rPr>
        <w:t>4</w:t>
      </w:r>
      <w:r>
        <w:t>single crystals affects an electronic ferroquadrupole ordered ground state and its associated field-tuned quantum phase transition. As temperature is progressively reduced through the hyperfine energy scale, the nuclear moments reduce the critical field for the electronic order, resulting in a dramatic back-bending of the phase boundary delineating the ferroquadrupole order. This behavior is well described by a single-ion semiclassical mean-field model down to approximately 50 mK. Analysis of the effective Hamiltonian leads to a prediction of spontaneous nuclear magnetic order mediated by 4</w:t>
      </w:r>
      <w:r>
        <w:t xml:space="preserve"> </w:t>
      </w:r>
      <w:r>
        <w:t>f</w:t>
      </w:r>
      <w:r>
        <w:t xml:space="preserve"> </w:t>
      </w:r>
      <w:r>
        <w:t>electrons, which in principle persists with the application of orthogonal antisymmetric strain, yielding a proposed electro-nuclear tetracritical point.</w:t>
      </w:r>
    </w:p>
    <w:p>
      <w:pPr>
        <w:spacing w:before="120" w:after="120"/>
      </w:pPr>
      <w:r>
        <w:rPr>
          <w:sz w:val="18"/>
        </w:rPr>
        <w:t>——————————————————————————————————————————————————————————————————————</w:t>
      </w:r>
    </w:p>
    <w:p>
      <w:pPr>
        <w:spacing w:before="160" w:after="40" w:line="240" w:lineRule="auto"/>
      </w:pPr>
      <w:r>
        <w:rPr>
          <w:b/>
        </w:rPr>
        <w:t xml:space="preserve">[630] </w:t>
      </w:r>
      <w:hyperlink r:id="rId1715">
        <w:r>
          <w:rPr>
            <w:color w:val="1155CC"/>
            <w:u w:val="single"/>
          </w:rPr>
          <w:t>II 型多铁性 NiI2 中的长程磁电</w:t>
        </w:r>
      </w:hyperlink>
    </w:p>
    <w:p>
      <w:pPr>
        <w:spacing w:before="0" w:after="80"/>
      </w:pPr>
      <w:r>
        <w:rPr>
          <w:i/>
          <w:sz w:val="20"/>
        </w:rPr>
        <w:t>EN: Long-range magnetoelectricity in type-II multiferroic NiI2</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16">
        <w:r>
          <w:rPr>
            <w:color w:val="1155CC"/>
            <w:u w:val="single"/>
          </w:rPr>
          <w:t>10.1073/pnas.2530708123</w:t>
        </w:r>
      </w:hyperlink>
    </w:p>
    <w:p>
      <w:pPr>
        <w:spacing w:before="0" w:after="120"/>
      </w:pPr>
      <w:r>
        <w:rPr>
          <w:b/>
        </w:rPr>
        <w:t xml:space="preserve">Notes: </w:t>
      </w:r>
      <w:r>
        <w:t>abstract_source=crossref</w:t>
      </w:r>
    </w:p>
    <w:p>
      <w:pPr>
        <w:spacing w:before="0" w:after="80" w:lineRule="auto" w:line="276"/>
      </w:pPr>
      <w:r>
        <w:rPr>
          <w:b/>
        </w:rPr>
        <w:t xml:space="preserve">摘要（ZH）: </w:t>
      </w:r>
      <w:r>
        <w:t>II 型多铁性材料，其中自旋顺序诱导铁电性，表现出强磁电耦合。然而，对于典型的二维 II 型多铁性 NiI</w:t>
      </w:r>
      <w:r>
        <w:rPr>
          <w:vertAlign w:val="subscript"/>
        </w:rPr>
        <w:t>2</w:t>
      </w:r>
      <w:r>
        <w:t>，潜在的磁电机制仍不清楚。在这里，我们应用广义自旋电流模型，结合第一性原理计算和紧束缚方法，建立了自旋诱导极化的综合磁电模型。这样的模型揭示了第三最近邻居自旋对对电极化提供了意想不到的强大贡献，这与第一最近邻居的自旋对相当。采用该模型，预测了在螺旋畴边界处由自旋诱发极化引起的实验可检测的束缚电荷，以及在中等磁场下由磁性斯格明子晶格引起的极涡晶格。此外，通过分析轨道分辨对极化的贡献，我们的紧束缚模型揭示了长程磁电耦合是由强磁力实现的</w:t>
      </w:r>
      <w:r>
        <w:t xml:space="preserve"> </w:t>
      </w:r>
      <w:r>
        <w:t>e</w:t>
      </w:r>
      <w:r>
        <w:t xml:space="preserve"> </w:t>
      </w:r>
      <w:r>
        <w:t>克</w:t>
      </w:r>
      <w:r>
        <w:t xml:space="preserve"> </w:t>
      </w:r>
      <w:r>
        <w:t>-</w:t>
      </w:r>
      <w:r>
        <w:t>p</w:t>
      </w:r>
      <w:r>
        <w:t xml:space="preserve"> </w:t>
      </w:r>
      <w:r>
        <w:t>NiI的跳跃</w:t>
      </w:r>
      <w:r>
        <w:rPr>
          <w:vertAlign w:val="subscript"/>
        </w:rPr>
        <w:t>2</w:t>
      </w:r>
      <w:r>
        <w:t>。这些发现可以指导强磁电多铁性材料的识别和设计。</w:t>
      </w:r>
    </w:p>
    <w:p>
      <w:pPr>
        <w:spacing w:before="0" w:after="200" w:lineRule="auto" w:line="276"/>
      </w:pPr>
      <w:r>
        <w:rPr>
          <w:b/>
        </w:rPr>
        <w:t xml:space="preserve">Abstract (EN): </w:t>
      </w:r>
      <w:r>
        <w:t>Type-II multiferroics, where spin order induces ferroelectricity, exhibit strong magnetoelectric coupling. However, for the typical 2D type-II multiferroic NiI</w:t>
      </w:r>
      <w:r>
        <w:rPr>
          <w:vertAlign w:val="subscript"/>
        </w:rPr>
        <w:t>2</w:t>
      </w:r>
      <w:r>
        <w:t>, the underlying magnetoelectric mechanism remains unclear. Here, applying generalized spin-current model, together with first-principles calculations and a tight-binding approach, we build a comprehensive magnetoelectric model for spin-induced polarization. Such model reveals that third-nearest-neighbor spin pairs provide an unexpectedly strong contribution to the electric polarization, which rivals that of the first-nearest neighbors. Adopting such model, both experimental-detectable bound charge induced by spin-induced polarization at the spiral domain boundary, as well as polar vortex lattice induced by magnetic skyrmion lattice under moderate magnetic field, are predicted. Furthermore, by analyzing the orbital-resolved contributions to polarization, our tight-binding model reveals that the long-range magnetoelectric coupling is enabled by the strong</w:t>
      </w:r>
      <w:r>
        <w:t xml:space="preserve"> </w:t>
      </w:r>
      <w:r>
        <w:t>e</w:t>
      </w:r>
      <w:r>
        <w:t xml:space="preserve"> </w:t>
      </w:r>
      <w:r>
        <w:t>g</w:t>
      </w:r>
      <w:r>
        <w:t xml:space="preserve"> </w:t>
      </w:r>
      <w:r>
        <w:t>-</w:t>
      </w:r>
      <w:r>
        <w:t>p</w:t>
      </w:r>
      <w:r>
        <w:t xml:space="preserve"> </w:t>
      </w:r>
      <w:r>
        <w:t>hopping of NiI</w:t>
      </w:r>
      <w:r>
        <w:rPr>
          <w:vertAlign w:val="subscript"/>
        </w:rPr>
        <w:t>2</w:t>
      </w:r>
      <w:r>
        <w:t>. These findings can guide the identification and design of strongly magnetoelectric multiferroics.</w:t>
      </w:r>
    </w:p>
    <w:p>
      <w:pPr>
        <w:spacing w:before="120" w:after="120"/>
      </w:pPr>
      <w:r>
        <w:rPr>
          <w:sz w:val="18"/>
        </w:rPr>
        <w:t>——————————————————————————————————————————————————————————————————————</w:t>
      </w:r>
    </w:p>
    <w:p>
      <w:pPr>
        <w:spacing w:before="160" w:after="40" w:line="240" w:lineRule="auto"/>
      </w:pPr>
      <w:r>
        <w:rPr>
          <w:b/>
        </w:rPr>
        <w:t xml:space="preserve">[631] </w:t>
      </w:r>
      <w:hyperlink r:id="rId1717">
        <w:r>
          <w:rPr>
            <w:color w:val="1155CC"/>
            <w:u w:val="single"/>
          </w:rPr>
          <w:t>细胞分裂在细胞层中设定了通用的流动几何形状</w:t>
        </w:r>
      </w:hyperlink>
    </w:p>
    <w:p>
      <w:pPr>
        <w:spacing w:before="0" w:after="80"/>
      </w:pPr>
      <w:r>
        <w:rPr>
          <w:i/>
          <w:sz w:val="20"/>
        </w:rPr>
        <w:t>EN: Cell division sets a universal flow geometry in cell layers</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18">
        <w:r>
          <w:rPr>
            <w:color w:val="1155CC"/>
            <w:u w:val="single"/>
          </w:rPr>
          <w:t>10.1073/pnas.2532420123</w:t>
        </w:r>
      </w:hyperlink>
    </w:p>
    <w:p>
      <w:pPr>
        <w:spacing w:before="0" w:after="120"/>
      </w:pPr>
      <w:r>
        <w:rPr>
          <w:b/>
        </w:rPr>
        <w:t xml:space="preserve">Notes: </w:t>
      </w:r>
      <w:r>
        <w:t>abstract_source=crossref</w:t>
      </w:r>
    </w:p>
    <w:p>
      <w:pPr>
        <w:spacing w:before="0" w:after="80" w:lineRule="auto" w:line="276"/>
      </w:pPr>
      <w:r>
        <w:rPr>
          <w:b/>
        </w:rPr>
        <w:t xml:space="preserve">摘要（ZH）: </w:t>
      </w:r>
      <w:r>
        <w:t>上皮组织中的集体流动包含涡旋界面的几何主干，其统计数据表现出临界渗滤和共形不变性的特征。然而，基本的细胞过程如何控制这种富含对称性的流动几何结构的破坏仍不清楚。在这里，我们表明细胞分裂通过控制细胞-细胞网络的几何和机械灵活性在调节这种普遍的流动组织中发挥着核心物理作用。利用药理学扰动，我们发现当通过两种独立的干预措施抑制增殖时，相干流持续存在，但邻近交换下降并且保形不变几何形状丢失。阻断细胞凋亡并不影响普遍性，隔离分裂是关键控制。具有可调除法的顶点模型可以定量地再现这些效应，并在允许除法时恢复共形不变性。我们进一步将这种效应追溯到细胞层几何和机械组织的变化：分裂充当间歇性拓扑更新，放松约束，保持网络的灵活性和跨尺度重新排列的能力。因此，除了其在生长中的典型作用之外，细胞分裂还充当集体自组织的结构和机械调节器。这些发现在基本生物过程和新兴物理对称性之间建立了直接联系。</w:t>
      </w:r>
    </w:p>
    <w:p>
      <w:pPr>
        <w:spacing w:before="0" w:after="200" w:lineRule="auto" w:line="276"/>
      </w:pPr>
      <w:r>
        <w:rPr>
          <w:b/>
        </w:rPr>
        <w:t xml:space="preserve">Abstract (EN): </w:t>
      </w:r>
      <w:r>
        <w:t>Collective flows in epithelial tissues contain a geometric backbone of vortical interfaces whose statistics exhibit hallmarks of critical percolation and conformal invariance. Yet how fundamental cellular processes govern the breakdown of such symmetry-rich flow geometry remains unclear. Here we show that cell division plays a central physical role in regulating this universal flow organization by controlling both the geometric and mechanical flexibility of the cell–cell network. Using pharmacological perturbations, we find that when proliferation is suppressed through two independent interventions, coherent flows persist but neighbor exchanges decline and conformally invariant geometry is lost. Blocking apoptosis does not affect universality, isolating division as the key control. A vertex model with tunable division quantitatively reproduces these effects and restores conformal invariance when division is allowed. We further trace this effect to changes in both the geometric and mechanical organization of the cell layer: Divisions act as intermittent topological renewals that loosen constraints, preserving the network’s flexibility and capacity to rearrange across scales. Thus, beyond its canonical role in growth, cell division acts as a structural and mechanical regulator of collective self-organization. These findings establish a direct connection between fundamental biological processes and emergent physical symmetries.</w:t>
      </w:r>
    </w:p>
    <w:p>
      <w:pPr>
        <w:spacing w:before="120" w:after="120"/>
      </w:pPr>
      <w:r>
        <w:rPr>
          <w:sz w:val="18"/>
        </w:rPr>
        <w:t>——————————————————————————————————————————————————————————————————————</w:t>
      </w:r>
    </w:p>
    <w:p>
      <w:pPr>
        <w:spacing w:before="160" w:after="40" w:line="240" w:lineRule="auto"/>
      </w:pPr>
      <w:r>
        <w:rPr>
          <w:b/>
        </w:rPr>
        <w:t xml:space="preserve">[632] </w:t>
      </w:r>
      <w:hyperlink r:id="rId1719">
        <w:r>
          <w:rPr>
            <w:color w:val="1155CC"/>
            <w:u w:val="single"/>
          </w:rPr>
          <w:t>血管性血友病因子激活导致缺血性卒中无复流的机制</w:t>
        </w:r>
      </w:hyperlink>
    </w:p>
    <w:p>
      <w:pPr>
        <w:spacing w:before="0" w:after="80"/>
      </w:pPr>
      <w:r>
        <w:rPr>
          <w:i/>
          <w:sz w:val="20"/>
        </w:rPr>
        <w:t>EN: Mechanisms of von Willebrand factor activation driving no reflow in ischemic stroke</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20">
        <w:r>
          <w:rPr>
            <w:color w:val="1155CC"/>
            <w:u w:val="single"/>
          </w:rPr>
          <w:t>10.1073/pnas.2610397123</w:t>
        </w:r>
      </w:hyperlink>
    </w:p>
    <w:p>
      <w:pPr>
        <w:spacing w:before="0" w:after="120"/>
      </w:pPr>
      <w:r>
        <w:rPr>
          <w:b/>
        </w:rPr>
        <w:t xml:space="preserve">Notes: </w:t>
      </w:r>
      <w:r>
        <w:t>abstract_source=crossref</w:t>
      </w:r>
    </w:p>
    <w:p>
      <w:pPr>
        <w:spacing w:before="0" w:after="80" w:lineRule="auto" w:line="276"/>
      </w:pPr>
      <w:r>
        <w:rPr>
          <w:b/>
        </w:rPr>
        <w:t xml:space="preserve">摘要（ZH）: </w:t>
      </w:r>
      <w:r>
        <w:t>脑血流的快速恢复是急性缺血性中风治疗的基石。血管内血栓切除术使 90% 的大血管闭塞性中风患者实现了充分的再灌注；然而，尽管血栓成功清除，但几乎一半的接受治疗的患者仍然存在严重残疾。短暂的缺血会引发微血管血栓形成，导致无复流现象。然而，导致无回流的分子和血流动力学触发因素仍然不明确。使用短暂性缺血性中风的小鼠模型结合活体成像，我们观察到半影组织中血小板-血管性血友病因子（VWF）血栓的形成，其中血流动力学因最初的缺血性损伤而改变。基于我们的活体观察的计算机模型表明，这些血管中改变的、会聚的血流增加了局部伸长血流，这种情况有利于 VWF 展开。 VWF 的活性由 ADAMTS13 控制，ADAMTS13 可裂解 VWF。我们进一步发现，在中风的急性期，局部释放的 IL-6 会抑制 ADAMTS13 介导的 VWF 裂解，从而产生血栓前失衡，从而促进微血管血栓形成并恶化小鼠的预后。在缺血性中风患者中，我们观察到 IL-6 急剧增加，这与 VWF 活性增加密切相关。在预后较差的患者中，VWF 活性最高。在离体中风患者血浆中抑制 IL-6 可恢复 ADAMTS13 活性。总之，这些发现揭示了血流动力学和炎症如何</w:t>
      </w:r>
    </w:p>
    <w:p>
      <w:pPr>
        <w:spacing w:before="0" w:after="200" w:lineRule="auto" w:line="276"/>
      </w:pPr>
      <w:r>
        <w:rPr>
          <w:b/>
        </w:rPr>
        <w:t xml:space="preserve">Abstract (EN): </w:t>
      </w:r>
      <w:r>
        <w:t>Rapid restoration of cerebral blood flow is the cornerstone of acute ischemic stroke treatment. Endovascular thrombectomy achieves substantial reperfusion in 90% of patients with large-vessel occlusion stroke; however, almost half of treated patients continue to have significant disability despite successful thrombus removal. Transient periods of ischemia can trigger microvascular thrombosis resulting in the no-reflow phenomenon. Yet the molecular and hemodynamic triggers underlying no reflow remain poorly defined. Using a murine model of transient ischemic stroke combined with intravital imaging, we visualized platelet-von Willebrand factor (VWF) thrombi forming in penumbral tissue where blood flow dynamics were altered in response to the original ischemic insult. In silico modeling based on our intravital observations indicated that the altered, converging blood flow in these vessels increases local elongational flow, a condition that can favor VWF unfolding. The activity of VWF is controlled by ADAMTS13, which cleaves VWF. We further identified that in the acute phase of stroke, locally released IL-6 suppresses ADAMTS13-mediated cleavage of VWF, creating a prothrombotic imbalance that promotes microvascular thrombosis and worsens outcomes in mice. In ischemic stroke patients, we observed an acute increase in IL-6 that correlated strongly with increased VWF activity. VWF activity was highest in patients experiencing worse outcomes. Inhibition of IL-6 in ex vivo stroke patient plasma restored ADAMTS13 activity. Together, these findings reveal how hemodynamic and inflammatory factors converge to favor VWF activation in the reperfused brain and contribute to the development of no reflow in ischemic stroke.</w:t>
      </w:r>
    </w:p>
    <w:p>
      <w:pPr>
        <w:spacing w:before="120" w:after="120"/>
      </w:pPr>
      <w:r>
        <w:rPr>
          <w:sz w:val="18"/>
        </w:rPr>
        <w:t>——————————————————————————————————————————————————————————————————————</w:t>
      </w:r>
    </w:p>
    <w:p>
      <w:pPr>
        <w:spacing w:before="160" w:after="40" w:line="240" w:lineRule="auto"/>
      </w:pPr>
      <w:r>
        <w:rPr>
          <w:b/>
        </w:rPr>
        <w:t xml:space="preserve">[633] </w:t>
      </w:r>
      <w:hyperlink r:id="rId1721">
        <w:r>
          <w:rPr>
            <w:color w:val="1155CC"/>
            <w:u w:val="single"/>
          </w:rPr>
          <w:t>Blm10 和 PI31 构成蛋白酶体抑制的故障安全机制</w:t>
        </w:r>
      </w:hyperlink>
    </w:p>
    <w:p>
      <w:pPr>
        <w:spacing w:before="0" w:after="80"/>
      </w:pPr>
      <w:r>
        <w:rPr>
          <w:i/>
          <w:sz w:val="20"/>
        </w:rPr>
        <w:t>EN: Blm10 and PI31 comprise a failsafe mechanism for proteasome inhibition</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22">
        <w:r>
          <w:rPr>
            <w:color w:val="1155CC"/>
            <w:u w:val="single"/>
          </w:rPr>
          <w:t>10.1073/pnas.2611708123</w:t>
        </w:r>
      </w:hyperlink>
    </w:p>
    <w:p>
      <w:pPr>
        <w:spacing w:before="0" w:after="120"/>
      </w:pPr>
      <w:r>
        <w:rPr>
          <w:b/>
        </w:rPr>
        <w:t xml:space="preserve">Notes: </w:t>
      </w:r>
      <w:r>
        <w:t>abstract_source=crossref</w:t>
      </w:r>
    </w:p>
    <w:p>
      <w:pPr>
        <w:spacing w:before="0" w:after="80" w:lineRule="auto" w:line="276"/>
      </w:pPr>
      <w:r>
        <w:rPr>
          <w:b/>
        </w:rPr>
        <w:t xml:space="preserve">摘要（ZH）: </w:t>
      </w:r>
      <w:r>
        <w:t>Blm10（哺乳动物中的 PA200）是蛋白酶体核心颗粒 (CP) 的进化保守调节剂，CP 是一种桶形复合物，包含六个单独的蛋白酶亚基。尽管经过数十年的研究，Blm10 的功能仍未得到解决。在这里，我们提供了结构、生化和遗传证据，表明酵母 Blm10 抑制蛋白酶体，并且它与第二种蛋白酶体抑制剂 PI31（也称为 Fub1）协同作用。这两种蛋白在亚基组成异常的 CP 中高度富集，表明 Blm10 和 PI31 可能具有中和异常蛋白酶体的功能。我们报告了一种意想不到的蛋白酶体构型，其中 Blm10 的圆顶状结构完全包裹了 PI31 的 N 端结构域，该结构域位于 CP 外部和顶部，而 PI31 的 C 端结构域存在于 CP 内部，同时抑制所有六个活性位点。这些 Blm10/PI31 结合的 CP 在蛋白质和小肽的降解方面都存在严重缺陷，并且两种蛋白质的损失会导致体内强烈协同的遗传表型。这些数据表明 Blm10 和 PI31 构成了蛋白酶体抑制的部分冗余故障安全系统。</w:t>
      </w:r>
    </w:p>
    <w:p>
      <w:pPr>
        <w:spacing w:before="0" w:after="200" w:lineRule="auto" w:line="276"/>
      </w:pPr>
      <w:r>
        <w:rPr>
          <w:b/>
        </w:rPr>
        <w:t xml:space="preserve">Abstract (EN): </w:t>
      </w:r>
      <w:r>
        <w:t>Blm10 (PA200 in mammals) is an evolutionarily conserved regulator of the proteasome’s core particle (CP), a barrel-shaped complex that houses six individual protease subunits. Despite decades of study, Blm10’s function has remained unresolved. Here, we provide structural, biochemical, and genetic evidence that yeast Blm10 inhibits the proteasome and that it does so in cooperation with a second proteasome inhibitor, PI31 (also known as Fub1). Both proteins are highly enriched in CPs with abnormal subunit composition, suggesting that Blm10 and PI31 may function to neutralize aberrant proteasomes. We report an unexpected proteasome configuration in which Blm10’s dome-like structure completely encases PI31’s N-terminal domain, which sits outside and atop the CP, while PI31’s C-terminal domain is present inside the CP, simultaneously inhibiting all six active sites. These Blm10/PI31-bound CP are strongly deficient in degradation of both proteins and small peptides, and loss of both proteins results in strongly synergistic genetic phenotypes in vivo. These data suggest that Blm10 and PI31 constitute a partially redundant failsafe system for proteasome inhibition.</w:t>
      </w:r>
    </w:p>
    <w:p>
      <w:pPr>
        <w:spacing w:before="120" w:after="120"/>
      </w:pPr>
      <w:r>
        <w:rPr>
          <w:sz w:val="18"/>
        </w:rPr>
        <w:t>——————————————————————————————————————————————————————————————————————</w:t>
      </w:r>
    </w:p>
    <w:p>
      <w:pPr>
        <w:spacing w:before="160" w:after="40" w:line="240" w:lineRule="auto"/>
      </w:pPr>
      <w:r>
        <w:rPr>
          <w:b/>
        </w:rPr>
        <w:t xml:space="preserve">[634] </w:t>
      </w:r>
      <w:hyperlink r:id="rId1723">
        <w:r>
          <w:rPr>
            <w:color w:val="1155CC"/>
            <w:u w:val="single"/>
          </w:rPr>
          <w:t>SHOOT GRAVITROPISM 9 将感觉计时与初始侧根生长角度联系起来</w:t>
        </w:r>
      </w:hyperlink>
    </w:p>
    <w:p>
      <w:pPr>
        <w:spacing w:before="0" w:after="80"/>
      </w:pPr>
      <w:r>
        <w:rPr>
          <w:i/>
          <w:sz w:val="20"/>
        </w:rPr>
        <w:t>EN: SHOOT GRAVITROPISM 9 links sensory timing to the initial lateral root growth angle</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24">
        <w:r>
          <w:rPr>
            <w:color w:val="1155CC"/>
            <w:u w:val="single"/>
          </w:rPr>
          <w:t>10.1073/pnas.2536276123</w:t>
        </w:r>
      </w:hyperlink>
    </w:p>
    <w:p>
      <w:pPr>
        <w:spacing w:before="0" w:after="120"/>
      </w:pPr>
      <w:r>
        <w:rPr>
          <w:b/>
        </w:rPr>
        <w:t xml:space="preserve">Notes: </w:t>
      </w:r>
      <w:r>
        <w:t>abstract_source=crossref</w:t>
      </w:r>
    </w:p>
    <w:p>
      <w:pPr>
        <w:spacing w:before="0" w:after="80" w:lineRule="auto" w:line="276"/>
      </w:pPr>
      <w:r>
        <w:rPr>
          <w:b/>
        </w:rPr>
        <w:t xml:space="preserve">摘要（ZH）: </w:t>
      </w:r>
      <w:r>
        <w:t>植物对重力做出战略性反应并主动设定定义的生长角度。这些向地性设定点角度 (GSA) 决定了根系的宽度和深度，决定了土壤对水和养分吸收的探索。尽管侧根具有重要的生理意义，但其生长角度的概念仍不清楚。在这里，我们证明了在定义的发育阶段内重力反应性的时间调节设定了侧根的初始 GSA。阶段特异性转录组分析表明</w:t>
      </w:r>
      <w:r>
        <w:t xml:space="preserve"> </w:t>
      </w:r>
      <w:r>
        <w:t>射击向地性 9</w:t>
      </w:r>
      <w:r>
        <w:t xml:space="preserve"> </w:t>
      </w:r>
      <w:r>
        <w:t>(</w:t>
      </w:r>
      <w:r>
        <w:t xml:space="preserve"> </w:t>
      </w:r>
      <w:r>
        <w:t>SGR9</w:t>
      </w:r>
      <w:r>
        <w:t xml:space="preserve"> </w:t>
      </w:r>
      <w:r>
        <w:t>）在出现的侧根中首先对重力做出反应时被上调。 SGR9 的缺失会减慢淀粉体沉积并延迟 PIN3 依赖性不对称生长素分布的建立。值得注意的是，重力响应的延迟改变了而不是仅仅推迟了初始稳定生长角度。我们的研究结果表明，发育时间窗口能够将瞬态感觉动态转化为稳定的初始根生长角度，这说明发育时间如何将短暂的信号转化为持久的形式。</w:t>
      </w:r>
    </w:p>
    <w:p>
      <w:pPr>
        <w:spacing w:before="0" w:after="200" w:lineRule="auto" w:line="276"/>
      </w:pPr>
      <w:r>
        <w:rPr>
          <w:b/>
        </w:rPr>
        <w:t xml:space="preserve">Abstract (EN): </w:t>
      </w:r>
      <w:r>
        <w:t>Plants strategically respond to gravity and actively set defined growth angles. These gravitropic set-point angles (GSAs) shape the width and depth of the root system, determining soil exploration for water and nutrient uptake. Despite its physiological importance, the concept by which lateral roots establish their growth angle has remained largely unclear. Here, we show that temporal regulation of gravity responsiveness within a defined developmental phase sets the initial GSA in lateral roots. Stage-specific transcriptome profiling revealed that</w:t>
      </w:r>
      <w:r>
        <w:t xml:space="preserve"> </w:t>
      </w:r>
      <w:r>
        <w:t>SHOOT GRAVITROPISM 9</w:t>
      </w:r>
      <w:r>
        <w:t xml:space="preserve"> </w:t>
      </w:r>
      <w:r>
        <w:t>(</w:t>
      </w:r>
      <w:r>
        <w:t xml:space="preserve"> </w:t>
      </w:r>
      <w:r>
        <w:t>SGR9</w:t>
      </w:r>
      <w:r>
        <w:t xml:space="preserve"> </w:t>
      </w:r>
      <w:r>
        <w:t>) is upregulated in emerged lateral roots as they first respond to gravity. Loss of SGR9 slows amyloplast sedimentation and delays the PIN3-dependent establishment of asymmetric auxin distribution. Notably, the delay in the gravity response alters, rather than merely postpones, the initial stable growth angle. Our findings reveal that a developmental time window enables transient sensory dynamics to be translated into stable initial root growth angles, illustrating how developmental timing can convert short-lived signals into lasting form.</w:t>
      </w:r>
    </w:p>
    <w:p>
      <w:pPr>
        <w:spacing w:before="120" w:after="120"/>
      </w:pPr>
      <w:r>
        <w:rPr>
          <w:sz w:val="18"/>
        </w:rPr>
        <w:t>——————————————————————————————————————————————————————————————————————</w:t>
      </w:r>
    </w:p>
    <w:p>
      <w:pPr>
        <w:spacing w:before="160" w:after="40" w:line="240" w:lineRule="auto"/>
      </w:pPr>
      <w:r>
        <w:rPr>
          <w:b/>
        </w:rPr>
        <w:t xml:space="preserve">[635] </w:t>
      </w:r>
      <w:hyperlink r:id="rId1725">
        <w:r>
          <w:rPr>
            <w:color w:val="1155CC"/>
            <w:u w:val="single"/>
          </w:rPr>
          <w:t>理查德·阿尔巴 (Richard D. Alba) 1942–2025：杰出的种族和移民同化学者，珍贵的良师益友</w:t>
        </w:r>
      </w:hyperlink>
    </w:p>
    <w:p>
      <w:pPr>
        <w:spacing w:before="0" w:after="80"/>
      </w:pPr>
      <w:r>
        <w:rPr>
          <w:i/>
          <w:sz w:val="20"/>
        </w:rPr>
        <w:t>EN: Richard D. Alba 1942–2025: Distinguished scholar of ethnicity and immigrant assimilation and cherished mentor and friend</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26">
        <w:r>
          <w:rPr>
            <w:color w:val="1155CC"/>
            <w:u w:val="single"/>
          </w:rPr>
          <w:t>10.1073/pnas.2622612123</w:t>
        </w:r>
      </w:hyperlink>
    </w:p>
    <w:p>
      <w:pPr>
        <w:spacing w:before="0" w:after="120"/>
      </w:pPr>
      <w:r>
        <w:rPr>
          <w:b/>
        </w:rPr>
        <w:t xml:space="preserve">Notes: </w:t>
      </w:r>
      <w:r>
        <w:t>abstract_source=crossref</w:t>
      </w:r>
    </w:p>
    <w:p>
      <w:pPr>
        <w:spacing w:before="0" w:after="80" w:lineRule="auto" w:line="276"/>
      </w:pPr>
      <w:r>
        <w:rPr>
          <w:b/>
        </w:rPr>
        <w:t xml:space="preserve">摘要（ZH）: </w:t>
      </w:r>
      <w:r>
        <w:t>理查德·D·阿尔巴 (Richard D. Alba) 是一位开创性的社会学家，研究移民同化及其对美国和西欧主流文化的影响，于 2025 年 6 月 4 日去世，享年 82 岁。他的早期著作严格记录了下一代欧洲移民的向上流动、郊区化、通婚和混合种族身份。他在来自拉丁美洲、加勒比海地区和亚洲的新移民和第二代移民中发现了类似的模式。他与维克多·尼（Victor Nee）一起发展了“新同化”理论，描述了移民之间的变化和多种族、多文化主流的出现的双向过程，强调社会可以在较少阻力下融入新移民的条件。阿尔巴是几代社会科学家心爱的导师、朋友和同事。</w:t>
      </w:r>
    </w:p>
    <w:p>
      <w:pPr>
        <w:spacing w:before="0" w:after="200" w:lineRule="auto" w:line="276"/>
      </w:pPr>
      <w:r>
        <w:rPr>
          <w:b/>
        </w:rPr>
        <w:t xml:space="preserve">Abstract (EN): </w:t>
      </w:r>
      <w:r>
        <w:t>Richard D. Alba, a path-breaking sociologist who studied immigrant assimilation and its impact on mainstream cultures, in the United States and in Western Europe, passed away on June 4, 2025, at the age of 82. His early work rigorously chronicled the upward mobility, suburbanization, intermarriage, and mixed ethnic identities of later-generation European immigrants. He found similar patterns among recent immigrants and the second generation from Latin America, the Caribbean, and Asia. Together with Victor Nee, he developed “neoassimilation” theory, describing a two-way process involving changes among immigrants and the emergence of a multiracial, multicultural mainstream, emphasizing the conditions under which a society can integrate newcomers with less resistance. Alba was a beloved mentor, friend, and colleague to generations of social scientists.</w:t>
      </w:r>
    </w:p>
    <w:p>
      <w:pPr>
        <w:spacing w:before="120" w:after="120"/>
      </w:pPr>
      <w:r>
        <w:rPr>
          <w:sz w:val="18"/>
        </w:rPr>
        <w:t>——————————————————————————————————————————————————————————————————————</w:t>
      </w:r>
    </w:p>
    <w:p>
      <w:pPr>
        <w:spacing w:before="160" w:after="40" w:line="240" w:lineRule="auto"/>
      </w:pPr>
      <w:r>
        <w:rPr>
          <w:b/>
        </w:rPr>
        <w:t xml:space="preserve">[636] </w:t>
      </w:r>
      <w:hyperlink r:id="rId1727">
        <w:r>
          <w:rPr>
            <w:color w:val="1155CC"/>
            <w:u w:val="single"/>
          </w:rPr>
          <w:t>为什么剪切粘附力不能通过硬化而单调增强</w:t>
        </w:r>
      </w:hyperlink>
    </w:p>
    <w:p>
      <w:pPr>
        <w:spacing w:before="0" w:after="80"/>
      </w:pPr>
      <w:r>
        <w:rPr>
          <w:i/>
          <w:sz w:val="20"/>
        </w:rPr>
        <w:t>EN: Why shear adhesion is not monotonically enhanced by stiffening</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28">
        <w:r>
          <w:rPr>
            <w:color w:val="1155CC"/>
            <w:u w:val="single"/>
          </w:rPr>
          <w:t>10.1073/pnas.2610914123</w:t>
        </w:r>
      </w:hyperlink>
    </w:p>
    <w:p>
      <w:pPr>
        <w:spacing w:before="0" w:after="120"/>
      </w:pPr>
      <w:r>
        <w:rPr>
          <w:b/>
        </w:rPr>
        <w:t xml:space="preserve">Notes: </w:t>
      </w:r>
      <w:r>
        <w:t>abstract_source=crossref</w:t>
      </w:r>
    </w:p>
    <w:p>
      <w:pPr>
        <w:spacing w:before="0" w:after="80" w:lineRule="auto" w:line="276"/>
      </w:pPr>
      <w:r>
        <w:rPr>
          <w:b/>
        </w:rPr>
        <w:t xml:space="preserve">摘要（ZH）: </w:t>
      </w:r>
      <w:r>
        <w:t>不同弹性材料之间的界面在生物和工程系统中普遍存在，并且刚度通常跨越几个数量级。然而，目前尚不清楚粘合系统的硬化是否会增强或减弱剪切粘合力，因为相互矛盾的趋势已被广泛报道，而潜在的物理原理仍未得到解决。在这里，我们通过开发一个统一的框架来提供跨广泛模量对比的剪切粘附力的机制解释。我们推导了粘合到弹性基材上的有限高度弹性粘合剂的解析解，并使用系统实验和有限元模拟验证了该理论。我们表明，尽管遇到的典型几何形状存在全局剪切载荷，但界面破坏是由边缘引发的分离控制的，该分离以有限内聚区内的开模断裂为主，而不是由界面滑动控制。在超过六个数量级的剪切模量对比中，剪切粘附表现出对刚度的明显非单调依赖性，其特征是明确的局部最大值和最小值，描绘了有利的附着和分离状态。这种行为是由模量对比相关的角应力奇异性（促进分离开始）和弹性变形（控制界面开口）之间的竞争引起的。在此机制的基础上，我们构建了参数化粘附图，以确定稳健附着和按需释放的最佳模量比。这些结果通过揭示不同的实验观察结果相一致</w:t>
      </w:r>
    </w:p>
    <w:p>
      <w:pPr>
        <w:spacing w:before="0" w:after="200" w:lineRule="auto" w:line="276"/>
      </w:pPr>
      <w:r>
        <w:rPr>
          <w:b/>
        </w:rPr>
        <w:t xml:space="preserve">Abstract (EN): </w:t>
      </w:r>
      <w:r>
        <w:t>Interfaces between dissimilar elastic materials are ubiquitous in biological and engineered systems and often span orders of magnitude in stiffness. Yet it remains unclear whether stiffening an adhesive system strengthens or weakens shear adhesion, as conflicting trends have been widely reported and the underlying physics has remained unresolved. Here we provide a mechanistic explanation by developing a unified framework for shear adhesion across broad modulus contrasts. We derive an analytical solution for a finite-height elastic adhesive bonded to an elastic substrate and validate the theory using systematic experiments and finite element simulations. We show that, despite global shear loading for the typical geometries encountered, interfacial failure is governed by edge-initiated separation dominated by opening-mode fracture within a finite cohesive zone, rather than by interfacial sliding. Across more than six orders of magnitude in shear modulus contrast, shear adhesion exhibits a pronounced nonmonotonic dependence on stiffness, characterized by well-defined local maxima and minima that delineate attachment- and detachment-favorable regimes. This behavior arises from a competition between a modulus-contrast–dependent corner stress singularity, which promotes separation initiation, and elastic deformation, which controls interfacial opening. Building on this mechanism, we construct parameterized adhesion maps that identify optimal modulus ratios for robust attachment and on-demand release. These results reconcile disparate experimental observations by revealing their common physical origin, establish modulus contrast as an independent design variable for shear adhesion, and provide predictive guidelines for designing bioinspired, wearable, and robotic adhesive systems.</w:t>
      </w:r>
    </w:p>
    <w:p>
      <w:pPr>
        <w:spacing w:before="120" w:after="120"/>
      </w:pPr>
      <w:r>
        <w:rPr>
          <w:sz w:val="18"/>
        </w:rPr>
        <w:t>——————————————————————————————————————————————————————————————————————</w:t>
      </w:r>
    </w:p>
    <w:p>
      <w:pPr>
        <w:spacing w:before="160" w:after="40" w:line="240" w:lineRule="auto"/>
      </w:pPr>
      <w:r>
        <w:rPr>
          <w:b/>
        </w:rPr>
        <w:t xml:space="preserve">[637] </w:t>
      </w:r>
      <w:hyperlink r:id="rId1729">
        <w:r>
          <w:rPr>
            <w:color w:val="1155CC"/>
            <w:u w:val="single"/>
          </w:rPr>
          <w:t>危险曲率使得宿主内部变异性的生存代价高昂</w:t>
        </w:r>
      </w:hyperlink>
    </w:p>
    <w:p>
      <w:pPr>
        <w:spacing w:before="0" w:after="80"/>
      </w:pPr>
      <w:r>
        <w:rPr>
          <w:i/>
          <w:sz w:val="20"/>
        </w:rPr>
        <w:t>EN: Hazard curvature makes within-host variability costly for survival</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30">
        <w:r>
          <w:rPr>
            <w:color w:val="1155CC"/>
            <w:u w:val="single"/>
          </w:rPr>
          <w:t>10.1073/pnas.2610568123</w:t>
        </w:r>
      </w:hyperlink>
    </w:p>
    <w:p>
      <w:pPr>
        <w:spacing w:before="0" w:after="120"/>
      </w:pPr>
      <w:r>
        <w:rPr>
          <w:b/>
        </w:rPr>
        <w:t xml:space="preserve">Notes: </w:t>
      </w:r>
      <w:r>
        <w:t>abstract_source=crossref</w:t>
      </w:r>
    </w:p>
    <w:p>
      <w:pPr>
        <w:spacing w:before="0" w:after="80" w:lineRule="auto" w:line="276"/>
      </w:pPr>
      <w:r>
        <w:rPr>
          <w:b/>
        </w:rPr>
        <w:t xml:space="preserve">摘要（ZH）: </w:t>
      </w:r>
      <w:r>
        <w:t>肿瘤、病原体和免疫反应越来越多地被建模为宿主体内的生态和进化系统。然而，具有临床意义的终点通常不是这些内部群体的轨迹，而是宿主的命运。本文开发了一个框架，通过危险图将宿主内的机械动态与结果联系起来。该框架提出了曲率原理：如果瞬时风险是有害宿主状态的凸函数，则该状态的变异性代价高昂：也就是说，在具有相同时间均值的轨迹中，方差最小的路径可以最小化累积风险，而任何保均值的分布都会增加累积风险。局部扩展表明惩罚是由危险曲率和时间方差设置的。我们将框架扩展到比例风险联合模型，其中标准指数链接通过构造是凸的。这会产生曲率损失 ½γ</w:t>
      </w:r>
      <w:r>
        <w:rPr>
          <w:vertAlign w:val="subscript"/>
        </w:rPr>
        <w:t>2</w:t>
      </w:r>
      <w:r>
        <w:t>·瓦尔</w:t>
      </w:r>
      <w:r>
        <w:t xml:space="preserve"> </w:t>
      </w:r>
      <w:r>
        <w:t>w</w:t>
      </w:r>
      <w:r>
        <w:t xml:space="preserve"> </w:t>
      </w:r>
      <w:r>
        <w:t>(z)，对于恒定基线风险下的正弦轨迹，精确的贝塞尔函数表达式，I</w:t>
      </w:r>
      <w:r>
        <w:rPr>
          <w:vertAlign w:val="subscript"/>
        </w:rPr>
        <w:t>0</w:t>
      </w:r>
      <w:r>
        <w:t>(γA)，描述了累积风险膨胀。这两个量都可以从拟合的联合模型中导出，并在轨迹的变化可能很重要时进行量化。同一框架强调了终点不匹配：改善基于负担的控制指标（例如达到阈值的时间）的策略可能会因反复访问高风险状态而恶化生存率。该理论通过竞争来说明</w:t>
      </w:r>
    </w:p>
    <w:p>
      <w:pPr>
        <w:spacing w:before="0" w:after="200" w:lineRule="auto" w:line="276"/>
      </w:pPr>
      <w:r>
        <w:rPr>
          <w:b/>
        </w:rPr>
        <w:t xml:space="preserve">Abstract (EN): </w:t>
      </w:r>
      <w:r>
        <w:t>Tumors, pathogens, and immune responses are increasingly modeled as ecological and evolutionary systems inside hosts. Yet the clinically meaningful endpoint is usually not the trajectory of those internal populations but the fate of the host. In this article a framework is developed that links mechanistic within-host dynamics to outcomes through a hazard map. The framework gives rise to a curvature principle: If the instantaneous hazard is a convex function of a harmful host state, variability in that state is costly: That is, among trajectories with the same temporal mean, the path with least variance minimizes cumulative hazard, and any mean-preserving spread increases it. A local expansion shows that the penalty is set by hazard curvature and temporal variance. We extend the framework to proportional-hazards joint models, where the standard exponential link is convex by construction. This yields a curvature penalty, ½γ</w:t>
      </w:r>
      <w:r>
        <w:rPr>
          <w:vertAlign w:val="subscript"/>
        </w:rPr>
        <w:t>2</w:t>
      </w:r>
      <w:r>
        <w:t>·Var</w:t>
      </w:r>
      <w:r>
        <w:t xml:space="preserve"> </w:t>
      </w:r>
      <w:r>
        <w:t>w</w:t>
      </w:r>
      <w:r>
        <w:t xml:space="preserve"> </w:t>
      </w:r>
      <w:r>
        <w:t>(z), such that for sinusoidal trajectories under a constant baseline hazard, an exact Bessel-function expression, I</w:t>
      </w:r>
      <w:r>
        <w:rPr>
          <w:vertAlign w:val="subscript"/>
        </w:rPr>
        <w:t>0</w:t>
      </w:r>
      <w:r>
        <w:t>(γA), for cumulative-hazard inflation is described. Both quantities can be derived from fitted joint models and quantify when the variability in the trajectory is likely to matter. The same framework highlights an endpoint mismatch: Strategies that improve burden-based control metrics, such as time to threshold, can worsen survival by repeatedly visiting high-risk states. The theory is illustrated with competitive tumor dynamics, a pathogen–immune–damage model and an example using parameters from a published joint model of SARS-CoV-2 viral kinetics and mortality. Hazard curvature links within-host dynamics, time-to-event outcomes, and treatment design.</w:t>
      </w:r>
    </w:p>
    <w:p>
      <w:pPr>
        <w:spacing w:before="120" w:after="120"/>
      </w:pPr>
      <w:r>
        <w:rPr>
          <w:sz w:val="18"/>
        </w:rPr>
        <w:t>——————————————————————————————————————————————————————————————————————</w:t>
      </w:r>
    </w:p>
    <w:p>
      <w:pPr>
        <w:spacing w:before="160" w:after="40" w:line="240" w:lineRule="auto"/>
      </w:pPr>
      <w:r>
        <w:rPr>
          <w:b/>
        </w:rPr>
        <w:t xml:space="preserve">[638] </w:t>
      </w:r>
      <w:hyperlink r:id="rId1731">
        <w:r>
          <w:rPr>
            <w:color w:val="1155CC"/>
            <w:u w:val="single"/>
          </w:rPr>
          <w:t>基质效应重塑有机气溶胶的挥发性和大气持久性</w:t>
        </w:r>
      </w:hyperlink>
    </w:p>
    <w:p>
      <w:pPr>
        <w:spacing w:before="0" w:after="80"/>
      </w:pPr>
      <w:r>
        <w:rPr>
          <w:i/>
          <w:sz w:val="20"/>
        </w:rPr>
        <w:t>EN: Matrix effects reshape organic aerosol volatility and atmospheric persistence</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32">
        <w:r>
          <w:rPr>
            <w:color w:val="1155CC"/>
            <w:u w:val="single"/>
          </w:rPr>
          <w:t>10.1073/pnas.2614944123</w:t>
        </w:r>
      </w:hyperlink>
    </w:p>
    <w:p>
      <w:pPr>
        <w:spacing w:before="0" w:after="120"/>
      </w:pPr>
      <w:r>
        <w:rPr>
          <w:b/>
        </w:rPr>
        <w:t xml:space="preserve">Notes: </w:t>
      </w:r>
      <w:r>
        <w:t>abstract_source=crossref</w:t>
      </w:r>
    </w:p>
    <w:p>
      <w:pPr>
        <w:spacing w:before="0" w:after="80" w:lineRule="auto" w:line="276"/>
      </w:pPr>
      <w:r>
        <w:rPr>
          <w:b/>
        </w:rPr>
        <w:t xml:space="preserve">摘要（ZH）: </w:t>
      </w:r>
      <w:r>
        <w:t>单个物种的挥发性是控制有机气溶胶的气体-颗粒分配的基本属性。然而，在复杂的有机混合物中，化合物的表观挥发性可能与其内在挥发性不同，具体取决于基质的化学成分。在此，我们系统地研究了代表选定有机气溶胶类型的 33 个代理物和化学复杂混合物中 1,500 多个物种的成分解析、混合物特定挥发性。结果表明，简化代理和成分有限的参考混合物中的物种遵循接近其内在值的较高挥发性趋势，而环境和生物质燃烧有机气溶胶中存在的物种则表现出相反的行为，由于基质效应而系统地降低了表观挥发性。以左旋葡聚糖 (LG)（一种代表性的生物质燃烧示踪剂）为例，我们发现其在复杂有机混合物中的挥发性相对于其在纯 LG 中的固有挥发性降低了 1 至 4 个数量级。这种显着的减少强调了强烈的基质效应，这种效应大大抑制了混合系统中单个物种的表观波动性。机器学习分析进一步表明，与定义内在波动性的化合物特定分子特性相比，混合物相关的分子指标更能预测表观波动性。总的来说，这些发现强调了分子间相互作用在控制多态气体粒子分配中的关键作用。</w:t>
      </w:r>
    </w:p>
    <w:p>
      <w:pPr>
        <w:spacing w:before="0" w:after="200" w:lineRule="auto" w:line="276"/>
      </w:pPr>
      <w:r>
        <w:rPr>
          <w:b/>
        </w:rPr>
        <w:t xml:space="preserve">Abstract (EN): </w:t>
      </w:r>
      <w:r>
        <w:t>The volatility of individual species is a fundamental property governing the gas-particle partitioning of organic aerosols. However, in complex organic mixtures, a compound’s apparent volatility may differ from its intrinsic volatility, depending on the matrix’s chemical composition. Herein, we systematically investigate component-resolved, mixture-specific volatility for more than 1,500 individual species across 33 proxies and chemically complex mixtures representative of selected organic aerosol types. The results show that species in simplified proxies and reference mixtures with limited components follow a higher-volatility trend that approaches their intrinsic values, whereas species present in ambient and biomass-burning organic aerosols exhibit the opposite behavior, with systematically reduced apparent volatility attributable to matrix effects. Using levoglucosan (LG), a representative biomass-burning tracer, as an illustrative example, we find that its volatility in complex organic mixtures is reduced by 1 to 4 orders of magnitude relative to its intrinsic volatility in pure LG. This pronounced reduction underscores strong matrix effects that substantially suppress the apparent volatility of individual species in mixed systems. Machine-learning analysis further indicates that mixture-dependent molecular metrics are more predictive of apparent volatility than compound-specific molecular properties that define intrinsic volatility. Collectively, these findings highlight the critical role of intermolecular interactions in governing gas-particle partitioning in multicomponent systems. This study provides strong evidence that matrix effects significantly influence the apparent volatility of individual species in aerosols and other environmental organic mixtures and should be explicitly considered in volatility prediction frameworks and aerosol transport models.</w:t>
      </w:r>
    </w:p>
    <w:p>
      <w:pPr>
        <w:spacing w:before="120" w:after="120"/>
      </w:pPr>
      <w:r>
        <w:rPr>
          <w:sz w:val="18"/>
        </w:rPr>
        <w:t>——————————————————————————————————————————————————————————————————————</w:t>
      </w:r>
    </w:p>
    <w:p>
      <w:pPr>
        <w:spacing w:before="160" w:after="40" w:line="240" w:lineRule="auto"/>
      </w:pPr>
      <w:r>
        <w:rPr>
          <w:b/>
        </w:rPr>
        <w:t xml:space="preserve">[639] </w:t>
      </w:r>
      <w:hyperlink r:id="rId1733">
        <w:r>
          <w:rPr>
            <w:color w:val="1155CC"/>
            <w:u w:val="single"/>
          </w:rPr>
          <w:t>臂旁 Ntsr1 神经元通过投射到下丘脑腹内侧来调节食物摄入和焦虑</w:t>
        </w:r>
      </w:hyperlink>
    </w:p>
    <w:p>
      <w:pPr>
        <w:spacing w:before="0" w:after="80"/>
      </w:pPr>
      <w:r>
        <w:rPr>
          <w:i/>
          <w:sz w:val="20"/>
        </w:rPr>
        <w:t>EN: Parabrachial Ntsr1 neurons modulate food intake and anxiety through a projection to the ventromedial hypothalamus</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34">
        <w:r>
          <w:rPr>
            <w:color w:val="1155CC"/>
            <w:u w:val="single"/>
          </w:rPr>
          <w:t>10.1073/pnas.2605466123</w:t>
        </w:r>
      </w:hyperlink>
    </w:p>
    <w:p>
      <w:pPr>
        <w:spacing w:before="0" w:after="120"/>
      </w:pPr>
      <w:r>
        <w:rPr>
          <w:b/>
        </w:rPr>
        <w:t xml:space="preserve">Notes: </w:t>
      </w:r>
      <w:r>
        <w:t>abstract_source=crossref</w:t>
      </w:r>
    </w:p>
    <w:p>
      <w:pPr>
        <w:spacing w:before="0" w:after="80" w:lineRule="auto" w:line="276"/>
      </w:pPr>
      <w:r>
        <w:rPr>
          <w:b/>
        </w:rPr>
        <w:t xml:space="preserve">摘要（ZH）: </w:t>
      </w:r>
      <w:r>
        <w:t>臂旁核（PBN）是位于脑桥的重要枢纽，负责传递来自周围区域的感觉信号。它具有遗传多样性，包含许多调节进食和应对威胁情况的种群。一个小</w:t>
      </w:r>
      <w:r>
        <w:t xml:space="preserve"> </w:t>
      </w:r>
      <w:r>
        <w:t>NTSR1</w:t>
      </w:r>
      <w:r>
        <w:t xml:space="preserve"> </w:t>
      </w:r>
      <w:r>
        <w:t>-表达的神经元群被鉴定为选择性地投射到下丘脑腹内侧（VMH）。的</w:t>
      </w:r>
      <w:r>
        <w:t xml:space="preserve"> </w:t>
      </w:r>
      <w:r>
        <w:t>NTSR1</w:t>
      </w:r>
      <w:r>
        <w:t xml:space="preserve"> </w:t>
      </w:r>
      <w:r>
        <w:t>神经元分散在整个外侧 PBN 中，沿着外侧丘系核的边界有一组细胞，与外侧丘系核重叠</w:t>
      </w:r>
      <w:r>
        <w:t xml:space="preserve"> </w:t>
      </w:r>
      <w:r>
        <w:t>查克</w:t>
      </w:r>
      <w:r>
        <w:t xml:space="preserve"> </w:t>
      </w:r>
      <w:r>
        <w:t>和</w:t>
      </w:r>
      <w:r>
        <w:t xml:space="preserve"> </w:t>
      </w:r>
      <w:r>
        <w:t>福克斯p2</w:t>
      </w:r>
      <w:r>
        <w:t xml:space="preserve"> </w:t>
      </w:r>
      <w:r>
        <w:t>表达。 PBN 的化学遗传学激活</w:t>
      </w:r>
      <w:r>
        <w:t xml:space="preserve"> </w:t>
      </w:r>
      <w:r>
        <w:t>NTSR1</w:t>
      </w:r>
      <w:r>
        <w:t xml:space="preserve"> </w:t>
      </w:r>
      <w:r>
        <w:t>神经元导致</w:t>
      </w:r>
      <w:r>
        <w:t xml:space="preserve"> </w:t>
      </w:r>
      <w:r>
        <w:t>福斯</w:t>
      </w:r>
      <w:r>
        <w:t xml:space="preserve"> </w:t>
      </w:r>
      <w:r>
        <w:t>感应中</w:t>
      </w:r>
      <w:r>
        <w:t xml:space="preserve"> </w:t>
      </w:r>
      <w:r>
        <w:t>Nr5a1</w:t>
      </w:r>
      <w:r>
        <w:t xml:space="preserve"> </w:t>
      </w:r>
      <w:r>
        <w:t>(SF1) 和</w:t>
      </w:r>
      <w:r>
        <w:t xml:space="preserve"> </w:t>
      </w:r>
      <w:r>
        <w:t>BDNF</w:t>
      </w:r>
      <w:r>
        <w:t xml:space="preserve"> </w:t>
      </w:r>
      <w:r>
        <w:t>VMH 中的神经元。激活PBN</w:t>
      </w:r>
      <w:r>
        <w:t xml:space="preserve"> </w:t>
      </w:r>
      <w:r>
        <w:t>NTSR1</w:t>
      </w:r>
      <w:r>
        <w:t xml:space="preserve"> </w:t>
      </w:r>
      <w:r>
        <w:t>VMH 中的神经元或其末端会减少禁食后的食物摄入量并增加类似焦虑的行为。在致焦虑喂养测定中，PBN 的激活</w:t>
      </w:r>
      <w:r>
        <w:t xml:space="preserve"> </w:t>
      </w:r>
      <w:r>
        <w:t>NTSR1</w:t>
      </w:r>
      <w:r>
        <w:t xml:space="preserve"> </w:t>
      </w:r>
      <w:r>
        <w:t>神经元增加进食潜伏期并减少食物摄入量。光度测定表明PBN</w:t>
      </w:r>
      <w:r>
        <w:t xml:space="preserve"> </w:t>
      </w:r>
      <w:r>
        <w:t>NTSR1</w:t>
      </w:r>
      <w:r>
        <w:t xml:space="preserve"> </w:t>
      </w:r>
      <w:r>
        <w:t>-神经元活动在引起焦虑的情况下增加，但在食物消耗过程中受到抑制，这表明在威胁诱导的进食抑制中发挥作用。沉默PBN</w:t>
      </w:r>
      <w:r>
        <w:t xml:space="preserve"> </w:t>
      </w:r>
      <w:r>
        <w:t>NTSR1</w:t>
      </w:r>
    </w:p>
    <w:p>
      <w:pPr>
        <w:spacing w:before="0" w:after="200" w:lineRule="auto" w:line="276"/>
      </w:pPr>
      <w:r>
        <w:rPr>
          <w:b/>
        </w:rPr>
        <w:t xml:space="preserve">Abstract (EN): </w:t>
      </w:r>
      <w:r>
        <w:t>The parabrachial nucleus (PBN) is an important hub located in the pons that relays sensory signals from peripheral regions. It is genetically diverse and contains many populations that modulate feeding and responses to threatening situations. A small</w:t>
      </w:r>
      <w:r>
        <w:t xml:space="preserve"> </w:t>
      </w:r>
      <w:r>
        <w:t>Ntsr1</w:t>
      </w:r>
      <w:r>
        <w:t xml:space="preserve"> </w:t>
      </w:r>
      <w:r>
        <w:t>-expressing population of neurons was identified that projects selectively to the ventromedial hypothalamus (VMH). The</w:t>
      </w:r>
      <w:r>
        <w:t xml:space="preserve"> </w:t>
      </w:r>
      <w:r>
        <w:t>Ntsr1</w:t>
      </w:r>
      <w:r>
        <w:t xml:space="preserve"> </w:t>
      </w:r>
      <w:r>
        <w:t>neurons are scattered throughout the lateral PBN with a cluster of cells along the border to the nucleus of the lateral lemniscus that overlap with</w:t>
      </w:r>
      <w:r>
        <w:t xml:space="preserve"> </w:t>
      </w:r>
      <w:r>
        <w:t>Cck</w:t>
      </w:r>
      <w:r>
        <w:t xml:space="preserve"> </w:t>
      </w:r>
      <w:r>
        <w:t>and</w:t>
      </w:r>
      <w:r>
        <w:t xml:space="preserve"> </w:t>
      </w:r>
      <w:r>
        <w:t>Foxp2</w:t>
      </w:r>
      <w:r>
        <w:t xml:space="preserve"> </w:t>
      </w:r>
      <w:r>
        <w:t>expression. Chemogenetic activation of PBN</w:t>
      </w:r>
      <w:r>
        <w:t xml:space="preserve"> </w:t>
      </w:r>
      <w:r>
        <w:t>Ntsr1</w:t>
      </w:r>
      <w:r>
        <w:t xml:space="preserve"> </w:t>
      </w:r>
      <w:r>
        <w:t>neurons results in</w:t>
      </w:r>
      <w:r>
        <w:t xml:space="preserve"> </w:t>
      </w:r>
      <w:r>
        <w:t>Fos</w:t>
      </w:r>
      <w:r>
        <w:t xml:space="preserve"> </w:t>
      </w:r>
      <w:r>
        <w:t>induction in</w:t>
      </w:r>
      <w:r>
        <w:t xml:space="preserve"> </w:t>
      </w:r>
      <w:r>
        <w:t>Nr5a1</w:t>
      </w:r>
      <w:r>
        <w:t xml:space="preserve"> </w:t>
      </w:r>
      <w:r>
        <w:t>(SF1) and</w:t>
      </w:r>
      <w:r>
        <w:t xml:space="preserve"> </w:t>
      </w:r>
      <w:r>
        <w:t>Bdnf</w:t>
      </w:r>
      <w:r>
        <w:t xml:space="preserve"> </w:t>
      </w:r>
      <w:r>
        <w:t>neurons in the VMH. Activation of PBN</w:t>
      </w:r>
      <w:r>
        <w:t xml:space="preserve"> </w:t>
      </w:r>
      <w:r>
        <w:t>Ntsr1</w:t>
      </w:r>
      <w:r>
        <w:t xml:space="preserve"> </w:t>
      </w:r>
      <w:r>
        <w:t>neurons or their terminals in the VMH reduces food intake after fasting and increases anxiety-like behaviors. In anxiogenic feeding assays, activation of PBN</w:t>
      </w:r>
      <w:r>
        <w:t xml:space="preserve"> </w:t>
      </w:r>
      <w:r>
        <w:t>Ntsr1</w:t>
      </w:r>
      <w:r>
        <w:t xml:space="preserve"> </w:t>
      </w:r>
      <w:r>
        <w:t>neurons increases latency to feed as well as reducing food intake. Photometry showed that PBN</w:t>
      </w:r>
      <w:r>
        <w:t xml:space="preserve"> </w:t>
      </w:r>
      <w:r>
        <w:t>Ntsr1</w:t>
      </w:r>
      <w:r>
        <w:t xml:space="preserve"> </w:t>
      </w:r>
      <w:r>
        <w:t>-neuronal activity increases during anxiogenic situations but is suppressed during food consumption, suggesting a role in threat-induced suppression of feeding. Silencing PBN</w:t>
      </w:r>
      <w:r>
        <w:t xml:space="preserve"> </w:t>
      </w:r>
      <w:r>
        <w:t>Ntsr1</w:t>
      </w:r>
      <w:r>
        <w:t xml:space="preserve"> </w:t>
      </w:r>
      <w:r>
        <w:t>neurons with tetanus toxin light-chain increased food intake and reduced anxiety. These findings reveal a genetically defined PBN to VMH circuit that responds to threats and suppresses feeding behavior.</w:t>
      </w:r>
    </w:p>
    <w:p>
      <w:pPr>
        <w:spacing w:before="120" w:after="120"/>
      </w:pPr>
      <w:r>
        <w:rPr>
          <w:sz w:val="18"/>
        </w:rPr>
        <w:t>——————————————————————————————————————————————————————————————————————</w:t>
      </w:r>
    </w:p>
    <w:p>
      <w:pPr>
        <w:spacing w:before="160" w:after="40" w:line="240" w:lineRule="auto"/>
      </w:pPr>
      <w:r>
        <w:rPr>
          <w:b/>
        </w:rPr>
        <w:t xml:space="preserve">[640] </w:t>
      </w:r>
      <w:hyperlink r:id="rId1735">
        <w:r>
          <w:rPr>
            <w:color w:val="1155CC"/>
            <w:u w:val="single"/>
          </w:rPr>
          <w:t>I–II 环的结构刚性将 CaV β 锚定与 CaV2.2 门控模式耦合</w:t>
        </w:r>
      </w:hyperlink>
    </w:p>
    <w:p>
      <w:pPr>
        <w:spacing w:before="0" w:after="80"/>
      </w:pPr>
      <w:r>
        <w:rPr>
          <w:i/>
          <w:sz w:val="20"/>
        </w:rPr>
        <w:t>EN: Structural rigidity of the I–II loop couples CaV β anchoring to CaV2.2 gating modes</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36">
        <w:r>
          <w:rPr>
            <w:color w:val="1155CC"/>
            <w:u w:val="single"/>
          </w:rPr>
          <w:t>10.1073/pnas.2602744123</w:t>
        </w:r>
      </w:hyperlink>
    </w:p>
    <w:p>
      <w:pPr>
        <w:spacing w:before="0" w:after="120"/>
      </w:pPr>
      <w:r>
        <w:rPr>
          <w:b/>
        </w:rPr>
        <w:t xml:space="preserve">Notes: </w:t>
      </w:r>
      <w:r>
        <w:t>abstract_source=crossref</w:t>
      </w:r>
    </w:p>
    <w:p>
      <w:pPr>
        <w:spacing w:before="0" w:after="80" w:lineRule="auto" w:line="276"/>
      </w:pPr>
      <w:r>
        <w:rPr>
          <w:b/>
        </w:rPr>
        <w:t xml:space="preserve">摘要（ZH）: </w:t>
      </w:r>
      <w:r>
        <w:t>电压门控 Ca 的辅助 β 亚基</w:t>
      </w:r>
      <w:r>
        <w:t xml:space="preserve"> </w:t>
      </w:r>
      <w:r>
        <w:t>2+</w:t>
      </w:r>
      <w:r>
        <w:t xml:space="preserve"> </w:t>
      </w:r>
      <w:r>
        <w:t>（钙</w:t>
      </w:r>
      <w:r>
        <w:t xml:space="preserve"> </w:t>
      </w:r>
      <w:r>
        <w:t>V</w:t>
      </w:r>
      <w:r>
        <w:t xml:space="preserve"> </w:t>
      </w:r>
      <w:r>
        <w:t>）通道是通道门控和神经元兴奋性的基本调节器。虽然已知β亚基的亚细胞定位会影响电流密度和失活，但它们差异调节通道打开和关闭的精确动力学机制仍然难以捉摸。在这里，我们报告了 Ca 的动力学悖论</w:t>
      </w:r>
      <w:r>
        <w:t xml:space="preserve"> </w:t>
      </w:r>
      <w:r>
        <w:t>V</w:t>
      </w:r>
      <w:r>
        <w:t xml:space="preserve"> </w:t>
      </w:r>
      <w:r>
        <w:t>2.2通道：膜锚定的β亚基在去极化过程中减缓电流衰减，但在复极化时加速尾部失活，而胞质β亚基促进快速衰减但延长失活时间。使用定量动力学分析和马尔可夫状态模型，我们证明了宏观电流衰减不仅仅是一个整体的不可逆失活过程，而是不可逆失活和向非导态的可逆转变的复合体。我们发现膜锚定的β亚基抑制向这种可逆非导电状态的转变，从而维持开放状态，同时促进从非导电状态快速返回以防止动力学捕获。此外，通过操纵β亚基的接头长度和设计I-II环铰链区（R370），我们发现β亚基与质膜的物理接近性，加上I-II环的结构刚性，充当控制该门控通路选择的机械决定因素。我们的发现提供了一个统一的门</w:t>
      </w:r>
    </w:p>
    <w:p>
      <w:pPr>
        <w:spacing w:before="0" w:after="200" w:lineRule="auto" w:line="276"/>
      </w:pPr>
      <w:r>
        <w:rPr>
          <w:b/>
        </w:rPr>
        <w:t xml:space="preserve">Abstract (EN): </w:t>
      </w:r>
      <w:r>
        <w:t>The auxiliary β subunits of voltage-gated Ca</w:t>
      </w:r>
      <w:r>
        <w:t xml:space="preserve"> </w:t>
      </w:r>
      <w:r>
        <w:t>2+</w:t>
      </w:r>
      <w:r>
        <w:t xml:space="preserve"> </w:t>
      </w:r>
      <w:r>
        <w:t>(Ca</w:t>
      </w:r>
      <w:r>
        <w:t xml:space="preserve"> </w:t>
      </w:r>
      <w:r>
        <w:t>V</w:t>
      </w:r>
      <w:r>
        <w:t xml:space="preserve"> </w:t>
      </w:r>
      <w:r>
        <w:t>) channels are fundamental regulators of channel gating and neuronal excitability. While the subcellular localization of β subunits is known to influence current density and inactivation, the precise kinetic mechanism by which they differentially modulate channel opening and closing remains elusive. Here, we report a kinetic paradox in Ca</w:t>
      </w:r>
      <w:r>
        <w:t xml:space="preserve"> </w:t>
      </w:r>
      <w:r>
        <w:t>V</w:t>
      </w:r>
      <w:r>
        <w:t xml:space="preserve"> </w:t>
      </w:r>
      <w:r>
        <w:t>2.2 channels: membrane-anchored β subunits decelerate current decay during depolarization yet accelerate tail deactivation upon repolarization, whereas cytosolic β subunits promote rapid decay but prolong deactivation. Using quantitative kinetic analysis and Markov state modeling, we demonstrate that macroscopic current decay is not solely a monolithic irreversible inactivation process but a composite of irreversible inactivation and a reversible transition to a nonconducting state. We reveal that membrane-anchored β subunits suppress the transition to this reversible nonconducting state, thereby maintaining the open state, while facilitating a rapid return from the nonconducting state to prevent kinetic trapping. Furthermore, by manipulating the linker length of β subunits and engineering the I–II loop hinge region (R370), we identify that the physical proximity of the β subunit to the plasma membrane, coupled with the structural rigidity of the I–II loop, acts as a mechanical determinant that governs this gating pathway selection. Our findings provide a unified gating model in which the β subunit fine-tunes the dynamic equilibrium between conducting and nonconducting states via mechanical constraint on the channel complex, offering a comprehensive resolution to the distinct regulation of Ca</w:t>
      </w:r>
      <w:r>
        <w:t xml:space="preserve"> </w:t>
      </w:r>
      <w:r>
        <w:t>V</w:t>
      </w:r>
      <w:r>
        <w:t xml:space="preserve"> </w:t>
      </w:r>
      <w:r>
        <w:t>2.2 kinetics.</w:t>
      </w:r>
    </w:p>
    <w:p>
      <w:pPr>
        <w:spacing w:before="120" w:after="120"/>
      </w:pPr>
      <w:r>
        <w:rPr>
          <w:sz w:val="18"/>
        </w:rPr>
        <w:t>——————————————————————————————————————————————————————————————————————</w:t>
      </w:r>
    </w:p>
    <w:p>
      <w:pPr>
        <w:spacing w:before="160" w:after="40" w:line="240" w:lineRule="auto"/>
      </w:pPr>
      <w:r>
        <w:rPr>
          <w:b/>
        </w:rPr>
        <w:t xml:space="preserve">[641] </w:t>
      </w:r>
      <w:hyperlink r:id="rId1737">
        <w:r>
          <w:rPr>
            <w:color w:val="1155CC"/>
            <w:u w:val="single"/>
          </w:rPr>
          <w:t>过氧化物酶体醚脂质合成调节皮质神经发生并维持放射状胶质细胞中的线粒体能量稳态</w:t>
        </w:r>
      </w:hyperlink>
    </w:p>
    <w:p>
      <w:pPr>
        <w:spacing w:before="0" w:after="80"/>
      </w:pPr>
      <w:r>
        <w:rPr>
          <w:i/>
          <w:sz w:val="20"/>
        </w:rPr>
        <w:t>EN: Peroxisomal ether lipid synthesis regulates cortical neurogenesis and maintains mitochondrial energy homeostasis in radial glial cells</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38">
        <w:r>
          <w:rPr>
            <w:color w:val="1155CC"/>
            <w:u w:val="single"/>
          </w:rPr>
          <w:t>10.1073/pnas.2600571123</w:t>
        </w:r>
      </w:hyperlink>
    </w:p>
    <w:p>
      <w:pPr>
        <w:spacing w:before="0" w:after="120"/>
      </w:pPr>
      <w:r>
        <w:rPr>
          <w:b/>
        </w:rPr>
        <w:t xml:space="preserve">Notes: </w:t>
      </w:r>
      <w:r>
        <w:t>abstract_source=crossref</w:t>
      </w:r>
    </w:p>
    <w:p>
      <w:pPr>
        <w:spacing w:before="0" w:after="80" w:lineRule="auto" w:line="276"/>
      </w:pPr>
      <w:r>
        <w:rPr>
          <w:b/>
        </w:rPr>
        <w:t xml:space="preserve">摘要（ZH）: </w:t>
      </w:r>
      <w:r>
        <w:t>神经发生的特点是多个细胞器的动态结构变化和功能重塑，这些细胞器相互作用形成一个复杂的网络，精确调节神经祖细胞自我更新、神经发生和终末神经元发育等过程。然而，在哺乳动物皮质发育过程中，过氧化物酶体的时空动力学及其在该调节网络中的功能贡献仍未完全确定。在这里，我们发现放射状胶质细胞（RGC）表现出丰富的过氧化物酶体丰度，而神经分化与过氧化物酶体数量减少和自噬增加有关，并伴有脂质代谢程序的重塑。 PLAAT3-PEX11 对过氧化物酶体的急性破坏损害了胚胎小鼠皮层的神经分化，而</w:t>
      </w:r>
      <w:r>
        <w:t xml:space="preserve"> </w:t>
      </w:r>
      <w:r>
        <w:t>PEX7</w:t>
      </w:r>
      <w:r>
        <w:t xml:space="preserve"> </w:t>
      </w:r>
      <w:r>
        <w:t>敲除损害了人类皮质类器官的神经源性进展，支持皮质发育过程中对过氧化物酶体功能的保守需求。脂质组学和成像分析表明，过氧化物酶体衍生的醚脂质对于驱动神经分化至关重要，并且在线粒体中特别富集。一致地，击倒</w:t>
      </w:r>
      <w:r>
        <w:t xml:space="preserve"> </w:t>
      </w:r>
      <w:r>
        <w:t>甘帕特</w:t>
      </w:r>
      <w:r>
        <w:t xml:space="preserve"> </w:t>
      </w:r>
      <w:r>
        <w:t>，它催化醚脂质生物合成的初始步骤，减少神经分化，并破坏线粒体结构和功能，而补充蝙蝠醇部分恢复了这些缺陷。从机制上讲，醚脂维持了强度</w:t>
      </w:r>
    </w:p>
    <w:p>
      <w:pPr>
        <w:spacing w:before="0" w:after="200" w:lineRule="auto" w:line="276"/>
      </w:pPr>
      <w:r>
        <w:rPr>
          <w:b/>
        </w:rPr>
        <w:t xml:space="preserve">Abstract (EN): </w:t>
      </w:r>
      <w:r>
        <w:t>Neurogenesis is characterized by dynamic structural changes and functional remodeling of multiple organelles, which interact to form an intricate network that precisely modulates processes including neural progenitor cell self-renewal, neurogenesis, and terminal neuronal development. However, the spatiotemporal dynamics of peroxisomes and their functional contributions within this regulatory network remain incompletely defined during mammalian cortical development. Here, we found that radial glial cells (RGCs) exhibit enriched peroxisome abundance, whereas neural differentiation is associated with reduced peroxisome numbers and increased pexophagy, accompanied by the remodeling of lipid metabolic programs. Acute disruption of peroxisomes by PLAAT3-PEX11 impaired neural differentiation in the embryonic mouse cortex, while</w:t>
      </w:r>
      <w:r>
        <w:t xml:space="preserve"> </w:t>
      </w:r>
      <w:r>
        <w:t>PEX7</w:t>
      </w:r>
      <w:r>
        <w:t xml:space="preserve"> </w:t>
      </w:r>
      <w:r>
        <w:t>knockout compromised neurogenic progression in human cortical organoids, supporting a conserved requirement for peroxisomal function during cortical development. Lipidomic and imaging analyses revealed that peroxisome-derived ether lipids were essential for driving neural differentiation and were specifically enriched in mitochondria. Consistently, knockdown of</w:t>
      </w:r>
      <w:r>
        <w:t xml:space="preserve"> </w:t>
      </w:r>
      <w:r>
        <w:t>Gnpat</w:t>
      </w:r>
      <w:r>
        <w:t xml:space="preserve"> </w:t>
      </w:r>
      <w:r>
        <w:t>, which catalyzes the initial step of ether lipid biosynthesis, reduced neural differentiation, and disrupted mitochondrial structure and function, while batyl alcohol supplementation partially restored these defects. Mechanistically, the ether lipids maintain the structural integrity of mitochondrial cristae and thereby support respiratory chain activity, which in turn promotes oxidative phosphorylation and activates the NAD</w:t>
      </w:r>
      <w:r>
        <w:t xml:space="preserve"> </w:t>
      </w:r>
      <w:r>
        <w:t>+</w:t>
      </w:r>
      <w:r>
        <w:t xml:space="preserve"> </w:t>
      </w:r>
      <w:r>
        <w:t>associated signaling. Collectively, this work highlights the precise spatiotemporal regulation of neurogenesis through peroxisomal dynamics and interorganelle crosstalk and identifies ether lipids as a potential therapeutic target for neurodevelopmental disorders.</w:t>
      </w:r>
    </w:p>
    <w:p>
      <w:pPr>
        <w:spacing w:before="120" w:after="120"/>
      </w:pPr>
      <w:r>
        <w:rPr>
          <w:sz w:val="18"/>
        </w:rPr>
        <w:t>——————————————————————————————————————————————————————————————————————</w:t>
      </w:r>
    </w:p>
    <w:p>
      <w:pPr>
        <w:spacing w:before="160" w:after="40" w:line="240" w:lineRule="auto"/>
      </w:pPr>
      <w:r>
        <w:rPr>
          <w:b/>
        </w:rPr>
        <w:t xml:space="preserve">[642] </w:t>
      </w:r>
      <w:hyperlink r:id="rId1739">
        <w:r>
          <w:rPr>
            <w:color w:val="1155CC"/>
            <w:u w:val="single"/>
          </w:rPr>
          <w:t>使用单分子质量光度法破译蛋白质聚集机制和抑制剂的作用</w:t>
        </w:r>
      </w:hyperlink>
    </w:p>
    <w:p>
      <w:pPr>
        <w:spacing w:before="0" w:after="80"/>
      </w:pPr>
      <w:r>
        <w:rPr>
          <w:i/>
          <w:sz w:val="20"/>
        </w:rPr>
        <w:t>EN: Deciphering the mechanism of protein aggregation and effects of inhibitors using single-molecule mass photometry</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40">
        <w:r>
          <w:rPr>
            <w:color w:val="1155CC"/>
            <w:u w:val="single"/>
          </w:rPr>
          <w:t>10.1073/pnas.2536600123</w:t>
        </w:r>
      </w:hyperlink>
    </w:p>
    <w:p>
      <w:pPr>
        <w:spacing w:before="0" w:after="120"/>
      </w:pPr>
      <w:r>
        <w:rPr>
          <w:b/>
        </w:rPr>
        <w:t xml:space="preserve">Notes: </w:t>
      </w:r>
      <w:r>
        <w:t>abstract_source=crossref</w:t>
      </w:r>
    </w:p>
    <w:p>
      <w:pPr>
        <w:spacing w:before="0" w:after="80" w:lineRule="auto" w:line="276"/>
      </w:pPr>
      <w:r>
        <w:rPr>
          <w:b/>
        </w:rPr>
        <w:t xml:space="preserve">摘要（ZH）: </w:t>
      </w:r>
      <w:r>
        <w:t>错误折叠蛋白的聚集是许多疾病的一个显着特征，因此也是一个有吸引力的药物靶点。然而，在聚集级联中作为关键早期物种的小寡聚体由于其异质性和短暂性而难以直接监测，这使得定义聚集机制和治疗性靶向寡聚体的工作变得复杂化。在这里，我们直接使用单分子质量光度法（MP）观察低聚物群体的变化。通过研究与额颞叶痴呆相关的 tau 蛋白致病性 P301L 突变体，我们将 MP 观察到的每个寡聚物群体的生长/衰变动力学全局拟合到聚集的微观模型。对最佳拟合模型的简单扩展还可以解释淀粉样原纤维动力学，如硫磺素 T 荧光监测，提供基于直接观察的级联所有阶段的聚集动力学定量模型。至关重要的是，我们发现仅拟合淀粉样蛋白动力学的模型无法捕获低聚物行为，这意味着与标准实践相反，不能依赖淀粉样蛋白动力学来推断聚集机制。此外，正如通常假设的那样，在快速生长之前不存在单一的限速成核步骤，这表明标准的聚集模型过于简单化。在聚集抑制剂存在的情况下重复分析可以识别级联中受抑制剂影响的离散步骤。这项工作提出了一种定义蛋白质聚集机制和抑制剂作用机制的强大方法，其中</w:t>
      </w:r>
    </w:p>
    <w:p>
      <w:pPr>
        <w:spacing w:before="0" w:after="200" w:lineRule="auto" w:line="276"/>
      </w:pPr>
      <w:r>
        <w:rPr>
          <w:b/>
        </w:rPr>
        <w:t xml:space="preserve">Abstract (EN): </w:t>
      </w:r>
      <w:r>
        <w:t>Aggregation of misfolded proteins is a prominent feature of many diseases and hence an attractive drug target. However, the small oligomers that are critical early species in the aggregation cascade are difficult to monitor directly owing to their heterogeneity and transience, complicating efforts to define aggregation mechanisms and target oligomers therapeutically. Here, we observe changes in oligomer populations directly using single-molecule mass photometry (MP). Studying the pathogenic P301L mutant of tau protein linked to frontotemporal dementia, we globally fit the growth/decay kinetics for every oligomer population observed by MP to microscopic models of aggregation. A simple extension to the best-fit model also accounts for amyloid fibril kinetics, as monitored by Thioflavin T fluorescence, providing a quantitative model of aggregation kinetics across all stages of the cascade based on direct observation. Crucially, we find that models fitting amyloid kinetics alone fail to capture oligomer behavior, implying that—contrary to standard practice—amyloid kinetics cannot be relied on to deduce aggregation mechanisms. Furthermore, there is no single rate-limiting nucleation step preceding rapid growth, as generally assumed, suggesting that standard models of aggregation are overly simplistic. Repeating the analysis in the presence of aggregation inhibitors allows identification of the discrete steps in the cascade affected by the inhibitors. This work presents a powerful approach for defining protein aggregation mechanisms and the mechanism of action of inhibitors, with applications to understanding many diseases and developing novel therapeutics.</w:t>
      </w:r>
    </w:p>
    <w:p>
      <w:pPr>
        <w:spacing w:before="120" w:after="120"/>
      </w:pPr>
      <w:r>
        <w:rPr>
          <w:sz w:val="18"/>
        </w:rPr>
        <w:t>——————————————————————————————————————————————————————————————————————</w:t>
      </w:r>
    </w:p>
    <w:p>
      <w:pPr>
        <w:spacing w:before="160" w:after="40" w:line="240" w:lineRule="auto"/>
      </w:pPr>
      <w:r>
        <w:rPr>
          <w:b/>
        </w:rPr>
        <w:t xml:space="preserve">[643] </w:t>
      </w:r>
      <w:hyperlink r:id="rId1741">
        <w:r>
          <w:rPr>
            <w:color w:val="1155CC"/>
            <w:u w:val="single"/>
          </w:rPr>
          <w:t>小亚基 M20 通过抑制自去磷酸化增强肌球蛋白轻链磷酸酶中 MYPT1 的抑制性磷酸化</w:t>
        </w:r>
      </w:hyperlink>
    </w:p>
    <w:p>
      <w:pPr>
        <w:spacing w:before="0" w:after="80"/>
      </w:pPr>
      <w:r>
        <w:rPr>
          <w:i/>
          <w:sz w:val="20"/>
        </w:rPr>
        <w:t>EN: Small subunit M20 augments inhibitory phosphorylation of MYPT1 in myosin light chain phosphatase by inhibiting autodephosphorylation</w:t>
      </w:r>
    </w:p>
    <w:p>
      <w:pPr>
        <w:spacing w:before="0" w:after="120"/>
      </w:pPr>
      <w:r>
        <w:rPr>
          <w:b/>
        </w:rPr>
        <w:t xml:space="preserve">Source: </w:t>
      </w:r>
      <w:r>
        <w:t>Proceedings of the National Academy of Sciences: Keyword search for query</w:t>
      </w:r>
      <w:r>
        <w:t xml:space="preserve">    </w:t>
      </w:r>
      <w:r>
        <w:rPr>
          <w:b/>
        </w:rPr>
        <w:t xml:space="preserve">Pub date: </w:t>
      </w:r>
      <w:r>
        <w:t>2026-07-22 07:00:00+00:00</w:t>
      </w:r>
      <w:r>
        <w:t xml:space="preserve">    </w:t>
      </w:r>
      <w:r>
        <w:rPr>
          <w:b/>
        </w:rPr>
        <w:t xml:space="preserve">DOI: </w:t>
      </w:r>
      <w:hyperlink r:id="rId1742">
        <w:r>
          <w:rPr>
            <w:color w:val="1155CC"/>
            <w:u w:val="single"/>
          </w:rPr>
          <w:t>10.1073/pnas.2534343123</w:t>
        </w:r>
      </w:hyperlink>
    </w:p>
    <w:p>
      <w:pPr>
        <w:spacing w:before="0" w:after="120"/>
      </w:pPr>
      <w:r>
        <w:rPr>
          <w:b/>
        </w:rPr>
        <w:t xml:space="preserve">Notes: </w:t>
      </w:r>
      <w:r>
        <w:t>abstract_source=crossref</w:t>
      </w:r>
    </w:p>
    <w:p>
      <w:pPr>
        <w:spacing w:before="0" w:after="80" w:lineRule="auto" w:line="276"/>
      </w:pPr>
      <w:r>
        <w:rPr>
          <w:b/>
        </w:rPr>
        <w:t xml:space="preserve">摘要（ZH）: </w:t>
      </w:r>
      <w:r>
        <w:t>平滑肌肌球蛋白轻链磷酸酶 (MLCP) 由催化亚基 PP1c 和大小非催化亚基（分别为 MYPT1 和 M20）组成，是细胞骨架调节中 Rho 相关卷曲螺旋激酶 (RhoA-ROCK) 信号传导的关键介质。 MYPT1 在 Thr696 和 Thr853 处的磷酸化会抑制 MLCP 活性并增强 MLC 磷酸化和平滑肌收缩，而 M20 的功能仍不清楚。为了阐明 M20 在 MLCP 调节中的功能意义，本研究比较了重组 MLCP 三聚体（PP1c、MYPT1 和 M20）和二聚体（PP1c 和 MYPT1）复合物的生化和结构特性。虽然在花萼蛋白 A 存在的情况下，ROCK2 在 Thr696 和 Thr853 处磷酸化 MYPT1 的速率在三聚体和二聚体复合物之间无法区分，但在三聚体中，由 ROCK2 抑制引发的随后的自去磷酸化明显较慢。在没有花萼蛋白 A 的情况下，三聚体的磷酸化程度高于二聚体。含有 C 端截短的 MYPT1（Δ931 至 1030）的二聚体模仿了三聚体的特性。 Pull-down 实验证明了 MYPT1-M20 和 MYPT1-MYPT1 之间的相互作用，并被 MYPT1 消除（Δ931 至 1030）。高速原子力显微镜揭示了一个超级二聚体复合物，由连接到 C 端区域的两个 MLCP 二聚体组成，而三聚体保留了单个实体。这些发现揭示了 M20 的功能，即通过阻止由 MYPT1 的 C 端区域介导的超二聚体形成来增强 MYPT1 的抑制性磷酸化。</w:t>
      </w:r>
    </w:p>
    <w:p>
      <w:pPr>
        <w:spacing w:before="0" w:after="200" w:lineRule="auto" w:line="276"/>
      </w:pPr>
      <w:r>
        <w:rPr>
          <w:b/>
        </w:rPr>
        <w:t xml:space="preserve">Abstract (EN): </w:t>
      </w:r>
      <w:r>
        <w:t>Smooth muscle myosin light chain phosphatase (MLCP), composed of a catalytic subunit PP1c and large and small noncatalytic subunits (MYPT1 and M20, respectively), is a key mediator of Rho-associated coiled-coil-containing kinase (RhoA-ROCK) signaling in cytoskeletal regulation. Phosphorylation of MYPT1 at Thr696 and Thr853 inhibits MLCP activity and augments MLC phosphorylation and smooth muscle contraction, whereas the functions of M20 remain undefined. To elucidate the functional significance of M20 in MLCP regulation, the present study compared the biochemical and structural properties of recombinant MLCP trimer (PP1c, MYPT1, and M20) and dimer (PP1c and MYPT1) complexes. While the rate of MYPT1 phosphorylation at Thr696 and Thr853 by ROCK2 in the presence of calyculin A was indistinguishable between the trimer and dimer complexes, the subsequent autodephosphorylation initiated by ROCK2 inhibition was significantly slower in the trimer. In the absence of calyculin A, phosphorylation in the trimer was greater than in the dimer. A dimer containing C-terminally truncated MYPT1 (Δ931 to 1030) mimicked trimer properties. Pull-down assays demonstrated the interactions of MYPT1–M20 and MYPT1–MYPT1, which were abolished by MYPT1 (Δ931 to 1030). High-speed atomic force microscopy revealed a superdimer complex consisting of two MLCP dimers tethered to the C-terminal region, whereas the trimer retained a single entity. These findings reveal a function of M20 that augments the inhibitory phosphorylation of MYPT1 by preventing superdimer formation mediated by the C-terminal region of MYPT1 and suppressing autodephosphorylation. Knockdown of M20 decreased the basal phosphorylation of MYPT1. M20 thus maintains MLCP in the inhibited state at basal conditions.</w:t>
      </w:r>
    </w:p>
    <w:p>
      <w:pPr>
        <w:spacing w:before="120" w:after="120"/>
      </w:pPr>
      <w:r>
        <w:rPr>
          <w:sz w:val="18"/>
        </w:rPr>
        <w:t>——————————————————————————————————————————————————————————————————————</w:t>
      </w:r>
    </w:p>
    <w:p>
      <w:pPr>
        <w:spacing w:before="160" w:after="40" w:line="240" w:lineRule="auto"/>
      </w:pPr>
      <w:r>
        <w:rPr>
          <w:b/>
        </w:rPr>
        <w:t xml:space="preserve">[644] </w:t>
      </w:r>
      <w:hyperlink r:id="rId1743">
        <w:r>
          <w:rPr>
            <w:color w:val="1155CC"/>
            <w:u w:val="single"/>
          </w:rPr>
          <w:t>用于水凝胶生物电子学原位稳定的光活化表面活性剂设计</w:t>
        </w:r>
      </w:hyperlink>
    </w:p>
    <w:p>
      <w:pPr>
        <w:spacing w:before="0" w:after="80"/>
      </w:pPr>
      <w:r>
        <w:rPr>
          <w:i/>
          <w:sz w:val="20"/>
        </w:rPr>
        <w:t>EN: Photoactivable Surfactant Design for In Situ Stabilization of Hydrogel Bioelectronics</w:t>
      </w:r>
    </w:p>
    <w:p>
      <w:pPr>
        <w:spacing w:before="0" w:after="120"/>
      </w:pPr>
      <w:r>
        <w:rPr>
          <w:b/>
        </w:rPr>
        <w:t xml:space="preserve">Source: </w:t>
      </w:r>
      <w:r>
        <w:t>Wiley: Advanced Materials: Table of Contents</w:t>
      </w:r>
      <w:r>
        <w:t xml:space="preserve">    </w:t>
      </w:r>
      <w:r>
        <w:rPr>
          <w:b/>
        </w:rPr>
        <w:t xml:space="preserve">Pub date: </w:t>
      </w:r>
      <w:r>
        <w:t>2026-07-22 07:17:35+00:00</w:t>
      </w:r>
      <w:r>
        <w:t xml:space="preserve">    </w:t>
      </w:r>
      <w:r>
        <w:rPr>
          <w:b/>
        </w:rPr>
        <w:t xml:space="preserve">DOI: </w:t>
      </w:r>
      <w:hyperlink r:id="rId1744">
        <w:r>
          <w:rPr>
            <w:color w:val="1155CC"/>
            <w:u w:val="single"/>
          </w:rPr>
          <w:t>10.1002/adma.74162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导电聚合物水凝胶将类组织力学与高离子电导率相结合，为柔软、可拉伸的生物界面提供了独特的优势。然而，由于水性环境中的润湿性差和界面分层，它们与电绝缘和化学保护所必需的疏水性基材和封装剂的可靠集成仍然是一个重大挑战。在这里，我们报告了一种使用光活化表面活性剂（PAS）在疏水基底上原位稳定导电聚合物水凝胶的简便策略。 PAS 降低了界面表面能，并在紫外线激活后与可拉伸基材形成共价键，从而在潮湿条件下产生强大的附着力和长期稳定性。这种分子设计还可以在不影响性能的情况下对水凝胶进行光图案化。值得注意的是，PAS 不仅可以原位稳定导电水凝胶并使其图案化，还可以增强其机械和电性能。 PAS 集成水凝胶生物界面在水环境中表现出稳健的运行，并证明了可靠的体内肌电图 (EMG) 信号记录，强调了这种方法在下一代可植入和可穿戴生物电子学方面的潜力。</w:t>
      </w:r>
    </w:p>
    <w:p>
      <w:pPr>
        <w:spacing w:before="0" w:after="200" w:lineRule="auto" w:line="276"/>
      </w:pPr>
      <w:r>
        <w:rPr>
          <w:b/>
        </w:rPr>
        <w:t xml:space="preserve">Abstract (EN): </w:t>
      </w:r>
      <w:r>
        <w:t>Conductive polymer hydrogels offer unique advantages for soft, stretchable biointerfaces by combining tissue‐like mechanics with high ionic conductivity. However, their reliable integration with hydrophobic substrates and encapsulants essential for electrical insulation and chemical protection remains a major challenge due to poor wetting and interfacial delamination in aqueous environments. Here, we report a facile strategy for the in situ stabilization of conductive polymer hydrogels on hydrophobic substrates using a photoactivable surfactant (PAS). PAS reduces interfacial surface energy and, upon UV activation, forms covalent bonds with stretchable substrates, thereby yielding strong adhesion and long‐term stability under wet conditions. This molecular design also enables photopatterning of hydrogels without compromising performance. Notably, PAS not only stabilizes and patterns conductive hydrogels in situ but also enhances their mechanical and electrical properties. PAS‐integrated hydrogel biointerfaces exhibit robust operation in aqueous environments and demonstrate reliable in vivo electromyographic (EMG) signal recording, underscoring the potential of this approach for next‐generation implantable and wearable bioelectronics.</w:t>
      </w:r>
    </w:p>
    <w:p>
      <w:pPr>
        <w:spacing w:before="120" w:after="120"/>
      </w:pPr>
      <w:r>
        <w:rPr>
          <w:sz w:val="18"/>
        </w:rPr>
        <w:t>——————————————————————————————————————————————————————————————————————</w:t>
      </w:r>
    </w:p>
    <w:p>
      <w:pPr>
        <w:spacing w:before="160" w:after="40" w:line="240" w:lineRule="auto"/>
      </w:pPr>
      <w:r>
        <w:rPr>
          <w:b/>
        </w:rPr>
        <w:t xml:space="preserve">[645] </w:t>
      </w:r>
      <w:hyperlink r:id="rId1745">
        <w:r>
          <w:rPr>
            <w:color w:val="1155CC"/>
            <w:u w:val="single"/>
          </w:rPr>
          <w:t>具有高度不对称性和动态可调性的方向相关等离子体手性光学响应</w:t>
        </w:r>
      </w:hyperlink>
    </w:p>
    <w:p>
      <w:pPr>
        <w:spacing w:before="0" w:after="80"/>
      </w:pPr>
      <w:r>
        <w:rPr>
          <w:i/>
          <w:sz w:val="20"/>
        </w:rPr>
        <w:t>EN: Direction‐Dependent Plasmonic Chiroptical Response With High Asymmetry and Dynamic Tunability</w:t>
      </w:r>
    </w:p>
    <w:p>
      <w:pPr>
        <w:spacing w:before="0" w:after="120"/>
      </w:pPr>
      <w:r>
        <w:rPr>
          <w:b/>
        </w:rPr>
        <w:t xml:space="preserve">Source: </w:t>
      </w:r>
      <w:r>
        <w:t>Wiley: Advanced Materials: Table of Contents</w:t>
      </w:r>
      <w:r>
        <w:t xml:space="preserve">    </w:t>
      </w:r>
      <w:r>
        <w:rPr>
          <w:b/>
        </w:rPr>
        <w:t xml:space="preserve">Pub date: </w:t>
      </w:r>
      <w:r>
        <w:t>2026-07-22 07:25:53+00:00</w:t>
      </w:r>
      <w:r>
        <w:t xml:space="preserve">    </w:t>
      </w:r>
      <w:r>
        <w:rPr>
          <w:b/>
        </w:rPr>
        <w:t xml:space="preserve">DOI: </w:t>
      </w:r>
      <w:hyperlink r:id="rId1746">
        <w:r>
          <w:rPr>
            <w:color w:val="1155CC"/>
            <w:u w:val="single"/>
          </w:rPr>
          <w:t>10.1002/adma.74156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方向相关的手性光学响应打破了前后对称性，在波长、强度和旋向性方面引入了超出传统圆二色性 (CD) 调制的额外自由度。然而，大多数方向不对称的手性光学材料依赖于包含手性分子的各向同性薄膜，显示出相对较弱的信号。在这里，通过在弹性聚合物基底上线性组装金纳米球 (AuNS) 来实现具有方向依赖性 CD 信号的基于等离子体的手性光学薄膜。该影片展示了当光传播方向从向前配置更改为向后配置时，CD 旋向性发生逆转，同时 CD 强度从 -0.8 度显着增强到 10.8 度。这种行为源于机械拉伸下 AuNSs 组件中皱纹引起的几何手性，以及 AuNSs 链的线性二色性和聚合物薄膜的应变引起的线性双折射之间的相互作用。此外，方向相关的响应可以通过改变机械拉伸比、施加角度和</w:t>
      </w:r>
      <w:r>
        <w:t xml:space="preserve"> </w:t>
      </w:r>
      <w:r>
        <w:t>x</w:t>
      </w:r>
      <w:r>
        <w:t xml:space="preserve"> </w:t>
      </w:r>
      <w:r>
        <w:t>‐/</w:t>
      </w:r>
      <w:r>
        <w:t>y</w:t>
      </w:r>
      <w:r>
        <w:t xml:space="preserve"> </w:t>
      </w:r>
      <w:r>
        <w:t>‐方向，实现信号开/关、椭圆度大小和可逆旋向的动态调整。这种等离子体手性光学薄膜不仅提供了强大的方向依赖性 CD 响应，超出大多数报道系统的性能 2-3 个数量级，而且还具有多个程度的</w:t>
      </w:r>
    </w:p>
    <w:p>
      <w:pPr>
        <w:spacing w:before="0" w:after="200" w:lineRule="auto" w:line="276"/>
      </w:pPr>
      <w:r>
        <w:rPr>
          <w:b/>
        </w:rPr>
        <w:t xml:space="preserve">Abstract (EN): </w:t>
      </w:r>
      <w:r>
        <w:t>A direction‐dependent chiroptical response breaks forward‐backward symmetry, introducing an additional degree of freedom beyond conventional circular dichroism (CD) modulation in wavelength, intensity, and handedness. However, most direction‐asymmetric chiroptical materials rely on isotropic films incorporating chiral molecules, showing a relatively weak signal. Here, a plasmonic‐based chiroptical film with a direction‐dependent CD signal is achieved via linear assembly of gold nanospheres (AuNSs) on an elastomeric polymer substrate. This film demonstrates reversal of CD handedness upon changing the light propagation direction from the forward to the backward configuration, accompanied by a significantly enhanced CD intensity from −0.8 to 10.8 deg. This behavior originates from wrinkle‐induced geometrical chirality in the AuNSs assemblies under mechanical stretching, as well as the interplay between the linear dichroism of the AuNSs chains and the strain‐induced linear birefringence of the polymer film. Furthermore, the direction‐dependent response is programmable by varying the mechanical stretching ratio, applied angle, and</w:t>
      </w:r>
      <w:r>
        <w:t xml:space="preserve"> </w:t>
      </w:r>
      <w:r>
        <w:t>x</w:t>
      </w:r>
      <w:r>
        <w:t xml:space="preserve"> </w:t>
      </w:r>
      <w:r>
        <w:t>‐/</w:t>
      </w:r>
      <w:r>
        <w:t>y</w:t>
      </w:r>
      <w:r>
        <w:t xml:space="preserve"> </w:t>
      </w:r>
      <w:r>
        <w:t>‐orientation, enabling dynamical tuning of signal on/off, magnitude of ellipticity, and reversible handedness. This plasmonic chiroptical film not only provides a strong direction‐dependent CD response, exceeding the performance of most reported systems by 2–3 orders of magnitude, but also possesses multiple degrees of freedom for dynamical chiroptical modulation, presenting a promising platform for circularly‐polarized light‐based information encryption.</w:t>
      </w:r>
    </w:p>
    <w:p>
      <w:pPr>
        <w:spacing w:before="120" w:after="120"/>
      </w:pPr>
      <w:r>
        <w:rPr>
          <w:sz w:val="18"/>
        </w:rPr>
        <w:t>——————————————————————————————————————————————————————————————————————</w:t>
      </w:r>
    </w:p>
    <w:p>
      <w:pPr>
        <w:spacing w:before="160" w:after="40" w:line="240" w:lineRule="auto"/>
      </w:pPr>
      <w:r>
        <w:rPr>
          <w:b/>
        </w:rPr>
        <w:t xml:space="preserve">[646] </w:t>
      </w:r>
      <w:hyperlink r:id="rId1747">
        <w:r>
          <w:rPr>
            <w:color w:val="1155CC"/>
            <w:u w:val="single"/>
          </w:rPr>
          <w:t>金属-配体配位使金属卤化物基于分子抗蚀剂的直写光刻成为可能</w:t>
        </w:r>
      </w:hyperlink>
    </w:p>
    <w:p>
      <w:pPr>
        <w:spacing w:before="0" w:after="80"/>
      </w:pPr>
      <w:r>
        <w:rPr>
          <w:i/>
          <w:sz w:val="20"/>
        </w:rPr>
        <w:t>EN: Metal‐Ligand Coordination Enables Molecular Resist‐Based Direct Write Lithography of Metal Halides</w:t>
      </w:r>
    </w:p>
    <w:p>
      <w:pPr>
        <w:spacing w:before="0" w:after="120"/>
      </w:pPr>
      <w:r>
        <w:rPr>
          <w:b/>
        </w:rPr>
        <w:t xml:space="preserve">Source: </w:t>
      </w:r>
      <w:r>
        <w:t>Wiley: Advanced Materials: Table of Contents</w:t>
      </w:r>
      <w:r>
        <w:t xml:space="preserve">    </w:t>
      </w:r>
      <w:r>
        <w:rPr>
          <w:b/>
        </w:rPr>
        <w:t xml:space="preserve">Pub date: </w:t>
      </w:r>
      <w:r>
        <w:t>2026-07-22 08:51:51+00:00</w:t>
      </w:r>
      <w:r>
        <w:t xml:space="preserve">    </w:t>
      </w:r>
      <w:r>
        <w:rPr>
          <w:b/>
        </w:rPr>
        <w:t xml:space="preserve">DOI: </w:t>
      </w:r>
      <w:hyperlink r:id="rId1748">
        <w:r>
          <w:rPr>
            <w:color w:val="1155CC"/>
            <w:u w:val="single"/>
          </w:rPr>
          <w:t>10.1002/adma.74077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半导体材料的光刻图案对于大多数现代光电器件至关重要。然而，传统的无机和纳米晶体衍生的抗蚀剂表现出低电子剂量敏感性、弱溶解度对比度和有限的化学相容性，限制了高分辨率功能光刻。在这里，我们提出了一个分子复合物平台，可将普通金属卤化物（MXn；九种成分）转化为本质上电子束响应、可溶液处理的抗蚀剂，用于直写电子束光刻。 MX的协调</w:t>
      </w:r>
      <w:r>
        <w:t xml:space="preserve"> </w:t>
      </w:r>
      <w:r>
        <w:t>n</w:t>
      </w:r>
      <w:r>
        <w:t xml:space="preserve"> </w:t>
      </w:r>
      <w:r>
        <w:t>与油胺产生的金属配体配合物在无添加剂的无机光刻胶中具有相对较低的剂量敏感性（0.81 mC cm</w:t>
      </w:r>
      <w:r>
        <w:t xml:space="preserve"> </w:t>
      </w:r>
      <w:r>
        <w:t>−2</w:t>
      </w:r>
      <w:r>
        <w:t xml:space="preserve"> </w:t>
      </w:r>
      <w:r>
        <w:t>）、高对比度（γ = 3.1）和亚 30 nm 分辨率。在测试的金属卤化物库中，光刻胶灵敏度显示出对分子量的指数依赖性，建立了分子光刻胶能量学的第一个通用比例关系。机理研究表明，电子辐照会引起键断裂和配位网络崩溃，产生具有高结构保真度的金属卤化物域。图案化纳米结构保留了光学功能，纳米点表现出超线性 PL 激发 (α &gt; 1) 特性。此外，顺序多层写入可实现确定性 RGB 纳米像素架构，例如注册的 3.9 × 10</w:t>
      </w:r>
      <w:r>
        <w:rPr>
          <w:vertAlign w:val="subscript"/>
        </w:rPr>
        <w:t>4</w:t>
      </w:r>
      <w:r>
        <w:t>像素全彩鹦鹉显微照片</w:t>
      </w:r>
    </w:p>
    <w:p>
      <w:pPr>
        <w:spacing w:before="0" w:after="200" w:lineRule="auto" w:line="276"/>
      </w:pPr>
      <w:r>
        <w:rPr>
          <w:b/>
        </w:rPr>
        <w:t xml:space="preserve">Abstract (EN): </w:t>
      </w:r>
      <w:r>
        <w:t>Lithographic patterning of semiconductor materials is essential for most modern optoelectronic devices. However, traditional inorganic and nanocrystal derived resists exhibit low electron‐dose sensitivity, weak solubility contrast, and limited chemical compatibility, restricting high resolution functional lithography. Here, we present a molecular complex platform that converts ordinary metal halides (MXn; nine compositions) into intrinsically electron beam responsive, solution processable resists for direct write electron beam lithography. Coordination of MX</w:t>
      </w:r>
      <w:r>
        <w:t xml:space="preserve"> </w:t>
      </w:r>
      <w:r>
        <w:t>n</w:t>
      </w:r>
      <w:r>
        <w:t xml:space="preserve"> </w:t>
      </w:r>
      <w:r>
        <w:t>with oleylamine yields metal‐ligand complexes with comparatively low dose sensitivity among additive‐free inorganic resists (0.81 mC cm</w:t>
      </w:r>
      <w:r>
        <w:t xml:space="preserve"> </w:t>
      </w:r>
      <w:r>
        <w:t>−2</w:t>
      </w:r>
      <w:r>
        <w:t xml:space="preserve"> </w:t>
      </w:r>
      <w:r>
        <w:t>), high contrast (γ = 3.1), and sub‐30 nm resolution. Across the tested metal halide library, resist sensitivity shows an exponential dependence on molecular weight, establishing the first universal scaling relationship for molecular resist energetics. Mechanistic studies reveal that electron irradiation induces bond cleavage and coordination network collapse, generating metal halide domains with high structural fidelity. The patterned nanostructures retain optical functionality, nanodots displaying super linear PL excitation (α &amp;gt; 1) characteristics. Furthermore, sequential multilayer writing enables deterministic RGB nano‐pixel architectures, exemplified by registered 3.9 × 10</w:t>
      </w:r>
      <w:r>
        <w:rPr>
          <w:vertAlign w:val="subscript"/>
        </w:rPr>
        <w:t>4</w:t>
      </w:r>
      <w:r>
        <w:t>pixel full color parrot micrograph. This additive free, tunable molecular resist system provides a high‐resolution lithography route for scalable quantum photonic and optoelectronic fabrication.</w:t>
      </w:r>
    </w:p>
    <w:p>
      <w:pPr>
        <w:spacing w:before="120" w:after="120"/>
      </w:pPr>
      <w:r>
        <w:rPr>
          <w:sz w:val="18"/>
        </w:rPr>
        <w:t>——————————————————————————————————————————————————————————————————————</w:t>
      </w:r>
    </w:p>
    <w:p>
      <w:pPr>
        <w:spacing w:before="160" w:after="40" w:line="240" w:lineRule="auto"/>
      </w:pPr>
      <w:r>
        <w:rPr>
          <w:b/>
        </w:rPr>
        <w:t xml:space="preserve">[647] </w:t>
      </w:r>
      <w:hyperlink r:id="rId1749">
        <w:r>
          <w:rPr>
            <w:color w:val="1155CC"/>
            <w:u w:val="single"/>
          </w:rPr>
          <w:t>用于实时概率推理的静电高斯晶体管</w:t>
        </w:r>
      </w:hyperlink>
    </w:p>
    <w:p>
      <w:pPr>
        <w:spacing w:before="0" w:after="80"/>
      </w:pPr>
      <w:r>
        <w:rPr>
          <w:i/>
          <w:sz w:val="20"/>
        </w:rPr>
        <w:t>EN: Electrostatic Gaussian Transistor for Real‐Time Probabilistic Inference</w:t>
      </w:r>
    </w:p>
    <w:p>
      <w:pPr>
        <w:spacing w:before="0" w:after="120"/>
      </w:pPr>
      <w:r>
        <w:rPr>
          <w:b/>
        </w:rPr>
        <w:t xml:space="preserve">Source: </w:t>
      </w:r>
      <w:r>
        <w:t>Wiley: Advanced Materials: Table of Contents</w:t>
      </w:r>
      <w:r>
        <w:t xml:space="preserve">    </w:t>
      </w:r>
      <w:r>
        <w:rPr>
          <w:b/>
        </w:rPr>
        <w:t xml:space="preserve">Pub date: </w:t>
      </w:r>
      <w:r>
        <w:t>2026-07-22 08:55:52+00:00</w:t>
      </w:r>
      <w:r>
        <w:t xml:space="preserve">    </w:t>
      </w:r>
      <w:r>
        <w:rPr>
          <w:b/>
        </w:rPr>
        <w:t xml:space="preserve">DOI: </w:t>
      </w:r>
      <w:hyperlink r:id="rId1750">
        <w:r>
          <w:rPr>
            <w:color w:val="1155CC"/>
            <w:u w:val="single"/>
          </w:rPr>
          <w:t>10.1002/adma.74242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斯分布函数支撑着广泛的概率计算模型，但它们在硬件级别的忠实且可调的实现仍然是一个基本挑战。基于反双极晶体管的传统方法依赖于由不同的半导体材料形成的异质结，在载流子迁移率、界面质量和能带对准方面引入了固有的不对称性，从而阻碍了对称高斯曲线的精确镜像。在这里，我们报告了一种单材料、单通道分栅高斯镜像晶体管（SC-GMT），它通过反向电压偏置生成对称的高斯形传输曲线。通过分栅控制独立调节载流子浓度，该器件实现了可调谐的幅度、平均值和标准差，且确定系数大于 99.99%，达到理想的高斯分布。为了演示实用性，我们将 SC-GMT 集成到具有数模控制和实时电流感应功能的定制印刷电路板中。使用这个平台，我们实现了一个硬件高斯朴素贝叶斯 (GNB) 分类器，能够以 82% 的准确率区分 Deepfake 和真实语音。此外，晶体管的漏极电流与两个栅极电压的乘积成比例，从而实现对概率模型和基于注意力的架构至关重要的二次模拟乘法。</w:t>
      </w:r>
    </w:p>
    <w:p>
      <w:pPr>
        <w:spacing w:before="0" w:after="200" w:lineRule="auto" w:line="276"/>
      </w:pPr>
      <w:r>
        <w:rPr>
          <w:b/>
        </w:rPr>
        <w:t xml:space="preserve">Abstract (EN): </w:t>
      </w:r>
      <w:r>
        <w:t>Gaussian distribution functions underpin a wide range of probabilistic computing models, yet their faithful and tunable implementation at the hardware level remains a fundamental challenge. Conventional approaches based on anti‐ambipolar transistors rely on heterojunctions formed from dissimilar semiconducting materials, introducing intrinsic asymmetries in carrier mobility, interface quality, and band alignment that prevent accurate mirroring of symmetric Gaussian curves. Here we report a single‐material, single‐channel split‐gate Gaussian‐mirroring transistor (SC‐GMT) that generates symmetric, Gaussian‐shaped transfer curves through reversal voltage biasing. By independently modulating carrier concentrations via split‐gate control, the device achieves tunable amplitude, mean, and standard deviation with &amp;gt;99.99% coefficient of determination to ideal Gaussian distributions. To demonstrate practical utility, we integrate the SC‐GMT into a custom‐built printed circuit board with digital‐to‐analog control and real‐time current sensing. Using this platform, we implement a hardware Gaussian Naive Bayes (GNB) classifier capable of distinguishing deepfake and authentic voices with 82% accuracy. Moreover, the transistor's drain current scales with the product of two gate voltages, enabling quadratic‐order analog multiplication critical for probabilistic models and attention‐based architectures.</w:t>
      </w:r>
    </w:p>
    <w:p>
      <w:pPr>
        <w:spacing w:before="120" w:after="120"/>
      </w:pPr>
      <w:r>
        <w:rPr>
          <w:sz w:val="18"/>
        </w:rPr>
        <w:t>——————————————————————————————————————————————————————————————————————</w:t>
      </w:r>
    </w:p>
    <w:p>
      <w:pPr>
        <w:spacing w:before="160" w:after="40" w:line="240" w:lineRule="auto"/>
      </w:pPr>
      <w:r>
        <w:rPr>
          <w:b/>
        </w:rPr>
        <w:t xml:space="preserve">[648] </w:t>
      </w:r>
      <w:hyperlink r:id="rId1751">
        <w:r>
          <w:rPr>
            <w:color w:val="1155CC"/>
            <w:u w:val="single"/>
          </w:rPr>
          <w:t>用于增强催化/声动力/免疫治疗的亚稳态富电子钯簇的工程反向生长</w:t>
        </w:r>
      </w:hyperlink>
    </w:p>
    <w:p>
      <w:pPr>
        <w:spacing w:before="0" w:after="80"/>
      </w:pPr>
      <w:r>
        <w:rPr>
          <w:i/>
          <w:sz w:val="20"/>
        </w:rPr>
        <w:t>EN: Engineered Reverse Growth of Metastable Electron‐Rich Pd Clusters for Enhanced Catalytic/Sonodynamic/Immune Therapy</w:t>
      </w:r>
    </w:p>
    <w:p>
      <w:pPr>
        <w:spacing w:before="0" w:after="120"/>
      </w:pPr>
      <w:r>
        <w:rPr>
          <w:b/>
        </w:rPr>
        <w:t xml:space="preserve">Source: </w:t>
      </w:r>
      <w:r>
        <w:t>Wiley: Advanced Materials: Table of Contents</w:t>
      </w:r>
      <w:r>
        <w:t xml:space="preserve">    </w:t>
      </w:r>
      <w:r>
        <w:rPr>
          <w:b/>
        </w:rPr>
        <w:t xml:space="preserve">Pub date: </w:t>
      </w:r>
      <w:r>
        <w:t>2026-07-22 09:04:57+00:00</w:t>
      </w:r>
      <w:r>
        <w:t xml:space="preserve">    </w:t>
      </w:r>
      <w:r>
        <w:rPr>
          <w:b/>
        </w:rPr>
        <w:t xml:space="preserve">DOI: </w:t>
      </w:r>
      <w:hyperlink r:id="rId1752">
        <w:r>
          <w:rPr>
            <w:color w:val="1155CC"/>
            <w:u w:val="single"/>
          </w:rPr>
          <w:t>10.1002/adma.74262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利用原子色散稳定亚稳态富电子金属对于促进肿瘤微环境（TME）响应催化和声动力疗法（SDT）至关重要，但仍然具有挑战性。在此，采用“反向生长”策略通过亚纳米 CoSe 从大块 Pd 纳米粒子（NP）中动态捕获 Pd 原子</w:t>
      </w:r>
      <w:r>
        <w:t xml:space="preserve"> </w:t>
      </w:r>
      <w:r>
        <w:t>x</w:t>
      </w:r>
      <w:r>
        <w:t xml:space="preserve"> </w:t>
      </w:r>
      <w:r>
        <w:t>氧</w:t>
      </w:r>
      <w:r>
        <w:t xml:space="preserve"> </w:t>
      </w:r>
      <w:r>
        <w:t>y</w:t>
      </w:r>
      <w:r>
        <w:t xml:space="preserve"> </w:t>
      </w:r>
      <w:r>
        <w:t>-POM组装体，形成原子分散的亚稳态富电子Pd簇（三元-Pd）。亚纳米尺度的电子离域引起整个亚纳米结构中的电子重排，从而能够获得新颖的电子结构。有趣的是，相对于 0 价 Pd，Pd 团簇表现出更负的价态。具体来说，这种原子分散状态的低价钯簇可以有效增强 TME 响应性催化反应，在催化治疗中羟基自由基 (·OH) 的生成量增加 15 倍，同时增强过氧化氢 (H</w:t>
      </w:r>
      <w:r>
        <w:rPr>
          <w:vertAlign w:val="subscript"/>
        </w:rPr>
        <w:t>2</w:t>
      </w:r>
      <w:r>
        <w:t>氧</w:t>
      </w:r>
      <w:r>
        <w:rPr>
          <w:vertAlign w:val="subscript"/>
        </w:rPr>
        <w:t>2</w:t>
      </w:r>
      <w:r>
        <w:t>)-响应性氧 (O</w:t>
      </w:r>
      <w:r>
        <w:rPr>
          <w:vertAlign w:val="subscript"/>
        </w:rPr>
        <w:t>2</w:t>
      </w:r>
      <w:r>
        <w:t>）减轻肿瘤缺氧的进化。此外，它们在 Pd 活性位点独特的富集电子密度有利于电子-空穴分离，从而增强 SDT 功效并使单线态氧增加六倍（</w:t>
      </w:r>
      <w:r>
        <w:rPr>
          <w:vertAlign w:val="subscript"/>
        </w:rPr>
        <w:t>1</w:t>
      </w:r>
      <w:r>
        <w:t>氧</w:t>
      </w:r>
      <w:r>
        <w:rPr>
          <w:vertAlign w:val="subscript"/>
        </w:rPr>
        <w:t>2</w:t>
      </w:r>
      <w:r>
        <w:t>）产量。丰富且不同的反应</w:t>
      </w:r>
    </w:p>
    <w:p>
      <w:pPr>
        <w:spacing w:before="0" w:after="200" w:lineRule="auto" w:line="276"/>
      </w:pPr>
      <w:r>
        <w:rPr>
          <w:b/>
        </w:rPr>
        <w:t xml:space="preserve">Abstract (EN): </w:t>
      </w:r>
      <w:r>
        <w:t>Stabilizing metastable electron‐rich metals with atomic dispersion is critical for boosting tumor microenvironment (TME)‐responsive catalysis and sonodynamic therapy (SDT), yet remains challenging. Herein, a “reverse growth” strategy is employed to kinetically trap Pd atoms from bulk Pd nanoparticles (NPs) via sub‐nano CoSe</w:t>
      </w:r>
      <w:r>
        <w:t xml:space="preserve"> </w:t>
      </w:r>
      <w:r>
        <w:t>x</w:t>
      </w:r>
      <w:r>
        <w:t xml:space="preserve"> </w:t>
      </w:r>
      <w:r>
        <w:t>O</w:t>
      </w:r>
      <w:r>
        <w:t xml:space="preserve"> </w:t>
      </w:r>
      <w:r>
        <w:t>y</w:t>
      </w:r>
      <w:r>
        <w:t xml:space="preserve"> </w:t>
      </w:r>
      <w:r>
        <w:t>‐POM assemblies, forming atomically dispersed metastable electron‐rich Pd clusters (Ternary‐Pd). Electron delocalization at the sub‐nanoscale induces electron rearrangement in the entire sub‐nanostructure, thus enabling the acquisition of a novel electronic structure. Interestingly, the Pd clusters exhibit a more negative valence relative to 0‐valent Pd. Specifically, such low‐valent Pd clusters in an atomically dispersed state potently augment TME‐responsive catalytic reactions, exhibiting a 15‐fold enhancement in hydroxyl radical (•OH) generation for catalytic therapy, alongside enhanced hydrogen peroxide (H</w:t>
      </w:r>
      <w:r>
        <w:rPr>
          <w:vertAlign w:val="subscript"/>
        </w:rPr>
        <w:t>2</w:t>
      </w:r>
      <w:r>
        <w:t>O</w:t>
      </w:r>
      <w:r>
        <w:rPr>
          <w:vertAlign w:val="subscript"/>
        </w:rPr>
        <w:t>2</w:t>
      </w:r>
      <w:r>
        <w:t>)‐responsive oxygen (O</w:t>
      </w:r>
      <w:r>
        <w:rPr>
          <w:vertAlign w:val="subscript"/>
        </w:rPr>
        <w:t>2</w:t>
      </w:r>
      <w:r>
        <w:t>) evolution that mitigates tumor hypoxia. Furthermore, their uniquely enriched electron density at the Pd active sites facilitates electron–hole separation, thereby potentiating SDT efficacy and resulting in a sixfold increase in singlet oxygen (</w:t>
      </w:r>
      <w:r>
        <w:rPr>
          <w:vertAlign w:val="subscript"/>
        </w:rPr>
        <w:t>1</w:t>
      </w:r>
      <w:r>
        <w:t>O</w:t>
      </w:r>
      <w:r>
        <w:rPr>
          <w:vertAlign w:val="subscript"/>
        </w:rPr>
        <w:t>2</w:t>
      </w:r>
      <w:r>
        <w:t>) yield. Abundant and different reactive oxygen species (ROS) induce mitochondrial oxidative stress, activating the caspase‐1/GSDMD‐mediated pyroptosis pathway. Besides, the introduced selenium (Se) doping promotes robust systemic immune responses to inhibit the growth of tumor metastases after oxidative stress.</w:t>
      </w:r>
    </w:p>
    <w:p>
      <w:pPr>
        <w:spacing w:before="120" w:after="120"/>
      </w:pPr>
      <w:r>
        <w:rPr>
          <w:sz w:val="18"/>
        </w:rPr>
        <w:t>——————————————————————————————————————————————————————————————————————</w:t>
      </w:r>
    </w:p>
    <w:p>
      <w:pPr>
        <w:spacing w:before="160" w:after="40" w:line="240" w:lineRule="auto"/>
      </w:pPr>
      <w:r>
        <w:rPr>
          <w:b/>
        </w:rPr>
        <w:t xml:space="preserve">[649] </w:t>
      </w:r>
      <w:hyperlink r:id="rId1753">
        <w:r>
          <w:rPr>
            <w:color w:val="1155CC"/>
            <w:u w:val="single"/>
          </w:rPr>
          <w:t>生物电子植入物的几何瞬态平台</w:t>
        </w:r>
      </w:hyperlink>
    </w:p>
    <w:p>
      <w:pPr>
        <w:spacing w:before="0" w:after="80"/>
      </w:pPr>
      <w:r>
        <w:rPr>
          <w:i/>
          <w:sz w:val="20"/>
        </w:rPr>
        <w:t>EN: A Geometrically Transient Platform for Bioelectronic Implants</w:t>
      </w:r>
    </w:p>
    <w:p>
      <w:pPr>
        <w:spacing w:before="0" w:after="120"/>
      </w:pPr>
      <w:r>
        <w:rPr>
          <w:b/>
        </w:rPr>
        <w:t xml:space="preserve">Source: </w:t>
      </w:r>
      <w:r>
        <w:t>Wiley: Advanced Materials: Table of Contents</w:t>
      </w:r>
      <w:r>
        <w:t xml:space="preserve">    </w:t>
      </w:r>
      <w:r>
        <w:rPr>
          <w:b/>
        </w:rPr>
        <w:t xml:space="preserve">Pub date: </w:t>
      </w:r>
      <w:r>
        <w:t>2026-07-22 09:05:40+00:00</w:t>
      </w:r>
      <w:r>
        <w:t xml:space="preserve">    </w:t>
      </w:r>
      <w:r>
        <w:rPr>
          <w:b/>
        </w:rPr>
        <w:t xml:space="preserve">DOI: </w:t>
      </w:r>
      <w:hyperlink r:id="rId1754">
        <w:r>
          <w:rPr>
            <w:color w:val="1155CC"/>
            <w:u w:val="single"/>
          </w:rPr>
          <w:t>10.1002/adma.73923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皮肤出色的阻隔性能使得如果不使用植入式生物电子传感设备直接接触内部生物，就很难获得可靠的生理信息（尤其是化学信息）。然而，生物电子植入物的临床实用性取决于一个关键的几何优化问题：设备必须缩小尺寸以减少手术侵入性，同时还要创造足够的空间来集成用于无线供电、数据交换和电气/电化学监测的电子设备。在这里，我们提出了一种具有瞬态几何形状的微创生物电子植入物，可以插入皮下并测量重要的标记物，例如 pH 值、温度、心脏和呼吸活动以及锂动力学（医疗应用的重要元素）。为了生产这种新型微创和可折叠植入式传感器，我们开发了一种与高度柔性基板配合使用的制造方法，以在植入过程中实现多重小型化。植入后，植入物会自动展开回平面形状，以进行连续的无线操作。我们通过广泛的体外、离体和体内动物实验展示了有关植入、操作和移除的关键概念的概念验证。最终，我们的方法可以使用快速且免缝合的插入程序提供多重监测，这可能在向个性化医疗保健的过渡中提供独特的优势。</w:t>
      </w:r>
    </w:p>
    <w:p>
      <w:pPr>
        <w:spacing w:before="0" w:after="200" w:lineRule="auto" w:line="276"/>
      </w:pPr>
      <w:r>
        <w:rPr>
          <w:b/>
        </w:rPr>
        <w:t xml:space="preserve">Abstract (EN): </w:t>
      </w:r>
      <w:r>
        <w:t>The outstanding barrier properties of skin make it difficult to obtain reliable physiological information (especially chemical) without the use of implantable bioelectronic sensing devices to directly access the internal biology. The clinical utility of bioelectronic implants, however, hinges on a key geometrical optimization problem: devices must scale down in size to reduce surgical invasiveness while also creating enough space to integrate electronics for wireless power delivery, data exchange, and electrical/electrochemical monitoring. Here, we present a minimally invasive bioelectronic implant with a transient geometry that can be inserted subcutaneously and measures important markers, such as pH, temperature, cardiac and respiratory activity, and lithium dynamics, an important element for medical applications. To produce this new class of minimally invasive and foldable implantable sensors, we developed a fabrication method that works with highly flexible substrates to enable multiple‐fold miniaturization during implantation. After implantation, the implant autonomously unfolds back to its planar form for continuous wireless operation. We demonstrate proof‐of‐concept for the key concepts concerning implantation, operation, and removal through extensive in vitro, ex vivo, and in vivo animal experiments. Ultimately, our approach could provide multiplexed monitoring using quick and suture‐free insertion procedures, which may provide a unique advantage in the transition toward personalized healthcare.</w:t>
      </w:r>
    </w:p>
    <w:p>
      <w:pPr>
        <w:spacing w:before="120" w:after="120"/>
      </w:pPr>
      <w:r>
        <w:rPr>
          <w:sz w:val="18"/>
        </w:rPr>
        <w:t>——————————————————————————————————————————————————————————————————————</w:t>
      </w:r>
    </w:p>
    <w:p>
      <w:pPr>
        <w:spacing w:before="160" w:after="40" w:line="240" w:lineRule="auto"/>
      </w:pPr>
      <w:r>
        <w:rPr>
          <w:b/>
        </w:rPr>
        <w:t xml:space="preserve">[650] </w:t>
      </w:r>
      <w:hyperlink r:id="rId1755">
        <w:r>
          <w:rPr>
            <w:color w:val="1155CC"/>
            <w:u w:val="single"/>
          </w:rPr>
          <w:t>受皮肤启发的电致发光 Tactus 相对弹性接触系数</w:t>
        </w:r>
      </w:hyperlink>
    </w:p>
    <w:p>
      <w:pPr>
        <w:spacing w:before="0" w:after="80"/>
      </w:pPr>
      <w:r>
        <w:rPr>
          <w:i/>
          <w:sz w:val="20"/>
        </w:rPr>
        <w:t>EN: Skin‐Inspired Relative Elastic Contact Coefficient Toward Electroluminescent Tactus</w:t>
      </w:r>
    </w:p>
    <w:p>
      <w:pPr>
        <w:spacing w:before="0" w:after="120"/>
      </w:pPr>
      <w:r>
        <w:rPr>
          <w:b/>
        </w:rPr>
        <w:t xml:space="preserve">Source: </w:t>
      </w:r>
      <w:r>
        <w:t>Wiley: Advanced Materials: Table of Contents</w:t>
      </w:r>
      <w:r>
        <w:t xml:space="preserve">    </w:t>
      </w:r>
      <w:r>
        <w:rPr>
          <w:b/>
        </w:rPr>
        <w:t xml:space="preserve">Pub date: </w:t>
      </w:r>
      <w:r>
        <w:t>2026-07-22 09:08:02+00:00</w:t>
      </w:r>
      <w:r>
        <w:t xml:space="preserve">    </w:t>
      </w:r>
      <w:r>
        <w:rPr>
          <w:b/>
        </w:rPr>
        <w:t xml:space="preserve">DOI: </w:t>
      </w:r>
      <w:hyperlink r:id="rId1756">
        <w:r>
          <w:rPr>
            <w:color w:val="1155CC"/>
            <w:u w:val="single"/>
          </w:rPr>
          <w:t>10.1002/adma.74209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皮肤通过分层组织的梯度模量架构传递机械刺激来感知触摸，该架构集中压力并局部化变形以激活机械感受器。受皮肤分层结构的启发，模量工程已被引入人工触觉系统中。然而，应力传递如何控制内部电场分布以及如何利用耦合来实现智能触觉感知仍然很大程度上尚未被探索。在这里，我们报告了一种受皮肤启发的梯度模量电致发光压力显示器，它可以直接将机械输入转换为空间分辨的光信号。指导者</w:t>
      </w:r>
      <w:r>
        <w:t xml:space="preserve"> </w:t>
      </w:r>
      <w:r>
        <w:t>赫兹</w:t>
      </w:r>
      <w:r>
        <w:t xml:space="preserve"> </w:t>
      </w:r>
      <w:r>
        <w:t>通过接触理论，我们发现了梯度模量引起的应力集中和变形局部化，这反过来又重新分布了内部电场并使发射层对压力敏感。这种机电光耦合可以实现触觉刺激的直观可视化。此外，由此产生的时空发光图案为智能触觉识别提供了丰富的信息。我们的研究结果建立了连接机械感知和光学输出的总体策略，为可视化电子皮肤和下一代人机界面提供了概念途径。</w:t>
      </w:r>
    </w:p>
    <w:p>
      <w:pPr>
        <w:spacing w:before="0" w:after="200" w:lineRule="auto" w:line="276"/>
      </w:pPr>
      <w:r>
        <w:rPr>
          <w:b/>
        </w:rPr>
        <w:t xml:space="preserve">Abstract (EN): </w:t>
      </w:r>
      <w:r>
        <w:t>Skin perceives touch by transmitting mechanical stimuli through a hierarchically organized, gradient‐modulus architecture that concentrates stress and localizes deformation to activate mechanoreceptors. Inspired by the hierarchical architecture of skin, modulus engineering has been introduced into artificial tactile systems. However, how stress transmission governs internal electric‐field distributions‐and how the coupling can be exploited for intelligent tactile perception‐remain largely unexplored. Here we report a skin‐inspired, gradient‐modulus electroluminescent pressure display that directly converts mechanical inputs into spatially resolved optical signals. Guided by</w:t>
      </w:r>
      <w:r>
        <w:t xml:space="preserve"> </w:t>
      </w:r>
      <w:r>
        <w:t>Hertzian</w:t>
      </w:r>
      <w:r>
        <w:t xml:space="preserve"> </w:t>
      </w:r>
      <w:r>
        <w:t>contact theory, we uncover gradient‐modulus‐induced stress focusing and deformation localization, which in turn redistributes the internal electric field and sensitizes the emissive layer to pressure. This mechano‐electro‐optical coupling enables intuitive visualization of tactile stimuli. Furthermore, the resulting spatiotemporal luminescence patterns provide rich information for intelligent tactile recognition. Our results establish a general strategy to bridge mechanical perception and optical output, offering a conceptual route toward visualized electronic skin and next‐generation human‐machine interfaces.</w:t>
      </w:r>
    </w:p>
    <w:p>
      <w:pPr>
        <w:spacing w:before="120" w:after="120"/>
      </w:pPr>
      <w:r>
        <w:rPr>
          <w:sz w:val="18"/>
        </w:rPr>
        <w:t>——————————————————————————————————————————————————————————————————————</w:t>
      </w:r>
    </w:p>
    <w:p>
      <w:pPr>
        <w:spacing w:before="160" w:after="40" w:line="240" w:lineRule="auto"/>
      </w:pPr>
      <w:r>
        <w:rPr>
          <w:b/>
        </w:rPr>
        <w:t xml:space="preserve">[651] </w:t>
      </w:r>
      <w:hyperlink r:id="rId1757">
        <w:r>
          <w:rPr>
            <w:color w:val="1155CC"/>
            <w:u w:val="single"/>
          </w:rPr>
          <w:t>基于翻转的多功能机械超表面实现光微波双模态可重构性</w:t>
        </w:r>
      </w:hyperlink>
    </w:p>
    <w:p>
      <w:pPr>
        <w:spacing w:before="0" w:after="80"/>
      </w:pPr>
      <w:r>
        <w:rPr>
          <w:i/>
          <w:sz w:val="20"/>
        </w:rPr>
        <w:t>EN: Multifunctional Flipping‐Based Mechanical Metasurface Enabling Optical‐Microwave Dual‐Modal Reconfigurability</w:t>
      </w:r>
    </w:p>
    <w:p>
      <w:pPr>
        <w:spacing w:before="0" w:after="120"/>
      </w:pPr>
      <w:r>
        <w:rPr>
          <w:b/>
        </w:rPr>
        <w:t xml:space="preserve">Source: </w:t>
      </w:r>
      <w:r>
        <w:t>Wiley: Advanced Materials: Table of Contents</w:t>
      </w:r>
      <w:r>
        <w:t xml:space="preserve">    </w:t>
      </w:r>
      <w:r>
        <w:rPr>
          <w:b/>
        </w:rPr>
        <w:t xml:space="preserve">Pub date: </w:t>
      </w:r>
      <w:r>
        <w:t>2026-07-22 09:13:49+00:00</w:t>
      </w:r>
      <w:r>
        <w:t xml:space="preserve">    </w:t>
      </w:r>
      <w:r>
        <w:rPr>
          <w:b/>
        </w:rPr>
        <w:t xml:space="preserve">DOI: </w:t>
      </w:r>
      <w:hyperlink r:id="rId1758">
        <w:r>
          <w:rPr>
            <w:color w:val="1155CC"/>
            <w:u w:val="single"/>
          </w:rPr>
          <w:t>10.1002/adma.74169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电磁（EM）波的动态和节能控制对于下一代无线通信和传感来说是非常理想的。然而，大多数现有的智能超表面依赖于耗电的电子电路和复杂的制造，限制了它们的可扩展性和部署。在这里，我们介绍 MetaScreen，一种机械可重构的超表面，它利用独特的翻转机制在具有不同电磁响应和视觉颜色的超原子之间交替，从而实现同步波前操纵和光学显示。每个双稳态翻转元件都集成了一个永磁体，并由微控制器驱动的磁控制模块驱动，将短电脉冲转换为快速且非易失性的机械开关。该设计实现了低功耗和稳定的电磁波操纵，并通过超原子表面上的颜色编码涂层赋予超表面固有的视觉可编程性，从而支持在同一平台上的微波波前控制和可见信息显示。演示了用于无线通信的动态波束控制、用于非接触式呼吸监测的自适应电磁波聚焦、双向人机交互和微波全息术，突出了该平台的多功能电磁操作和多域可编程性。由于其能源效率、低成本和长期稳定性，MetaScreen 为无线通信、智能物联网 (IoT) 和光学领域的可持续和可扩展应用提供了一条实用途径。</w:t>
      </w:r>
    </w:p>
    <w:p>
      <w:pPr>
        <w:spacing w:before="0" w:after="200" w:lineRule="auto" w:line="276"/>
      </w:pPr>
      <w:r>
        <w:rPr>
          <w:b/>
        </w:rPr>
        <w:t xml:space="preserve">Abstract (EN): </w:t>
      </w:r>
      <w:r>
        <w:t>Dynamically and energy‐efficient control of electromagnetic (EM) waves is highly desirable for next‐generation wireless communication and sensing. However, most existing intelligent metasurfaces rely on power‐hungry electronic circuits and complex fabrication, limiting their scalability, and deployment. Here we introduce MetaScreen, a mechanically reconfigurable metasurface that exploits a unique flipping mechanism to alternate between meta‐atoms with distinct EM responses and visual colors, thereby enabling simultaneous wavefront manipulation and optical display. Each bistable flip element integrates a permanent magnet and is actuated by a microcontroller‐driven magnetic‐control module to convert a short electrical pulse into rapid and nonvolatile mechanical switching. This design achieves low‐power and stable EM wave manipulation and endows the metasurface with intrinsic visual programmability through color‐coded coatings on the meta‐atom surfaces, thus supporting microwave wavefront control and visible information display in the same platform. Dynamic beam steering for wireless communication, adaptive EM wave focusing for contactless respiration monitoring, bidirectional human‐machine interaction, and microwave holography are demonstrated, highlighting the versatile EM manipulation and multi‐domain programmability of the platform. Owing to its energy efficiency, low cost, and long‐term stability, MetaScreen offers a practical route toward sustainable and scalable applications in wireless communication, smart internet of things (IoT), and optical‐EM camouflage.</w:t>
      </w:r>
    </w:p>
    <w:p>
      <w:pPr>
        <w:spacing w:before="120" w:after="120"/>
      </w:pPr>
      <w:r>
        <w:rPr>
          <w:sz w:val="18"/>
        </w:rPr>
        <w:t>——————————————————————————————————————————————————————————————————————</w:t>
      </w:r>
    </w:p>
    <w:p>
      <w:pPr>
        <w:spacing w:before="160" w:after="40" w:line="240" w:lineRule="auto"/>
      </w:pPr>
      <w:r>
        <w:rPr>
          <w:b/>
        </w:rPr>
        <w:t xml:space="preserve">[652] </w:t>
      </w:r>
      <w:hyperlink r:id="rId1759">
        <w:r>
          <w:rPr>
            <w:color w:val="1155CC"/>
            <w:u w:val="single"/>
          </w:rPr>
          <w:t>增强人工嗅觉：通过双峰神经形态设备进行视觉提示增强的气体分类</w:t>
        </w:r>
      </w:hyperlink>
    </w:p>
    <w:p>
      <w:pPr>
        <w:spacing w:before="0" w:after="80"/>
      </w:pPr>
      <w:r>
        <w:rPr>
          <w:i/>
          <w:sz w:val="20"/>
        </w:rPr>
        <w:t>EN: Boosting Artificial Olfaction: Visual Cues‐Enhanced Gas Classification by a Bimodal Neuromorphic Device</w:t>
      </w:r>
    </w:p>
    <w:p>
      <w:pPr>
        <w:spacing w:before="0" w:after="120"/>
      </w:pPr>
      <w:r>
        <w:rPr>
          <w:b/>
        </w:rPr>
        <w:t xml:space="preserve">Source: </w:t>
      </w:r>
      <w:r>
        <w:t>Wiley: Advanced Materials: Table of Contents</w:t>
      </w:r>
      <w:r>
        <w:t xml:space="preserve">    </w:t>
      </w:r>
      <w:r>
        <w:rPr>
          <w:b/>
        </w:rPr>
        <w:t xml:space="preserve">Pub date: </w:t>
      </w:r>
      <w:r>
        <w:t>2026-07-22 09:24:17+00:00</w:t>
      </w:r>
      <w:r>
        <w:t xml:space="preserve">    </w:t>
      </w:r>
      <w:r>
        <w:rPr>
          <w:b/>
        </w:rPr>
        <w:t xml:space="preserve">DOI: </w:t>
      </w:r>
      <w:hyperlink r:id="rId1760">
        <w:r>
          <w:rPr>
            <w:color w:val="1155CC"/>
            <w:u w:val="single"/>
          </w:rPr>
          <w:t>10.1002/adma.74191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嗅觉传感器在各种应用中引起了广泛关注，包括微型机器人、植入式医疗设备和消费电子产品。然而，它们仍然面临着高识别精度、紧凑尺寸和低功耗之间权衡的挑战。现有策略可以依赖大规模传感器阵列（最多 10 个）</w:t>
      </w:r>
      <w:r>
        <w:rPr>
          <w:vertAlign w:val="subscript"/>
        </w:rPr>
        <w:t>4</w:t>
      </w:r>
      <w:r>
        <w:t>元素）以提高气体识别精度，但这大大增加了系统尺寸和功耗。受生物多感官协同作用的启发，我们提出了一种视觉-嗅觉双模式神经形态装置来克服这些限制。它模拟生物感知融合，包括双峰感知加权和增强。有效面积小至 148 µm</w:t>
      </w:r>
      <w:r>
        <w:rPr>
          <w:vertAlign w:val="subscript"/>
        </w:rPr>
        <w:t>2</w:t>
      </w:r>
      <w:r>
        <w:t>该器件静态功耗仅为 3.4 µW，工作电压低至 1 V，具有 ppb 级传感性能，能够对多种目标气体进行气体类型分类和浓度识别。所提出的双峰感知策略实现了 98.27% 的气体分类精度，远远超过嗅觉单峰模式 (52.24%)，而且重要的是，能够精确区分具有高度重叠传感特征的混合气体。我们的策略不仅提供了用于构建小型化、低功耗和高精度人工嗅觉系统的单元架构，而且还为下一代仿生多模态神经形态传感铺平了道路。</w:t>
      </w:r>
    </w:p>
    <w:p>
      <w:pPr>
        <w:spacing w:before="0" w:after="200" w:lineRule="auto" w:line="276"/>
      </w:pPr>
      <w:r>
        <w:rPr>
          <w:b/>
        </w:rPr>
        <w:t xml:space="preserve">Abstract (EN): </w:t>
      </w:r>
      <w:r>
        <w:t>Artificial olfactory sensors have garnered significant attention in various applications, including micro‐robotics, implantable medical devices, and consumer electronics. However, they still face challenges in trade‐offs among high recognition accuracy, compact size, and low power consumption. Existing strategies can rely on large‐scale sensor arrays (up to 10</w:t>
      </w:r>
      <w:r>
        <w:rPr>
          <w:vertAlign w:val="subscript"/>
        </w:rPr>
        <w:t>4</w:t>
      </w:r>
      <w:r>
        <w:t>elements) to enhance gas recognition accuracy, but this substantially increases system size and power consumption. Inspired by biological multisensory synergy, we propose a visual–olfactory bimodal neuromorphic device to overcome these limitations. It emulates biological perceptual fusion, including bimodal perceptual weighting and enhancement. With a small active area of 148 µm</w:t>
      </w:r>
      <w:r>
        <w:rPr>
          <w:vertAlign w:val="subscript"/>
        </w:rPr>
        <w:t>2</w:t>
      </w:r>
      <w:r>
        <w:t>, a static power consumption of only 3.4 µW, and a low operating voltage of 1 V, the device exhibits ppb‐level sensing performance and is capable of both classifying gas types and identifying concentrations for multiple target gases. The proposed bimodal perception strategy achieves a gas classification accuracy of 98.27%, far exceeding that of the olfactory unimodal mode (52.24%), and, importantly, enables precise discrimination of mixed gases with highly overlapping sensing signatures. Our strategy not only provides a unit architecture for constructing miniaturized, low‐power, and highly accurate artificial olfactory systems but also paves the way for next‐generation bio‐inspired multimodal neuromorphic sensing.</w:t>
      </w:r>
    </w:p>
    <w:p>
      <w:pPr>
        <w:spacing w:before="120" w:after="120"/>
      </w:pPr>
      <w:r>
        <w:rPr>
          <w:sz w:val="18"/>
        </w:rPr>
        <w:t>——————————————————————————————————————————————————————————————————————</w:t>
      </w:r>
    </w:p>
    <w:p>
      <w:pPr>
        <w:spacing w:before="160" w:after="40" w:line="240" w:lineRule="auto"/>
      </w:pPr>
      <w:r>
        <w:rPr>
          <w:b/>
        </w:rPr>
        <w:t xml:space="preserve">[653] </w:t>
      </w:r>
      <w:hyperlink r:id="rId1761">
        <w:r>
          <w:rPr>
            <w:color w:val="1155CC"/>
            <w:u w:val="single"/>
          </w:rPr>
          <w:t>流动引起的间歇传输塑造了复杂介质中的胶体过滤</w:t>
        </w:r>
      </w:hyperlink>
    </w:p>
    <w:p>
      <w:pPr>
        <w:spacing w:before="0" w:after="80"/>
      </w:pPr>
      <w:r>
        <w:rPr>
          <w:i/>
          <w:sz w:val="20"/>
        </w:rPr>
        <w:t>EN: Flow-Induced Intermittent Transport Shapes Colloid Filtration in Complex Media</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62">
        <w:r>
          <w:rPr>
            <w:color w:val="1155CC"/>
            <w:u w:val="single"/>
          </w:rPr>
          <w:t>10.1103/122c-f92l</w:t>
        </w:r>
      </w:hyperlink>
    </w:p>
    <w:p>
      <w:pPr>
        <w:spacing w:before="0" w:after="120"/>
      </w:pPr>
      <w:r>
        <w:rPr>
          <w:b/>
        </w:rPr>
        <w:t xml:space="preserve">Notes: </w:t>
      </w:r>
      <w:r>
        <w:t>abstract_source=rss_description</w:t>
      </w:r>
    </w:p>
    <w:p>
      <w:pPr>
        <w:spacing w:before="0" w:after="80" w:lineRule="auto" w:line="276"/>
      </w:pPr>
      <w:r>
        <w:rPr>
          <w:b/>
        </w:rPr>
        <w:t xml:space="preserve">摘要（ZH）: </w:t>
      </w:r>
      <w:r>
        <w:t>作者：Filippo Miele、Ankur Deep Bordoloi、Pietro de Anna、Marco Dentz、Hervé Tabuteau、Verónica L. Morales、Partha Kumar Das 和 Sascha Hilgenfeldt 多孔介质中的胶体传输和过滤通常由假设底层均质结构的单收集器模型来描述。我们使用微流体实验、粒子跟踪和模拟来观察孔隙尺度和宏观过滤。我们展示了胶体轨迹……[物理。莱特牧师。 137, 044002] 2026 年 7 月 22 日星期三发布</w:t>
      </w:r>
    </w:p>
    <w:p>
      <w:pPr>
        <w:spacing w:before="0" w:after="200" w:lineRule="auto" w:line="276"/>
      </w:pPr>
      <w:r>
        <w:rPr>
          <w:b/>
        </w:rPr>
        <w:t xml:space="preserve">Abstract (EN): </w:t>
      </w:r>
      <w:r>
        <w:t>Author(s): Filippo Miele, Ankur Deep Bordoloi, Pietro de Anna, Marco Dentz, Hervé Tabuteau, Verónica L. Morales, Partha Kumar Das, and Sascha HilgenfeldtColloidal transport and filtration in porous media are commonly described by single-collector models that assume an underlying homogeneous structure. We use microfluidic experiments, particle tracking, and simulations to observe pore-scale and macroscopic filtration. We show that colloidal trajector…[Phys. Rev. Lett. 137, 044002] Published Wed Jul 22, 2026</w:t>
      </w:r>
    </w:p>
    <w:p>
      <w:pPr>
        <w:spacing w:before="120" w:after="120"/>
      </w:pPr>
      <w:r>
        <w:rPr>
          <w:sz w:val="18"/>
        </w:rPr>
        <w:t>——————————————————————————————————————————————————————————————————————</w:t>
      </w:r>
    </w:p>
    <w:p>
      <w:pPr>
        <w:spacing w:before="160" w:after="40" w:line="240" w:lineRule="auto"/>
      </w:pPr>
      <w:r>
        <w:rPr>
          <w:b/>
        </w:rPr>
        <w:t xml:space="preserve">[654] </w:t>
      </w:r>
      <w:hyperlink r:id="rId1763">
        <w:r>
          <w:rPr>
            <w:color w:val="1155CC"/>
            <w:u w:val="single"/>
          </w:rPr>
          <w:t>可调规范场下强相互作用偶极晶格超固体中的磁通量</w:t>
        </w:r>
      </w:hyperlink>
    </w:p>
    <w:p>
      <w:pPr>
        <w:spacing w:before="0" w:after="80"/>
      </w:pPr>
      <w:r>
        <w:rPr>
          <w:i/>
          <w:sz w:val="20"/>
        </w:rPr>
        <w:t>EN: Flux Magnetism in a Strongly Interacting Dipolar Lattice Supersolid under Tunable Gauge Fields</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64">
        <w:r>
          <w:rPr>
            <w:color w:val="1155CC"/>
            <w:u w:val="single"/>
          </w:rPr>
          <w:t>10.1103/tbp3-7rh3</w:t>
        </w:r>
      </w:hyperlink>
    </w:p>
    <w:p>
      <w:pPr>
        <w:spacing w:before="0" w:after="120"/>
      </w:pPr>
      <w:r>
        <w:rPr>
          <w:b/>
        </w:rPr>
        <w:t xml:space="preserve">Notes: </w:t>
      </w:r>
      <w:r>
        <w:t>abstract_source=rss_description</w:t>
      </w:r>
    </w:p>
    <w:p>
      <w:pPr>
        <w:spacing w:before="0" w:after="80" w:lineRule="auto" w:line="276"/>
      </w:pPr>
      <w:r>
        <w:rPr>
          <w:b/>
        </w:rPr>
        <w:t xml:space="preserve">摘要（ZH）: </w:t>
      </w:r>
      <w:r>
        <w:t>作者：Michele Miotto、Pietro Lombardi、Giovanni Ferioli、Joana Fraxanet、Maciej Lewenstein、Luca Tanzi 和 Luca Barbiero 超固体和磁性是表征强关联物质的基本现象。在这里，我们揭示了一种直接连接这两种状态的机制，并且可以在超冷原子系统中进行实验访问。具体来说，我们利用磁性镧的独特性质……[物理。莱特牧师。 137, 043401] 2026 年 7 月 22 日星期三发布</w:t>
      </w:r>
    </w:p>
    <w:p>
      <w:pPr>
        <w:spacing w:before="0" w:after="200" w:lineRule="auto" w:line="276"/>
      </w:pPr>
      <w:r>
        <w:rPr>
          <w:b/>
        </w:rPr>
        <w:t xml:space="preserve">Abstract (EN): </w:t>
      </w:r>
      <w:r>
        <w:t>Author(s): Michele Miotto, Pietro Lombardi, Giovanni Ferioli, Joana Fraxanet, Maciej Lewenstein, Luca Tanzi, and Luca BarbieroSupersolidity and magnetism are fundamental phenomena characterizing strongly correlated matter. Here we unveil a mechanism that directly connects these two regimes and can be experimentally accessed in ultracold atomic systems. Specifically, we exploit the distinctive properties of magnetic lanthan…[Phys. Rev. Lett. 137, 043401] Published Wed Jul 22, 2026</w:t>
      </w:r>
    </w:p>
    <w:p>
      <w:pPr>
        <w:spacing w:before="120" w:after="120"/>
      </w:pPr>
      <w:r>
        <w:rPr>
          <w:sz w:val="18"/>
        </w:rPr>
        <w:t>——————————————————————————————————————————————————————————————————————</w:t>
      </w:r>
    </w:p>
    <w:p>
      <w:pPr>
        <w:spacing w:before="160" w:after="40" w:line="240" w:lineRule="auto"/>
      </w:pPr>
      <w:r>
        <w:rPr>
          <w:b/>
        </w:rPr>
        <w:t xml:space="preserve">[655] </w:t>
      </w:r>
      <w:hyperlink r:id="rId1765">
        <w:r>
          <w:rPr>
            <w:color w:val="1155CC"/>
            <w:u w:val="single"/>
          </w:rPr>
          <w:t>通过 FEL 驱动微聚束和激光康普顿散射产生 Zeptosecond $γ$ 射线脉冲</w:t>
        </w:r>
      </w:hyperlink>
    </w:p>
    <w:p>
      <w:pPr>
        <w:spacing w:before="0" w:after="80"/>
      </w:pPr>
      <w:r>
        <w:rPr>
          <w:i/>
          <w:sz w:val="20"/>
        </w:rPr>
        <w:t>EN: Zeptosecond $γ$-Ray Pulses Generation via FEL-Driven Microbunching and Laser-Compton Scattering</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66">
        <w:r>
          <w:rPr>
            <w:color w:val="1155CC"/>
            <w:u w:val="single"/>
          </w:rPr>
          <w:t>10.1103/27t3-61j2</w:t>
        </w:r>
      </w:hyperlink>
    </w:p>
    <w:p>
      <w:pPr>
        <w:spacing w:before="0" w:after="120"/>
      </w:pPr>
      <w:r>
        <w:rPr>
          <w:b/>
        </w:rPr>
        <w:t xml:space="preserve">Notes: </w:t>
      </w:r>
      <w:r>
        <w:t>abstract_source=rss_description</w:t>
      </w:r>
    </w:p>
    <w:p>
      <w:pPr>
        <w:spacing w:before="0" w:after="80" w:lineRule="auto" w:line="276"/>
      </w:pPr>
      <w:r>
        <w:rPr>
          <w:b/>
        </w:rPr>
        <w:t xml:space="preserve">摘要（ZH）: </w:t>
      </w:r>
      <w:r>
        <w:t>作者：Jinke Xiong、Hanghua Xu、Liangliang Ji、Chao Feng 和 Zentang Chao我们引入了一种新颖且可靠的方法，可以在阿秒和泽秒范围内产生高能光子脉冲爆发 ($1\text{ }\text{as}={10}^{−18}\text{ }\text{s};1\text{ }\text{zs}={10}^{−21}\text{ }\text{s}$)，通过协同利用…[物理。莱特牧师。 137, 043803] 2026 年 7 月 22 日星期三发布</w:t>
      </w:r>
    </w:p>
    <w:p>
      <w:pPr>
        <w:spacing w:before="0" w:after="200" w:lineRule="auto" w:line="276"/>
      </w:pPr>
      <w:r>
        <w:rPr>
          <w:b/>
        </w:rPr>
        <w:t xml:space="preserve">Abstract (EN): </w:t>
      </w:r>
      <w:r>
        <w:t>Author(s): Jinke Xiong, Hanghua Xu, Liangliang Ji, Chao Feng, and Zhentang ZhaoWe introduce a novel and reliable approach too generate high-energy photon pulse bursts in both the attosecond and zeptosecond regimes ($1\text{ }\text{as}={10}^{−18}\text{ }\text{s};1\text{ }\text{zs}={10}^{−21}\text{ }\text{s}$), high-energy photon pulse bursts by synergistically exploiting the in…[Phys. Rev. Lett. 137, 043803] Published Wed Jul 22, 2026</w:t>
      </w:r>
    </w:p>
    <w:p>
      <w:pPr>
        <w:spacing w:before="120" w:after="120"/>
      </w:pPr>
      <w:r>
        <w:rPr>
          <w:sz w:val="18"/>
        </w:rPr>
        <w:t>——————————————————————————————————————————————————————————————————————</w:t>
      </w:r>
    </w:p>
    <w:p>
      <w:pPr>
        <w:spacing w:before="160" w:after="40" w:line="240" w:lineRule="auto"/>
      </w:pPr>
      <w:r>
        <w:rPr>
          <w:b/>
        </w:rPr>
        <w:t xml:space="preserve">[656] </w:t>
      </w:r>
      <w:hyperlink r:id="rId1767">
        <w:r>
          <w:rPr>
            <w:color w:val="1155CC"/>
            <w:u w:val="single"/>
          </w:rPr>
          <w:t>mRNA 和蛋白质水平之间健身驱动的缩放定律</w:t>
        </w:r>
      </w:hyperlink>
    </w:p>
    <w:p>
      <w:pPr>
        <w:spacing w:before="0" w:after="80"/>
      </w:pPr>
      <w:r>
        <w:rPr>
          <w:i/>
          <w:sz w:val="20"/>
        </w:rPr>
        <w:t>EN: Fitness-Driven Scaling Laws between mRNA and Protein Levels</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68">
        <w:r>
          <w:rPr>
            <w:color w:val="1155CC"/>
            <w:u w:val="single"/>
          </w:rPr>
          <w:t>10.1103/gkzp-r681</w:t>
        </w:r>
      </w:hyperlink>
    </w:p>
    <w:p>
      <w:pPr>
        <w:spacing w:before="0" w:after="120"/>
      </w:pPr>
      <w:r>
        <w:rPr>
          <w:b/>
        </w:rPr>
        <w:t xml:space="preserve">Notes: </w:t>
      </w:r>
      <w:r>
        <w:t>abstract_source=rss_description</w:t>
      </w:r>
    </w:p>
    <w:p>
      <w:pPr>
        <w:spacing w:before="0" w:after="80" w:lineRule="auto" w:line="276"/>
      </w:pPr>
      <w:r>
        <w:rPr>
          <w:b/>
        </w:rPr>
        <w:t xml:space="preserve">摘要（ZH）: </w:t>
      </w:r>
      <w:r>
        <w:t>作者：颜逸辰和林杰蛋白质和信使RNA (mRNA)水平之间的关系是基因表达的一个关键方面。尽管广泛观察到强烈的 mRNA-蛋白质相关性，但驱动这种相关性的进化力量仍然知之甚少，从而破坏了使用 mRNA 丰度作为代理的可靠性……[Phys.莱特牧师。 137, 048402] 2026 年 7 月 22 日星期三发布</w:t>
      </w:r>
    </w:p>
    <w:p>
      <w:pPr>
        <w:spacing w:before="0" w:after="200" w:lineRule="auto" w:line="276"/>
      </w:pPr>
      <w:r>
        <w:rPr>
          <w:b/>
        </w:rPr>
        <w:t xml:space="preserve">Abstract (EN): </w:t>
      </w:r>
      <w:r>
        <w:t>Author(s): Yichen Yan (颜逸辰) and Jie Lin (林杰)The relationship between protein and messenger RNA (mRNA) levels is a key aspect of gene expression. Although a strong mRNA-protein correlation is widely observed, the evolutionary force driving the correlation remains poorly understood, undermining the reliability of using mRNA abundance as a proxy…[Phys. Rev. Lett. 137, 048402] Published Wed Jul 22, 2026</w:t>
      </w:r>
    </w:p>
    <w:p>
      <w:pPr>
        <w:spacing w:before="120" w:after="120"/>
      </w:pPr>
      <w:r>
        <w:rPr>
          <w:sz w:val="18"/>
        </w:rPr>
        <w:t>——————————————————————————————————————————————————————————————————————</w:t>
      </w:r>
    </w:p>
    <w:p>
      <w:pPr>
        <w:spacing w:before="160" w:after="40" w:line="240" w:lineRule="auto"/>
      </w:pPr>
      <w:r>
        <w:rPr>
          <w:b/>
        </w:rPr>
        <w:t xml:space="preserve">[657] </w:t>
      </w:r>
      <w:hyperlink r:id="rId1769">
        <w:r>
          <w:rPr>
            <w:color w:val="1155CC"/>
            <w:u w:val="single"/>
          </w:rPr>
          <w:t>强电磁波与未磁化对等离子体的相互作用</w:t>
        </w:r>
      </w:hyperlink>
    </w:p>
    <w:p>
      <w:pPr>
        <w:spacing w:before="0" w:after="80"/>
      </w:pPr>
      <w:r>
        <w:rPr>
          <w:i/>
          <w:sz w:val="20"/>
        </w:rPr>
        <w:t>EN: Interaction of Strong Electromagnetic Waves with Unmagnetized Pair Plasmas</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70">
        <w:r>
          <w:rPr>
            <w:color w:val="1155CC"/>
            <w:u w:val="single"/>
          </w:rPr>
          <w:t>10.1103/h7fg-xjby</w:t>
        </w:r>
      </w:hyperlink>
    </w:p>
    <w:p>
      <w:pPr>
        <w:spacing w:before="0" w:after="120"/>
      </w:pPr>
      <w:r>
        <w:rPr>
          <w:b/>
        </w:rPr>
        <w:t xml:space="preserve">Notes: </w:t>
      </w:r>
      <w:r>
        <w:t>abstract_source=rss_description</w:t>
      </w:r>
    </w:p>
    <w:p>
      <w:pPr>
        <w:spacing w:before="0" w:after="80" w:lineRule="auto" w:line="276"/>
      </w:pPr>
      <w:r>
        <w:rPr>
          <w:b/>
        </w:rPr>
        <w:t xml:space="preserve">摘要（ZH）: </w:t>
      </w:r>
      <w:r>
        <w:t>作者：Navin Sridhar、Emanuele Sobacchi、Lorenzo Sironi、Masanori Iwamoto、Daniel Grošelj 和 Brandon K. Russell 我们通过分析和数值研究了强电磁波与未磁化对等离子体的相互作用。我们证明了相互作用是由单个非线性参数 ${ϵ}_{\mathrm{p}}$ 控制的，定义为波强度参数与波频率的比率。莱特牧师。 137, 045102] 2026 年 7 月 22 日星期三发布</w:t>
      </w:r>
    </w:p>
    <w:p>
      <w:pPr>
        <w:spacing w:before="0" w:after="200" w:lineRule="auto" w:line="276"/>
      </w:pPr>
      <w:r>
        <w:rPr>
          <w:b/>
        </w:rPr>
        <w:t xml:space="preserve">Abstract (EN): </w:t>
      </w:r>
      <w:r>
        <w:t>Author(s): Navin Sridhar, Emanuele Sobacchi, Lorenzo Sironi, Masanori Iwamoto, Daniel Grošelj, and Brandon K. RussellWe investigate analytically and numerically the interaction of strong electromagnetic waves with unmagnetized pair plasmas. We show that the interaction is governed by a single nonlinearity parameter, ${ϵ}_{\mathrm{p}}$, defined as the ratio of the wave strength parameter to the wave frequency in un…[Phys. Rev. Lett. 137, 045102] Published Wed Jul 22, 2026</w:t>
      </w:r>
    </w:p>
    <w:p>
      <w:pPr>
        <w:spacing w:before="120" w:after="120"/>
      </w:pPr>
      <w:r>
        <w:rPr>
          <w:sz w:val="18"/>
        </w:rPr>
        <w:t>——————————————————————————————————————————————————————————————————————</w:t>
      </w:r>
    </w:p>
    <w:p>
      <w:pPr>
        <w:spacing w:before="160" w:after="40" w:line="240" w:lineRule="auto"/>
      </w:pPr>
      <w:r>
        <w:rPr>
          <w:b/>
        </w:rPr>
        <w:t xml:space="preserve">[658] </w:t>
      </w:r>
      <w:hyperlink r:id="rId1771">
        <w:r>
          <w:rPr>
            <w:color w:val="1155CC"/>
            <w:u w:val="single"/>
          </w:rPr>
          <w:t>在俘获离子和超导硬件上对可调谐量子神经网络进行基准测试</w:t>
        </w:r>
      </w:hyperlink>
    </w:p>
    <w:p>
      <w:pPr>
        <w:spacing w:before="0" w:after="80"/>
      </w:pPr>
      <w:r>
        <w:rPr>
          <w:i/>
          <w:sz w:val="20"/>
        </w:rPr>
        <w:t>EN: Benchmarking a Tunable Quantum Neural Network on Trapped-Ion and Superconducting Hardware</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72">
        <w:r>
          <w:rPr>
            <w:color w:val="1155CC"/>
            <w:u w:val="single"/>
          </w:rPr>
          <w:t>10.1103/9bp2-42v3</w:t>
        </w:r>
      </w:hyperlink>
    </w:p>
    <w:p>
      <w:pPr>
        <w:spacing w:before="0" w:after="120"/>
      </w:pPr>
      <w:r>
        <w:rPr>
          <w:b/>
        </w:rPr>
        <w:t xml:space="preserve">Notes: </w:t>
      </w:r>
      <w:r>
        <w:t>abstract_source=rss_description</w:t>
      </w:r>
    </w:p>
    <w:p>
      <w:pPr>
        <w:spacing w:before="0" w:after="80" w:lineRule="auto" w:line="276"/>
      </w:pPr>
      <w:r>
        <w:rPr>
          <w:b/>
        </w:rPr>
        <w:t xml:space="preserve">摘要（ZH）: </w:t>
      </w:r>
      <w:r>
        <w:t>作者：Djamil Lakhdar-Hamina、Xingxin Liu、Richard Barney、Sarah H. Miller、Alaina M. Green、Norbert M. Linke 和 Victor Galitski 通过使用两个量子计算平台实现量子神经网络，研究人员已采取措施确定此类系统是否能够可靠地实现其理论承诺。莱特牧师。 137, 040601] 2026 年 7 月 22 日星期三发布</w:t>
      </w:r>
    </w:p>
    <w:p>
      <w:pPr>
        <w:spacing w:before="0" w:after="200" w:lineRule="auto" w:line="276"/>
      </w:pPr>
      <w:r>
        <w:rPr>
          <w:b/>
        </w:rPr>
        <w:t xml:space="preserve">Abstract (EN): </w:t>
      </w:r>
      <w:r>
        <w:t>Author(s): Djamil Lakhdar-Hamina, Xingxin Liu, Richard Barney, Sarah H. Miller, Alaina M. Green, Norbert M. Linke, and Victor GalitskiBy implementing a quantum neural network using two quantum-computing platforms, researchers have taken steps toward determining whether such systems can reliably fulfill their theoretical promise.[Phys. Rev. Lett. 137, 040601] Published Wed Jul 22, 2026</w:t>
      </w:r>
    </w:p>
    <w:p>
      <w:pPr>
        <w:spacing w:before="120" w:after="120"/>
      </w:pPr>
      <w:r>
        <w:rPr>
          <w:sz w:val="18"/>
        </w:rPr>
        <w:t>——————————————————————————————————————————————————————————————————————</w:t>
      </w:r>
    </w:p>
    <w:p>
      <w:pPr>
        <w:spacing w:before="160" w:after="40" w:line="240" w:lineRule="auto"/>
      </w:pPr>
      <w:r>
        <w:rPr>
          <w:b/>
        </w:rPr>
        <w:t xml:space="preserve">[659] </w:t>
      </w:r>
      <w:hyperlink r:id="rId1773">
        <w:r>
          <w:rPr>
            <w:color w:val="1155CC"/>
            <w:u w:val="single"/>
          </w:rPr>
          <w:t>空间电荷限制范德华自旋晶体管</w:t>
        </w:r>
      </w:hyperlink>
    </w:p>
    <w:p>
      <w:pPr>
        <w:spacing w:before="0" w:after="80"/>
      </w:pPr>
      <w:r>
        <w:rPr>
          <w:i/>
          <w:sz w:val="20"/>
        </w:rPr>
        <w:t>EN: Space-Charge-Limited van der Waals Spin Transistor</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74">
        <w:r>
          <w:rPr>
            <w:color w:val="1155CC"/>
            <w:u w:val="single"/>
          </w:rPr>
          <w:t>10.1103/61lp-6slp</w:t>
        </w:r>
      </w:hyperlink>
    </w:p>
    <w:p>
      <w:pPr>
        <w:spacing w:before="0" w:after="120"/>
      </w:pPr>
      <w:r>
        <w:rPr>
          <w:b/>
        </w:rPr>
        <w:t xml:space="preserve">Notes: </w:t>
      </w:r>
      <w:r>
        <w:t>abstract_source=rss_description</w:t>
      </w:r>
    </w:p>
    <w:p>
      <w:pPr>
        <w:spacing w:before="0" w:after="80" w:lineRule="auto" w:line="276"/>
      </w:pPr>
      <w:r>
        <w:rPr>
          <w:b/>
        </w:rPr>
        <w:t xml:space="preserve">摘要（ZH）: </w:t>
      </w:r>
      <w:r>
        <w:t>作者：Thomas K. M. Graham、Yu-Xuan Wang、Niranjana Renjith Nair、Kseniia Mosina、Kenji Watanabe、Takashi Taniguchi、Zdeněk Sofer 和 Brian B. Zhou 集成半导体和磁性材料可以将类晶体管操作与非易失性结合起来，并实现存储器逻辑等架构。在这里，我们采用相关的电传输和扫描氮空位中心磁成像来阐明自旋晶体管的概念……[物理。莱特牧师。 137, 040802] 2026 年 7 月 22 日星期三发布</w:t>
      </w:r>
    </w:p>
    <w:p>
      <w:pPr>
        <w:spacing w:before="0" w:after="200" w:lineRule="auto" w:line="276"/>
      </w:pPr>
      <w:r>
        <w:rPr>
          <w:b/>
        </w:rPr>
        <w:t xml:space="preserve">Abstract (EN): </w:t>
      </w:r>
      <w:r>
        <w:t>Author(s): Thomas K. M. Graham, Yu-Xuan Wang, Niranjana Renjith Nair, Kseniia Mosina, Kenji Watanabe, Takashi Taniguchi, Zdeněk Sofer, and Brian B. ZhouIntegrating semiconducting and magnetic materials could combine transistorlike operation with nonvolatility and enable architectures such as logic in memory. Here, we employ correlated electrical transport and scanning nitrogen-vacancy center magnetic imaging to elucidate a spin transistor concept t…[Phys. Rev. Lett. 137, 040802] Published Wed Jul 22, 2026</w:t>
      </w:r>
    </w:p>
    <w:p>
      <w:pPr>
        <w:spacing w:before="120" w:after="120"/>
      </w:pPr>
      <w:r>
        <w:rPr>
          <w:sz w:val="18"/>
        </w:rPr>
        <w:t>——————————————————————————————————————————————————————————————————————</w:t>
      </w:r>
    </w:p>
    <w:p>
      <w:pPr>
        <w:spacing w:before="160" w:after="40" w:line="240" w:lineRule="auto"/>
      </w:pPr>
      <w:r>
        <w:rPr>
          <w:b/>
        </w:rPr>
        <w:t xml:space="preserve">[660] </w:t>
      </w:r>
      <w:hyperlink r:id="rId1775">
        <w:r>
          <w:rPr>
            <w:color w:val="1155CC"/>
            <w:u w:val="single"/>
          </w:rPr>
          <w:t>拓扑绝缘体中的隐藏耗散：局部散粒噪声的近场辐射</w:t>
        </w:r>
      </w:hyperlink>
    </w:p>
    <w:p>
      <w:pPr>
        <w:spacing w:before="0" w:after="80"/>
      </w:pPr>
      <w:r>
        <w:rPr>
          <w:i/>
          <w:sz w:val="20"/>
        </w:rPr>
        <w:t>EN: Hidden Dissipation in Topological Insulators: Near-field Radiation from Local Shot Noise</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76">
        <w:r>
          <w:rPr>
            <w:color w:val="1155CC"/>
            <w:u w:val="single"/>
          </w:rPr>
          <w:t>10.1103/drhy-gkr1</w:t>
        </w:r>
      </w:hyperlink>
    </w:p>
    <w:p>
      <w:pPr>
        <w:spacing w:before="0" w:after="120"/>
      </w:pPr>
      <w:r>
        <w:rPr>
          <w:b/>
        </w:rPr>
        <w:t xml:space="preserve">Notes: </w:t>
      </w:r>
      <w:r>
        <w:t>abstract_source=rss_description</w:t>
      </w:r>
    </w:p>
    <w:p>
      <w:pPr>
        <w:spacing w:before="0" w:after="80" w:lineRule="auto" w:line="276"/>
      </w:pPr>
      <w:r>
        <w:rPr>
          <w:b/>
        </w:rPr>
        <w:t xml:space="preserve">摘要（ZH）: </w:t>
      </w:r>
      <w:r>
        <w:t>作者：Miaomiao Wei，Bin Wang，Fuming Xu，Jian Wang 作为拓扑导体中近场辐射源的有限频率局部散粒噪声揭示了一个隐藏的能量损失通道，该通道不依赖于反向散射或相移，并且可以通过近场显微镜而不是传统的传输测量来检测。莱特牧师。 137, 046303] 2026 年 7 月 22 日星期三发布</w:t>
      </w:r>
    </w:p>
    <w:p>
      <w:pPr>
        <w:spacing w:before="0" w:after="200" w:lineRule="auto" w:line="276"/>
      </w:pPr>
      <w:r>
        <w:rPr>
          <w:b/>
        </w:rPr>
        <w:t xml:space="preserve">Abstract (EN): </w:t>
      </w:r>
      <w:r>
        <w:t>Author(s): Miaomiao Wei, Bin Wang, Fuming Xu, and Jian WangFinite-frequency local shot noise acting as a source of near-field radiation in topological conductors reveals a hidden energy-loss channel that does not rely on backscattering or dephasing and can be detected by near-field microscopy rather than conventional transport measurements.[Phys. Rev. Lett. 137, 046303] Published Wed Jul 22, 2026</w:t>
      </w:r>
    </w:p>
    <w:p>
      <w:pPr>
        <w:spacing w:before="120" w:after="120"/>
      </w:pPr>
      <w:r>
        <w:rPr>
          <w:sz w:val="18"/>
        </w:rPr>
        <w:t>——————————————————————————————————————————————————————————————————————</w:t>
      </w:r>
    </w:p>
    <w:p>
      <w:pPr>
        <w:spacing w:before="160" w:after="40" w:line="240" w:lineRule="auto"/>
      </w:pPr>
      <w:r>
        <w:rPr>
          <w:b/>
        </w:rPr>
        <w:t xml:space="preserve">[661] </w:t>
      </w:r>
      <w:hyperlink r:id="rId1777">
        <w:r>
          <w:rPr>
            <w:color w:val="1155CC"/>
            <w:u w:val="single"/>
          </w:rPr>
          <w:t>金属有机框架中键级波驱动的光诱导隐藏态的超快形成</w:t>
        </w:r>
      </w:hyperlink>
    </w:p>
    <w:p>
      <w:pPr>
        <w:spacing w:before="0" w:after="80"/>
      </w:pPr>
      <w:r>
        <w:rPr>
          <w:i/>
          <w:sz w:val="20"/>
        </w:rPr>
        <w:t>EN: Ultrafast Formation of a Photoinduced Hidden State Driven by a Bond-Order Wave in a Metal-Organic Framework</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78">
        <w:r>
          <w:rPr>
            <w:color w:val="1155CC"/>
            <w:u w:val="single"/>
          </w:rPr>
          <w:t>10.1103/x43y-61c1</w:t>
        </w:r>
      </w:hyperlink>
    </w:p>
    <w:p>
      <w:pPr>
        <w:spacing w:before="0" w:after="120"/>
      </w:pPr>
      <w:r>
        <w:rPr>
          <w:b/>
        </w:rPr>
        <w:t xml:space="preserve">Notes: </w:t>
      </w:r>
      <w:r>
        <w:t>abstract_source=rss_description</w:t>
      </w:r>
    </w:p>
    <w:p>
      <w:pPr>
        <w:spacing w:before="0" w:after="80" w:lineRule="auto" w:line="276"/>
      </w:pPr>
      <w:r>
        <w:rPr>
          <w:b/>
        </w:rPr>
        <w:t xml:space="preserve">摘要（ZH）: </w:t>
      </w:r>
      <w:r>
        <w:t>作者：Samiran Banu、Tatsuya Amano、Takahisa Kato、Kou Takubo、Yoichi Okimoto、Shinya Koshihara、Yohei Kawakami、Hirotake Itoh、Wataru Kosaka、Hitoshi Miyasaka、Shinichiro Iwai、Akira Takahashi 和 Tadahiko IshikawaSub-10-fs 泵浦探针反射率测量与模型计算相结合揭示了光致隐藏层的出现供体-受体型金属有机骨架中的（PH）状态。瞬态光谱表现出在 $≈30\text{ }\text{ }\mathrm{fs}$ 时间尺度上发展的附加吸收带...[Phys.莱特牧师。 137, 046902] 2026 年 7 月 22 日星期三发布</w:t>
      </w:r>
    </w:p>
    <w:p>
      <w:pPr>
        <w:spacing w:before="0" w:after="200" w:lineRule="auto" w:line="276"/>
      </w:pPr>
      <w:r>
        <w:rPr>
          <w:b/>
        </w:rPr>
        <w:t xml:space="preserve">Abstract (EN): </w:t>
      </w:r>
      <w:r>
        <w:t>Author(s): Samiran Banu, Tatsuya Amano, Takahisa Kato, Kou Takubo, Yoichi Okimoto, Shinya Koshihara, Yohei Kawakami, Hirotake Itoh, Wataru Kosaka, Hitoshi Miyasaka, Shinichiro Iwai, Akira Takahashi, and Tadahiko IshikawaSub-10-fs pump-probe reflectivity measurements combined with model calculations reveal the emergence of a photoinduced hidden (PH) state in a donor-acceptor-type metal-organic framework. Transient spectra exhibit an additional absorption band developing on a $≈30\text{ }\text{ }\mathrm{fs}$ timescal…[Phys. Rev. Lett. 137, 046902] Published Wed Jul 22, 2026</w:t>
      </w:r>
    </w:p>
    <w:p>
      <w:pPr>
        <w:spacing w:before="120" w:after="120"/>
      </w:pPr>
      <w:r>
        <w:rPr>
          <w:sz w:val="18"/>
        </w:rPr>
        <w:t>——————————————————————————————————————————————————————————————————————</w:t>
      </w:r>
    </w:p>
    <w:p>
      <w:pPr>
        <w:spacing w:before="160" w:after="40" w:line="240" w:lineRule="auto"/>
      </w:pPr>
      <w:r>
        <w:rPr>
          <w:b/>
        </w:rPr>
        <w:t xml:space="preserve">[662] </w:t>
      </w:r>
      <w:hyperlink r:id="rId1779">
        <w:r>
          <w:rPr>
            <w:color w:val="1155CC"/>
            <w:u w:val="single"/>
          </w:rPr>
          <w:t>谷不平衡菱面体石墨烯中的有限动量配对和超晶格超导</w:t>
        </w:r>
      </w:hyperlink>
    </w:p>
    <w:p>
      <w:pPr>
        <w:spacing w:before="0" w:after="80"/>
      </w:pPr>
      <w:r>
        <w:rPr>
          <w:i/>
          <w:sz w:val="20"/>
        </w:rPr>
        <w:t>EN: Finite-Momentum Pairing and Superlattice Superconductivity in Valley-Imbalanced Rhombohedral Graphene</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80">
        <w:r>
          <w:rPr>
            <w:color w:val="1155CC"/>
            <w:u w:val="single"/>
          </w:rPr>
          <w:t>10.1103/7xj7-hn98</w:t>
        </w:r>
      </w:hyperlink>
    </w:p>
    <w:p>
      <w:pPr>
        <w:spacing w:before="0" w:after="120"/>
      </w:pPr>
      <w:r>
        <w:rPr>
          <w:b/>
        </w:rPr>
        <w:t xml:space="preserve">Notes: </w:t>
      </w:r>
      <w:r>
        <w:t>abstract_source=rss_description</w:t>
      </w:r>
    </w:p>
    <w:p>
      <w:pPr>
        <w:spacing w:before="0" w:after="80" w:lineRule="auto" w:line="276"/>
      </w:pPr>
      <w:r>
        <w:rPr>
          <w:b/>
        </w:rPr>
        <w:t xml:space="preserve">摘要（ZH）: </w:t>
      </w:r>
      <w:r>
        <w:t>作者：Maine Christos、Pietro M. Bonetti 和 Mathias S. Scheurer 谷不平衡菱面体四层石墨烯中的超导不稳定性揭示了有限动量配对态和超晶格超导体的形成。莱特牧师。 137, 046505] 2026 年 7 月 22 日星期三发布</w:t>
      </w:r>
    </w:p>
    <w:p>
      <w:pPr>
        <w:spacing w:before="0" w:after="200" w:lineRule="auto" w:line="276"/>
      </w:pPr>
      <w:r>
        <w:rPr>
          <w:b/>
        </w:rPr>
        <w:t xml:space="preserve">Abstract (EN): </w:t>
      </w:r>
      <w:r>
        <w:t>Author(s): Maine Christos, Pietro M. Bonetti, and Mathias S. ScheurerSuperconducting instabilities in valley-imbalanced rhombohedral tetralayer graphene reveal the formation of finite-momentum pairing states and superlattice superconductors.[Phys. Rev. Lett. 137, 046505] Published Wed Jul 22, 2026</w:t>
      </w:r>
    </w:p>
    <w:p>
      <w:pPr>
        <w:spacing w:before="120" w:after="120"/>
      </w:pPr>
      <w:r>
        <w:rPr>
          <w:sz w:val="18"/>
        </w:rPr>
        <w:t>——————————————————————————————————————————————————————————————————————</w:t>
      </w:r>
    </w:p>
    <w:p>
      <w:pPr>
        <w:spacing w:before="160" w:after="40" w:line="240" w:lineRule="auto"/>
      </w:pPr>
      <w:r>
        <w:rPr>
          <w:b/>
        </w:rPr>
        <w:t xml:space="preserve">[663] </w:t>
      </w:r>
      <w:hyperlink r:id="rId1781">
        <w:r>
          <w:rPr>
            <w:color w:val="1155CC"/>
            <w:u w:val="single"/>
          </w:rPr>
          <w:t>准晶体中的非常规交变磁性：超空间射影结构</w:t>
        </w:r>
      </w:hyperlink>
    </w:p>
    <w:p>
      <w:pPr>
        <w:spacing w:before="0" w:after="80"/>
      </w:pPr>
      <w:r>
        <w:rPr>
          <w:i/>
          <w:sz w:val="20"/>
        </w:rPr>
        <w:t>EN: Unconventional Altermagnetism in Quasicrystals: A Hyperspatial Projective Construction</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82">
        <w:r>
          <w:rPr>
            <w:color w:val="1155CC"/>
            <w:u w:val="single"/>
          </w:rPr>
          <w:t>10.1103/hx9n-v1yg</w:t>
        </w:r>
      </w:hyperlink>
    </w:p>
    <w:p>
      <w:pPr>
        <w:spacing w:before="0" w:after="120"/>
      </w:pPr>
      <w:r>
        <w:rPr>
          <w:b/>
        </w:rPr>
        <w:t xml:space="preserve">Notes: </w:t>
      </w:r>
      <w:r>
        <w:t>abstract_source=rss_description</w:t>
      </w:r>
    </w:p>
    <w:p>
      <w:pPr>
        <w:spacing w:before="0" w:after="80" w:lineRule="auto" w:line="276"/>
      </w:pPr>
      <w:r>
        <w:rPr>
          <w:b/>
        </w:rPr>
        <w:t xml:space="preserve">摘要（ZH）: </w:t>
      </w:r>
      <w:r>
        <w:t>作者：李一鸣、潘明祥、冷军、陈宇晓、黄华清 交变磁性是一种新型磁相，其特征是对称保护、动量相关的自旋分裂和共线补偿磁矩，迄今为止主要在周期性晶体中进行探索。在这封信中，我们将交变磁性的概念扩展到准晶体——非周期系统……[物理。莱特牧师。 137, 046704] 2026 年 7 月 22 日星期三发布</w:t>
      </w:r>
    </w:p>
    <w:p>
      <w:pPr>
        <w:spacing w:before="0" w:after="200" w:lineRule="auto" w:line="276"/>
      </w:pPr>
      <w:r>
        <w:rPr>
          <w:b/>
        </w:rPr>
        <w:t xml:space="preserve">Abstract (EN): </w:t>
      </w:r>
      <w:r>
        <w:t>Author(s): Yiming Li, Mingxiang Pan, Jun Leng, Yuxiao Chen, and Huaqing HuangAltermagnetism, a novel magnetic phase characterized by symmetry-protected, momentum-dependent spin splitting and collinear compensated magnetic moments, has thus far been explored primarily in periodic crystals. In this Letter, we extend the concept of altermagnetism to quasicrystals—aperiodic syst…[Phys. Rev. Lett. 137, 046704] Published Wed Jul 22, 2026</w:t>
      </w:r>
    </w:p>
    <w:p>
      <w:pPr>
        <w:spacing w:before="120" w:after="120"/>
      </w:pPr>
      <w:r>
        <w:rPr>
          <w:sz w:val="18"/>
        </w:rPr>
        <w:t>——————————————————————————————————————————————————————————————————————</w:t>
      </w:r>
    </w:p>
    <w:p>
      <w:pPr>
        <w:spacing w:before="160" w:after="40" w:line="240" w:lineRule="auto"/>
      </w:pPr>
      <w:r>
        <w:rPr>
          <w:b/>
        </w:rPr>
        <w:t xml:space="preserve">[664] </w:t>
      </w:r>
      <w:hyperlink r:id="rId1783">
        <w:r>
          <w:rPr>
            <w:color w:val="1155CC"/>
            <w:u w:val="single"/>
          </w:rPr>
          <w:t>准晶体中的交变磁性</w:t>
        </w:r>
      </w:hyperlink>
    </w:p>
    <w:p>
      <w:pPr>
        <w:spacing w:before="0" w:after="80"/>
      </w:pPr>
      <w:r>
        <w:rPr>
          <w:i/>
          <w:sz w:val="20"/>
        </w:rPr>
        <w:t>EN: Altermagnetism in Quasicrystals</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84">
        <w:r>
          <w:rPr>
            <w:color w:val="1155CC"/>
            <w:u w:val="single"/>
          </w:rPr>
          <w:t>10.1103/src1-b2xt</w:t>
        </w:r>
      </w:hyperlink>
    </w:p>
    <w:p>
      <w:pPr>
        <w:spacing w:before="0" w:after="120"/>
      </w:pPr>
      <w:r>
        <w:rPr>
          <w:b/>
        </w:rPr>
        <w:t xml:space="preserve">Notes: </w:t>
      </w:r>
      <w:r>
        <w:t>abstract_source=rss_description</w:t>
      </w:r>
    </w:p>
    <w:p>
      <w:pPr>
        <w:spacing w:before="0" w:after="80" w:lineRule="auto" w:line="276"/>
      </w:pPr>
      <w:r>
        <w:rPr>
          <w:b/>
        </w:rPr>
        <w:t xml:space="preserve">摘要（ZH）: </w:t>
      </w:r>
      <w:r>
        <w:t>作者：Rui Chen、Bin Zhou 和 Dong-Hui Xu 交替磁体是最近发现的一类磁性材料，它结合了共线、零磁化自旋结构（反铁磁体的特征）和自旋分裂电子​​带（铁磁体的特征）。这种独特的行为源于组合时间反转和……[物理。莱特牧师。 137, 046705] 2026 年 7 月 22 日星期三发布</w:t>
      </w:r>
    </w:p>
    <w:p>
      <w:pPr>
        <w:spacing w:before="0" w:after="200" w:lineRule="auto" w:line="276"/>
      </w:pPr>
      <w:r>
        <w:rPr>
          <w:b/>
        </w:rPr>
        <w:t xml:space="preserve">Abstract (EN): </w:t>
      </w:r>
      <w:r>
        <w:t>Author(s): Rui Chen, Bin Zhou, and Dong-Hui XuAltermagnets are a recently discovered class of magnetic materials that combine a collinear, zero-magnetization spin structure, characteristic of antiferromagnets, with spin-split electronic bands, a hallmark of ferromagnets. This unique behavior arises from the breaking of combined time-reversal an…[Phys. Rev. Lett. 137, 046705] Published Wed Jul 22, 2026</w:t>
      </w:r>
    </w:p>
    <w:p>
      <w:pPr>
        <w:spacing w:before="120" w:after="120"/>
      </w:pPr>
      <w:r>
        <w:rPr>
          <w:sz w:val="18"/>
        </w:rPr>
        <w:t>——————————————————————————————————————————————————————————————————————</w:t>
      </w:r>
    </w:p>
    <w:p>
      <w:pPr>
        <w:spacing w:before="160" w:after="40" w:line="240" w:lineRule="auto"/>
      </w:pPr>
      <w:r>
        <w:rPr>
          <w:b/>
        </w:rPr>
        <w:t xml:space="preserve">[665] </w:t>
      </w:r>
      <w:hyperlink r:id="rId1785">
        <w:r>
          <w:rPr>
            <w:color w:val="1155CC"/>
            <w:u w:val="single"/>
          </w:rPr>
          <w:t>相分离引起负反馈环路振荡</w:t>
        </w:r>
      </w:hyperlink>
    </w:p>
    <w:p>
      <w:pPr>
        <w:spacing w:before="0" w:after="80"/>
      </w:pPr>
      <w:r>
        <w:rPr>
          <w:i/>
          <w:sz w:val="20"/>
        </w:rPr>
        <w:t>EN: Phase Separation Induces Oscillations in Negative Feedback Loops</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86">
        <w:r>
          <w:rPr>
            <w:color w:val="1155CC"/>
            <w:u w:val="single"/>
          </w:rPr>
          <w:t>10.1103/xn55-h5hq</w:t>
        </w:r>
      </w:hyperlink>
    </w:p>
    <w:p>
      <w:pPr>
        <w:spacing w:before="0" w:after="120"/>
      </w:pPr>
      <w:r>
        <w:rPr>
          <w:b/>
        </w:rPr>
        <w:t xml:space="preserve">Notes: </w:t>
      </w:r>
      <w:r>
        <w:t>abstract_source=rss_description</w:t>
      </w:r>
    </w:p>
    <w:p>
      <w:pPr>
        <w:spacing w:before="0" w:after="80" w:lineRule="auto" w:line="276"/>
      </w:pPr>
      <w:r>
        <w:rPr>
          <w:b/>
        </w:rPr>
        <w:t xml:space="preserve">摘要（ZH）: </w:t>
      </w:r>
      <w:r>
        <w:t>作者：Alessandra Lucchetti、Lukas H. Kristensen、Mogens H. Jensen 和 Mathias S. Heltberg 振荡构成了非平衡生命过程的一个决定性特征。我们分析了最小降解介导的负反馈循环，其中线性级联中的最终物质通过酶促降解第一个组分。通过将平均场常微分方程与 p 耦合......[Phys。莱特牧师。 137, 048401] 2026 年 7 月 22 日星期三发布</w:t>
      </w:r>
    </w:p>
    <w:p>
      <w:pPr>
        <w:spacing w:before="0" w:after="200" w:lineRule="auto" w:line="276"/>
      </w:pPr>
      <w:r>
        <w:rPr>
          <w:b/>
        </w:rPr>
        <w:t xml:space="preserve">Abstract (EN): </w:t>
      </w:r>
      <w:r>
        <w:t>Author(s): Alessandra Lucchetti, Lukas H. Kristensen, Mogens H. Jensen, and Mathias S. HeltbergOscillations constitute a defining feature of nonequilibrium processes of life. We analyze a minimal degradation-mediated negative feedback loop, in which the final species in a linear cascade enzymatically degrades the first component. By coupling mean-field ordinary differential equations with a p…[Phys. Rev. Lett. 137, 048401] Published Wed Jul 22, 2026</w:t>
      </w:r>
    </w:p>
    <w:p>
      <w:pPr>
        <w:spacing w:before="120" w:after="120"/>
      </w:pPr>
      <w:r>
        <w:rPr>
          <w:sz w:val="18"/>
        </w:rPr>
        <w:t>——————————————————————————————————————————————————————————————————————</w:t>
      </w:r>
    </w:p>
    <w:p>
      <w:pPr>
        <w:spacing w:before="160" w:after="40" w:line="240" w:lineRule="auto"/>
      </w:pPr>
      <w:r>
        <w:rPr>
          <w:b/>
        </w:rPr>
        <w:t xml:space="preserve">[666] </w:t>
      </w:r>
      <w:hyperlink r:id="rId1787">
        <w:r>
          <w:rPr>
            <w:color w:val="1155CC"/>
            <w:u w:val="single"/>
          </w:rPr>
          <w:t>掺杂 $5{\mathrm{d}}^{2}$ 双钙钛矿中极化子驱动的八极序切换</w:t>
        </w:r>
      </w:hyperlink>
    </w:p>
    <w:p>
      <w:pPr>
        <w:spacing w:before="0" w:after="80"/>
      </w:pPr>
      <w:r>
        <w:rPr>
          <w:i/>
          <w:sz w:val="20"/>
        </w:rPr>
        <w:t>EN: Polaron-Driven Switching of Octupolar Order in Doped $5{\mathrm{d}}^{2}$ Double Perovskite</w:t>
      </w:r>
    </w:p>
    <w:p>
      <w:pPr>
        <w:spacing w:before="0" w:after="120"/>
      </w:pPr>
      <w:r>
        <w:rPr>
          <w:b/>
        </w:rPr>
        <w:t xml:space="preserve">Source: </w:t>
      </w:r>
      <w:r>
        <w:t>Recent Articles in Phys. Rev. Lett.</w:t>
      </w:r>
      <w:r>
        <w:t xml:space="preserve">    </w:t>
      </w:r>
      <w:r>
        <w:rPr>
          <w:b/>
        </w:rPr>
        <w:t xml:space="preserve">Pub date: </w:t>
      </w:r>
      <w:r>
        <w:t>2026-07-22 10:00:00+00:00</w:t>
      </w:r>
      <w:r>
        <w:t xml:space="preserve">    </w:t>
      </w:r>
      <w:r>
        <w:rPr>
          <w:b/>
        </w:rPr>
        <w:t xml:space="preserve">DOI: </w:t>
      </w:r>
      <w:hyperlink r:id="rId1788">
        <w:r>
          <w:rPr>
            <w:color w:val="1155CC"/>
            <w:u w:val="single"/>
          </w:rPr>
          <w:t>10.1103/r8v5-h8bq</w:t>
        </w:r>
      </w:hyperlink>
    </w:p>
    <w:p>
      <w:pPr>
        <w:spacing w:before="0" w:after="120"/>
      </w:pPr>
      <w:r>
        <w:rPr>
          <w:b/>
        </w:rPr>
        <w:t xml:space="preserve">Notes: </w:t>
      </w:r>
      <w:r>
        <w:t>abstract_source=rss_description</w:t>
      </w:r>
    </w:p>
    <w:p>
      <w:pPr>
        <w:spacing w:before="0" w:after="80" w:lineRule="auto" w:line="276"/>
      </w:pPr>
      <w:r>
        <w:rPr>
          <w:b/>
        </w:rPr>
        <w:t xml:space="preserve">摘要（ZH）: </w:t>
      </w:r>
      <w:r>
        <w:t>作者：Dario Fiore Mosca、Lorenzo Celiberti、Leonid V. Pourovskii 和 Cesare Franchini 我们研究了掺杂引起的小极化子如何影响 $5{d}^{2}$ 双钙钛矿 ${\mathrm{Ba}}_{2}{\mathrm{CaOsO}}_{6}$ 的低温多极级。通过计算来自第一个 p 的 $5{d}^{1}$ 局域空穴极化子和 $5{d}^{2}$ 磁性离子之间的位点交换相互作用...[Phys.莱特牧师。 137, 046504] 2026 年 7 月 22 日星期三发布</w:t>
      </w:r>
    </w:p>
    <w:p>
      <w:pPr>
        <w:spacing w:before="0" w:after="200" w:lineRule="auto" w:line="276"/>
      </w:pPr>
      <w:r>
        <w:rPr>
          <w:b/>
        </w:rPr>
        <w:t xml:space="preserve">Abstract (EN): </w:t>
      </w:r>
      <w:r>
        <w:t>Author(s): Dario Fiore Mosca, Lorenzo Celiberti, Leonid V. Pourovskii, and Cesare FranchiniWe investigate how doping-induced small polarons impact the low-temperature multipolar orders of the $5{d}^{2}$ double perovskite ${\mathrm{Ba}}_{2}{\mathrm{CaOsO}}_{6}$. By computing intersite exchange interactions between $5{d}^{1}$ localized hole polarons and $5{d}^{2}$ magnetic ions from first p…[Phys. Rev. Lett. 137, 046504] Published Wed Jul 22, 2026</w:t>
      </w:r>
    </w:p>
    <w:p>
      <w:pPr>
        <w:spacing w:before="120" w:after="120"/>
      </w:pPr>
      <w:r>
        <w:rPr>
          <w:sz w:val="18"/>
        </w:rPr>
        <w:t>——————————————————————————————————————————————————————————————————————</w:t>
      </w:r>
    </w:p>
    <w:p>
      <w:pPr>
        <w:spacing w:before="160" w:after="40" w:line="240" w:lineRule="auto"/>
      </w:pPr>
      <w:r>
        <w:rPr>
          <w:b/>
        </w:rPr>
        <w:t xml:space="preserve">[667] </w:t>
      </w:r>
      <w:hyperlink r:id="rId1789">
        <w:r>
          <w:rPr>
            <w:color w:val="1155CC"/>
            <w:u w:val="single"/>
          </w:rPr>
          <w:t>使用轫致辐射在 14 MeV 端点能量下测量 Cd 和 Sn $p$ 过程核的光中子有效截面，以验证 talys 2.0 模拟</w:t>
        </w:r>
      </w:hyperlink>
    </w:p>
    <w:p>
      <w:pPr>
        <w:spacing w:before="0" w:after="80"/>
      </w:pPr>
      <w:r>
        <w:rPr>
          <w:i/>
          <w:sz w:val="20"/>
        </w:rPr>
        <w:t>EN: Photoneutron effective cross sections of Cd and Sn $p$-process nuclei measured with bremsstrahlung at 14-MeV endpoint energy to validate talys 2.0 simulations</w:t>
      </w:r>
    </w:p>
    <w:p>
      <w:pPr>
        <w:spacing w:before="0" w:after="120"/>
      </w:pPr>
      <w:r>
        <w:rPr>
          <w:b/>
        </w:rPr>
        <w:t xml:space="preserve">Source: </w:t>
      </w:r>
      <w:r>
        <w:t>Recent Articles in Phys. Rev. C</w:t>
      </w:r>
      <w:r>
        <w:t xml:space="preserve">    </w:t>
      </w:r>
      <w:r>
        <w:rPr>
          <w:b/>
        </w:rPr>
        <w:t xml:space="preserve">Pub date: </w:t>
      </w:r>
      <w:r>
        <w:t>2026-07-22 10:00:00+00:00</w:t>
      </w:r>
      <w:r>
        <w:t xml:space="preserve">    </w:t>
      </w:r>
      <w:r>
        <w:rPr>
          <w:b/>
        </w:rPr>
        <w:t xml:space="preserve">DOI: </w:t>
      </w:r>
      <w:hyperlink r:id="rId1790">
        <w:r>
          <w:rPr>
            <w:color w:val="1155CC"/>
            <w:u w:val="single"/>
          </w:rPr>
          <w:t>10.1103/cn46-gjy8</w:t>
        </w:r>
      </w:hyperlink>
    </w:p>
    <w:p>
      <w:pPr>
        <w:spacing w:before="0" w:after="120"/>
      </w:pPr>
      <w:r>
        <w:rPr>
          <w:b/>
        </w:rPr>
        <w:t xml:space="preserve">Notes: </w:t>
      </w:r>
      <w:r>
        <w:t>abstract_source=rss_description</w:t>
      </w:r>
    </w:p>
    <w:p>
      <w:pPr>
        <w:spacing w:before="0" w:after="80" w:lineRule="auto" w:line="276"/>
      </w:pPr>
      <w:r>
        <w:rPr>
          <w:b/>
        </w:rPr>
        <w:t xml:space="preserve">摘要（ZH）: </w:t>
      </w:r>
      <w:r>
        <w:t>作者：E. Vagena、P. Dimitriou、S. Harissopulos 和 S. Stoulos各种 Cd 和 Sn 同位素（包括 $p$ 核 $^{106,108}\mathrm{Cd}$ 和 $^{112,114}\mathrm{Sn}$ 的 $(γ,n)$ 反应横截面使用以下方法测量Cd 和 Sn 靶上 14 MeV 的轫致辐射光子。应用了厚箔激活技术，并做出了贡献……[Phys。 Rev. C 114, 014630] 2026 年 7 月 22 日星期三发布</w:t>
      </w:r>
    </w:p>
    <w:p>
      <w:pPr>
        <w:spacing w:before="0" w:after="200" w:lineRule="auto" w:line="276"/>
      </w:pPr>
      <w:r>
        <w:rPr>
          <w:b/>
        </w:rPr>
        <w:t xml:space="preserve">Abstract (EN): </w:t>
      </w:r>
      <w:r>
        <w:t>Author(s): E. Vagena, P. Dimitriou, S. Harissopulos, and S. StoulosThe cross-sections of the $(γ,n)$ reaction of various Cd and Sn isotopes, including the $p$ nuclei $^{106,108}\mathrm{Cd}$ and $^{112,114}\mathrm{Sn}$, were measured using bremsstrahlung photons of 14 MeV on Cd and Sn targets. The thick-foil activation technique was applied, and the contribution fro…[Phys. Rev. C 114, 014630] Published Wed Jul 22, 2026</w:t>
      </w:r>
    </w:p>
    <w:p>
      <w:pPr>
        <w:spacing w:before="120" w:after="120"/>
      </w:pPr>
      <w:r>
        <w:rPr>
          <w:sz w:val="18"/>
        </w:rPr>
        <w:t>——————————————————————————————————————————————————————————————————————</w:t>
      </w:r>
    </w:p>
    <w:p>
      <w:pPr>
        <w:spacing w:before="160" w:after="40" w:line="240" w:lineRule="auto"/>
      </w:pPr>
      <w:r>
        <w:rPr>
          <w:b/>
        </w:rPr>
        <w:t xml:space="preserve">[668] </w:t>
      </w:r>
      <w:hyperlink r:id="rId1791">
        <w:r>
          <w:rPr>
            <w:color w:val="1155CC"/>
            <w:u w:val="single"/>
          </w:rPr>
          <w:t>核壳模型长期问题的精确解：投影后变分方法中的离散非正交壳模型</w:t>
        </w:r>
      </w:hyperlink>
    </w:p>
    <w:p>
      <w:pPr>
        <w:spacing w:before="0" w:after="80"/>
      </w:pPr>
      <w:r>
        <w:rPr>
          <w:i/>
          <w:sz w:val="20"/>
        </w:rPr>
        <w:t>EN: Exact solutions of the nuclear shell-model secular problem: Discrete nonorthogonal shell model within a variation-after-projection approach</w:t>
      </w:r>
    </w:p>
    <w:p>
      <w:pPr>
        <w:spacing w:before="0" w:after="120"/>
      </w:pPr>
      <w:r>
        <w:rPr>
          <w:b/>
        </w:rPr>
        <w:t xml:space="preserve">Source: </w:t>
      </w:r>
      <w:r>
        <w:t>Recent Articles in Phys. Rev. C</w:t>
      </w:r>
      <w:r>
        <w:t xml:space="preserve">    </w:t>
      </w:r>
      <w:r>
        <w:rPr>
          <w:b/>
        </w:rPr>
        <w:t xml:space="preserve">Pub date: </w:t>
      </w:r>
      <w:r>
        <w:t>2026-07-22 10:00:00+00:00</w:t>
      </w:r>
      <w:r>
        <w:t xml:space="preserve">    </w:t>
      </w:r>
      <w:r>
        <w:rPr>
          <w:b/>
        </w:rPr>
        <w:t xml:space="preserve">DOI: </w:t>
      </w:r>
      <w:hyperlink r:id="rId1792">
        <w:r>
          <w:rPr>
            <w:color w:val="1155CC"/>
            <w:u w:val="single"/>
          </w:rPr>
          <w:t>10.1103/nkck-ctvd</w:t>
        </w:r>
      </w:hyperlink>
    </w:p>
    <w:p>
      <w:pPr>
        <w:spacing w:before="0" w:after="120"/>
      </w:pPr>
      <w:r>
        <w:rPr>
          <w:b/>
        </w:rPr>
        <w:t xml:space="preserve">Notes: </w:t>
      </w:r>
      <w:r>
        <w:t>abstract_source=rss_description</w:t>
      </w:r>
    </w:p>
    <w:p>
      <w:pPr>
        <w:spacing w:before="0" w:after="80" w:lineRule="auto" w:line="276"/>
      </w:pPr>
      <w:r>
        <w:rPr>
          <w:b/>
        </w:rPr>
        <w:t xml:space="preserve">摘要（ZH）: </w:t>
      </w:r>
      <w:r>
        <w:t>作者：Duy Duc Dao 和 Frédéric Nowacki 采用对称破缺本征态的变分方法为处理大规模壳模型计算提供了替代方法。虽然后者提供了旋转运动和壳结构的统一图像，但众所周知，前者为核变形的描述提供了良好的近似。然而，在这种方法中，通常很难完全捕获配对相关性的影响，例如在集体旋转运动受到显着干扰的后弯现象中。在本文中，使用一组离散的非正交 Slater 行列式精确再现了来自大规模壳模型计算的能级结合能，从而验证了它们与描述配对特性的相关性，如 48Cr 基态带和 78Ni 基态中所示，这是传统壳模型计算的极限。这些结果有力地证明了关于现实壳模型计算中非正交波函数完整性的 Broeckhove-Deumens 定理。 Rev. C 114, 014327] 2026 年 7 月 22 日星期三发布</w:t>
      </w:r>
    </w:p>
    <w:p>
      <w:pPr>
        <w:spacing w:before="0" w:after="200" w:lineRule="auto" w:line="276"/>
      </w:pPr>
      <w:r>
        <w:rPr>
          <w:b/>
        </w:rPr>
        <w:t xml:space="preserve">Abstract (EN): </w:t>
      </w:r>
      <w:r>
        <w:t>Author(s): Duy Duc Dao and Frédéric NowackiVariational methods employing symmetry-breaking intrinsic states offer alternative ways to tackle large-scale shell model calculations. While the latter provides a unified picture of the rotational motion and shell structure, the former has been known to provide a good approximation for the description of nuclear deformation. However, in such approaches, it is generally difficult to fully capture the effects of pairing correlations, for example in the backbending phenomena where the collective rotational motion is significantly disturbed. In this paper, the binding energies of levels coming from large-scale shell-model calculations are exactly reproduced using a discrete set of non-orthogonal Slater determinants, thus verifying their relevance for describing pairing properties as demonstrated in the ground-state band of 48Cr and the ground state of 78Ni, which is at the limit of conventional shell-model calculations. These results constitute a firm proof of the Broeckhove-Deumens theorem on the completeness property of non-orthogonal wave functions in realistic shell-model calculations.[Phys. Rev. C 114, 014327] Published Wed Jul 22, 2026</w:t>
      </w:r>
    </w:p>
    <w:p>
      <w:pPr>
        <w:spacing w:before="120" w:after="120"/>
      </w:pPr>
      <w:r>
        <w:rPr>
          <w:sz w:val="18"/>
        </w:rPr>
        <w:t>——————————————————————————————————————————————————————————————————————</w:t>
      </w:r>
    </w:p>
    <w:p>
      <w:pPr>
        <w:spacing w:before="160" w:after="40" w:line="240" w:lineRule="auto"/>
      </w:pPr>
      <w:r>
        <w:rPr>
          <w:b/>
        </w:rPr>
        <w:t xml:space="preserve">[669] </w:t>
      </w:r>
      <w:hyperlink r:id="rId1793">
        <w:r>
          <w:rPr>
            <w:color w:val="1155CC"/>
            <w:u w:val="single"/>
          </w:rPr>
          <w:t>来自 $^{71}\mathrm{Ga}(n,γ)^{72}\mathrm{Ga}$ 捕获数据的 $^{72}\mathrm{Ga}$ 的 $E1 γ$ 射线强度函数的实验约束</w:t>
        </w:r>
      </w:hyperlink>
    </w:p>
    <w:p>
      <w:pPr>
        <w:spacing w:before="0" w:after="80"/>
      </w:pPr>
      <w:r>
        <w:rPr>
          <w:i/>
          <w:sz w:val="20"/>
        </w:rPr>
        <w:t>EN: Experimental constraints on the $E1 γ$-ray strength function of $^{72}\mathrm{Ga}$ from $^{71}\mathrm{Ga}(n,γ)^{72}\mathrm{Ga}$ capture data</w:t>
      </w:r>
    </w:p>
    <w:p>
      <w:pPr>
        <w:spacing w:before="0" w:after="120"/>
      </w:pPr>
      <w:r>
        <w:rPr>
          <w:b/>
        </w:rPr>
        <w:t xml:space="preserve">Source: </w:t>
      </w:r>
      <w:r>
        <w:t>Recent Articles in Phys. Rev. C</w:t>
      </w:r>
      <w:r>
        <w:t xml:space="preserve">    </w:t>
      </w:r>
      <w:r>
        <w:rPr>
          <w:b/>
        </w:rPr>
        <w:t xml:space="preserve">Pub date: </w:t>
      </w:r>
      <w:r>
        <w:t>2026-07-22 10:00:00+00:00</w:t>
      </w:r>
      <w:r>
        <w:t xml:space="preserve">    </w:t>
      </w:r>
      <w:r>
        <w:rPr>
          <w:b/>
        </w:rPr>
        <w:t xml:space="preserve">DOI: </w:t>
      </w:r>
      <w:hyperlink r:id="rId1794">
        <w:r>
          <w:rPr>
            <w:color w:val="1155CC"/>
            <w:u w:val="single"/>
          </w:rPr>
          <w:t>10.1103/slgj-nwcl</w:t>
        </w:r>
      </w:hyperlink>
    </w:p>
    <w:p>
      <w:pPr>
        <w:spacing w:before="0" w:after="120"/>
      </w:pPr>
      <w:r>
        <w:rPr>
          <w:b/>
        </w:rPr>
        <w:t xml:space="preserve">Notes: </w:t>
      </w:r>
      <w:r>
        <w:t>abstract_source=rss_description</w:t>
      </w:r>
    </w:p>
    <w:p>
      <w:pPr>
        <w:spacing w:before="0" w:after="80" w:lineRule="auto" w:line="276"/>
      </w:pPr>
      <w:r>
        <w:rPr>
          <w:b/>
        </w:rPr>
        <w:t xml:space="preserve">摘要（ZH）: </w:t>
      </w:r>
      <w:r>
        <w:t>作者：Sajid Ali、Rajkumar Santra 和 Gautam Gangopadhyay$^{72}\mathrm{Ga}$ 原子核的 $γ$ 射线强度函数的 $E1$ 分量首次通过对 $^{71}\mathrm{Ga}(n,γ)^{72}\mathrm{Ga}$ 反应的可用捕获数据进行统计 Hauser-Feshbach 分析来限制中子能量范围为 0.01–3 MeV。 ...[物理。牧师神父。 C 114, 014629] 2026 年 7 月 22 日星期三发布</w:t>
      </w:r>
    </w:p>
    <w:p>
      <w:pPr>
        <w:spacing w:before="0" w:after="200" w:lineRule="auto" w:line="276"/>
      </w:pPr>
      <w:r>
        <w:rPr>
          <w:b/>
        </w:rPr>
        <w:t xml:space="preserve">Abstract (EN): </w:t>
      </w:r>
      <w:r>
        <w:t>Author(s): Sajid Ali, Rajkumar Santra, and Gautam GangopadhyayThe $E1$ component of the $γ$-ray strength function of $^{72}\mathrm{Ga}$ nuclei has been constrained for the first time through a statistical Hauser-Feshbach analysis of the available capture data for the $^{71}\mathrm{Ga}(n,γ)^{72}\mathrm{Ga}$ reaction over the neutron energy range of 0.01–3 MeV. …[Phys. Rev. C 114, 014629] Published Wed Jul 22, 2026</w:t>
      </w:r>
    </w:p>
    <w:p>
      <w:pPr>
        <w:spacing w:before="120" w:after="120"/>
      </w:pPr>
      <w:r>
        <w:rPr>
          <w:sz w:val="18"/>
        </w:rPr>
        <w:t>——————————————————————————————————————————————————————————————————————</w:t>
      </w:r>
    </w:p>
    <w:p>
      <w:pPr>
        <w:spacing w:before="160" w:after="40" w:line="240" w:lineRule="auto"/>
      </w:pPr>
      <w:r>
        <w:rPr>
          <w:b/>
        </w:rPr>
        <w:t xml:space="preserve">[670] </w:t>
      </w:r>
      <w:hyperlink r:id="rId1795">
        <w:r>
          <w:rPr>
            <w:color w:val="1155CC"/>
            <w:u w:val="single"/>
          </w:rPr>
          <w:t>高度缠结的洗瓶刷聚合物网络</w:t>
        </w:r>
      </w:hyperlink>
    </w:p>
    <w:p>
      <w:pPr>
        <w:spacing w:before="0" w:after="80"/>
      </w:pPr>
      <w:r>
        <w:rPr>
          <w:i/>
          <w:sz w:val="20"/>
        </w:rPr>
        <w:t>EN: Highly Entangled Bottlebrush Polymer Networks</w:t>
      </w:r>
    </w:p>
    <w:p>
      <w:pPr>
        <w:spacing w:before="0" w:after="120"/>
      </w:pPr>
      <w:r>
        <w:rPr>
          <w:b/>
        </w:rPr>
        <w:t xml:space="preserve">Source: </w:t>
      </w:r>
      <w:r>
        <w:t>Wiley: Advanced Materials: Table of Contents</w:t>
      </w:r>
      <w:r>
        <w:t xml:space="preserve">    </w:t>
      </w:r>
      <w:r>
        <w:rPr>
          <w:b/>
        </w:rPr>
        <w:t xml:space="preserve">Pub date: </w:t>
      </w:r>
      <w:r>
        <w:t>2026-07-22 11:53:37+00:00</w:t>
      </w:r>
      <w:r>
        <w:t xml:space="preserve">    </w:t>
      </w:r>
      <w:r>
        <w:rPr>
          <w:b/>
        </w:rPr>
        <w:t xml:space="preserve">DOI: </w:t>
      </w:r>
      <w:hyperlink r:id="rId1796">
        <w:r>
          <w:rPr>
            <w:color w:val="1155CC"/>
            <w:u w:val="single"/>
          </w:rPr>
          <w:t>10.1002/adma.73765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缠结是控制聚合物网络动态机械行为的拓扑约束。线性聚合物在相对较低的分子量下不可避免地会发生缠结，而瓶刷聚合物（由长主链密集接枝有许多相对短的侧链组成）会抑制缠结，从而使无溶剂网络具有组织般的柔软度。然而，同样的空间拥挤使主干发生预应变，并使这种网络变得脆弱。在这里，我们报告了高度缠结的洗瓶刷弹性体，它结合了极度的柔软性和韧性。使用短聚乙二醇侧链，我们合成了高分子量洗瓶刷聚合物 (&gt;3 × 10</w:t>
      </w:r>
      <w:r>
        <w:rPr>
          <w:vertAlign w:val="subscript"/>
        </w:rPr>
        <w:t>6</w:t>
      </w:r>
      <w:r>
        <w:t>g/mol），在室温下保持无定形。我们确定纠缠阈值为 2.4 × 10</w:t>
      </w:r>
      <w:r>
        <w:rPr>
          <w:vertAlign w:val="subscript"/>
        </w:rPr>
        <w:t>6</w:t>
      </w:r>
      <w:r>
        <w:t>g/mol，纠缠模量约为 1.3 kPa，比线性对应物低近 1000 倍。虽然未缠结的洗瓶刷网络表现出应变硬化，但缠结的洗瓶刷网络表现出明显的应变软化，然后由于缠结滑移而延迟硬化。尽管模量较低 (∼1 kPa)，这些弹性体的拉伸率高达 ∼1800%，并且疲劳阈值为 ∼63 J/m</w:t>
      </w:r>
      <w:r>
        <w:rPr>
          <w:vertAlign w:val="subscript"/>
        </w:rPr>
        <w:t>2</w:t>
      </w:r>
      <w:r>
        <w:t>，可与天然橡胶相媲美。它们的固有疲劳强度（按模量归一化的疲劳阈值）比高度缠结的线性聚合物网络高出 40 倍以上。这些结果建立了一个新的软但尚未分类的类别</w:t>
      </w:r>
    </w:p>
    <w:p>
      <w:pPr>
        <w:spacing w:before="0" w:after="200" w:lineRule="auto" w:line="276"/>
      </w:pPr>
      <w:r>
        <w:rPr>
          <w:b/>
        </w:rPr>
        <w:t xml:space="preserve">Abstract (EN): </w:t>
      </w:r>
      <w:r>
        <w:t>Entanglements are topological constraints that govern the dynamic mechanical behavior of polymer networks. Linear polymers inevitably entangle at relatively low molecular weights, whereas bottlebrush polymers—consisting of a long backbone densely grafted with many relatively short side chains—suppress entanglements, enabling solvent‐free networks with tissue‐like softness. Yet, the same steric crowding pre‐strains the backbone and renders such networks brittle. Here, we report highly entangled bottlebrush elastomers that combine extreme softness and toughness. Using short polyethylene glycol side chains, we synthesize high molecular weight bottlebrush polymers (&amp;gt;3 × 10</w:t>
      </w:r>
      <w:r>
        <w:rPr>
          <w:vertAlign w:val="subscript"/>
        </w:rPr>
        <w:t>6</w:t>
      </w:r>
      <w:r>
        <w:t>g/mol) that remain amorphous at room temperature. We identify an entanglement threshold of 2.4 × 10</w:t>
      </w:r>
      <w:r>
        <w:rPr>
          <w:vertAlign w:val="subscript"/>
        </w:rPr>
        <w:t>6</w:t>
      </w:r>
      <w:r>
        <w:t>g/mol with an entanglement modulus of ∼1.3 kPa, nearly 1000 times lower than that of linear counterparts. While unentangled bottlebrush networks exhibit strain‐stiffening, entangled bottlebrush networks display pronounced strain‐softening followed by delayed stiffening due to entanglement slippage. Despite their low modulus (∼1 kPa), these elastomers stretch up to ∼1800% and show a fatigue threshold of ∼63 J/m</w:t>
      </w:r>
      <w:r>
        <w:rPr>
          <w:vertAlign w:val="subscript"/>
        </w:rPr>
        <w:t>2</w:t>
      </w:r>
      <w:r>
        <w:t>, comparable to natural rubber. Their intrinsic fatigue strength—fatigue threshold normalized by modulus—surpasses that of highly entangled linear polymer networks by &amp;gt;40‐fold. These results establish a new class of soft yet tough polymer networks and provide a model system for understanding nonlinear mechanics in architecturally complex polymers.</w:t>
      </w:r>
    </w:p>
    <w:p>
      <w:pPr>
        <w:spacing w:before="120" w:after="120"/>
      </w:pPr>
      <w:r>
        <w:rPr>
          <w:sz w:val="18"/>
        </w:rPr>
        <w:t>——————————————————————————————————————————————————————————————————————</w:t>
      </w:r>
    </w:p>
    <w:p>
      <w:pPr>
        <w:spacing w:before="160" w:after="40" w:line="240" w:lineRule="auto"/>
      </w:pPr>
      <w:r>
        <w:rPr>
          <w:b/>
        </w:rPr>
        <w:t xml:space="preserve">[671] </w:t>
      </w:r>
      <w:hyperlink r:id="rId1797">
        <w:r>
          <w:rPr>
            <w:color w:val="1155CC"/>
            <w:u w:val="single"/>
          </w:rPr>
          <w:t>揭开 α-MoO3 作为高折射率、低损耗各向异性材料的面纱：弥合中红外到紫外纳米光子学的差距</w:t>
        </w:r>
      </w:hyperlink>
    </w:p>
    <w:p>
      <w:pPr>
        <w:spacing w:before="0" w:after="80"/>
      </w:pPr>
      <w:r>
        <w:rPr>
          <w:i/>
          <w:sz w:val="20"/>
        </w:rPr>
        <w:t>EN: Unveiling α‐MoO3 as a High‐Index, Low‐Loss Anisotropic Material: Bridging the Gap From Mid‐Infrared to Ultraviolet Nanophotonics</w:t>
      </w:r>
    </w:p>
    <w:p>
      <w:pPr>
        <w:spacing w:before="0" w:after="120"/>
      </w:pPr>
      <w:r>
        <w:rPr>
          <w:b/>
        </w:rPr>
        <w:t xml:space="preserve">Source: </w:t>
      </w:r>
      <w:r>
        <w:t>Wiley: Advanced Materials: Table of Contents</w:t>
      </w:r>
      <w:r>
        <w:t xml:space="preserve">    </w:t>
      </w:r>
      <w:r>
        <w:rPr>
          <w:b/>
        </w:rPr>
        <w:t xml:space="preserve">Pub date: </w:t>
      </w:r>
      <w:r>
        <w:t>2026-07-22 11:54:41+00:00</w:t>
      </w:r>
      <w:r>
        <w:t xml:space="preserve">    </w:t>
      </w:r>
      <w:r>
        <w:rPr>
          <w:b/>
        </w:rPr>
        <w:t xml:space="preserve">DOI: </w:t>
      </w:r>
      <w:hyperlink r:id="rId1798">
        <w:r>
          <w:rPr>
            <w:color w:val="1155CC"/>
            <w:u w:val="single"/>
          </w:rPr>
          <w:t>10.1002/adma.74228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现代纳米光子学需要在亚波长范围内进行光操纵，而这种能力历来受到传统光学半导体的各向同性介电响应的限制。在这里，我们建立了α-MoO</w:t>
      </w:r>
      <w:r>
        <w:rPr>
          <w:vertAlign w:val="subscript"/>
        </w:rPr>
        <w:t>3</w:t>
      </w:r>
      <w:r>
        <w:t>作为一种高折射率、低损耗的各向异性材料，它弥补了中红外极化子学和短波长纳米光子学之间的差距。结合光谱椭偏仪、第一原理计算和近场光学显微镜，我们确定了其宽带 250-1700 nm 各向异性光学常数，并将其与中红外至 30 µm 的声子模型相结合。而α-MoO的中红外声子极化激元特性</w:t>
      </w:r>
      <w:r>
        <w:rPr>
          <w:vertAlign w:val="subscript"/>
        </w:rPr>
        <w:t>3</w:t>
      </w:r>
      <w:r>
        <w:t>文献中已充分确立，目前的工作首次提供了其在紫外到近红外范围内的完整各向异性介电张量的实验表征，从概念上桥接了该材料应用的这两个光谱域。明显的面外双折射 0.35 可抑制瞬逝串扰，超越竞争的范德华 (vdW) 波导材料，并且高面内各向异性可在短至 325 nm 的波长下实现零级波片。作为实际演示，我们制备了在可见光范围内表现出波长选择性光引导的纳米波导。总之，这些结果重新定位了α-MoO</w:t>
      </w:r>
      <w:r>
        <w:rPr>
          <w:vertAlign w:val="subscript"/>
        </w:rPr>
        <w:t>3</w:t>
      </w:r>
      <w:r>
        <w:t>从中红外特定材料到桥接中红外的多功能宽带隙平台</w:t>
      </w:r>
    </w:p>
    <w:p>
      <w:pPr>
        <w:spacing w:before="0" w:after="200" w:lineRule="auto" w:line="276"/>
      </w:pPr>
      <w:r>
        <w:rPr>
          <w:b/>
        </w:rPr>
        <w:t xml:space="preserve">Abstract (EN): </w:t>
      </w:r>
      <w:r>
        <w:t>Modern nanophotonics demands light manipulation at a subwavelength scale, a capability historically constrained by the isotropic dielectric response of conventional optical semiconductors. Here, we establish α‐MoO</w:t>
      </w:r>
      <w:r>
        <w:rPr>
          <w:vertAlign w:val="subscript"/>
        </w:rPr>
        <w:t>3</w:t>
      </w:r>
      <w:r>
        <w:t>as a high‐index, low‐loss anisotropic material that bridges the gap between mid‐infrared polaritonics and short‐wavelength nanophotonics. Integrating spectroscopic ellipsometry, first‐principles calculations, and near‐field optical microscopy, we determine its broadband 250–1700 nm anisotropic optical constants and combine them with a phonon model in mid‐infrared to 30 µm. While the mid‐infrared phonon polariton properties of α‐MoO</w:t>
      </w:r>
      <w:r>
        <w:rPr>
          <w:vertAlign w:val="subscript"/>
        </w:rPr>
        <w:t>3</w:t>
      </w:r>
      <w:r>
        <w:t>are well established in the literature, the present work provides the first experimental characterization of its complete anisotropic dielectric tensor in the ultraviolet‐to‐near‐infrared regime, conceptually bridging these two spectral domains in which this material finds application. The pronounced out‐of‐plane birefringence 0.35 suppresses evanescent crosstalk beyond competing van der Waals (vdW) waveguide materials, and the high in‐plane anisotropy enables zero‐order waveplates at wavelengths as short as 325 nm. As a practical demonstration, we prepared nanowaveguide which exhibits wavelength‐selective light guidance at visible range. Together, these results reposition α‐MoO</w:t>
      </w:r>
      <w:r>
        <w:rPr>
          <w:vertAlign w:val="subscript"/>
        </w:rPr>
        <w:t>3</w:t>
      </w:r>
      <w:r>
        <w:t>from a mid‐infrared specific material to a versatile wide‐bandgap platform bridging mid‐infrared polaritonics and ultraviolet‐visible nanophotonics.</w:t>
      </w:r>
    </w:p>
    <w:p>
      <w:pPr>
        <w:spacing w:before="120" w:after="120"/>
      </w:pPr>
      <w:r>
        <w:rPr>
          <w:sz w:val="18"/>
        </w:rPr>
        <w:t>——————————————————————————————————————————————————————————————————————</w:t>
      </w:r>
    </w:p>
    <w:p>
      <w:pPr>
        <w:spacing w:before="160" w:after="40" w:line="240" w:lineRule="auto"/>
      </w:pPr>
      <w:r>
        <w:rPr>
          <w:b/>
        </w:rPr>
        <w:t xml:space="preserve">[672] </w:t>
      </w:r>
      <w:hyperlink r:id="rId1799">
        <w:r>
          <w:rPr>
            <w:color w:val="1155CC"/>
            <w:u w:val="single"/>
          </w:rPr>
          <w:t>具有热受激延迟磷光特性的超亮、温度惰性金配合物闪烁体</w:t>
        </w:r>
      </w:hyperlink>
    </w:p>
    <w:p>
      <w:pPr>
        <w:spacing w:before="0" w:after="80"/>
      </w:pPr>
      <w:r>
        <w:rPr>
          <w:i/>
          <w:sz w:val="20"/>
        </w:rPr>
        <w:t>EN: A Super‐Bright and Temperature‐Inert Au Complex Scintillator With Thermally Stimulated Delayed Phosphorescence Characteristic</w:t>
      </w:r>
    </w:p>
    <w:p>
      <w:pPr>
        <w:spacing w:before="0" w:after="120"/>
      </w:pPr>
      <w:r>
        <w:rPr>
          <w:b/>
        </w:rPr>
        <w:t xml:space="preserve">Source: </w:t>
      </w:r>
      <w:r>
        <w:t>Wiley: Advanced Materials: Table of Contents</w:t>
      </w:r>
      <w:r>
        <w:t xml:space="preserve">    </w:t>
      </w:r>
      <w:r>
        <w:rPr>
          <w:b/>
        </w:rPr>
        <w:t xml:space="preserve">Pub date: </w:t>
      </w:r>
      <w:r>
        <w:t>2026-07-22 11:57:03+00:00</w:t>
      </w:r>
      <w:r>
        <w:t xml:space="preserve">    </w:t>
      </w:r>
      <w:r>
        <w:rPr>
          <w:b/>
        </w:rPr>
        <w:t xml:space="preserve">DOI: </w:t>
      </w:r>
      <w:hyperlink r:id="rId1800">
        <w:r>
          <w:rPr>
            <w:color w:val="1155CC"/>
            <w:u w:val="single"/>
          </w:rPr>
          <w:t>10.1002/adma.74246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闪烁体是高能辐射传感器的关键核心材料。分子闪烁体作为重要的闪烁体之一，具有水氧稳定性高、成本低、毒性低等突出优点。然而，有限的激子利用率和发光效率对材料的辐射发光性能产生影响，严重限制了分子闪烁体的发展。在这项工作中，第一个基于热受激延迟磷光（TSDP）分子的闪烁体（</w:t>
      </w:r>
      <w:r>
        <w:t xml:space="preserve"> </w:t>
      </w:r>
      <w:r>
        <w:t>金(TFPP)</w:t>
      </w:r>
      <w:r>
        <w:rPr>
          <w:vertAlign w:val="subscript"/>
        </w:rPr>
        <w:t>3</w:t>
      </w:r>
      <w:r>
        <w:t xml:space="preserve"> </w:t>
      </w:r>
      <w:r>
        <w:t>）被报道。 TSDP过程中发生自旋允许的三重态激子反向内部转换（RIC），从而有效利用热敏三重态激子并克服闪烁体的显着温度效应。结果，</w:t>
      </w:r>
      <w:r>
        <w:t xml:space="preserve"> </w:t>
      </w:r>
      <w:r>
        <w:t>金(TFPP)</w:t>
      </w:r>
      <w:r>
        <w:rPr>
          <w:vertAlign w:val="subscript"/>
        </w:rPr>
        <w:t>3</w:t>
      </w:r>
      <w:r>
        <w:t xml:space="preserve"> </w:t>
      </w:r>
      <w:r>
        <w:t>不仅具有超过99%的超高光致发光量子产率（PLQY），而且具有高达99475±275光子MeV的优异光产额（LY）</w:t>
      </w:r>
      <w:r>
        <w:t xml:space="preserve"> </w:t>
      </w:r>
      <w:r>
        <w:t>−1</w:t>
      </w:r>
      <w:r>
        <w:t xml:space="preserve"> </w:t>
      </w:r>
      <w:r>
        <w:t>。更重要的是，所有这些发光特性在 100 至 370 K 的很宽范围内都与温度无关。超亮和温度惰性特性使得</w:t>
      </w:r>
      <w:r>
        <w:t xml:space="preserve"> </w:t>
      </w:r>
      <w:r>
        <w:t>金(TFPP)</w:t>
      </w:r>
      <w:r>
        <w:rPr>
          <w:vertAlign w:val="subscript"/>
        </w:rPr>
        <w:t>3</w:t>
      </w:r>
    </w:p>
    <w:p>
      <w:pPr>
        <w:spacing w:before="0" w:after="200" w:lineRule="auto" w:line="276"/>
      </w:pPr>
      <w:r>
        <w:rPr>
          <w:b/>
        </w:rPr>
        <w:t xml:space="preserve">Abstract (EN): </w:t>
      </w:r>
      <w:r>
        <w:t>Scintillators serve as crucial core materials in high‐energy radiation sensors. Molecule‐based scintillators, one of the important kind of scintillators, have demonstrated outstanding advantages, such as high water‐oxygen stability, low cost, and low toxicity. However, limited exciton utilization and luminescence efficiency have an impact on the radioluminescence properties of materials, severely limiting the development of molecule‐based scintillators. In this work, the first thermally stimulated delayed phosphorescence (TSDP) molecule‐based scintillator (</w:t>
      </w:r>
      <w:r>
        <w:t xml:space="preserve"> </w:t>
      </w:r>
      <w:r>
        <w:t>Au(TFPP)</w:t>
      </w:r>
      <w:r>
        <w:rPr>
          <w:vertAlign w:val="subscript"/>
        </w:rPr>
        <w:t>3</w:t>
      </w:r>
      <w:r>
        <w:t xml:space="preserve"> </w:t>
      </w:r>
      <w:r>
        <w:t>) was reported. Spin‐allowed reverse internal conversion (RIC) of triplet excitons occurs in the TSDP process, leading to efficient utilization of thermally sensitive triplet excitons and overcoming the significant temperature effect of scintillators. As a result,</w:t>
      </w:r>
      <w:r>
        <w:t xml:space="preserve"> </w:t>
      </w:r>
      <w:r>
        <w:t>Au(TFPP)</w:t>
      </w:r>
      <w:r>
        <w:rPr>
          <w:vertAlign w:val="subscript"/>
        </w:rPr>
        <w:t>3</w:t>
      </w:r>
      <w:r>
        <w:t xml:space="preserve"> </w:t>
      </w:r>
      <w:r>
        <w:t>not only has an ultrahigh photoluminescence quantum yield (PLQY) exceeding 99% but also has an excellent light yield (LY) as high as 99475 ± 275 photons MeV</w:t>
      </w:r>
      <w:r>
        <w:t xml:space="preserve"> </w:t>
      </w:r>
      <w:r>
        <w:t>−1</w:t>
      </w:r>
      <w:r>
        <w:t xml:space="preserve"> </w:t>
      </w:r>
      <w:r>
        <w:t>. More importantly, all these luminescence properties are temperature independent over a very wide range from 100 to 370 K. The super‐bright and temperature‐inert characteristics render</w:t>
      </w:r>
      <w:r>
        <w:t xml:space="preserve"> </w:t>
      </w:r>
      <w:r>
        <w:t>Au(TFPP)</w:t>
      </w:r>
      <w:r>
        <w:rPr>
          <w:vertAlign w:val="subscript"/>
        </w:rPr>
        <w:t>3</w:t>
      </w:r>
      <w:r>
        <w:t xml:space="preserve"> </w:t>
      </w:r>
      <w:r>
        <w:t>highly suitable for ionising radiation detection, and</w:t>
      </w:r>
      <w:r>
        <w:t xml:space="preserve"> </w:t>
      </w:r>
      <w:r>
        <w:t>Au(TFPP)</w:t>
      </w:r>
      <w:r>
        <w:rPr>
          <w:vertAlign w:val="subscript"/>
        </w:rPr>
        <w:t>3</w:t>
      </w:r>
      <w:r>
        <w:t xml:space="preserve"> </w:t>
      </w:r>
      <w:r>
        <w:t>has been effectively applied in low‐dose x‐ray variable‐temperature imaging and α/β particle detection.</w:t>
      </w:r>
    </w:p>
    <w:p>
      <w:pPr>
        <w:spacing w:before="120" w:after="120"/>
      </w:pPr>
      <w:r>
        <w:rPr>
          <w:sz w:val="18"/>
        </w:rPr>
        <w:t>——————————————————————————————————————————————————————————————————————</w:t>
      </w:r>
    </w:p>
    <w:p>
      <w:pPr>
        <w:spacing w:before="160" w:after="40" w:line="240" w:lineRule="auto"/>
      </w:pPr>
      <w:r>
        <w:rPr>
          <w:b/>
        </w:rPr>
        <w:t xml:space="preserve">[673] </w:t>
      </w:r>
      <w:hyperlink r:id="rId1801">
        <w:r>
          <w:rPr>
            <w:color w:val="1155CC"/>
            <w:u w:val="single"/>
          </w:rPr>
          <w:t>用于健康监测和伤口愈合的压电生物活性药物超分子组件</w:t>
        </w:r>
      </w:hyperlink>
    </w:p>
    <w:p>
      <w:pPr>
        <w:spacing w:before="0" w:after="80"/>
      </w:pPr>
      <w:r>
        <w:rPr>
          <w:i/>
          <w:sz w:val="20"/>
        </w:rPr>
        <w:t>EN: Piezoelectric Bioactive Drug‐Based Supramolecular Assemblies Toward Health Monitoring and Wound Healing</w:t>
      </w:r>
    </w:p>
    <w:p>
      <w:pPr>
        <w:spacing w:before="0" w:after="120"/>
      </w:pPr>
      <w:r>
        <w:rPr>
          <w:b/>
        </w:rPr>
        <w:t xml:space="preserve">Source: </w:t>
      </w:r>
      <w:r>
        <w:t>Wiley: Advanced Materials: Table of Contents</w:t>
      </w:r>
      <w:r>
        <w:t xml:space="preserve">    </w:t>
      </w:r>
      <w:r>
        <w:rPr>
          <w:b/>
        </w:rPr>
        <w:t xml:space="preserve">Pub date: </w:t>
      </w:r>
      <w:r>
        <w:t>2026-07-22 11:58:36+00:00</w:t>
      </w:r>
      <w:r>
        <w:t xml:space="preserve">    </w:t>
      </w:r>
      <w:r>
        <w:rPr>
          <w:b/>
        </w:rPr>
        <w:t xml:space="preserve">DOI: </w:t>
      </w:r>
      <w:hyperlink r:id="rId1802">
        <w:r>
          <w:rPr>
            <w:color w:val="1155CC"/>
            <w:u w:val="single"/>
          </w:rPr>
          <w:t>10.1002/adma.74237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活性分子可以自组装形成具有压电响应的非中心对称超分子材料。然而，基于抗生素的分子组装体的压电性在很大程度上尚未得到探索。对生物活性分子组装体的结构-压电关系的理解将有助于多功能压电材料的合理设计。在此，我们首次系统地研究了生物活性β-内酰胺药物超分子组装体的压电性，进一步揭示了电子器件的压电抗菌协同作用。 X射线衍射分析表明，不同β-内酰胺药物的超分子组装体表现出不同的有序堆积模式。它们的最大压电系数显示出 3.2–44.3 pC N 的广泛范围</w:t>
      </w:r>
      <w:r>
        <w:t xml:space="preserve"> </w:t>
      </w:r>
      <w:r>
        <w:t>-</w:t>
      </w:r>
      <w:r>
        <w:rPr>
          <w:vertAlign w:val="subscript"/>
        </w:rPr>
        <w:t>1</w:t>
      </w:r>
      <w:r>
        <w:t>根据密度泛函理论计算，其中法罗培南钠（FarNa）晶体由于高度不对称结构和大偶极排列而显示出最高值。基于 FarNa 晶体的压电器件可产生高达 1.08 V 的开路电压，并成功集成到用于康复监测的柔性传感器中。此外，负载阿莫西林（AMX）或FarNa晶体的复合薄膜的压电响应可以破坏细菌细胞膜，增强抗菌活性和感染伤口愈合。这项工作探讨了 β-内酰胺药物资产的压电响应</w:t>
      </w:r>
    </w:p>
    <w:p>
      <w:pPr>
        <w:spacing w:before="0" w:after="200" w:lineRule="auto" w:line="276"/>
      </w:pPr>
      <w:r>
        <w:rPr>
          <w:b/>
        </w:rPr>
        <w:t xml:space="preserve">Abstract (EN): </w:t>
      </w:r>
      <w:r>
        <w:t>Bioactive molecules can self‐assemble to form noncentrosymmetric supramolecular materials exhibiting piezoelectric response. However, the piezoelectricity of antibiotic‐based molecular assemblies has been largely unexplored. The understanding of the structure‐piezoelectricity relationship of bioactive molecular assemblies will facilitate the rational design of multifunctional piezoelectric materials. Herein, for the first time, we systematically investigated the piezoelectricity of bioactive β‐lactam drug‐based supramolecular assemblies, further revealing the piezoelectric‐antibacterial synergy of electronic devices. X‐ray diffraction analysis revealed that the supramolecular assemblies of different β‐lactam drugs exhibited diverse ordered packing modes. Their maximum piezoelectric coefficients showed a broad range of 3.2–44.3 pC N</w:t>
      </w:r>
      <w:r>
        <w:t xml:space="preserve"> </w:t>
      </w:r>
      <w:r>
        <w:t>−</w:t>
      </w:r>
      <w:r>
        <w:rPr>
          <w:vertAlign w:val="subscript"/>
        </w:rPr>
        <w:t>1</w:t>
      </w:r>
      <w:r>
        <w:t>as calculated by density functional theory, in which faropenem sodium (FarNa) crystals displayed the highest value due to a highly asymmetric structure and a large dipole alignment. The FarNa crystal‐based piezoelectric device generated an open‐circuit voltage of up to 1.08 V and was successfully integrated into a flexible sensor for rehabilitation monitoring. Furthermore, the piezoelectric response of composite films loaded with amoxicillin (AMX) or FarNa crystals could disrupt bacterial cell membranes, enhancing antibacterial activity and infected wound healing. This work explores the piezoelectric response of β‐lactam drug‐based assemblies, leveraging a supramolecular assembly strategy to develop biomaterials with coupled piezoelectric and biological functions.</w:t>
      </w:r>
    </w:p>
    <w:p>
      <w:pPr>
        <w:spacing w:before="120" w:after="120"/>
      </w:pPr>
      <w:r>
        <w:rPr>
          <w:sz w:val="18"/>
        </w:rPr>
        <w:t>——————————————————————————————————————————————————————————————————————</w:t>
      </w:r>
    </w:p>
    <w:p>
      <w:pPr>
        <w:spacing w:before="160" w:after="40" w:line="240" w:lineRule="auto"/>
      </w:pPr>
      <w:r>
        <w:rPr>
          <w:b/>
        </w:rPr>
        <w:t xml:space="preserve">[674] </w:t>
      </w:r>
      <w:hyperlink r:id="rId1803">
        <w:r>
          <w:rPr>
            <w:color w:val="1155CC"/>
            <w:u w:val="single"/>
          </w:rPr>
          <w:t>用于稳健、可编程光机械驱动的分层配位聚合物-聚合物复合材料</w:t>
        </w:r>
      </w:hyperlink>
    </w:p>
    <w:p>
      <w:pPr>
        <w:spacing w:before="0" w:after="80"/>
      </w:pPr>
      <w:r>
        <w:rPr>
          <w:i/>
          <w:sz w:val="20"/>
        </w:rPr>
        <w:t>EN: Hierarchical Coordination Polymer–Polymer Composites for Robust, Programmable Photomechanical Actuation</w:t>
      </w:r>
    </w:p>
    <w:p>
      <w:pPr>
        <w:spacing w:before="0" w:after="120"/>
      </w:pPr>
      <w:r>
        <w:rPr>
          <w:b/>
        </w:rPr>
        <w:t xml:space="preserve">Source: </w:t>
      </w:r>
      <w:r>
        <w:t>Wiley: Advanced Materials: Table of Contents</w:t>
      </w:r>
      <w:r>
        <w:t xml:space="preserve">    </w:t>
      </w:r>
      <w:r>
        <w:rPr>
          <w:b/>
        </w:rPr>
        <w:t xml:space="preserve">Pub date: </w:t>
      </w:r>
      <w:r>
        <w:t>2026-07-22 12:16:31+00:00</w:t>
      </w:r>
      <w:r>
        <w:t xml:space="preserve">    </w:t>
      </w:r>
      <w:r>
        <w:rPr>
          <w:b/>
        </w:rPr>
        <w:t xml:space="preserve">DOI: </w:t>
      </w:r>
      <w:hyperlink r:id="rId1804">
        <w:r>
          <w:rPr>
            <w:color w:val="1155CC"/>
            <w:u w:val="single"/>
          </w:rPr>
          <w:t>10.1002/adma.74238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响应配位聚合物可对机械运动提供精确的分子到宏观控制，但其脆性和有限的加工性能限制了实际应用。在这里，我们报告了一种分层复合策略，该策略将能够进行拓扑化学[2+2]环加成的一维Zn(II)配位聚合物嵌入到聚(乙烯醇)基质中，并用聚(ε-己内酯)涂覆它，产生机械坚固、可扩展和水稳定的光冲印薄膜。该复合材料表现出波长选择性激活和可编程膨胀变形，可实现双级弯曲和径向膨胀，在长期存储时驱动保真度超过 98%，径向强度接近承载聚合物系统。对代表性光致材料的比较分析确定了将晶体光化学精度与宏观机械弹性相结合的独特机制。这些结果建立了一般设计原则——拓扑化学预组织、分层应力传递和保护涂层——将晶格限制光化学转化为耐用、可扩展可编程的机械驱动，为下一代自适应和可部署材料系统奠定了基础。</w:t>
      </w:r>
    </w:p>
    <w:p>
      <w:pPr>
        <w:spacing w:before="0" w:after="200" w:lineRule="auto" w:line="276"/>
      </w:pPr>
      <w:r>
        <w:rPr>
          <w:b/>
        </w:rPr>
        <w:t xml:space="preserve">Abstract (EN): </w:t>
      </w:r>
      <w:r>
        <w:t>Photoresponsive coordination polymers offer precise molecular‐to‐macroscopic control of mechanical motion, yet their brittleness and limited processability constrain practical implementation. Here we report a hierarchical composite strategy that embeds a one‐dimensional Zn(II) coordination polymer capable of topochemical [2+2] cycloaddition within a poly(vinyl alcohol) matrix and coats it with poly(ε‐caprolactone), yielding mechanically robust, scalable, and water‐stable photomechanical films. The composites exhibit wavelength‐selective activation and expansion‐programmable deformation, enabling dual‐stage bending and radial expansion with actuation fidelity exceeding 98% over extended storage and radial strengths approaching those of load‐bearing polymeric systems. Comparative analysis across representative photoactuating materials identifies a distinct regime combining crystalline photochemical precision with macroscopic mechanical resilience. These results establish general design principles—topochemical preorganization, hierarchical stress transfer, and protective coating—for translating lattice‐confined photochemistry into durable, expansion‐programmable mechanical actuation, providing a foundation for next‐generation adaptive and deployable material systems.</w:t>
      </w:r>
    </w:p>
    <w:p>
      <w:pPr>
        <w:spacing w:before="120" w:after="120"/>
      </w:pPr>
      <w:r>
        <w:rPr>
          <w:sz w:val="18"/>
        </w:rPr>
        <w:t>——————————————————————————————————————————————————————————————————————</w:t>
      </w:r>
    </w:p>
    <w:p>
      <w:pPr>
        <w:spacing w:before="160" w:after="40" w:line="240" w:lineRule="auto"/>
      </w:pPr>
      <w:r>
        <w:rPr>
          <w:b/>
        </w:rPr>
        <w:t xml:space="preserve">[675] </w:t>
      </w:r>
      <w:hyperlink r:id="rId1805">
        <w:r>
          <w:rPr>
            <w:color w:val="1155CC"/>
            <w:u w:val="single"/>
          </w:rPr>
          <w:t>可漂浮的集成变形水凝胶载体</w:t>
        </w:r>
      </w:hyperlink>
    </w:p>
    <w:p>
      <w:pPr>
        <w:spacing w:before="0" w:after="80"/>
      </w:pPr>
      <w:r>
        <w:rPr>
          <w:i/>
          <w:sz w:val="20"/>
        </w:rPr>
        <w:t>EN: Floatable and Integrated Shape‐shifting Hydrogel Carrier</w:t>
      </w:r>
    </w:p>
    <w:p>
      <w:pPr>
        <w:spacing w:before="0" w:after="120"/>
      </w:pPr>
      <w:r>
        <w:rPr>
          <w:b/>
        </w:rPr>
        <w:t xml:space="preserve">Source: </w:t>
      </w:r>
      <w:r>
        <w:t>Wiley: Advanced Materials: Table of Contents</w:t>
      </w:r>
      <w:r>
        <w:t xml:space="preserve">    </w:t>
      </w:r>
      <w:r>
        <w:rPr>
          <w:b/>
        </w:rPr>
        <w:t xml:space="preserve">Pub date: </w:t>
      </w:r>
      <w:r>
        <w:t>2026-07-22 12:21:12+00:00</w:t>
      </w:r>
      <w:r>
        <w:t xml:space="preserve">    </w:t>
      </w:r>
      <w:r>
        <w:rPr>
          <w:b/>
        </w:rPr>
        <w:t xml:space="preserve">DOI: </w:t>
      </w:r>
      <w:hyperlink r:id="rId1806">
        <w:r>
          <w:rPr>
            <w:color w:val="1155CC"/>
            <w:u w:val="single"/>
          </w:rPr>
          <w:t>10.1002/adma.74200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调节多相相互作用的水生界面材料对于环境和能源应用至关重要，但传统的刚性漂浮物缺乏形态适应性和综合灵活性。受微囊藻主动浮力调节的启发，我们提出了一种可漂浮的集成变形（FISS）水凝胶，将固体般的坚固性与液体般的适应性相结合，适用于先进的漂浮载体。原位形成的无定形碳酸镁（AMC）纳米颗粒为 FISS 水凝胶提供了动态交联点，氨基功能化的中空微球的掺入起到了可调浮力单元和二次交联中心的双重作用。这种微观结构工程建立了“有限流动性”的热力学稳定状态，使水凝胶能够在水面上达到静水平衡，同时防止不受控制的耗散。基于其柔韧性和可变形性，FISS水凝胶表现出多种界面功能，包括蒸发抑制、污染屏蔽、仿生水下气体捕获等。通过FISS水凝胶的界面粘附组装，进一步证明了其载体多样性，可作为姿态可调蒸发器和光驱动柔性探测器。这项工作提出了一种基于水凝胶的漂浮物的设计策略，具有灵活性和可集成性，可以扩展水凝胶材料的应用场景。</w:t>
      </w:r>
    </w:p>
    <w:p>
      <w:pPr>
        <w:spacing w:before="0" w:after="200" w:lineRule="auto" w:line="276"/>
      </w:pPr>
      <w:r>
        <w:rPr>
          <w:b/>
        </w:rPr>
        <w:t xml:space="preserve">Abstract (EN): </w:t>
      </w:r>
      <w:r>
        <w:t>Aquatic interfacial materials that regulate multiphase interactions are pivotal for environmental and energetic applications, yet traditional rigid floaters lack morphological adaptability and integrated flexibility. Inspired by the active buoyancy regulation of Microcystis, we present a floatable and integrated shape‐shifting (FISS) hydrogel, combining solid‐like robustness with liquid‐like adaptability for advanced floating carriers. The in situ formation of amorphous magnesium carbonate (AMC) nanoparticles provides dynamic crosslinking points for the FISS hydrogel, and the incorporation of amino‐functionalized hollow microspheres serves a dual role as tunable buoyancy units and secondary crosslinking hubs. This microstructural engineering establishes a thermodynamically stable state of “limited fluidity,” allowing the hydrogel to adopt a hydrostatic equilibrium on water surfaces while preventing uncontrolled dissipation. Based on its flexibility and deformability, FISS hydrogel exhibits versatile interfacial functions, including evaporation suppression, pollution shielding, biomimetic underwater gas capture, etc. Through the assembly by interfacial adhesion of FISS hydrogel, the carrier diversity is further demonstrated as an attitude‐tunable evaporator and a light‐driven flexible detector. This work presents a design strategy for a hydrogel‐based floater exhibiting flexibility and integrability, which can extend the application scenarios of hydrogel materials.</w:t>
      </w:r>
    </w:p>
    <w:p>
      <w:pPr>
        <w:spacing w:before="120" w:after="120"/>
      </w:pPr>
      <w:r>
        <w:rPr>
          <w:sz w:val="18"/>
        </w:rPr>
        <w:t>——————————————————————————————————————————————————————————————————————</w:t>
      </w:r>
    </w:p>
    <w:p>
      <w:pPr>
        <w:spacing w:before="160" w:after="40" w:line="240" w:lineRule="auto"/>
      </w:pPr>
      <w:r>
        <w:rPr>
          <w:b/>
        </w:rPr>
        <w:t xml:space="preserve">[676] </w:t>
      </w:r>
      <w:hyperlink r:id="rId1807">
        <w:r>
          <w:rPr>
            <w:color w:val="1155CC"/>
            <w:u w:val="single"/>
          </w:rPr>
          <w:t>通过氧化膦吲哚 AIEgens 的位置异构编码生物选择性，用于靶向光动力治疗</w:t>
        </w:r>
      </w:hyperlink>
    </w:p>
    <w:p>
      <w:pPr>
        <w:spacing w:before="0" w:after="80"/>
      </w:pPr>
      <w:r>
        <w:rPr>
          <w:i/>
          <w:sz w:val="20"/>
        </w:rPr>
        <w:t>EN: Encoding Biological Selectivity Through Positional Isomerism of Phosphindole Oxide AIEgens for Targeted Photodynamic Therapy</w:t>
      </w:r>
    </w:p>
    <w:p>
      <w:pPr>
        <w:spacing w:before="0" w:after="120"/>
      </w:pPr>
      <w:r>
        <w:rPr>
          <w:b/>
        </w:rPr>
        <w:t xml:space="preserve">Source: </w:t>
      </w:r>
      <w:r>
        <w:t>Wiley: Advanced Materials: Table of Contents</w:t>
      </w:r>
      <w:r>
        <w:t xml:space="preserve">    </w:t>
      </w:r>
      <w:r>
        <w:rPr>
          <w:b/>
        </w:rPr>
        <w:t xml:space="preserve">Pub date: </w:t>
      </w:r>
      <w:r>
        <w:t>2026-07-22 13:49:06+00:00</w:t>
      </w:r>
      <w:r>
        <w:t xml:space="preserve">    </w:t>
      </w:r>
      <w:r>
        <w:rPr>
          <w:b/>
        </w:rPr>
        <w:t xml:space="preserve">DOI: </w:t>
      </w:r>
      <w:hyperlink r:id="rId1808">
        <w:r>
          <w:rPr>
            <w:color w:val="1155CC"/>
            <w:u w:val="single"/>
          </w:rPr>
          <w:t>10.1002/adma.74291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其内在的生物物理特征来区分生物目标，为经典的锁钥匙识别提供了一种有前途的替代方案，但仍然受到简单化设计的限制。在此，我们提出了一种可编程分子策略，利用氧化膦吲哚（PIO）支架上的构型异构作为编码生物选择性的决定性变量。几何定义位置的策略取代产生具有不同构象偏好、水自组装行为和表面静电景观的异构体对。这些异构体依赖性差异转化为截然不同的生物染色模式。一种异构体能够比正常哺乳动物细胞选择性地标记癌症，并比哺乳动物细胞优先与细菌结合，而其对应物则充当广谱染色剂。通过与PIO框架固有的光动力活性相结合，我们实现了有效的肿瘤抑制和加速体内感染伤口的愈合，并具有良好的生物安全性。这项工作将位置异构建立为编码生物物理选择性的通用设计维度，为下一代治疗诊断和精准医学平台提供分子水平的指导。</w:t>
      </w:r>
    </w:p>
    <w:p>
      <w:pPr>
        <w:spacing w:before="0" w:after="200" w:lineRule="auto" w:line="276"/>
      </w:pPr>
      <w:r>
        <w:rPr>
          <w:b/>
        </w:rPr>
        <w:t xml:space="preserve">Abstract (EN): </w:t>
      </w:r>
      <w:r>
        <w:t>Discriminating biological targets via their intrinsic biophysical signatures offers a promising alternative to classical lock‐and‐key recognition, yet remains constrained by simplistic design. Herein, we present a programmable molecular strategy that leverages configurational isomerism on a phosphindole oxide (PIO) scaffold as a decisive variable for encoding biological selectivity. Strategic substitution at geometrically defined positions generates isomeric pairs with distinct conformational preferences, aqueous self‐assembly behaviors, and surface electrostatic landscapes. These isomer‐dependent divergences translate into sharply differentiated biological staining patterns. One isomer enables selective labeling of cancer over normal mammalian cells and preferential engagement with bacterial versus mammalian cells, while its counterpart functions as a broad‐spectrum staining agent. By integrating with the inherent photodynamic activity of the PIO framework, we achieve effective tumor suppression and accelerated healing of infected wounds in vivo with favorable biosafety. This work establishes positional isomerism as a generalizable design dimension for encoding biophysical selectivity, providing molecular‐level guidance for next‐generation theranostic and precision medicine platforms.</w:t>
      </w:r>
    </w:p>
    <w:p>
      <w:pPr>
        <w:spacing w:before="120" w:after="120"/>
      </w:pPr>
      <w:r>
        <w:rPr>
          <w:sz w:val="18"/>
        </w:rPr>
        <w:t>——————————————————————————————————————————————————————————————————————</w:t>
      </w:r>
    </w:p>
    <w:p>
      <w:pPr>
        <w:spacing w:before="160" w:after="40" w:line="240" w:lineRule="auto"/>
      </w:pPr>
      <w:r>
        <w:rPr>
          <w:b/>
        </w:rPr>
        <w:t xml:space="preserve">[677] </w:t>
      </w:r>
      <w:hyperlink r:id="rId1809">
        <w:r>
          <w:rPr>
            <w:color w:val="1155CC"/>
            <w:u w:val="single"/>
          </w:rPr>
          <w:t>室温下超低阈值连续波 WS2 纳米激光器光子晶体腔的扭曲工程</w:t>
        </w:r>
      </w:hyperlink>
    </w:p>
    <w:p>
      <w:pPr>
        <w:spacing w:before="0" w:after="80"/>
      </w:pPr>
      <w:r>
        <w:rPr>
          <w:i/>
          <w:sz w:val="20"/>
        </w:rPr>
        <w:t>EN: Twist Engineering of Photonic Crystal Cavities for Ultralow‐Threshold Continuous‐Wave WS2 Nanolasers at Room Temperature</w:t>
      </w:r>
    </w:p>
    <w:p>
      <w:pPr>
        <w:spacing w:before="0" w:after="120"/>
      </w:pPr>
      <w:r>
        <w:rPr>
          <w:b/>
        </w:rPr>
        <w:t xml:space="preserve">Source: </w:t>
      </w:r>
      <w:r>
        <w:t>Wiley: Advanced Materials: Table of Contents</w:t>
      </w:r>
      <w:r>
        <w:t xml:space="preserve">    </w:t>
      </w:r>
      <w:r>
        <w:rPr>
          <w:b/>
        </w:rPr>
        <w:t xml:space="preserve">Pub date: </w:t>
      </w:r>
      <w:r>
        <w:t>2026-07-22 13:53:52+00:00</w:t>
      </w:r>
      <w:r>
        <w:t xml:space="preserve">    </w:t>
      </w:r>
      <w:r>
        <w:rPr>
          <w:b/>
        </w:rPr>
        <w:t xml:space="preserve">DOI: </w:t>
      </w:r>
      <w:hyperlink r:id="rId1810">
        <w:r>
          <w:rPr>
            <w:color w:val="1155CC"/>
            <w:u w:val="single"/>
          </w:rPr>
          <w:t>10.1002/adma.74287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无悬挂键表面和强激子效应，单层过渡金属二硫属化物（TMD）有望成为超低阈值异质集成纳米激光器。然而，尽管基于TMD的纳米激光器进行了广泛的演示，但在传统光学腔中同时实现超小模式体积和超高品质（Q）因子的挑战阻碍了激光阈值的进一步降低。此外，这些腔体的介电界面会引起强介电屏蔽和缺陷辅助非辐射激子复合，这两者都严重抑制单层TMD中的激子发射。在这里，我们通过在扭曲晶格纳米腔中采用空气模式来克服这些基本限制。通过在单层 SiN 中扭曲两个有限尺寸的六方光子晶体结构</w:t>
      </w:r>
      <w:r>
        <w:t xml:space="preserve"> </w:t>
      </w:r>
      <w:r>
        <w:t>x</w:t>
      </w:r>
      <w:r>
        <w:t xml:space="preserve"> </w:t>
      </w:r>
      <w:r>
        <w:t>在薄膜中，我们在空气填充部分中引入了径向的、准连续的梯度，从而形成了径向渐变的带隙。这种分级带隙充当同心镜，将布洛赫模式紧紧限制在</w:t>
      </w:r>
      <w:r>
        <w:t xml:space="preserve"> </w:t>
      </w:r>
      <w:r>
        <w:t>K</w:t>
      </w:r>
      <w:r>
        <w:t xml:space="preserve"> </w:t>
      </w:r>
      <w:r>
        <w:t>‐点，产生具有空气中极端场限制和超高 Q 因子的空气模式。通过集成单层 WS</w:t>
      </w:r>
      <w:r>
        <w:rPr>
          <w:vertAlign w:val="subscript"/>
        </w:rPr>
        <w:t>2</w:t>
      </w:r>
      <w:r>
        <w:t>与扭曲晶格 SiN</w:t>
      </w:r>
      <w:r>
        <w:t xml:space="preserve"> </w:t>
      </w:r>
      <w:r>
        <w:t>x</w:t>
      </w:r>
      <w:r>
        <w:t xml:space="preserve"> </w:t>
      </w:r>
      <w:r>
        <w:t>纳米腔，我们通过实验实现了记录-</w:t>
      </w:r>
    </w:p>
    <w:p>
      <w:pPr>
        <w:spacing w:before="0" w:after="200" w:lineRule="auto" w:line="276"/>
      </w:pPr>
      <w:r>
        <w:rPr>
          <w:b/>
        </w:rPr>
        <w:t xml:space="preserve">Abstract (EN): </w:t>
      </w:r>
      <w:r>
        <w:t>Owing to their dangling‐bond‐free surfaces and strong excitonic effects, monolayer transition‐metal dichalcogenides (TMDs) hold promise for ultra‐low‐threshold heterogeneously integrated nanolasers. However, despite extensive demonstrations of TMD‐based nanolasers, further reduction of the lasing threshold is hindered by the challenge of simultaneously achieving an ultra‐small mode volume and an ultra‐high quality (Q) factor in conventional optical cavities. Moreover, the dielectric interfaces of these cavities induce strong dielectric screening and defect‐assisted nonradiative exciton recombination, both of which severely suppress exciton emission in monolayer TMDs. Here, we overcome these fundamental limitations by employing the air modes in a twisted lattice nanocavity. By twisting two finite‐sized hexagonal photonic crystal structures in a single layer of SiN</w:t>
      </w:r>
      <w:r>
        <w:t xml:space="preserve"> </w:t>
      </w:r>
      <w:r>
        <w:t>x</w:t>
      </w:r>
      <w:r>
        <w:t xml:space="preserve"> </w:t>
      </w:r>
      <w:r>
        <w:t>thin film, we introduce a radial, quasi‐continuous gradient in the air‐filling fraction, thereby forming a radially graded bandgap. This graded bandgap acts as concentric mirrors that tightly confine Bloch modes at the</w:t>
      </w:r>
      <w:r>
        <w:t xml:space="preserve"> </w:t>
      </w:r>
      <w:r>
        <w:t>K</w:t>
      </w:r>
      <w:r>
        <w:t xml:space="preserve"> </w:t>
      </w:r>
      <w:r>
        <w:t>‐point, yielding air modes with extreme field confinement in the air and ultra‐high Q factors. By integrating a monolayer WS</w:t>
      </w:r>
      <w:r>
        <w:rPr>
          <w:vertAlign w:val="subscript"/>
        </w:rPr>
        <w:t>2</w:t>
      </w:r>
      <w:r>
        <w:t>with the twisted lattice SiN</w:t>
      </w:r>
      <w:r>
        <w:t xml:space="preserve"> </w:t>
      </w:r>
      <w:r>
        <w:t>x</w:t>
      </w:r>
      <w:r>
        <w:t xml:space="preserve"> </w:t>
      </w:r>
      <w:r>
        <w:t>nanocavity, we experimentally achieve a record‐low lasing threshold of 0.03 W/cm</w:t>
      </w:r>
      <w:r>
        <w:rPr>
          <w:vertAlign w:val="subscript"/>
        </w:rPr>
        <w:t>2</w:t>
      </w:r>
      <w:r>
        <w:t>at room temperature. Our work establishes a versatile platform for advanced two‐dimensional (2D) semiconductor light sources.</w:t>
      </w:r>
    </w:p>
    <w:p>
      <w:pPr>
        <w:spacing w:before="120" w:after="120"/>
      </w:pPr>
      <w:r>
        <w:rPr>
          <w:sz w:val="18"/>
        </w:rPr>
        <w:t>——————————————————————————————————————————————————————————————————————</w:t>
      </w:r>
    </w:p>
    <w:p>
      <w:pPr>
        <w:spacing w:before="160" w:after="40" w:line="240" w:lineRule="auto"/>
      </w:pPr>
      <w:r>
        <w:rPr>
          <w:b/>
        </w:rPr>
        <w:t xml:space="preserve">[678] </w:t>
      </w:r>
      <w:hyperlink r:id="rId1811">
        <w:r>
          <w:rPr>
            <w:color w:val="1155CC"/>
            <w:u w:val="single"/>
          </w:rPr>
          <w:t>基于配位键的动态聚合物</w:t>
        </w:r>
      </w:hyperlink>
    </w:p>
    <w:p>
      <w:pPr>
        <w:spacing w:before="0" w:after="80"/>
      </w:pPr>
      <w:r>
        <w:rPr>
          <w:i/>
          <w:sz w:val="20"/>
        </w:rPr>
        <w:t>EN: Dynamic Polymers Based on Coordination Bonds</w:t>
      </w:r>
    </w:p>
    <w:p>
      <w:pPr>
        <w:spacing w:before="0" w:after="120"/>
      </w:pPr>
      <w:r>
        <w:rPr>
          <w:b/>
        </w:rPr>
        <w:t xml:space="preserve">Source: </w:t>
      </w:r>
      <w:r>
        <w:t>Wiley: Advanced Materials: Table of Contents</w:t>
      </w:r>
      <w:r>
        <w:t xml:space="preserve">    </w:t>
      </w:r>
      <w:r>
        <w:rPr>
          <w:b/>
        </w:rPr>
        <w:t xml:space="preserve">Pub date: </w:t>
      </w:r>
      <w:r>
        <w:t>2026-07-22 13:57:01+00:00</w:t>
      </w:r>
      <w:r>
        <w:t xml:space="preserve">    </w:t>
      </w:r>
      <w:r>
        <w:rPr>
          <w:b/>
        </w:rPr>
        <w:t xml:space="preserve">DOI: </w:t>
      </w:r>
      <w:hyperlink r:id="rId1812">
        <w:r>
          <w:rPr>
            <w:color w:val="1155CC"/>
            <w:u w:val="single"/>
          </w:rPr>
          <w:t>10.1002/adma.74249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动态聚合物由于其在智能、响应性和可持续材料中的独特作用，近年来引起了广泛的关注。基于可逆性和高可调性，金属-配体配位键被证明可有效构建各种动态聚合物，包括自修复、可回收、形状记忆、响应性和适应性材料。在功能性金属离子或配体的帮助下，配位键内的动态聚合物可以表现出多种功能，例如发光、磁性、催化、导电和介电等应用。在这项研究中，介绍了基于配位的动态聚合物的最新发展和成就。重点介绍了配位键在动态聚合物设计中的优势，总结了各种动态聚合物的功能和应用。最后，我们讨论了当前的挑战，并展望了基于配位键的动态聚合物未来发展的机遇和有希望的方向。</w:t>
      </w:r>
    </w:p>
    <w:p>
      <w:pPr>
        <w:spacing w:before="0" w:after="200" w:lineRule="auto" w:line="276"/>
      </w:pPr>
      <w:r>
        <w:rPr>
          <w:b/>
        </w:rPr>
        <w:t xml:space="preserve">Abstract (EN): </w:t>
      </w:r>
      <w:r>
        <w:t>Dynamic polymers have attracted extensive attention in recent years due to their unique roles in intelligent, responsive and sustainable materials. Based on the reversibility and high tunability, the metal–ligand coordination bond is demonstrated to be effective for constructing various dynamic polymers, including self‐healing, recyclable, shape‐memory, responsive, and adaptive materials. With the assistance of functional metal ions or ligands, dynamic polymers within coordination bonds can exhibit diverse functions such as luminescence, magnetism, catalysis, conductivity, and dielectrics for applications. In this study, the recent development and achievements in coordination‐based dynamic polymers are presented. The advantages of coordination bonds in designing dynamic polymers are highlighted, and the functions and applications of each dynamic polymer are summarized. Finally, we discuss the current challenges and provide an outlook on the opportunities and promising directions for the future development of the dynamic polymers based on coordination bonds.</w:t>
      </w:r>
    </w:p>
    <w:p>
      <w:pPr>
        <w:spacing w:before="120" w:after="120"/>
      </w:pPr>
      <w:r>
        <w:rPr>
          <w:sz w:val="18"/>
        </w:rPr>
        <w:t>——————————————————————————————————————————————————————————————————————</w:t>
      </w:r>
    </w:p>
    <w:p>
      <w:pPr>
        <w:spacing w:before="160" w:after="40" w:line="240" w:lineRule="auto"/>
      </w:pPr>
      <w:r>
        <w:rPr>
          <w:b/>
        </w:rPr>
        <w:t xml:space="preserve">[679] </w:t>
      </w:r>
      <w:hyperlink r:id="rId1813">
        <w:r>
          <w:rPr>
            <w:color w:val="1155CC"/>
            <w:u w:val="single"/>
          </w:rPr>
          <w:t>用于长期和个性化治疗管理的化学感应导管</w:t>
        </w:r>
      </w:hyperlink>
    </w:p>
    <w:p>
      <w:pPr>
        <w:spacing w:before="0" w:after="80"/>
      </w:pPr>
      <w:r>
        <w:rPr>
          <w:i/>
          <w:sz w:val="20"/>
        </w:rPr>
        <w:t>EN: Chemical‐Sensing Catheters for Long‐Term and Personalized Therapeutic Management</w:t>
      </w:r>
    </w:p>
    <w:p>
      <w:pPr>
        <w:spacing w:before="0" w:after="120"/>
      </w:pPr>
      <w:r>
        <w:rPr>
          <w:b/>
        </w:rPr>
        <w:t xml:space="preserve">Source: </w:t>
      </w:r>
      <w:r>
        <w:t>Wiley: Advanced Materials: Table of Contents</w:t>
      </w:r>
      <w:r>
        <w:t xml:space="preserve">    </w:t>
      </w:r>
      <w:r>
        <w:rPr>
          <w:b/>
        </w:rPr>
        <w:t xml:space="preserve">Pub date: </w:t>
      </w:r>
      <w:r>
        <w:t>2026-07-22 14:00:24+00:00</w:t>
      </w:r>
      <w:r>
        <w:t xml:space="preserve">    </w:t>
      </w:r>
      <w:r>
        <w:rPr>
          <w:b/>
        </w:rPr>
        <w:t xml:space="preserve">DOI: </w:t>
      </w:r>
      <w:hyperlink r:id="rId1814">
        <w:r>
          <w:rPr>
            <w:color w:val="1155CC"/>
            <w:u w:val="single"/>
          </w:rPr>
          <w:t>10.1002/adma.74221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长期静脉置管对于癌症患者的化疗和肠衰竭患者的肠外营养至关重要，但它不可避免地会导致并发症，包括代谢紊乱、血流感染、肝损伤和肾损伤。临床监测方法存在明显的延迟，而实时血液监测设备无法确保体内长期稳定性。在这里，我们提出了一种化学传感导管，集成了多种分析物传感器，包括肌酐、牛磺胆酸、胆红素和牛磺酸，用于实时监测接受长期化疗或原位肠外营养的患者的并发症。金属凝胶的设计可通过 100 万次弯曲变形保持信号完整性，双网络分子印迹聚合物可抑制体内性能下降，从而使化学传感导管能够在 3 个月的植入期内长期稳定运行。在化疗和肠外营养应用中，早期监测肝肾损伤，结合预后干预，可以减轻胆汁淤滞、肝炎和肝脂肪变性等风险。通过集成多模态传感器数据的机器学习分析，该技术提供了并发症的早期预测，并为个性化治疗管理建立了新的范例。</w:t>
      </w:r>
    </w:p>
    <w:p>
      <w:pPr>
        <w:spacing w:before="0" w:after="200" w:lineRule="auto" w:line="276"/>
      </w:pPr>
      <w:r>
        <w:rPr>
          <w:b/>
        </w:rPr>
        <w:t xml:space="preserve">Abstract (EN): </w:t>
      </w:r>
      <w:r>
        <w:t>Long‐term intravenous catheterization is vital for delivering chemotherapy to cancer patients and parenteral nutrition to those with intestinal failure, but it inevitably leads to complications, including metabolic disorders, bloodstream infection, liver injury, and kidney injury. Clinical monitoring methods show notable delays, while real‐time blood monitoring devices fail to ensure long‐term stability in vivo. Here, we present a chemical‐sensing catheter that integrates multiple analyte sensors, including creatinine, taurocholic acid, bilirubin, and taurine, for real‐time monitoring of complications in patients receiving long‐term chemotherapy or parenteral nutrition in situ. The design of the metalgel preserves signal integrity through 1 million bending deformations, and a dual‐network molecularly imprinted polymer suppresses in vivo performance degradation, enabling stable long‐term operation of the chemical‐sensing catheter over a 3 month implantation period. In chemotherapy and parenteral nutrition applications, early monitoring of liver and kidney injury, combined with prognostic intervention, mitigates risks such as bile stasis, hepatitis, and hepatic steatosis. With the integration of machine learning analysis of multimodal sensor data, this technology provides early prediction of complications and establishes a new paradigm for personalized therapeutic management.</w:t>
      </w:r>
    </w:p>
    <w:p>
      <w:pPr>
        <w:spacing w:before="120" w:after="120"/>
      </w:pPr>
      <w:r>
        <w:rPr>
          <w:sz w:val="18"/>
        </w:rPr>
        <w:t>——————————————————————————————————————————————————————————————————————</w:t>
      </w:r>
    </w:p>
    <w:p>
      <w:pPr>
        <w:spacing w:before="160" w:after="40" w:line="240" w:lineRule="auto"/>
      </w:pPr>
      <w:r>
        <w:rPr>
          <w:b/>
        </w:rPr>
        <w:t xml:space="preserve">[680] </w:t>
      </w:r>
      <w:hyperlink r:id="rId1815">
        <w:r>
          <w:rPr>
            <w:color w:val="1155CC"/>
            <w:u w:val="single"/>
          </w:rPr>
          <w:t>六方金刚石/纤锌矿氮化硼共价异质结构的控制合成与界面键合</w:t>
        </w:r>
      </w:hyperlink>
    </w:p>
    <w:p>
      <w:pPr>
        <w:spacing w:before="0" w:after="80"/>
      </w:pPr>
      <w:r>
        <w:rPr>
          <w:i/>
          <w:sz w:val="20"/>
        </w:rPr>
        <w:t>EN: Controlled Synthesis and Interfacial Bonding of Hexagonal Diamond/Wurtzite Boron Nitride Covalent Heterostructures</w:t>
      </w:r>
    </w:p>
    <w:p>
      <w:pPr>
        <w:spacing w:before="0" w:after="120"/>
      </w:pPr>
      <w:r>
        <w:rPr>
          <w:b/>
        </w:rPr>
        <w:t xml:space="preserve">Source: </w:t>
      </w:r>
      <w:r>
        <w:t>Wiley: Advanced Materials: Table of Contents</w:t>
      </w:r>
      <w:r>
        <w:t xml:space="preserve">    </w:t>
      </w:r>
      <w:r>
        <w:rPr>
          <w:b/>
        </w:rPr>
        <w:t xml:space="preserve">Pub date: </w:t>
      </w:r>
      <w:r>
        <w:t>2026-07-22 14:04:18+00:00</w:t>
      </w:r>
      <w:r>
        <w:t xml:space="preserve">    </w:t>
      </w:r>
      <w:r>
        <w:rPr>
          <w:b/>
        </w:rPr>
        <w:t xml:space="preserve">DOI: </w:t>
      </w:r>
      <w:hyperlink r:id="rId1816">
        <w:r>
          <w:rPr>
            <w:color w:val="1155CC"/>
            <w:u w:val="single"/>
          </w:rPr>
          <w:t>10.1002/adma.74216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弱范德华（vdW）耦合或异质界面化学键介导的异质结构可以补偿单个组分的固有缺陷，并通过它们的有效集成获得奇异的性能。等电子金刚石和氮化硼（BN）可以呈现立方体和纤锌矿多晶型，因此有望形成不同的异质结构。然而，尽管付出了巨大的努力，合成亚稳态六方金刚石/纤锌矿BN（HD/wBN）共价异质结构并澄清界面化学键仍然是巨大的挑战。在这项研究中，我们证明了通过高压高温下石墨/六方氮化硼vdW异质结构的结构转变，可以直接合成高质量的HD/wBN共价异质结构。拉曼和结构表征明显证实了具有 C─B 和 C─N 键的尖锐 HD/wBN 异质界面，归因于 wBN 相内的反转域边界。映射的压力-温度图显示了 HD/wBN 异质结构所需的受限窗口。我们的工作提供了通过协同相变制备各种共价异质结构的可行途径，并为探索其显着特性开辟了新的机会。</w:t>
      </w:r>
    </w:p>
    <w:p>
      <w:pPr>
        <w:spacing w:before="0" w:after="200" w:lineRule="auto" w:line="276"/>
      </w:pPr>
      <w:r>
        <w:rPr>
          <w:b/>
        </w:rPr>
        <w:t xml:space="preserve">Abstract (EN): </w:t>
      </w:r>
      <w:r>
        <w:t>Heterostructures, mediated by either weak van der Waals (vdW) coupling or chemical bonding at the heterointerface, can compensate for the inherent shortcomings of individual components and achieve exotic properties through their effective integration. The isoelectronic diamond and boron nitride (BN) can present both cubic and wurtzite polymorphs and hence prospectively form diverse heterostructures. However, synthesizing the metastable hexagonal diamond/wurtzite BN (HD/wBN) covalent heterostructures and clarifying the interfacial chemical bonds remain great challenges, despite considerable effort. In this study, we have demonstrated the direct synthesis of high‐quality HD/wBN covalent heterostructures via structural transformation of graphite/hBN vdW heterostructures under high pressure and high temperature. Raman and structural characterizations evidently confirmed the sharp HD/wBN heterointerface with both C─B and C─N bonds, attributed to inversion domain boundaries within the wBN phase. The mapped pressure‐temperature diagram exhibited the confined window required for HD/wBN heterostructures. Our work provides a viable pathway to prepare various covalent heterostructures through synergistic phase transitions and opens new opportunities for exploring their pronounced properties.</w:t>
      </w:r>
    </w:p>
    <w:p>
      <w:pPr>
        <w:spacing w:before="120" w:after="120"/>
      </w:pPr>
      <w:r>
        <w:rPr>
          <w:sz w:val="18"/>
        </w:rPr>
        <w:t>——————————————————————————————————————————————————————————————————————</w:t>
      </w:r>
    </w:p>
    <w:p>
      <w:pPr>
        <w:spacing w:before="160" w:after="40" w:line="240" w:lineRule="auto"/>
      </w:pPr>
      <w:r>
        <w:rPr>
          <w:b/>
        </w:rPr>
        <w:t xml:space="preserve">[681] </w:t>
      </w:r>
      <w:hyperlink r:id="rId1817">
        <w:r>
          <w:rPr>
            <w:color w:val="1155CC"/>
            <w:u w:val="single"/>
          </w:rPr>
          <w:t>揭示纤锌矿氮化物中的跃迁偶极矩各向异性和对称性破缺机制，实现偏振敏感的紫外检测</w:t>
        </w:r>
      </w:hyperlink>
    </w:p>
    <w:p>
      <w:pPr>
        <w:spacing w:before="0" w:after="80"/>
      </w:pPr>
      <w:r>
        <w:rPr>
          <w:i/>
          <w:sz w:val="20"/>
        </w:rPr>
        <w:t>EN: Unveiling Transition Dipole Moment Anisotropy and Symmetry Breaking Mechanism in Wurtzite Nitride Toward Polarization‐Sensitive Ultraviolet Detection</w:t>
      </w:r>
    </w:p>
    <w:p>
      <w:pPr>
        <w:spacing w:before="0" w:after="120"/>
      </w:pPr>
      <w:r>
        <w:rPr>
          <w:b/>
        </w:rPr>
        <w:t xml:space="preserve">Source: </w:t>
      </w:r>
      <w:r>
        <w:t>Wiley: Advanced Materials: Table of Contents</w:t>
      </w:r>
      <w:r>
        <w:t xml:space="preserve">    </w:t>
      </w:r>
      <w:r>
        <w:rPr>
          <w:b/>
        </w:rPr>
        <w:t xml:space="preserve">Pub date: </w:t>
      </w:r>
      <w:r>
        <w:t>2026-07-22 16:50:55+00:00</w:t>
      </w:r>
      <w:r>
        <w:t xml:space="preserve">    </w:t>
      </w:r>
      <w:r>
        <w:rPr>
          <w:b/>
        </w:rPr>
        <w:t xml:space="preserve">DOI: </w:t>
      </w:r>
      <w:hyperlink r:id="rId1818">
        <w:r>
          <w:rPr>
            <w:color w:val="1155CC"/>
            <w:u w:val="single"/>
          </w:rPr>
          <w:t>10.1002/adma.74264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由于传统极性晶面的各向同性限制，使用纤锌矿宽带隙半导体进行短波光谱的偏振检测仍然具有挑战性。非极位面提供了一条有希望的路线，但其潜在的物理机制尚不清楚。在这里，我们在非极性 a 平面 GaN 上建立了晶体极性和各向异性光响应之间的直接相关性，展示了固有的偏振敏感光电检测方案。晶体场引起的价带分裂产生从重空穴和晶体场分裂带到导带最小值的明显跃迁偶极矩，从而能够选择性吸收垂直或平行于 c 轴的偏振光。利用 GaN 的非极性平面，垂直于 c 轴的极化的重空穴带和导带最小值之间的电子跃迁概率被选择性地增强，从而控制与极化角度相关的吸收。我们的器件实现了 3.79 的高二向色比（比 c 平面高 318%）和 10 V 下 1.7 µs 的超快响应速度，超越了传统的极平面架构和先前的偏振敏感探测器。此外，通过引入氧注入层来策略性地打破晶格对称性，氧原子周围的各向异性电荷密度分布进一步增强了二色性比。卓越的偏振辨别能力在单像素偏振成像和强度/偏振二元通道光通信加密中得到了验证。这项工作建立了</w:t>
      </w:r>
    </w:p>
    <w:p>
      <w:pPr>
        <w:spacing w:before="0" w:after="200" w:lineRule="auto" w:line="276"/>
      </w:pPr>
      <w:r>
        <w:rPr>
          <w:b/>
        </w:rPr>
        <w:t xml:space="preserve">Abstract (EN): </w:t>
      </w:r>
      <w:r>
        <w:t>Polarization detection in shortwave spectrum using wurtzite wide‐bandgap semiconductors remains challenging due to the isotropic limitations of conventional polar crystal planes. Nonpolar planes offer a promising route, yet the underlying physical mechanism is unclear. Here, we establish a direct correlation between crystallographic polarity and anisotropic photoresponse on nonpolar a‐plane GaN, demonstrating an intrinsic polarization‐sensitive photodetection scheme. Crystal‐field‐induced valence band splitting yields distinct transition dipole moments from heavy‐hole and crystal field split‐off bands to the conduction band minimum, enabling selective absorption for light polarized perpendicular or parallel to the c‐axis. Using the nonpolar plane of GaN, electron transition probability between the heavy‐hole band and conduction band minimum for polarization perpendicular to the c‐axis is selectively enhanced, governing polarization‐angle‐dependent absorption. Our device achieves a high dichroic ratio of 3.79 (318% higher than c‐plane) and an ultrafast response speed of 1.7 µs at 10 V, surpassing conventional polar‐plane architectures and prior polarization‐sensitive detectors. Furthermore, by introducing an oxygen injection layer to strategically break lattice symmetry, anisotropic charge density distribution around oxygen atoms further enhances the dichroic ratio. Exceptional polarization discrimination is validated in single‐pixel polarized imaging and intensity/polarization binary‐channel optical communication encryption. This work establishes a material‐intrinsic paradigm for high‐sensitivity polarization detection, offering new perspectives for multidimensional optoelectronics.</w:t>
      </w:r>
    </w:p>
    <w:p>
      <w:pPr>
        <w:spacing w:before="120" w:after="120"/>
      </w:pPr>
      <w:r>
        <w:rPr>
          <w:sz w:val="18"/>
        </w:rPr>
        <w:t>——————————————————————————————————————————————————————————————————————</w:t>
      </w:r>
    </w:p>
    <w:p>
      <w:pPr>
        <w:spacing w:before="160" w:after="40" w:line="240" w:lineRule="auto"/>
      </w:pPr>
      <w:r>
        <w:rPr>
          <w:b/>
        </w:rPr>
        <w:t xml:space="preserve">[682] </w:t>
      </w:r>
      <w:hyperlink r:id="rId1819">
        <w:r>
          <w:rPr>
            <w:color w:val="1155CC"/>
            <w:u w:val="single"/>
          </w:rPr>
          <w:t>机械组装拓扑绝缘体/磁体异质结构中的宇称反常量子反常霍尔态</w:t>
        </w:r>
      </w:hyperlink>
    </w:p>
    <w:p>
      <w:pPr>
        <w:spacing w:before="0" w:after="80"/>
      </w:pPr>
      <w:r>
        <w:rPr>
          <w:i/>
          <w:sz w:val="20"/>
        </w:rPr>
        <w:t>EN: Parity‐Anomaly Quantum Anomalous Hall State in Mechanically Assembled Topological Insulator/Magnet Heterostructures</w:t>
      </w:r>
    </w:p>
    <w:p>
      <w:pPr>
        <w:spacing w:before="0" w:after="120"/>
      </w:pPr>
      <w:r>
        <w:rPr>
          <w:b/>
        </w:rPr>
        <w:t xml:space="preserve">Source: </w:t>
      </w:r>
      <w:r>
        <w:t>Wiley: Advanced Materials: Table of Contents</w:t>
      </w:r>
      <w:r>
        <w:t xml:space="preserve">    </w:t>
      </w:r>
      <w:r>
        <w:rPr>
          <w:b/>
        </w:rPr>
        <w:t xml:space="preserve">Pub date: </w:t>
      </w:r>
      <w:r>
        <w:t>2026-07-22 18:37:41+00:00</w:t>
      </w:r>
      <w:r>
        <w:t xml:space="preserve">    </w:t>
      </w:r>
      <w:r>
        <w:rPr>
          <w:b/>
        </w:rPr>
        <w:t xml:space="preserve">DOI: </w:t>
      </w:r>
      <w:hyperlink r:id="rId1820">
        <w:r>
          <w:rPr>
            <w:color w:val="1155CC"/>
            <w:u w:val="single"/>
          </w:rPr>
          <w:t>10.1002/adma.74186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量子化反常霍尔效应系列提供了显着的电子特性，例如，垂直于电压的电流，在某些情况下，即使施加的磁场为零，也能产生无耗散的边缘态，</w:t>
      </w:r>
      <w:r>
        <w:t xml:space="preserve"> </w:t>
      </w:r>
      <w:r>
        <w:t>乙</w:t>
      </w:r>
      <w:r>
        <w:t xml:space="preserve"> </w:t>
      </w:r>
      <w:r>
        <w:t>——但它们的发展受到限制，因为它们只能在非常低的温度下实现。目前，磁掺杂拓扑绝缘体 (TI) 的最新技术允许量子化霍尔电导率在高达几个开尔文的温度下持续存在。另一种方法是使用化学上分离的磁体制成的邻近耦合 TI/磁体异质结构，但迄今为止仍受到更多限制，霍尔量子化要么完全不存在，要么仅在 100 mK 以下</w:t>
      </w:r>
      <w:r>
        <w:t xml:space="preserve"> </w:t>
      </w:r>
      <w:r>
        <w:t>乙</w:t>
      </w:r>
      <w:r>
        <w:t xml:space="preserve"> </w:t>
      </w:r>
      <w:r>
        <w:t>= 0。在这里，我们展示了量子化反常霍尔效应家族中的一种，即奇偶校验反常态（霍尔电导率</w:t>
      </w:r>
      <w:r>
        <w:t xml:space="preserve"> </w:t>
      </w:r>
      <w:r>
        <w:t>e</w:t>
      </w:r>
      <w:r>
        <w:rPr>
          <w:vertAlign w:val="subscript"/>
        </w:rPr>
        <w:t>2</w:t>
      </w:r>
      <w:r>
        <w:t>/2h）在温度高达 10 K 的 TI/磁体双层中通过机械组装范德华层制成。与之前通过沉积生长的邻近耦合异质结构相比，这意味着增强了 100 倍。</w:t>
      </w:r>
    </w:p>
    <w:p>
      <w:pPr>
        <w:spacing w:before="0" w:after="200" w:lineRule="auto" w:line="276"/>
      </w:pPr>
      <w:r>
        <w:rPr>
          <w:b/>
        </w:rPr>
        <w:t xml:space="preserve">Abstract (EN): </w:t>
      </w:r>
      <w:r>
        <w:t>The family of quantized anomalous Hall effects provides remarkable electronic properties—for example, current flow perpendicular to the voltage and, in some cases, dissipationless edge states even with zero applied magnetic field,</w:t>
      </w:r>
      <w:r>
        <w:t xml:space="preserve"> </w:t>
      </w:r>
      <w:r>
        <w:t>B</w:t>
      </w:r>
      <w:r>
        <w:t xml:space="preserve"> </w:t>
      </w:r>
      <w:r>
        <w:t>—but their development is limited by their realization only at very low temperatures. The state of the art in magnetically‐doped topological insulators (TIs) currently allows quantized Hall conductivities to persist up to temperatures of several Kelvin. An alternative approach, proximity‐coupled TI/magnet heterostructures made using a chemically separate magnet, has up until now been more limited, with Hall quantization either completely absent or present only below 100 mK at</w:t>
      </w:r>
      <w:r>
        <w:t xml:space="preserve"> </w:t>
      </w:r>
      <w:r>
        <w:t>B</w:t>
      </w:r>
      <w:r>
        <w:t xml:space="preserve"> </w:t>
      </w:r>
      <w:r>
        <w:t>= 0. Here, we demonstrate one in the family of quantized anomalous Hall effects, the parity anomaly state (with Hall conductivity</w:t>
      </w:r>
      <w:r>
        <w:t xml:space="preserve"> </w:t>
      </w:r>
      <w:r>
        <w:t>e</w:t>
      </w:r>
      <w:r>
        <w:rPr>
          <w:vertAlign w:val="subscript"/>
        </w:rPr>
        <w:t>2</w:t>
      </w:r>
      <w:r>
        <w:t>/2h) at temperatures up to 10 K in TI/magnet bilayers made by mechanical assembly of van der Waals layers. This represents an enhancement by a factor of 100 compared to previous proximity‐coupled heterostructures grown by deposition.</w:t>
      </w:r>
    </w:p>
    <w:p>
      <w:pPr>
        <w:spacing w:before="120" w:after="120"/>
      </w:pPr>
      <w:r>
        <w:rPr>
          <w:sz w:val="18"/>
        </w:rPr>
        <w:t>——————————————————————————————————————————————————————————————————————</w:t>
      </w:r>
    </w:p>
    <w:p>
      <w:pPr>
        <w:spacing w:before="160" w:after="40" w:line="240" w:lineRule="auto"/>
      </w:pPr>
      <w:r>
        <w:rPr>
          <w:b/>
        </w:rPr>
        <w:t xml:space="preserve">[683] </w:t>
      </w:r>
      <w:hyperlink r:id="rId1821">
        <w:r>
          <w:rPr>
            <w:color w:val="1155CC"/>
            <w:u w:val="single"/>
          </w:rPr>
          <w:t>新兴的多模态人工感官融合范式迈向高级具身智能</w:t>
        </w:r>
      </w:hyperlink>
    </w:p>
    <w:p>
      <w:pPr>
        <w:spacing w:before="0" w:after="80"/>
      </w:pPr>
      <w:r>
        <w:rPr>
          <w:i/>
          <w:sz w:val="20"/>
        </w:rPr>
        <w:t>EN: Emerging Multimodal Artificial Sensory Fusion Paradigms Toward Advanced Embodied Intelligence</w:t>
      </w:r>
    </w:p>
    <w:p>
      <w:pPr>
        <w:spacing w:before="0" w:after="120"/>
      </w:pPr>
      <w:r>
        <w:rPr>
          <w:b/>
        </w:rPr>
        <w:t xml:space="preserve">Source: </w:t>
      </w:r>
      <w:r>
        <w:t>Wiley: Advanced Materials: Table of Contents</w:t>
      </w:r>
      <w:r>
        <w:t xml:space="preserve">    </w:t>
      </w:r>
      <w:r>
        <w:rPr>
          <w:b/>
        </w:rPr>
        <w:t xml:space="preserve">Pub date: </w:t>
      </w:r>
      <w:r>
        <w:t>2026-07-22 19:00:12+00:00</w:t>
      </w:r>
      <w:r>
        <w:t xml:space="preserve">    </w:t>
      </w:r>
      <w:r>
        <w:rPr>
          <w:b/>
        </w:rPr>
        <w:t xml:space="preserve">DOI: </w:t>
      </w:r>
      <w:hyperlink r:id="rId1822">
        <w:r>
          <w:rPr>
            <w:color w:val="1155CC"/>
            <w:u w:val="single"/>
          </w:rPr>
          <w:t>10.1002/adma.74199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体现智能连接数字世界和物理现实的努力中，人工多模态感知融合已成为赋予智能体强大的感知和自然交互能力的基石。具体来说，多感官融合构建了一个能够并行获取和处理多源信息的仿生传感框架。这种架构增强了信息感知并确保复杂环境中更高的决策可靠性。然而，对这个快速发展的领域的系统回顾却明显缺失。本综述通过对各种多模态感觉融合方法的全面分析来弥补这一差距。我们介绍了多模态感觉融合的配置，以及传感器和人工突触的操作机制。特别是，对各种仿生多模态融合范式进行了批判性分析，例如视觉-触觉和视觉-嗅觉融合，并详细讨论了它们的设备结构和融合机制。这些多感官融合系统在各个应用领域显示出巨大的潜力。最后，讨论并概述了新出现的机会。通过强调多模态传感融合的关键潜力，本综述旨在激发对融合策略和实际应用的进一步研究，促进实体智能向人类水平的演变。</w:t>
      </w:r>
    </w:p>
    <w:p>
      <w:pPr>
        <w:spacing w:before="0" w:after="200" w:lineRule="auto" w:line="276"/>
      </w:pPr>
      <w:r>
        <w:rPr>
          <w:b/>
        </w:rPr>
        <w:t xml:space="preserve">Abstract (EN): </w:t>
      </w:r>
      <w:r>
        <w:t>In the endeavor of embodied intelligence to connect the digital world and physical reality, artificial multimodal sensory fusion has emerged as a cornerstone for endowing agents with robust perception and natural interaction capabilities. Specifically, multisensory fusion constructs a biomimetic sensing framework capable of parallel acquisition and processing of multi‐source information. Such architectures augment information perception and ensure higher decision‐making reliability within complex environments. However, a systematic review of this rapidly evolving field is noticeably absent. This review bridges this gap by providing a comprehensive analysis of various multimodal sensory fusion approaches. We introduce the configurations of multimodal sensory fusion, as well as the operating mechanisms of sensors and artificial synapses. In particular, various biomimetic multimodal fusion paradigms are critically analyzed, such as visual‐tactile and visual‐olfactory fusion, with detailed discussions of their device structure and fusion mechanisms. These multisensory fusion systems show great potential in various application fields. Finally, the emerging opportunities are discussed and outlined. By highlighting the critical potential of multimodal sensing fusion, this review aims to inspire further research on fusion strategies and practical applications, facilitating the evolution of embodied intelligence toward more human level.</w:t>
      </w:r>
    </w:p>
    <w:p>
      <w:pPr>
        <w:spacing w:before="120" w:after="120"/>
      </w:pPr>
      <w:r>
        <w:rPr>
          <w:sz w:val="18"/>
        </w:rPr>
        <w:t>——————————————————————————————————————————————————————————————————————</w:t>
      </w:r>
    </w:p>
    <w:p>
      <w:pPr>
        <w:spacing w:before="160" w:after="40" w:line="240" w:lineRule="auto"/>
      </w:pPr>
      <w:r>
        <w:rPr>
          <w:b/>
        </w:rPr>
        <w:t xml:space="preserve">[684] </w:t>
      </w:r>
      <w:hyperlink r:id="rId1823">
        <w:r>
          <w:rPr>
            <w:color w:val="1155CC"/>
            <w:u w:val="single"/>
          </w:rPr>
          <w:t>ZrTe5 中自旋极化螺旋边缘模式的磁增亮和纳米级成像</w:t>
        </w:r>
      </w:hyperlink>
    </w:p>
    <w:p>
      <w:pPr>
        <w:spacing w:before="0" w:after="80"/>
      </w:pPr>
      <w:r>
        <w:rPr>
          <w:i/>
          <w:sz w:val="20"/>
        </w:rPr>
        <w:t>EN: Magnetic brightening and nanoscale imaging of spin-polarized helical edge modes in ZrTe5</w:t>
      </w:r>
    </w:p>
    <w:p>
      <w:pPr>
        <w:spacing w:before="0" w:after="120"/>
      </w:pPr>
      <w:r>
        <w:rPr>
          <w:b/>
        </w:rPr>
        <w:t xml:space="preserve">Source: </w:t>
      </w:r>
      <w:r>
        <w:t>Nature Nanotechnology</w:t>
      </w:r>
      <w:r>
        <w:t xml:space="preserve">    </w:t>
      </w:r>
      <w:r>
        <w:rPr>
          <w:b/>
        </w:rPr>
        <w:t xml:space="preserve">Pub date: </w:t>
      </w:r>
      <w:r>
        <w:t>2026-07-23 00:00:00+00:00</w:t>
      </w:r>
      <w:r>
        <w:t xml:space="preserve">    </w:t>
      </w:r>
      <w:r>
        <w:rPr>
          <w:b/>
        </w:rPr>
        <w:t xml:space="preserve">DOI: </w:t>
      </w:r>
      <w:hyperlink r:id="rId1824">
        <w:r>
          <w:rPr>
            <w:color w:val="1155CC"/>
            <w:u w:val="single"/>
          </w:rPr>
          <w:t>10.1038/s41565-026-02193-2</w:t>
        </w:r>
      </w:hyperlink>
    </w:p>
    <w:p>
      <w:pPr>
        <w:spacing w:before="0" w:after="120"/>
      </w:pPr>
      <w:r>
        <w:rPr>
          <w:b/>
        </w:rPr>
        <w:t xml:space="preserve">Notes: </w:t>
      </w:r>
      <w:r>
        <w:t>abstract_source=pubmed</w:t>
      </w:r>
    </w:p>
    <w:p>
      <w:pPr>
        <w:spacing w:before="0" w:after="80" w:lineRule="auto" w:line="276"/>
      </w:pPr>
      <w:r>
        <w:rPr>
          <w:b/>
        </w:rPr>
        <w:t xml:space="preserve">摘要（ZH）: </w:t>
      </w:r>
      <w:r>
        <w:t>高效的电荷传输仍然是纳米电子器件的基本挑战，因为它们的性能受到高耗散以及高频信号源和纳米级电路接口之间的阻抗不匹配的限制。尽管拓扑保护的螺旋边缘模式提供了无耗散和反向散射弹性的替代方案，但实现对这些模式的纳米级控制需要直接可视化其空间电动力学，特别是在高频操作下。在这里，通过利用低温磁红外散射型扫描近场光学显微镜（cm-IR-sSNOM），我们在纳米尺度上对 ZrTe5 中的自旋偏振螺旋边缘通道进行成像，揭示了磁场引起的增亮作为稳健拓扑边缘模式的高频电动特征。在 1.8 K 和高达 5 T 的磁场下工作，我们观察到红外频率下边缘态极化率的出现，该极化率对通常淬灭直流的磁隙具有显着的弹性。和微波边缘传输。我们的结果揭示了拓扑“双车道”空间重组，其中外部磁场引起反向传播边缘模式之间的自旋布居不平衡。有利的螺旋分支被限制在物理边界上，以激活净红外近场对比度。这种电动响应与原子层数呈线性关系，这证实了 ZrTe5 中的各个层保留了其离散的量子自旋霍尔特性。这些发现可能有助于发展拓扑自旋</w:t>
      </w:r>
    </w:p>
    <w:p>
      <w:pPr>
        <w:spacing w:before="0" w:after="200" w:lineRule="auto" w:line="276"/>
      </w:pPr>
      <w:r>
        <w:rPr>
          <w:b/>
        </w:rPr>
        <w:t xml:space="preserve">Abstract (EN): </w:t>
      </w:r>
      <w:r>
        <w:t>Efficient charge transport remains a fundamental challenge for nanoelectronic devices, as their performance is constrained by high dissipation and the impedance mismatch between high-frequency signal sources and nanoscale circuit interfaces. Although topologically protected helical edge modes offer a dissipationless and backscattering-resilient alternative, achieving nanoscale control over these modes requires direct visualization of their spatial electrodynamics, especially under high-frequency operation. Here, by utilizing cryogenic magneto-infrared scattering-type scanning near-field optical microscopy (cm-IR-sSNOM), we image spin-polarized helical edge channels in ZrTe5 at the nanoscale, revealing magnetic-field-induced brightening as a high-frequency electrodynamic signature of robust topological edge modes. Operating at 1.8 K and under a magnetic field of up to 5 T, we observe the emergence of edge-state polarizability at infrared frequencies that is notably resilient to the magnetic gaps that typically quench d.c. and microwave edge transport. Our results reveal a topological 'two-lane' spatial reorganization in which an external magnetic field induces a spin-population imbalance between counterpropagating edge modes. Favoured helical branches are confined against physical boundaries to activate a net infrared near-field contrast. This electrodynamic response scales linearly with the number of atomic layers, which confirms that individual layers in ZrTe5 preserve their discrete quantum spin Hall identities. These findings may be useful for developing topological spintronic devices, as the magnetic infrared tunability of helical edge channels provides a pathway for low-loss nanoscale interconnects and high-speed information processing.</w:t>
      </w:r>
    </w:p>
    <w:p>
      <w:pPr>
        <w:spacing w:before="120" w:after="120"/>
      </w:pPr>
      <w:r>
        <w:rPr>
          <w:sz w:val="18"/>
        </w:rPr>
        <w:t>——————————————————————————————————————————————————————————————————————</w:t>
      </w:r>
    </w:p>
    <w:p>
      <w:pPr>
        <w:spacing w:before="160" w:after="40" w:line="240" w:lineRule="auto"/>
      </w:pPr>
      <w:r>
        <w:rPr>
          <w:b/>
        </w:rPr>
        <w:t xml:space="preserve">[685] </w:t>
      </w:r>
      <w:hyperlink r:id="rId1825">
        <w:r>
          <w:rPr>
            <w:color w:val="1155CC"/>
            <w:u w:val="single"/>
          </w:rPr>
          <w:t>长链金属主链聚合物的一锅法合成</w:t>
        </w:r>
      </w:hyperlink>
    </w:p>
    <w:p>
      <w:pPr>
        <w:spacing w:before="0" w:after="80"/>
      </w:pPr>
      <w:r>
        <w:rPr>
          <w:i/>
          <w:sz w:val="20"/>
        </w:rPr>
        <w:t>EN: One-pot synthesis of a long-chain metal-backboned polymer</w:t>
      </w:r>
    </w:p>
    <w:p>
      <w:pPr>
        <w:spacing w:before="0" w:after="120"/>
      </w:pPr>
      <w:r>
        <w:rPr>
          <w:b/>
        </w:rPr>
        <w:t xml:space="preserve">Source: </w:t>
      </w:r>
      <w:r>
        <w:t>National Science Review Advance Access</w:t>
      </w:r>
      <w:r>
        <w:t xml:space="preserve">    </w:t>
      </w:r>
      <w:r>
        <w:rPr>
          <w:b/>
        </w:rPr>
        <w:t xml:space="preserve">Pub date: </w:t>
      </w:r>
      <w:r>
        <w:t>2026-07-23 00:00:00+00:00</w:t>
      </w:r>
      <w:r>
        <w:t xml:space="preserve">    </w:t>
      </w:r>
      <w:r>
        <w:rPr>
          <w:b/>
        </w:rPr>
        <w:t xml:space="preserve">DOI: </w:t>
      </w:r>
      <w:hyperlink r:id="rId1826">
        <w:r>
          <w:rPr>
            <w:color w:val="1155CC"/>
            <w:u w:val="single"/>
          </w:rPr>
          <w:t>10.1093/nsr/nwag451</w:t>
        </w:r>
      </w:hyperlink>
    </w:p>
    <w:p>
      <w:pPr>
        <w:spacing w:before="0" w:after="120"/>
      </w:pPr>
      <w:r>
        <w:rPr>
          <w:b/>
        </w:rPr>
        <w:t xml:space="preserve">Notes: </w:t>
      </w:r>
      <w:r>
        <w:t>abstract_source=rss_oup</w:t>
      </w:r>
    </w:p>
    <w:p>
      <w:pPr>
        <w:spacing w:before="0" w:after="80" w:lineRule="auto" w:line="276"/>
      </w:pPr>
      <w:r>
        <w:rPr>
          <w:b/>
        </w:rPr>
        <w:t xml:space="preserve">摘要（ZH）: </w:t>
      </w:r>
      <w:r>
        <w:t>金属主链聚合物的主链仅由通过连续金属-金属键互连的金属原子组成，已被提议作为一类新型材料，在光学、电子和磁学方面具有广阔的应用前景。然而，它们仍然无法用于合成。利用金的长程亲金吸引力，我们报告了一种简单的一锅合成方法来制造金属支撑聚合物。该策略实现了超过50的聚合度和溶液中稳定的链完整性，为其生产提供了简洁高效的路线。系统的结构表征揭示了具有连续 Au-Au 键的一维 Au 主链，通过准共价键与配体保护的协同作用稳定。所得金主链聚合物（GBP）表现出典型的聚合物行为，包括玻璃化转变温度和成膜能力。此外，GBP还表现出有效的电子离域、半导体特性和长波长磷光，初步的电致发光光纤器件展示了其在柔性光电子学方面的潜力。这项研究为金属主链聚合物的合成建立了一条通用且有效的路线。</w:t>
      </w:r>
    </w:p>
    <w:p>
      <w:pPr>
        <w:spacing w:before="0" w:after="200" w:lineRule="auto" w:line="276"/>
      </w:pPr>
      <w:r>
        <w:rPr>
          <w:b/>
        </w:rPr>
        <w:t xml:space="preserve">Abstract (EN): </w:t>
      </w:r>
      <w:r>
        <w:t>Metal-backboned polymers, featuring backbones composed exclusively of metal atoms interconnected by consecutive metal–metal bonds, have been proposed as a new class of materials for promising applications in optics, electronics, and magnetics; however, they remain unavailable for synthesis. Taking advantage of the long-range aurophilic attraction of gold, we report a straightforward one-pot synthesis method to fabricate metal-backboned polymers. This strategy achieves a degree of polymerization exceeding 50 and stable chain integrity in solution, providing a concise and efficient route for their production. Systematic structural characterizations revealed a one-dimensional Au backbone with continuous Au–Au bonds stabilized by quasi-covalent bonding in synergy with ligand protection. The resulting gold-backboned polymer (GBP) exhibits typical polymer behaviors, including the glass transition temperature and film-forming ability. In addition, GBP exhibits effective electron delocalization, semiconducting properties, and long-wavelength phosphorescence, with a preliminary electroluminescent fiber device demonstrating its potential in flexible optoelectronics. This study establishes a general and efficient route for the synthesis of metal-backboned polymers.</w:t>
      </w:r>
    </w:p>
    <w:p>
      <w:pPr>
        <w:spacing w:before="120" w:after="120"/>
      </w:pPr>
      <w:r>
        <w:rPr>
          <w:sz w:val="18"/>
        </w:rPr>
        <w:t>——————————————————————————————————————————————————————————————————————</w:t>
      </w:r>
    </w:p>
    <w:p>
      <w:pPr>
        <w:spacing w:before="160" w:after="40" w:line="240" w:lineRule="auto"/>
      </w:pPr>
      <w:r>
        <w:rPr>
          <w:b/>
        </w:rPr>
        <w:t xml:space="preserve">[686] </w:t>
      </w:r>
      <w:hyperlink r:id="rId1827">
        <w:r>
          <w:rPr>
            <w:color w:val="1155CC"/>
            <w:u w:val="single"/>
          </w:rPr>
          <w:t>数学新星荣获 2026 年菲尔兹奖</w:t>
        </w:r>
      </w:hyperlink>
    </w:p>
    <w:p>
      <w:pPr>
        <w:spacing w:before="0" w:after="80"/>
      </w:pPr>
      <w:r>
        <w:rPr>
          <w:i/>
          <w:sz w:val="20"/>
        </w:rPr>
        <w:t>EN: Rising stars of mathematics awarded prestigious 2026 Fields Medal</w:t>
      </w:r>
    </w:p>
    <w:p>
      <w:pPr>
        <w:spacing w:before="0" w:after="120"/>
      </w:pPr>
      <w:r>
        <w:rPr>
          <w:b/>
        </w:rPr>
        <w:t xml:space="preserve">Source: </w:t>
      </w:r>
      <w:r>
        <w:t>Nature</w:t>
      </w:r>
      <w:r>
        <w:t xml:space="preserve">    </w:t>
      </w:r>
      <w:r>
        <w:rPr>
          <w:b/>
        </w:rPr>
        <w:t xml:space="preserve">Pub date: </w:t>
      </w:r>
      <w:r>
        <w:t>2026-07-23 00:00:00+00:00</w:t>
      </w:r>
      <w:r>
        <w:t xml:space="preserve">    </w:t>
      </w:r>
      <w:r>
        <w:rPr>
          <w:b/>
        </w:rPr>
        <w:t xml:space="preserve">DOI: </w:t>
      </w:r>
      <w:hyperlink r:id="rId1828">
        <w:r>
          <w:rPr>
            <w:color w:val="1155CC"/>
            <w:u w:val="single"/>
          </w:rPr>
          <w:t>10.1038/d41586-026-02169-1</w:t>
        </w:r>
      </w:hyperlink>
    </w:p>
    <w:p>
      <w:pPr>
        <w:spacing w:before="0" w:after="120"/>
      </w:pPr>
      <w:r>
        <w:rPr>
          <w:b/>
        </w:rPr>
        <w:t xml:space="preserve">Notes: </w:t>
      </w:r>
      <w:r>
        <w:t>abstract_source=nature_html</w:t>
      </w:r>
    </w:p>
    <w:p>
      <w:pPr>
        <w:spacing w:before="0" w:after="80" w:lineRule="auto" w:line="276"/>
      </w:pPr>
      <w:r>
        <w:rPr>
          <w:b/>
        </w:rPr>
        <w:t xml:space="preserve">摘要（ZH）: </w:t>
      </w:r>
      <w:r>
        <w:t>四人中的两人是自 1982 年以来首位在中国出生的获奖者。</w:t>
      </w:r>
    </w:p>
    <w:p>
      <w:pPr>
        <w:spacing w:before="0" w:after="200" w:lineRule="auto" w:line="276"/>
      </w:pPr>
      <w:r>
        <w:rPr>
          <w:b/>
        </w:rPr>
        <w:t xml:space="preserve">Abstract (EN): </w:t>
      </w:r>
      <w:r>
        <w:t>Two of the four are the first Chinese-born winners of the prize since 1982.</w:t>
      </w:r>
    </w:p>
    <w:p>
      <w:pPr>
        <w:spacing w:before="120" w:after="120"/>
      </w:pPr>
      <w:r>
        <w:rPr>
          <w:sz w:val="18"/>
        </w:rPr>
        <w:t>——————————————————————————————————————————————————————————————————————</w:t>
      </w:r>
    </w:p>
    <w:p>
      <w:pPr>
        <w:spacing w:before="160" w:after="40" w:line="240" w:lineRule="auto"/>
      </w:pPr>
      <w:r>
        <w:rPr>
          <w:b/>
        </w:rPr>
        <w:t xml:space="preserve">[687] </w:t>
      </w:r>
      <w:hyperlink r:id="rId1829">
        <w:r>
          <w:rPr>
            <w:color w:val="1155CC"/>
            <w:u w:val="single"/>
          </w:rPr>
          <w:t>这次厄尔尼诺现象将成为有记录以来最大的厄尔尼诺现象，其幅度“令人震惊”</w:t>
        </w:r>
      </w:hyperlink>
    </w:p>
    <w:p>
      <w:pPr>
        <w:spacing w:before="0" w:after="80"/>
      </w:pPr>
      <w:r>
        <w:rPr>
          <w:i/>
          <w:sz w:val="20"/>
        </w:rPr>
        <w:t>EN: This El Niño is set to be the largest on record by a ‘mind-blowing margin’</w:t>
      </w:r>
    </w:p>
    <w:p>
      <w:pPr>
        <w:spacing w:before="0" w:after="120"/>
      </w:pPr>
      <w:r>
        <w:rPr>
          <w:b/>
        </w:rPr>
        <w:t xml:space="preserve">Source: </w:t>
      </w:r>
      <w:r>
        <w:t>Nature</w:t>
      </w:r>
      <w:r>
        <w:t xml:space="preserve">    </w:t>
      </w:r>
      <w:r>
        <w:rPr>
          <w:b/>
        </w:rPr>
        <w:t xml:space="preserve">Pub date: </w:t>
      </w:r>
      <w:r>
        <w:t>2026-07-23 00:00:00+00:00</w:t>
      </w:r>
      <w:r>
        <w:t xml:space="preserve">    </w:t>
      </w:r>
      <w:r>
        <w:rPr>
          <w:b/>
        </w:rPr>
        <w:t xml:space="preserve">DOI: </w:t>
      </w:r>
      <w:hyperlink r:id="rId1830">
        <w:r>
          <w:rPr>
            <w:color w:val="1155CC"/>
            <w:u w:val="single"/>
          </w:rPr>
          <w:t>10.1038/d41586-026-02293-y</w:t>
        </w:r>
      </w:hyperlink>
    </w:p>
    <w:p>
      <w:pPr>
        <w:spacing w:before="0" w:after="120"/>
      </w:pPr>
      <w:r>
        <w:rPr>
          <w:b/>
        </w:rPr>
        <w:t xml:space="preserve">Notes: </w:t>
      </w:r>
      <w:r>
        <w:t>abstract_source=rss_nature</w:t>
      </w:r>
    </w:p>
    <w:p>
      <w:pPr>
        <w:spacing w:before="0" w:after="80" w:lineRule="auto" w:line="276"/>
      </w:pPr>
      <w:r>
        <w:rPr>
          <w:b/>
        </w:rPr>
        <w:t xml:space="preserve">摘要（ZH）: </w:t>
      </w:r>
      <w:r>
        <w:t>预报员预测，这种巨大的气候模式将与全球变暖相结合，将 2027 年全球气温推至新高。</w:t>
      </w:r>
    </w:p>
    <w:p>
      <w:pPr>
        <w:spacing w:before="0" w:after="200" w:lineRule="auto" w:line="276"/>
      </w:pPr>
      <w:r>
        <w:rPr>
          <w:b/>
        </w:rPr>
        <w:t xml:space="preserve">Abstract (EN): </w:t>
      </w:r>
      <w:r>
        <w:t>Forecasters predict that the monster climate pattern will combine with global warming to push global temperatures in 2027 to new heights.</w:t>
      </w:r>
    </w:p>
    <w:p>
      <w:pPr>
        <w:spacing w:before="120" w:after="120"/>
      </w:pPr>
      <w:r>
        <w:rPr>
          <w:sz w:val="18"/>
        </w:rPr>
        <w:t>——————————————————————————————————————————————————————————————————————</w:t>
      </w:r>
    </w:p>
    <w:p>
      <w:pPr>
        <w:spacing w:before="160" w:after="40" w:line="240" w:lineRule="auto"/>
      </w:pPr>
      <w:r>
        <w:rPr>
          <w:b/>
        </w:rPr>
        <w:t xml:space="preserve">[688] </w:t>
      </w:r>
      <w:hyperlink r:id="rId1831">
        <w:r>
          <w:rPr>
            <w:color w:val="1155CC"/>
            <w:u w:val="single"/>
          </w:rPr>
          <w:t>在农业兴起之初，人类使用了数千种语言，但现在其中许多语言已经消失</w:t>
        </w:r>
      </w:hyperlink>
    </w:p>
    <w:p>
      <w:pPr>
        <w:spacing w:before="0" w:after="80"/>
      </w:pPr>
      <w:r>
        <w:rPr>
          <w:i/>
          <w:sz w:val="20"/>
        </w:rPr>
        <w:t>EN: Humanity spoke thousands of languages at the dawn of farming — now many of them are lost</w:t>
      </w:r>
    </w:p>
    <w:p>
      <w:pPr>
        <w:spacing w:before="0" w:after="120"/>
      </w:pPr>
      <w:r>
        <w:rPr>
          <w:b/>
        </w:rPr>
        <w:t xml:space="preserve">Source: </w:t>
      </w:r>
      <w:r>
        <w:t>Nature</w:t>
      </w:r>
      <w:r>
        <w:t xml:space="preserve">    </w:t>
      </w:r>
      <w:r>
        <w:rPr>
          <w:b/>
        </w:rPr>
        <w:t xml:space="preserve">Pub date: </w:t>
      </w:r>
      <w:r>
        <w:t>2026-07-23 00:00:00+00:00</w:t>
      </w:r>
      <w:r>
        <w:t xml:space="preserve">    </w:t>
      </w:r>
      <w:r>
        <w:rPr>
          <w:b/>
        </w:rPr>
        <w:t xml:space="preserve">DOI: </w:t>
      </w:r>
      <w:hyperlink r:id="rId1832">
        <w:r>
          <w:rPr>
            <w:color w:val="1155CC"/>
            <w:u w:val="single"/>
          </w:rPr>
          <w:t>10.1038/d41586-026-02279-w</w:t>
        </w:r>
      </w:hyperlink>
    </w:p>
    <w:p>
      <w:pPr>
        <w:spacing w:before="0" w:after="120"/>
      </w:pPr>
      <w:r>
        <w:rPr>
          <w:b/>
        </w:rPr>
        <w:t xml:space="preserve">Notes: </w:t>
      </w:r>
      <w:r>
        <w:t>abstract_source=rss_nature</w:t>
      </w:r>
    </w:p>
    <w:p>
      <w:pPr>
        <w:spacing w:before="0" w:after="80" w:lineRule="auto" w:line="276"/>
      </w:pPr>
      <w:r>
        <w:rPr>
          <w:b/>
        </w:rPr>
        <w:t xml:space="preserve">摘要（ZH）: </w:t>
      </w:r>
      <w:r>
        <w:t>游牧生活方式的转变可能引发了语言多样性，然后语言多样性迅速下降。</w:t>
      </w:r>
    </w:p>
    <w:p>
      <w:pPr>
        <w:spacing w:before="0" w:after="200" w:lineRule="auto" w:line="276"/>
      </w:pPr>
      <w:r>
        <w:rPr>
          <w:b/>
        </w:rPr>
        <w:t xml:space="preserve">Abstract (EN): </w:t>
      </w:r>
      <w:r>
        <w:t>A shift from nomadic lifestyles could have triggered linguistic diversity before it then declined rapidly.</w:t>
      </w:r>
    </w:p>
    <w:p>
      <w:pPr>
        <w:spacing w:before="120" w:after="120"/>
      </w:pPr>
      <w:r>
        <w:rPr>
          <w:sz w:val="18"/>
        </w:rPr>
        <w:t>——————————————————————————————————————————————————————————————————————</w:t>
      </w:r>
    </w:p>
    <w:p>
      <w:pPr>
        <w:spacing w:before="160" w:after="40" w:line="240" w:lineRule="auto"/>
      </w:pPr>
      <w:r>
        <w:rPr>
          <w:b/>
        </w:rPr>
        <w:t xml:space="preserve">[689] </w:t>
      </w:r>
      <w:hyperlink r:id="rId1833">
        <w:r>
          <w:rPr>
            <w:color w:val="1155CC"/>
            <w:u w:val="single"/>
          </w:rPr>
          <w:t>“让美国再次健康”如何经得起科学审查？</w:t>
        </w:r>
      </w:hyperlink>
    </w:p>
    <w:p>
      <w:pPr>
        <w:spacing w:before="0" w:after="80"/>
      </w:pPr>
      <w:r>
        <w:rPr>
          <w:i/>
          <w:sz w:val="20"/>
        </w:rPr>
        <w:t>EN: How does Make America Healthy Again hold up against scientific scrutiny?</w:t>
      </w:r>
    </w:p>
    <w:p>
      <w:pPr>
        <w:spacing w:before="0" w:after="120"/>
      </w:pPr>
      <w:r>
        <w:rPr>
          <w:b/>
        </w:rPr>
        <w:t xml:space="preserve">Source: </w:t>
      </w:r>
      <w:r>
        <w:t>Nature</w:t>
      </w:r>
      <w:r>
        <w:t xml:space="preserve">    </w:t>
      </w:r>
      <w:r>
        <w:rPr>
          <w:b/>
        </w:rPr>
        <w:t xml:space="preserve">Pub date: </w:t>
      </w:r>
      <w:r>
        <w:t>2026-07-23 00:00:00+00:00</w:t>
      </w:r>
      <w:r>
        <w:t xml:space="preserve">    </w:t>
      </w:r>
      <w:r>
        <w:rPr>
          <w:b/>
        </w:rPr>
        <w:t xml:space="preserve">DOI: </w:t>
      </w:r>
      <w:hyperlink r:id="rId1834">
        <w:r>
          <w:rPr>
            <w:color w:val="1155CC"/>
            <w:u w:val="single"/>
          </w:rPr>
          <w:t>10.1038/d41586-026-02024-3</w:t>
        </w:r>
      </w:hyperlink>
    </w:p>
    <w:p>
      <w:pPr>
        <w:spacing w:before="0" w:after="120"/>
      </w:pPr>
      <w:r>
        <w:rPr>
          <w:b/>
        </w:rPr>
        <w:t xml:space="preserve">Notes: </w:t>
      </w:r>
      <w:r>
        <w:t>abstract_source=rss_nature</w:t>
      </w:r>
    </w:p>
    <w:p>
      <w:pPr>
        <w:spacing w:before="0" w:after="80" w:lineRule="auto" w:line="276"/>
      </w:pPr>
      <w:r>
        <w:rPr>
          <w:b/>
        </w:rPr>
        <w:t xml:space="preserve">摘要（ZH）: </w:t>
      </w:r>
      <w:r>
        <w:t>研究人员分享了他们对美国卫生政策的看法，涵盖从疫苗到营养等多个主题。</w:t>
      </w:r>
    </w:p>
    <w:p>
      <w:pPr>
        <w:spacing w:before="0" w:after="200" w:lineRule="auto" w:line="276"/>
      </w:pPr>
      <w:r>
        <w:rPr>
          <w:b/>
        </w:rPr>
        <w:t xml:space="preserve">Abstract (EN): </w:t>
      </w:r>
      <w:r>
        <w:t>Researchers share their views on the US health policy spanning topics from vaccines to nutrition.</w:t>
      </w:r>
    </w:p>
    <w:p>
      <w:pPr>
        <w:spacing w:before="120" w:after="120"/>
      </w:pPr>
      <w:r>
        <w:rPr>
          <w:sz w:val="18"/>
        </w:rPr>
        <w:t>——————————————————————————————————————————————————————————————————————</w:t>
      </w:r>
    </w:p>
    <w:p>
      <w:pPr>
        <w:spacing w:before="160" w:after="40" w:line="240" w:lineRule="auto"/>
      </w:pPr>
      <w:r>
        <w:rPr>
          <w:b/>
        </w:rPr>
        <w:t xml:space="preserve">[690] </w:t>
      </w:r>
      <w:hyperlink r:id="rId1835">
        <w:r>
          <w:rPr>
            <w:color w:val="1155CC"/>
            <w:u w:val="single"/>
          </w:rPr>
          <w:t>呼气分析仪可以判断您是否通过一次呼气燃烧脂肪</w:t>
        </w:r>
      </w:hyperlink>
    </w:p>
    <w:p>
      <w:pPr>
        <w:spacing w:before="0" w:after="80"/>
      </w:pPr>
      <w:r>
        <w:rPr>
          <w:i/>
          <w:sz w:val="20"/>
        </w:rPr>
        <w:t>EN: Breathalyser can tell if you are burning fat from a single exhalation</w:t>
      </w:r>
    </w:p>
    <w:p>
      <w:pPr>
        <w:spacing w:before="0" w:after="120"/>
      </w:pPr>
      <w:r>
        <w:rPr>
          <w:b/>
        </w:rPr>
        <w:t xml:space="preserve">Source: </w:t>
      </w:r>
      <w:r>
        <w:t>Nature</w:t>
      </w:r>
      <w:r>
        <w:t xml:space="preserve">    </w:t>
      </w:r>
      <w:r>
        <w:rPr>
          <w:b/>
        </w:rPr>
        <w:t xml:space="preserve">Pub date: </w:t>
      </w:r>
      <w:r>
        <w:t>2026-07-23 00:00:00+00:00</w:t>
      </w:r>
      <w:r>
        <w:t xml:space="preserve">    </w:t>
      </w:r>
      <w:r>
        <w:rPr>
          <w:b/>
        </w:rPr>
        <w:t xml:space="preserve">DOI: </w:t>
      </w:r>
      <w:hyperlink r:id="rId1836">
        <w:r>
          <w:rPr>
            <w:color w:val="1155CC"/>
            <w:u w:val="single"/>
          </w:rPr>
          <w:t>10.1038/d41586-026-02295-w</w:t>
        </w:r>
      </w:hyperlink>
    </w:p>
    <w:p>
      <w:pPr>
        <w:spacing w:before="0" w:after="120"/>
      </w:pPr>
      <w:r>
        <w:rPr>
          <w:b/>
        </w:rPr>
        <w:t xml:space="preserve">Notes: </w:t>
      </w:r>
      <w:r>
        <w:t>abstract_source=rss_nature</w:t>
      </w:r>
    </w:p>
    <w:p>
      <w:pPr>
        <w:spacing w:before="0" w:after="80" w:lineRule="auto" w:line="276"/>
      </w:pPr>
      <w:r>
        <w:rPr>
          <w:b/>
        </w:rPr>
        <w:t xml:space="preserve">摘要（ZH）: </w:t>
      </w:r>
      <w:r>
        <w:t>这种紧凑的设备可以测量身体何时处于酮症状态，并可以帮助人们控制减肥。</w:t>
      </w:r>
    </w:p>
    <w:p>
      <w:pPr>
        <w:spacing w:before="0" w:after="200" w:lineRule="auto" w:line="276"/>
      </w:pPr>
      <w:r>
        <w:rPr>
          <w:b/>
        </w:rPr>
        <w:t xml:space="preserve">Abstract (EN): </w:t>
      </w:r>
      <w:r>
        <w:t>The compact device can measure when the body is in ketosis and could help people to manage weight loss.</w:t>
      </w:r>
    </w:p>
    <w:p>
      <w:pPr>
        <w:spacing w:before="120" w:after="120"/>
      </w:pPr>
      <w:r>
        <w:rPr>
          <w:sz w:val="18"/>
        </w:rPr>
        <w:t>——————————————————————————————————————————————————————————————————————</w:t>
      </w:r>
    </w:p>
    <w:p>
      <w:pPr>
        <w:spacing w:before="160" w:after="40" w:line="240" w:lineRule="auto"/>
      </w:pPr>
      <w:r>
        <w:rPr>
          <w:b/>
        </w:rPr>
        <w:t xml:space="preserve">[691] </w:t>
      </w:r>
      <w:hyperlink r:id="rId1837">
        <w:r>
          <w:rPr>
            <w:color w:val="1155CC"/>
            <w:u w:val="single"/>
          </w:rPr>
          <w:t>衡量可持续发展进步和公民科学的政治</w:t>
        </w:r>
      </w:hyperlink>
    </w:p>
    <w:p>
      <w:pPr>
        <w:spacing w:before="0" w:after="80"/>
      </w:pPr>
      <w:r>
        <w:rPr>
          <w:i/>
          <w:sz w:val="20"/>
        </w:rPr>
        <w:t>EN: The politics of measuring sustainability progress and citizen science</w:t>
      </w:r>
    </w:p>
    <w:p>
      <w:pPr>
        <w:spacing w:before="0" w:after="120"/>
      </w:pPr>
      <w:r>
        <w:rPr>
          <w:b/>
        </w:rPr>
        <w:t xml:space="preserve">Source: </w:t>
      </w:r>
      <w:r>
        <w:t>Nature Sustainability</w:t>
      </w:r>
      <w:r>
        <w:t xml:space="preserve">    </w:t>
      </w:r>
      <w:r>
        <w:rPr>
          <w:b/>
        </w:rPr>
        <w:t xml:space="preserve">Pub date: </w:t>
      </w:r>
      <w:r>
        <w:t>2026-07-23 00:00:00+00:00</w:t>
      </w:r>
      <w:r>
        <w:t xml:space="preserve">    </w:t>
      </w:r>
      <w:r>
        <w:rPr>
          <w:b/>
        </w:rPr>
        <w:t xml:space="preserve">DOI: </w:t>
      </w:r>
      <w:hyperlink r:id="rId1838">
        <w:r>
          <w:rPr>
            <w:color w:val="1155CC"/>
            <w:u w:val="single"/>
          </w:rPr>
          <w:t>10.1038/s41893-026-01899-4</w:t>
        </w:r>
      </w:hyperlink>
    </w:p>
    <w:p>
      <w:pPr>
        <w:spacing w:before="0" w:after="120"/>
      </w:pPr>
      <w:r>
        <w:rPr>
          <w:b/>
        </w:rPr>
        <w:t xml:space="preserve">Notes: </w:t>
      </w:r>
      <w:r>
        <w:t>abstract_source=rss_nature</w:t>
      </w:r>
    </w:p>
    <w:p>
      <w:pPr>
        <w:spacing w:before="0" w:after="80" w:lineRule="auto" w:line="276"/>
      </w:pPr>
      <w:r>
        <w:rPr>
          <w:b/>
        </w:rPr>
        <w:t xml:space="preserve">摘要（ZH）: </w:t>
      </w:r>
      <w:r>
        <w:t>Dilek Fraisl 认为，如果我们要公平有效地制定干预措施，那么制定指标及其背后的方法就应该为参与式方法腾出空间。</w:t>
      </w:r>
    </w:p>
    <w:p>
      <w:pPr>
        <w:spacing w:before="0" w:after="200" w:lineRule="auto" w:line="276"/>
      </w:pPr>
      <w:r>
        <w:rPr>
          <w:b/>
        </w:rPr>
        <w:t xml:space="preserve">Abstract (EN): </w:t>
      </w:r>
      <w:r>
        <w:t>Developing indicators, and the methodologies behind them, should make space for participatory approaches if we are to shape interventions equitably and effectively, argues Dilek Fraisl.</w:t>
      </w:r>
    </w:p>
    <w:p>
      <w:pPr>
        <w:spacing w:before="120" w:after="120"/>
      </w:pPr>
      <w:r>
        <w:rPr>
          <w:sz w:val="18"/>
        </w:rPr>
        <w:t>——————————————————————————————————————————————————————————————————————</w:t>
      </w:r>
    </w:p>
    <w:p>
      <w:pPr>
        <w:spacing w:before="160" w:after="40" w:line="240" w:lineRule="auto"/>
      </w:pPr>
      <w:r>
        <w:rPr>
          <w:b/>
        </w:rPr>
        <w:t xml:space="preserve">[692] </w:t>
      </w:r>
      <w:hyperlink r:id="rId1839">
        <w:r>
          <w:rPr>
            <w:color w:val="1155CC"/>
            <w:u w:val="single"/>
          </w:rPr>
          <w:t>小团队科学会消亡吗？</w:t>
        </w:r>
      </w:hyperlink>
    </w:p>
    <w:p>
      <w:pPr>
        <w:spacing w:before="0" w:after="80"/>
      </w:pPr>
      <w:r>
        <w:rPr>
          <w:i/>
          <w:sz w:val="20"/>
        </w:rPr>
        <w:t>EN: Could small-team science be dying out?</w:t>
      </w:r>
    </w:p>
    <w:p>
      <w:pPr>
        <w:spacing w:before="0" w:after="120"/>
      </w:pPr>
      <w:r>
        <w:rPr>
          <w:b/>
        </w:rPr>
        <w:t xml:space="preserve">Source: </w:t>
      </w:r>
      <w:r>
        <w:t>Nature</w:t>
      </w:r>
      <w:r>
        <w:t xml:space="preserve">    </w:t>
      </w:r>
      <w:r>
        <w:rPr>
          <w:b/>
        </w:rPr>
        <w:t xml:space="preserve">Pub date: </w:t>
      </w:r>
      <w:r>
        <w:t>2026-07-23 00:00:00+00:00</w:t>
      </w:r>
      <w:r>
        <w:t xml:space="preserve">    </w:t>
      </w:r>
      <w:r>
        <w:rPr>
          <w:b/>
        </w:rPr>
        <w:t xml:space="preserve">DOI: </w:t>
      </w:r>
      <w:hyperlink r:id="rId1840">
        <w:r>
          <w:rPr>
            <w:color w:val="1155CC"/>
            <w:u w:val="single"/>
          </w:rPr>
          <w:t>10.1038/d41586-026-02174-4</w:t>
        </w:r>
      </w:hyperlink>
    </w:p>
    <w:p>
      <w:pPr>
        <w:spacing w:before="0" w:after="120"/>
      </w:pPr>
      <w:r>
        <w:rPr>
          <w:b/>
        </w:rPr>
        <w:t xml:space="preserve">Notes: </w:t>
      </w:r>
      <w:r>
        <w:t>abstract_source=rss_nature</w:t>
      </w:r>
    </w:p>
    <w:p>
      <w:pPr>
        <w:spacing w:before="0" w:after="80" w:lineRule="auto" w:line="276"/>
      </w:pPr>
      <w:r>
        <w:rPr>
          <w:b/>
        </w:rPr>
        <w:t xml:space="preserve">摘要（ZH）: </w:t>
      </w:r>
      <w:r>
        <w:t>随着大团队所做的科学研究持续激增，自然索引中单作者论文的比例正在迅速缩小。</w:t>
      </w:r>
    </w:p>
    <w:p>
      <w:pPr>
        <w:spacing w:before="0" w:after="200" w:lineRule="auto" w:line="276"/>
      </w:pPr>
      <w:r>
        <w:rPr>
          <w:b/>
        </w:rPr>
        <w:t xml:space="preserve">Abstract (EN): </w:t>
      </w:r>
      <w:r>
        <w:t>The proportion of one- and two-author papers in the Nature Index is shrinking rapidly, as science done by big teams continues to surge.</w:t>
      </w:r>
    </w:p>
    <w:p>
      <w:pPr>
        <w:spacing w:before="120" w:after="120"/>
      </w:pPr>
      <w:r>
        <w:rPr>
          <w:sz w:val="18"/>
        </w:rPr>
        <w:t>——————————————————————————————————————————————————————————————————————</w:t>
      </w:r>
    </w:p>
    <w:p>
      <w:pPr>
        <w:spacing w:before="160" w:after="40" w:line="240" w:lineRule="auto"/>
      </w:pPr>
      <w:r>
        <w:rPr>
          <w:b/>
        </w:rPr>
        <w:t xml:space="preserve">[693] </w:t>
      </w:r>
      <w:hyperlink r:id="rId1841">
        <w:r>
          <w:rPr>
            <w:color w:val="1155CC"/>
            <w:u w:val="single"/>
          </w:rPr>
          <w:t>《奥德赛》揭示了古代科学——从植物学到精神病学</w:t>
        </w:r>
      </w:hyperlink>
    </w:p>
    <w:p>
      <w:pPr>
        <w:spacing w:before="0" w:after="80"/>
      </w:pPr>
      <w:r>
        <w:rPr>
          <w:i/>
          <w:sz w:val="20"/>
        </w:rPr>
        <w:t>EN: What The Odyssey reveals about ancient science — from botany to psychiatry</w:t>
      </w:r>
    </w:p>
    <w:p>
      <w:pPr>
        <w:spacing w:before="0" w:after="120"/>
      </w:pPr>
      <w:r>
        <w:rPr>
          <w:b/>
        </w:rPr>
        <w:t xml:space="preserve">Source: </w:t>
      </w:r>
      <w:r>
        <w:t>Nature</w:t>
      </w:r>
      <w:r>
        <w:t xml:space="preserve">    </w:t>
      </w:r>
      <w:r>
        <w:rPr>
          <w:b/>
        </w:rPr>
        <w:t xml:space="preserve">Pub date: </w:t>
      </w:r>
      <w:r>
        <w:t>2026-07-23 00:00:00+00:00</w:t>
      </w:r>
      <w:r>
        <w:t xml:space="preserve">    </w:t>
      </w:r>
      <w:r>
        <w:rPr>
          <w:b/>
        </w:rPr>
        <w:t xml:space="preserve">DOI: </w:t>
      </w:r>
      <w:hyperlink r:id="rId1842">
        <w:r>
          <w:rPr>
            <w:color w:val="1155CC"/>
            <w:u w:val="single"/>
          </w:rPr>
          <w:t>10.1038/d41586-026-02275-0</w:t>
        </w:r>
      </w:hyperlink>
    </w:p>
    <w:p>
      <w:pPr>
        <w:spacing w:before="0" w:after="120"/>
      </w:pPr>
      <w:r>
        <w:rPr>
          <w:b/>
        </w:rPr>
        <w:t xml:space="preserve">Notes: </w:t>
      </w:r>
      <w:r>
        <w:t>abstract_source=rss_nature</w:t>
      </w:r>
    </w:p>
    <w:p>
      <w:pPr>
        <w:spacing w:before="0" w:after="80" w:lineRule="auto" w:line="276"/>
      </w:pPr>
      <w:r>
        <w:rPr>
          <w:b/>
        </w:rPr>
        <w:t xml:space="preserve">摘要（ZH）: </w:t>
      </w:r>
      <w:r>
        <w:t>从智能船只到日食线索，荷马的《奥德赛》揭示了青铜时代的希腊人如何理解世界。</w:t>
      </w:r>
    </w:p>
    <w:p>
      <w:pPr>
        <w:spacing w:before="0" w:after="200" w:lineRule="auto" w:line="276"/>
      </w:pPr>
      <w:r>
        <w:rPr>
          <w:b/>
        </w:rPr>
        <w:t xml:space="preserve">Abstract (EN): </w:t>
      </w:r>
      <w:r>
        <w:t>From intelligent ships to clues about eclipses, Homer’s The Odyssey reveals how Bronze Age Greeks understood the world.</w:t>
      </w:r>
    </w:p>
    <w:p>
      <w:pPr>
        <w:spacing w:before="120" w:after="120"/>
      </w:pPr>
      <w:r>
        <w:rPr>
          <w:sz w:val="18"/>
        </w:rPr>
        <w:t>——————————————————————————————————————————————————————————————————————</w:t>
      </w:r>
    </w:p>
    <w:p>
      <w:pPr>
        <w:spacing w:before="160" w:after="40" w:line="240" w:lineRule="auto"/>
      </w:pPr>
      <w:r>
        <w:rPr>
          <w:b/>
        </w:rPr>
        <w:t xml:space="preserve">[694] </w:t>
      </w:r>
      <w:hyperlink r:id="rId1843">
        <w:r>
          <w:rPr>
            <w:color w:val="1155CC"/>
            <w:u w:val="single"/>
          </w:rPr>
          <w:t>高熵启发的多主元单原子材料</w:t>
        </w:r>
      </w:hyperlink>
    </w:p>
    <w:p>
      <w:pPr>
        <w:spacing w:before="0" w:after="80"/>
      </w:pPr>
      <w:r>
        <w:rPr>
          <w:i/>
          <w:sz w:val="20"/>
        </w:rPr>
        <w:t>EN: High-entropy-inspired multi-principal single-atom materials</w:t>
      </w:r>
    </w:p>
    <w:p>
      <w:pPr>
        <w:spacing w:before="0" w:after="120"/>
      </w:pPr>
      <w:r>
        <w:rPr>
          <w:b/>
        </w:rPr>
        <w:t xml:space="preserve">Source: </w:t>
      </w:r>
      <w:r>
        <w:t>Chem</w:t>
      </w:r>
      <w:r>
        <w:t xml:space="preserve">    </w:t>
      </w:r>
      <w:r>
        <w:rPr>
          <w:b/>
        </w:rPr>
        <w:t xml:space="preserve">Pub date: </w:t>
      </w:r>
      <w:r>
        <w:t>2026-07-23 00:00:00+00:00</w:t>
      </w:r>
      <w:r>
        <w:t xml:space="preserve">    </w:t>
      </w:r>
      <w:r>
        <w:rPr>
          <w:b/>
        </w:rPr>
        <w:t xml:space="preserve">DOI: </w:t>
      </w:r>
      <w:hyperlink r:id="rId1844">
        <w:r>
          <w:rPr>
            <w:color w:val="1155CC"/>
            <w:u w:val="single"/>
          </w:rPr>
          <w:t>10.1016/j.chempr.2026.103153</w:t>
        </w:r>
      </w:hyperlink>
    </w:p>
    <w:p>
      <w:pPr>
        <w:spacing w:before="0" w:after="120"/>
      </w:pPr>
      <w:r>
        <w:rPr>
          <w:b/>
        </w:rPr>
        <w:t xml:space="preserve">Notes: </w:t>
      </w:r>
      <w:r>
        <w:t>abstract_source=rss_cell</w:t>
      </w:r>
    </w:p>
    <w:p>
      <w:pPr>
        <w:spacing w:before="0" w:after="80" w:lineRule="auto" w:line="276"/>
      </w:pPr>
      <w:r>
        <w:rPr>
          <w:b/>
        </w:rPr>
        <w:t xml:space="preserve">摘要（ZH）: </w:t>
      </w:r>
      <w:r>
        <w:t>多主元单原子材料（MPSAM）的灵感来自于高熵材料的组成复杂性和单原子催化的位点特异性控制。这种观点概念化了关键术语，研究了高熵原理如何塑造原子分散的设计，并批判性地评估了控制原子排列的策略。讨论探讨了 MPSAM 如何支持有限空间内多个金属位点的协作功能，从而实现传统 SAM 无法实现的反应性和选择性。进一步概述了熵信息催化剂设计的挑战和未来前景。</w:t>
      </w:r>
    </w:p>
    <w:p>
      <w:pPr>
        <w:spacing w:before="0" w:after="200" w:lineRule="auto" w:line="276"/>
      </w:pPr>
      <w:r>
        <w:rPr>
          <w:b/>
        </w:rPr>
        <w:t xml:space="preserve">Abstract (EN): </w:t>
      </w:r>
      <w:r>
        <w:t>Multi-principal single-atom materials (MPSAMs) are inspired by the compositional complexity of high-entropy materials and the site-specific control of single-atom catalysis. This perspective conceptualizes key terminology, examines how high-entropy principles shape atomically dispersed designs, and critically assesses strategies to control atomic arrangements. The discussion explores how MPSAMs support cooperative functions across multiple metal sites within a confined space, enabling reactivity and selectivity unattainable with conventional SAMs. Challenges and future outlooks for entropy-informed catalyst design are further outlined.</w:t>
      </w:r>
    </w:p>
    <w:p>
      <w:pPr>
        <w:spacing w:before="120" w:after="120"/>
      </w:pPr>
      <w:r>
        <w:rPr>
          <w:sz w:val="18"/>
        </w:rPr>
        <w:t>——————————————————————————————————————————————————————————————————————</w:t>
      </w:r>
    </w:p>
    <w:p>
      <w:pPr>
        <w:spacing w:before="160" w:after="40" w:line="240" w:lineRule="auto"/>
      </w:pPr>
      <w:r>
        <w:rPr>
          <w:b/>
        </w:rPr>
        <w:t xml:space="preserve">[695] </w:t>
      </w:r>
      <w:hyperlink r:id="rId1845">
        <w:r>
          <w:rPr>
            <w:color w:val="1155CC"/>
            <w:u w:val="single"/>
          </w:rPr>
          <w:t>二维金属氧化物定向外延生长的范德华表面重构</w:t>
        </w:r>
      </w:hyperlink>
    </w:p>
    <w:p>
      <w:pPr>
        <w:spacing w:before="0" w:after="80"/>
      </w:pPr>
      <w:r>
        <w:rPr>
          <w:i/>
          <w:sz w:val="20"/>
        </w:rPr>
        <w:t>EN: Van der Waals surface reconstruction for oriented epitaxial growth of two-dimensional metallic oxides</w:t>
      </w:r>
    </w:p>
    <w:p>
      <w:pPr>
        <w:spacing w:before="0" w:after="120"/>
      </w:pPr>
      <w:r>
        <w:rPr>
          <w:b/>
        </w:rPr>
        <w:t xml:space="preserve">Source: </w:t>
      </w:r>
      <w:r>
        <w:t>Nature Materials</w:t>
      </w:r>
      <w:r>
        <w:t xml:space="preserve">    </w:t>
      </w:r>
      <w:r>
        <w:rPr>
          <w:b/>
        </w:rPr>
        <w:t xml:space="preserve">Pub date: </w:t>
      </w:r>
      <w:r>
        <w:t>2026-07-23 00:00:00+00:00</w:t>
      </w:r>
      <w:r>
        <w:t xml:space="preserve">    </w:t>
      </w:r>
      <w:r>
        <w:rPr>
          <w:b/>
        </w:rPr>
        <w:t xml:space="preserve">DOI: </w:t>
      </w:r>
      <w:hyperlink r:id="rId1846">
        <w:r>
          <w:rPr>
            <w:color w:val="1155CC"/>
            <w:u w:val="single"/>
          </w:rPr>
          <w:t>10.1038/s41563-026-02683-7</w:t>
        </w:r>
      </w:hyperlink>
    </w:p>
    <w:p>
      <w:pPr>
        <w:spacing w:before="0" w:after="120"/>
      </w:pPr>
      <w:r>
        <w:rPr>
          <w:b/>
        </w:rPr>
        <w:t xml:space="preserve">Notes: </w:t>
      </w:r>
      <w:r>
        <w:t>abstract_source=pubmed</w:t>
      </w:r>
    </w:p>
    <w:p>
      <w:pPr>
        <w:spacing w:before="0" w:after="80" w:lineRule="auto" w:line="276"/>
      </w:pPr>
      <w:r>
        <w:rPr>
          <w:b/>
        </w:rPr>
        <w:t xml:space="preserve">摘要（ZH）: </w:t>
      </w:r>
      <w:r>
        <w:t>二维单晶金属氧化物（包括半导体、电介质、铁电体和铁磁体）与硅电路的混合集成可实现自旋电子学、神经形态和量子计算等功能，形成“超越摩尔”路线图的关键部分。然而，合成二维金属氧化物单晶薄膜仍然具有挑战性。在这里，我们报告了云母的范德华表面重建，用于二维金属氧化物（其中M = Co、Fe、Ni、Mn）及其掺杂对应物的一般大规模单向生长，它们无缝地聚结成单晶薄膜。量子力学计算表明，重建云母的氧原子平面对于实现这些二维金属氧化物的单晶外延至关重要。例如，生长了厘米级二维 Fe 掺杂 CoO 单晶薄膜，并表现出室温铁磁半导体特性，居里温度高达 430 K。这些结果证明了这种合成策略的强大功能，为量子物理和自旋电子器件中二维金属氧化物的探索提供了可能。</w:t>
      </w:r>
    </w:p>
    <w:p>
      <w:pPr>
        <w:spacing w:before="0" w:after="200" w:lineRule="auto" w:line="276"/>
      </w:pPr>
      <w:r>
        <w:rPr>
          <w:b/>
        </w:rPr>
        <w:t xml:space="preserve">Abstract (EN): </w:t>
      </w:r>
      <w:r>
        <w:t>Hybrid integration of two-dimensional single-crystalline metal oxides, including semiconductors, dielectrics, ferroelectrics and ferromagnetics, with silicon circuits enables functionalities such as spintronics and neuromorphic and quantum computing, forming a key part of the 'More-than-Moore' roadmap. However, synthesizing two-dimensional metal oxide single-crystal films has remained challenging. Here we report a van der Waals surface reconstruction of mica for the general large-scale, unidirectional growth of two-dimensional metal oxides (where M = Co, Fe, Ni, Mn) and their doped counterparts, which seamlessly coalesce into single-crystalline films. Quantum mechanics calculations reveal that reconstructing mica's oxygen atomic plane is critical for achieving the single-crystal epitaxy of these two-dimensional metal oxides. As an example, centimetre-scale two-dimensional Fe-doped CoO single-crystalline films were grown and exhibit room-temperature ferromagnetic semiconductor properties with a high Curie temperature of up to 430 K. These results demonstrate the power of this synthesis strategy, enabling the exploration of two-dimensional metal oxides for quantum physics and spintronics devices.</w:t>
      </w:r>
    </w:p>
    <w:p>
      <w:pPr>
        <w:spacing w:before="120" w:after="120"/>
      </w:pPr>
      <w:r>
        <w:rPr>
          <w:sz w:val="18"/>
        </w:rPr>
        <w:t>——————————————————————————————————————————————————————————————————————</w:t>
      </w:r>
    </w:p>
    <w:p>
      <w:pPr>
        <w:spacing w:before="160" w:after="40" w:line="240" w:lineRule="auto"/>
      </w:pPr>
      <w:r>
        <w:rPr>
          <w:b/>
        </w:rPr>
        <w:t xml:space="preserve">[696] </w:t>
      </w:r>
      <w:hyperlink r:id="rId1847">
        <w:r>
          <w:rPr>
            <w:color w:val="1155CC"/>
            <w:u w:val="single"/>
          </w:rPr>
          <w:t>论中国后增长的相关性</w:t>
        </w:r>
      </w:hyperlink>
    </w:p>
    <w:p>
      <w:pPr>
        <w:spacing w:before="0" w:after="80"/>
      </w:pPr>
      <w:r>
        <w:rPr>
          <w:i/>
          <w:sz w:val="20"/>
        </w:rPr>
        <w:t>EN: On the relevance of post-growth in China</w:t>
      </w:r>
    </w:p>
    <w:p>
      <w:pPr>
        <w:spacing w:before="0" w:after="120"/>
      </w:pPr>
      <w:r>
        <w:rPr>
          <w:b/>
        </w:rPr>
        <w:t xml:space="preserve">Source: </w:t>
      </w:r>
      <w:r>
        <w:t>Nature Sustainability</w:t>
      </w:r>
      <w:r>
        <w:t xml:space="preserve">    </w:t>
      </w:r>
      <w:r>
        <w:rPr>
          <w:b/>
        </w:rPr>
        <w:t xml:space="preserve">Pub date: </w:t>
      </w:r>
      <w:r>
        <w:t>2026-07-23 00:00:00+00:00</w:t>
      </w:r>
      <w:r>
        <w:t xml:space="preserve">    </w:t>
      </w:r>
      <w:r>
        <w:rPr>
          <w:b/>
        </w:rPr>
        <w:t xml:space="preserve">DOI: </w:t>
      </w:r>
      <w:hyperlink r:id="rId1848">
        <w:r>
          <w:rPr>
            <w:color w:val="1155CC"/>
            <w:u w:val="single"/>
          </w:rPr>
          <w:t>10.1038/s41893-026-01889-6</w:t>
        </w:r>
      </w:hyperlink>
    </w:p>
    <w:p>
      <w:pPr>
        <w:spacing w:before="0" w:after="120"/>
      </w:pPr>
      <w:r>
        <w:rPr>
          <w:b/>
        </w:rPr>
        <w:t xml:space="preserve">Notes: </w:t>
      </w:r>
      <w:r>
        <w:t>abstract_source=rss_nature</w:t>
      </w:r>
    </w:p>
    <w:p>
      <w:pPr>
        <w:spacing w:before="0" w:after="80" w:lineRule="auto" w:line="276"/>
      </w:pPr>
      <w:r>
        <w:rPr>
          <w:b/>
        </w:rPr>
        <w:t xml:space="preserve">摘要（ZH）: </w:t>
      </w:r>
      <w:r>
        <w:t>尽管中国在世界经济中处于关键地位，但后增长辩论在很大程度上忽视了中国，从而在可持续发展讨论中留下了空白。本视角探讨了中国在后增长转型中的作用，将后增长原则与中国的发展模式进行了比较。</w:t>
      </w:r>
    </w:p>
    <w:p>
      <w:pPr>
        <w:spacing w:before="0" w:after="200" w:lineRule="auto" w:line="276"/>
      </w:pPr>
      <w:r>
        <w:rPr>
          <w:b/>
        </w:rPr>
        <w:t xml:space="preserve">Abstract (EN): </w:t>
      </w:r>
      <w:r>
        <w:t>Post-growth debates largely ignore China, despite its key position in the world economy, leaving a gap in sustainability discourse. This Perspective examines China’s role in a post-growth transition, comparing post-growth principles with China’s development model.</w:t>
      </w:r>
    </w:p>
    <w:p>
      <w:pPr>
        <w:spacing w:before="120" w:after="120"/>
      </w:pPr>
      <w:r>
        <w:rPr>
          <w:sz w:val="18"/>
        </w:rPr>
        <w:t>——————————————————————————————————————————————————————————————————————</w:t>
      </w:r>
    </w:p>
    <w:p>
      <w:pPr>
        <w:spacing w:before="160" w:after="40" w:line="240" w:lineRule="auto"/>
      </w:pPr>
      <w:r>
        <w:rPr>
          <w:b/>
        </w:rPr>
        <w:t xml:space="preserve">[697] </w:t>
      </w:r>
      <w:hyperlink r:id="rId1849">
        <w:r>
          <w:rPr>
            <w:color w:val="1155CC"/>
            <w:u w:val="single"/>
          </w:rPr>
          <w:t>国际博士生在美国面临严格的时间限制</w:t>
        </w:r>
      </w:hyperlink>
    </w:p>
    <w:p>
      <w:pPr>
        <w:spacing w:before="0" w:after="80"/>
      </w:pPr>
      <w:r>
        <w:rPr>
          <w:i/>
          <w:sz w:val="20"/>
        </w:rPr>
        <w:t>EN: International PhD students to face strict limits on time in the US</w:t>
      </w:r>
    </w:p>
    <w:p>
      <w:pPr>
        <w:spacing w:before="0" w:after="120"/>
      </w:pPr>
      <w:r>
        <w:rPr>
          <w:b/>
        </w:rPr>
        <w:t xml:space="preserve">Source: </w:t>
      </w:r>
      <w:r>
        <w:t>Nature</w:t>
      </w:r>
      <w:r>
        <w:t xml:space="preserve">    </w:t>
      </w:r>
      <w:r>
        <w:rPr>
          <w:b/>
        </w:rPr>
        <w:t xml:space="preserve">Pub date: </w:t>
      </w:r>
      <w:r>
        <w:t>2026-07-23 00:00:00+00:00</w:t>
      </w:r>
      <w:r>
        <w:t xml:space="preserve">    </w:t>
      </w:r>
      <w:r>
        <w:rPr>
          <w:b/>
        </w:rPr>
        <w:t xml:space="preserve">DOI: </w:t>
      </w:r>
      <w:hyperlink r:id="rId1850">
        <w:r>
          <w:rPr>
            <w:color w:val="1155CC"/>
            <w:u w:val="single"/>
          </w:rPr>
          <w:t>10.1038/d41586-026-02280-3</w:t>
        </w:r>
      </w:hyperlink>
    </w:p>
    <w:p>
      <w:pPr>
        <w:spacing w:before="0" w:after="120"/>
      </w:pPr>
      <w:r>
        <w:rPr>
          <w:b/>
        </w:rPr>
        <w:t xml:space="preserve">Notes: </w:t>
      </w:r>
      <w:r>
        <w:t>abstract_source=nature_html</w:t>
      </w:r>
    </w:p>
    <w:p>
      <w:pPr>
        <w:spacing w:before="0" w:after="80" w:lineRule="auto" w:line="276"/>
      </w:pPr>
      <w:r>
        <w:rPr>
          <w:b/>
        </w:rPr>
        <w:t xml:space="preserve">摘要（ZH）: </w:t>
      </w:r>
      <w:r>
        <w:t>特朗普政府采取行动解决“永远的学生”问题。</w:t>
      </w:r>
    </w:p>
    <w:p>
      <w:pPr>
        <w:spacing w:before="0" w:after="200" w:lineRule="auto" w:line="276"/>
      </w:pPr>
      <w:r>
        <w:rPr>
          <w:b/>
        </w:rPr>
        <w:t xml:space="preserve">Abstract (EN): </w:t>
      </w:r>
      <w:r>
        <w:t>Trump administration takes action to address ‘forever students’.</w:t>
      </w:r>
    </w:p>
    <w:p>
      <w:pPr>
        <w:spacing w:before="120" w:after="120"/>
      </w:pPr>
      <w:r>
        <w:rPr>
          <w:sz w:val="18"/>
        </w:rPr>
        <w:t>——————————————————————————————————————————————————————————————————————</w:t>
      </w:r>
    </w:p>
    <w:p>
      <w:pPr>
        <w:spacing w:before="160" w:after="40" w:line="240" w:lineRule="auto"/>
      </w:pPr>
      <w:r>
        <w:rPr>
          <w:b/>
        </w:rPr>
        <w:t xml:space="preserve">[698] </w:t>
      </w:r>
      <w:hyperlink r:id="rId1851">
        <w:r>
          <w:rPr>
            <w:color w:val="1155CC"/>
            <w:u w:val="single"/>
          </w:rPr>
          <w:t>电动汽车双向充电，通过分布式太阳能发电实现可持续能源管理</w:t>
        </w:r>
      </w:hyperlink>
    </w:p>
    <w:p>
      <w:pPr>
        <w:spacing w:before="0" w:after="80"/>
      </w:pPr>
      <w:r>
        <w:rPr>
          <w:i/>
          <w:sz w:val="20"/>
        </w:rPr>
        <w:t>EN: Bi-directional charging of electric vehicles for sustainable energy management with distributed solar generation</w:t>
      </w:r>
    </w:p>
    <w:p>
      <w:pPr>
        <w:spacing w:before="0" w:after="120"/>
      </w:pPr>
      <w:r>
        <w:rPr>
          <w:b/>
        </w:rPr>
        <w:t xml:space="preserve">Source: </w:t>
      </w:r>
      <w:r>
        <w:t>ScienceDirect Publication: Applied Energy</w:t>
      </w:r>
      <w:r>
        <w:t xml:space="preserve">    </w:t>
      </w:r>
      <w:r>
        <w:rPr>
          <w:b/>
        </w:rPr>
        <w:t xml:space="preserve">Pub date: </w:t>
      </w:r>
      <w:r>
        <w:t>2026-07-23 00:00:00+00:00</w:t>
      </w:r>
      <w:r>
        <w:t xml:space="preserve">    </w:t>
      </w:r>
      <w:r>
        <w:rPr>
          <w:b/>
        </w:rPr>
        <w:t xml:space="preserve">DOI: </w:t>
      </w:r>
      <w:hyperlink r:id="rId1852">
        <w:r>
          <w:rPr>
            <w:color w:val="1155CC"/>
            <w:u w:val="single"/>
          </w:rPr>
          <w:t>10.1016/j.apenergy.2026.128478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[699] </w:t>
      </w:r>
      <w:hyperlink r:id="rId1853">
        <w:r>
          <w:rPr>
            <w:color w:val="1155CC"/>
            <w:u w:val="single"/>
          </w:rPr>
          <w:t>海上风电场尾流引起的性能异质性多维评估的系统框架</w:t>
        </w:r>
      </w:hyperlink>
    </w:p>
    <w:p>
      <w:pPr>
        <w:spacing w:before="0" w:after="80"/>
      </w:pPr>
      <w:r>
        <w:rPr>
          <w:i/>
          <w:sz w:val="20"/>
        </w:rPr>
        <w:t>EN: A systematic framework for multidimensional assessment of wake-induced performance heterogeneity in offshore wind farms</w:t>
      </w:r>
    </w:p>
    <w:p>
      <w:pPr>
        <w:spacing w:before="0" w:after="120"/>
      </w:pPr>
      <w:r>
        <w:rPr>
          <w:b/>
        </w:rPr>
        <w:t xml:space="preserve">Source: </w:t>
      </w:r>
      <w:r>
        <w:t>ScienceDirect Publication: Applied Energy</w:t>
      </w:r>
      <w:r>
        <w:t xml:space="preserve">    </w:t>
      </w:r>
      <w:r>
        <w:rPr>
          <w:b/>
        </w:rPr>
        <w:t xml:space="preserve">Pub date: </w:t>
      </w:r>
      <w:r>
        <w:t>2026-07-23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[700] </w:t>
      </w:r>
      <w:hyperlink r:id="rId1854">
        <w:r>
          <w:rPr>
            <w:color w:val="1155CC"/>
            <w:u w:val="single"/>
          </w:rPr>
          <w:t>自适应能源系统规划：具有人工智能支持场景生成的滚动框架</w:t>
        </w:r>
      </w:hyperlink>
    </w:p>
    <w:p>
      <w:pPr>
        <w:spacing w:before="0" w:after="80"/>
      </w:pPr>
      <w:r>
        <w:rPr>
          <w:i/>
          <w:sz w:val="20"/>
        </w:rPr>
        <w:t>EN: Adaptive energy systems planning: A rolling horizon framework with AI-enabled scenario generation</w:t>
      </w:r>
    </w:p>
    <w:p>
      <w:pPr>
        <w:spacing w:before="0" w:after="120"/>
      </w:pPr>
      <w:r>
        <w:rPr>
          <w:b/>
        </w:rPr>
        <w:t xml:space="preserve">Source: </w:t>
      </w:r>
      <w:r>
        <w:t>ScienceDirect Publication: Applied Energy</w:t>
      </w:r>
      <w:r>
        <w:t xml:space="preserve">    </w:t>
      </w:r>
      <w:r>
        <w:rPr>
          <w:b/>
        </w:rPr>
        <w:t xml:space="preserve">Pub date: </w:t>
      </w:r>
      <w:r>
        <w:t>2026-07-23 00:00:00+00:00</w:t>
      </w:r>
      <w:r>
        <w:t xml:space="preserve">    </w:t>
      </w:r>
      <w:r>
        <w:rPr>
          <w:b/>
        </w:rPr>
        <w:t xml:space="preserve">DOI: </w:t>
      </w:r>
      <w:hyperlink r:id="rId1855">
        <w:r>
          <w:rPr>
            <w:color w:val="1155CC"/>
            <w:u w:val="single"/>
          </w:rPr>
          <w:t>10.1016/j.apenergy.2026.128500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[701] </w:t>
      </w:r>
      <w:hyperlink r:id="rId1856">
        <w:r>
          <w:rPr>
            <w:color w:val="1155CC"/>
            <w:u w:val="single"/>
          </w:rPr>
          <w:t>通过工程谷胱甘肽型辅因子将谷胱甘肽结合蛋白重编程为人工光酶</w:t>
        </w:r>
      </w:hyperlink>
    </w:p>
    <w:p>
      <w:pPr>
        <w:spacing w:before="0" w:after="80"/>
      </w:pPr>
      <w:r>
        <w:rPr>
          <w:i/>
          <w:sz w:val="20"/>
        </w:rPr>
        <w:t>EN: Reprogramming Glutathione-Binding Proteins into Artificial Photoenzymes by Engineered Glutathione-Type Cofactors</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1857">
        <w:r>
          <w:rPr>
            <w:color w:val="1155CC"/>
            <w:u w:val="single"/>
          </w:rPr>
          <w:t>10.1021/jacs.6c05795</w:t>
        </w:r>
      </w:hyperlink>
    </w:p>
    <w:p>
      <w:pPr>
        <w:spacing w:before="0" w:after="120"/>
      </w:pPr>
      <w:r>
        <w:rPr>
          <w:b/>
        </w:rPr>
        <w:t xml:space="preserve">Notes: </w:t>
      </w:r>
      <w:r>
        <w:t>abstract_source=pubmed</w:t>
      </w:r>
    </w:p>
    <w:p>
      <w:pPr>
        <w:spacing w:before="0" w:after="80" w:lineRule="auto" w:line="276"/>
      </w:pPr>
      <w:r>
        <w:rPr>
          <w:b/>
        </w:rPr>
        <w:t xml:space="preserve">摘要（ZH）: </w:t>
      </w:r>
      <w:r>
        <w:t>能量转移（EnT）光催化提供了热过程之外的激发态反应性，但含磺酰胺底物的高度对映选择性环加成仍然具有挑战性。在这里，我们报告了一种辅因子工程策略，将谷胱甘肽S-转移酶（GST）重新编程为人工光酶，用于对映选择性分子内[2 + 2]光环加成，以提供手性双环磺内酰胺支架。制备了带有二苯甲酮光敏剂的光活性谷胱甘肽衍生辅助因子 (GS-Bp1)，并通过天然辅助因子样分子-蛋白质相互作用在 GST 支架内可逆组装。人类 GST A1-1 的筛选和定向进化产生了一种优化的人工光酶，可产生一系列双环磺内酰胺，具有中等至优异的产率和对映选择性（高达 99% ee 和高达 480 吨），效率超过小分子二苯甲酮光催化剂 2 个数量级以上。结合光谱和计算研究表明，定向进化通过重新平衡过渡态中的 π-π 堆积和色散相互作用来增强立体控制。与我们之前的 NAD+ 衍生的人工辅因子系统一起，这项工作将辅因子工程确立为使用经典辅因子或辅因子样分子重新编程天然蛋白质家族的通用策略，从而实现超越自然界中发现的对映选择性光化学转化。</w:t>
      </w:r>
    </w:p>
    <w:p>
      <w:pPr>
        <w:spacing w:before="0" w:after="200" w:lineRule="auto" w:line="276"/>
      </w:pPr>
      <w:r>
        <w:rPr>
          <w:b/>
        </w:rPr>
        <w:t xml:space="preserve">Abstract (EN): </w:t>
      </w:r>
      <w:r>
        <w:t>Energy transfer (EnT) photocatalysis provides access to excited-state reactivity beyond thermal processes, yet highly enantioselective cycloadditions of sulfonamide-containing substrates remain challenging. Here we report a cofactor engineering strategy that reprograms glutathione S-transferases (GSTs) into artificial photoenzymes for enantioselective intramolecular [2 + 2] photocycloadditions to furnish chiral bicyclic sultam scaffolds. A photoactive glutathione-derived cofactor bearing a benzophenone photosensitizer (GS-Bp1) is prepared and reversibly assembled within GST scaffolds through native cofactor-like molecule-protein interactions. Screening and directed evolution of human GST A1-1 yield an optimized artificial photoenzyme that delivers a range of bicyclic sultams with moderate to excellent yields and enantioselectivities (up to 99% ee and up to 480 TONs), surpassing small-molecule benzophenone photocatalysts by more than 2 orders of magnitude in efficiency. Combined spectroscopic and computational studies reveal that directed evolution enhances stereocontrol by rebalancing π-π stacking and dispersion interactions in the transition state. Together with our previous NAD+-derived artificial cofactor systems, this work establishes cofactor engineering as a general strategy for reprogramming native protein families using canonical cofactors or cofactor-like molecules, enabling enantioselective photochemical transformations beyond those found in nature.</w:t>
      </w:r>
    </w:p>
    <w:p>
      <w:pPr>
        <w:spacing w:before="120" w:after="120"/>
      </w:pPr>
      <w:r>
        <w:rPr>
          <w:sz w:val="18"/>
        </w:rPr>
        <w:t>——————————————————————————————————————————————————————————————————————</w:t>
      </w:r>
    </w:p>
    <w:p>
      <w:pPr>
        <w:spacing w:before="160" w:after="40" w:line="240" w:lineRule="auto"/>
      </w:pPr>
      <w:r>
        <w:rPr>
          <w:b/>
        </w:rPr>
        <w:t xml:space="preserve">[702] </w:t>
      </w:r>
      <w:hyperlink r:id="rId1858">
        <w:r>
          <w:rPr>
            <w:color w:val="1155CC"/>
            <w:u w:val="single"/>
          </w:rPr>
          <w:t>磁可调 Ln Ti 3 (Sb,Sn) 4 (Ln : Ce–Gd) Kagome 金属的协同掺杂和稳定化</w:t>
        </w:r>
      </w:hyperlink>
    </w:p>
    <w:p>
      <w:pPr>
        <w:spacing w:before="0" w:after="80"/>
      </w:pPr>
      <w:r>
        <w:rPr>
          <w:i/>
          <w:sz w:val="20"/>
        </w:rPr>
        <w:t>EN: Synergistic Doping and Stabilization of Magnetically Tunable Ln Ti 3 (Sb,Sn) 4 ( Ln : Ce–Gd) Kagome Metals</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1859">
        <w:r>
          <w:rPr>
            <w:color w:val="1155CC"/>
            <w:u w:val="single"/>
          </w:rPr>
          <w:t>10.1021/jacs.6c06163</w:t>
        </w:r>
      </w:hyperlink>
    </w:p>
    <w:p>
      <w:pPr>
        <w:spacing w:before="0" w:after="120"/>
      </w:pPr>
      <w:r>
        <w:rPr>
          <w:b/>
        </w:rPr>
        <w:t xml:space="preserve">Notes: </w:t>
      </w:r>
      <w:r>
        <w:t>abstract_source=pubmed</w:t>
      </w:r>
    </w:p>
    <w:p>
      <w:pPr>
        <w:spacing w:before="0" w:after="80" w:lineRule="auto" w:line="276"/>
      </w:pPr>
      <w:r>
        <w:rPr>
          <w:b/>
        </w:rPr>
        <w:t xml:space="preserve">摘要（ZH）: </w:t>
      </w:r>
      <w:r>
        <w:t>在这里，我们介绍了可裂解 kagome 金属 LnTi3(Sb,Sn)4 (Ln: Ce, Pr, Nd, Sm, Gd) 系列的合成和表征。虽然这些材料与 LnTi3Bi4 系列具有同构结构，但它们仅形成 (Sb,Sn) 固溶体，没有相应的 LnTi3Sb4 或 LnTi3Sn4 相。我们结合第一性原理密度泛函理论 (DFT) 和晶体轨道哈密顿布居 (COHP) 计算，证明 (Sb,Sn) 合金化通过调整费米能级、填充键合态、减少反键合态以及将态密度 (DOS) 调整至局部最小值，对结构具有稳定作用，我们将这种效应称为“协同掺杂”。通过对SmTi3(Sb,Sn)4系列的详细表征，我们进一步证明了可调谐费米能级对其物理性质具有深远的影响。我们观察到源自反铁磁（AFM）和类铁磁（FM）基态之间竞争的多个磁相。此外，(Sb,Sn) 比率使我们能够从直接的 AFM-FM 竞争转向复杂的混合物，其特性让人想起最近发现的 TbTi3Bi4。最终，我们的工作展示了协同掺杂的概念如何提供一种稳定新结构的方法，同时开发具有本质上可调的化学、磁性和电子特性的系统。</w:t>
      </w:r>
    </w:p>
    <w:p>
      <w:pPr>
        <w:spacing w:before="0" w:after="200" w:lineRule="auto" w:line="276"/>
      </w:pPr>
      <w:r>
        <w:rPr>
          <w:b/>
        </w:rPr>
        <w:t xml:space="preserve">Abstract (EN): </w:t>
      </w:r>
      <w:r>
        <w:t>Here, we present our synthesis and characterization of the LnTi3(Sb,Sn)4 (Ln: Ce, Pr, Nd, Sm, Gd) family of cleavable kagome metals. While these materials are isostructural to the LnTi3Bi4 family, they only form as (Sb,Sn) solid-solutions with no corresponding LnTi3Sb4 or LnTi3Sn4 phases. We use a combination of first-principles density functional theory (DFT) and crystal orbital Hamilton population (COHP) calculations to show that (Sb,Sn) alloying has a stabilizing effect on the structure by adjusting the Fermi level, filling bonding states, depopulating antibonding states, and adjusting the density of states (DOS) toward local minima, an effect we call "synergistic doping." Through a detailed characterization of the SmTi3(Sb,Sn)4 series, we further demonstrate that the tunable Fermi level has a profound effect on the physical properties. We observe multiple magnetic phases that stem from a competition between antiferromagnetic (AFM) and ferromagnetic-like (FM) ground states. Furthermore, the (Sb,Sn) ratio allows us to tune from direct AFM-FM competition toward a complex admixture with properties reminiscent of the recently discovered TbTi3Bi4. Ultimately, our work demonstrates how the concept of synergistic doping provides a means to stabilize new structures while developing systems with intrinsically tunable chemical, magnetic, and electronic properties.</w:t>
      </w:r>
    </w:p>
    <w:p>
      <w:pPr>
        <w:spacing w:before="120" w:after="120"/>
      </w:pPr>
      <w:r>
        <w:rPr>
          <w:sz w:val="18"/>
        </w:rPr>
        <w:t>——————————————————————————————————————————————————————————————————————</w:t>
      </w:r>
    </w:p>
    <w:p>
      <w:pPr>
        <w:spacing w:before="160" w:after="40" w:line="240" w:lineRule="auto"/>
      </w:pPr>
      <w:r>
        <w:rPr>
          <w:b/>
        </w:rPr>
        <w:t xml:space="preserve">[703] </w:t>
      </w:r>
      <w:hyperlink r:id="rId1860">
        <w:r>
          <w:rPr>
            <w:color w:val="1155CC"/>
            <w:u w:val="single"/>
          </w:rPr>
          <w:t>通过碳保留骨架编辑实现不同的吡啶到吡唑的转化</w:t>
        </w:r>
      </w:hyperlink>
    </w:p>
    <w:p>
      <w:pPr>
        <w:spacing w:before="0" w:after="80"/>
      </w:pPr>
      <w:r>
        <w:rPr>
          <w:i/>
          <w:sz w:val="20"/>
        </w:rPr>
        <w:t>EN: Divergent Pyridine-to-Pyrazole Conversion via Carbon-Retentive Skeletal Editing</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1861">
        <w:r>
          <w:rPr>
            <w:color w:val="1155CC"/>
            <w:u w:val="single"/>
          </w:rPr>
          <w:t>10.1021/jacs.6c10864</w:t>
        </w:r>
      </w:hyperlink>
    </w:p>
    <w:p>
      <w:pPr>
        <w:spacing w:before="0" w:after="120"/>
      </w:pPr>
      <w:r>
        <w:rPr>
          <w:b/>
        </w:rPr>
        <w:t xml:space="preserve">Notes: </w:t>
      </w:r>
      <w:r>
        <w:t>abstract_source=pubmed</w:t>
      </w:r>
    </w:p>
    <w:p>
      <w:pPr>
        <w:spacing w:before="0" w:after="80" w:lineRule="auto" w:line="276"/>
      </w:pPr>
      <w:r>
        <w:rPr>
          <w:b/>
        </w:rPr>
        <w:t xml:space="preserve">摘要（ZH）: </w:t>
      </w:r>
      <w:r>
        <w:t>由于在环构建或功能化过程中控制 N-分化的困难，区域选择性吡唑合成仍然是药物化学中长期存在的挑战。我们通过碳保留骨架编辑来解决这个问题，该编辑保留分子复杂性，同时在框架重组过程中编码区域选择性。从单个吡啶，机械上不同的途径产生结构不同的吡唑：光化学自由基解构重排产生醛或胺取代的产物；用肼进行热极性重组提供了正交取代模式。两者都在温和的一锅条件下进行，并可容纳复杂的药物。这种不同的平台能够从常见的吡啶中可预测地获得互补的吡唑结构，从而规避了外围功能化的区域选择性限制，并扩大了药物发现的可利用化学空间。</w:t>
      </w:r>
    </w:p>
    <w:p>
      <w:pPr>
        <w:spacing w:before="0" w:after="200" w:lineRule="auto" w:line="276"/>
      </w:pPr>
      <w:r>
        <w:rPr>
          <w:b/>
        </w:rPr>
        <w:t xml:space="preserve">Abstract (EN): </w:t>
      </w:r>
      <w:r>
        <w:t>Regioselective pyrazole synthesis remains a longstanding challenge in medicinal chemistry due to difficulties controlling N-differentiation during ring construction or functionalization. We address this through carbon-retentive skeletal editing that preserves molecular complexity while encoding regioselectivity during framework reorganization. From a single pyridine, mechanistically divergent pathways deliver structurally distinct pyrazoles: photochemical radical deconstruction-rearrangement yields aldehyde- or amine-substituted products; thermal polar reorganization with hydrazines provides orthogonal substitution patterns. Both proceed under mild, one-pot conditions and accommodate complex pharmaceuticals. This divergent platform enables predictable access to complementary pyrazole architectures from common pyridines, circumventing the regioselectivity limitations of peripheral functionalization and expanding accessible chemical space for drug discovery.</w:t>
      </w:r>
    </w:p>
    <w:p>
      <w:pPr>
        <w:spacing w:before="120" w:after="120"/>
      </w:pPr>
      <w:r>
        <w:rPr>
          <w:sz w:val="18"/>
        </w:rPr>
        <w:t>——————————————————————————————————————————————————————————————————————</w:t>
      </w:r>
    </w:p>
    <w:p>
      <w:pPr>
        <w:spacing w:before="160" w:after="40" w:line="240" w:lineRule="auto"/>
      </w:pPr>
      <w:r>
        <w:rPr>
          <w:b/>
        </w:rPr>
        <w:t xml:space="preserve">[704] </w:t>
      </w:r>
      <w:hyperlink r:id="rId1862">
        <w:r>
          <w:rPr>
            <w:color w:val="1155CC"/>
            <w:u w:val="single"/>
          </w:rPr>
          <w:t>利用基于 3D 结构的深度学习预测钌催化酮氢化的对映选择性</w:t>
        </w:r>
      </w:hyperlink>
    </w:p>
    <w:p>
      <w:pPr>
        <w:spacing w:before="0" w:after="80"/>
      </w:pPr>
      <w:r>
        <w:rPr>
          <w:i/>
          <w:sz w:val="20"/>
        </w:rPr>
        <w:t>EN: Predicting Enantioselectivity of Ruthenium-Catalyzed Ketone Hydrogenation with 3D Structure-Based Deep Learning</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1863">
        <w:r>
          <w:rPr>
            <w:color w:val="1155CC"/>
            <w:u w:val="single"/>
          </w:rPr>
          <w:t>10.1021/jacs.6c07313</w:t>
        </w:r>
      </w:hyperlink>
    </w:p>
    <w:p>
      <w:pPr>
        <w:spacing w:before="0" w:after="120"/>
      </w:pPr>
      <w:r>
        <w:rPr>
          <w:b/>
        </w:rPr>
        <w:t xml:space="preserve">Notes: </w:t>
      </w:r>
      <w:r>
        <w:t>abstract_source=pubmed</w:t>
      </w:r>
    </w:p>
    <w:p>
      <w:pPr>
        <w:spacing w:before="0" w:after="80" w:lineRule="auto" w:line="276"/>
      </w:pPr>
      <w:r>
        <w:rPr>
          <w:b/>
        </w:rPr>
        <w:t xml:space="preserve">摘要（ZH）: </w:t>
      </w:r>
      <w:r>
        <w:t>我们报告了机器学习（ML）模型，该模型可以高精度预测野依型二膦二胺催化剂的酮氢化的对映选择性。为了减少已发表数据中的偏差，我们将文献中整理的数据集与我们自己的高通量实验中的超过 1,000 个示例相结合。我们证明，根据对映决定过渡态派生的 3D 表示进行训练的 3D 图神经网络，优于基于 2D 图、分子指纹和半经验量子计算派生的描述符的模型。这些结果表明，在反映与对映选择性相关的催化剂-底物相互作用的 3D 结构表征上训练的模型可以准确地推断出与训练集中的结构不同的结构。</w:t>
      </w:r>
    </w:p>
    <w:p>
      <w:pPr>
        <w:spacing w:before="0" w:after="200" w:lineRule="auto" w:line="276"/>
      </w:pPr>
      <w:r>
        <w:rPr>
          <w:b/>
        </w:rPr>
        <w:t xml:space="preserve">Abstract (EN): </w:t>
      </w:r>
      <w:r>
        <w:t>We report machine-learning (ML) models that predict with high accuracy the enantioselectivity of ketone hydrogenation with Noyori-type diphosphine-diamine catalysts. To mitigate bias in published data, we combined a data set curated from the literature with &gt;1,000 examples from our own high-throughput experimentation. We demonstrate that 3D graph neural networks, trained on 3D representations derived from the enantiodetermining transition state, outperform models based on 2D graphs, molecular fingerprints, and descriptors derived from semiempirical quantum calculations. These results indicate that models trained on 3D structural representations that reflect catalyst-substrate interactions relevant to enantioselectivity can accurately extrapolate to structures distinct from those in the training set.</w:t>
      </w:r>
    </w:p>
    <w:p>
      <w:pPr>
        <w:spacing w:before="120" w:after="120"/>
      </w:pPr>
      <w:r>
        <w:rPr>
          <w:sz w:val="18"/>
        </w:rPr>
        <w:t>——————————————————————————————————————————————————————————————————————</w:t>
      </w:r>
    </w:p>
    <w:p>
      <w:pPr>
        <w:spacing w:before="160" w:after="40" w:line="240" w:lineRule="auto"/>
      </w:pPr>
      <w:r>
        <w:rPr>
          <w:b/>
        </w:rPr>
        <w:t xml:space="preserve">[705] </w:t>
      </w:r>
      <w:hyperlink r:id="rId1864">
        <w:r>
          <w:rPr>
            <w:color w:val="1155CC"/>
            <w:u w:val="single"/>
          </w:rPr>
          <w:t>通过烷基噻啉鎓盐的还原活化进行烯烃的正式马尔可夫尼科夫氢唑化</w:t>
        </w:r>
      </w:hyperlink>
    </w:p>
    <w:p>
      <w:pPr>
        <w:spacing w:before="0" w:after="80"/>
      </w:pPr>
      <w:r>
        <w:rPr>
          <w:i/>
          <w:sz w:val="20"/>
        </w:rPr>
        <w:t>EN: Formal Markovnikov Hydroazolation of Alkenes via Reductive Activation of Alkylthianthrenium Salts</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1865">
        <w:r>
          <w:rPr>
            <w:color w:val="1155CC"/>
            <w:u w:val="single"/>
          </w:rPr>
          <w:t>10.1021/jacs.6c08262</w:t>
        </w:r>
      </w:hyperlink>
    </w:p>
    <w:p>
      <w:pPr>
        <w:spacing w:before="0" w:after="120"/>
      </w:pPr>
      <w:r>
        <w:rPr>
          <w:b/>
        </w:rPr>
        <w:t xml:space="preserve">Notes: </w:t>
      </w:r>
      <w:r>
        <w:t>abstract_source=pubmed</w:t>
      </w:r>
    </w:p>
    <w:p>
      <w:pPr>
        <w:spacing w:before="0" w:after="80" w:lineRule="auto" w:line="276"/>
      </w:pPr>
      <w:r>
        <w:rPr>
          <w:b/>
        </w:rPr>
        <w:t xml:space="preserve">摘要（ZH）: </w:t>
      </w:r>
      <w:r>
        <w:t>在这里，我们介绍了一种新的唑类烷基化合成方案。我们的策略首先使用烯基噻蒽亲电子试剂与唑类结合以提供 1,2-偶氮噻啉盐，然后通过单电子转移 (SET) 选择性切除锍部分。鉴于烯基噻蒽鎓盐可以很容易地从烯烃中获得，净唑加成-氢解序列解锁了一种正式马尔可夫尼科夫烯烃氢唑化的通用方法。此外，还原后形成的关键自由基中间体可以参与氢原子转移（HAT）以外的反应，从而提供了获得咔唑化产物的途径，否则这些产物将很难制备。对烷基噻啉亲电子试剂还原的机理研究表明，DMF 受到不寻常的甲硅烷基自由基攻击，在极其温和的条件下原位产生强 SET 还原剂。总的来说，这项工作引入了转化烷基锍结构单元的新方法，并立即扩大了易于制备和研究的 N-烷基唑分子的范围。</w:t>
      </w:r>
    </w:p>
    <w:p>
      <w:pPr>
        <w:spacing w:before="0" w:after="200" w:lineRule="auto" w:line="276"/>
      </w:pPr>
      <w:r>
        <w:rPr>
          <w:b/>
        </w:rPr>
        <w:t xml:space="preserve">Abstract (EN): </w:t>
      </w:r>
      <w:r>
        <w:t>Herein, we introduce a new synthetic protocol for azole alkylation. Our strategy first engages azoles using alkenylthianthrenium electrophiles to provide 1,2-azolothianthrenium salts, then selectively excises the sulfonium moiety via single electron transfer (SET). Given that alkenylthianthrenium salts can be readily accessed from alkenes, the net azole addition-hydrogenolysis sequence unlocks a versatile approach to formal Markovnikov alkene hydroazolation. Moreover, the key radical intermediate formed after reduction can be engaged in reactions beyond hydrogen atom transfer (HAT), providing access to carboazolation products that would be otherwise prohibitively difficult to prepare. Mechanistic studies into the reduction of the alkylthianthrenium electrophile implicate an unusual silyl radical attack on DMF that generates a strong SET reductant in situ under otherwise exceedingly mild conditions. Overall, this work introduces new approaches to transform alkylsulfonium building blocks and immediately expands the range of N-alkyl azole molecules that can be readily prepared and studied.</w:t>
      </w:r>
    </w:p>
    <w:p>
      <w:pPr>
        <w:spacing w:before="120" w:after="120"/>
      </w:pPr>
      <w:r>
        <w:rPr>
          <w:sz w:val="18"/>
        </w:rPr>
        <w:t>——————————————————————————————————————————————————————————————————————</w:t>
      </w:r>
    </w:p>
    <w:p>
      <w:pPr>
        <w:spacing w:before="160" w:after="40" w:line="240" w:lineRule="auto"/>
      </w:pPr>
      <w:r>
        <w:rPr>
          <w:b/>
        </w:rPr>
        <w:t xml:space="preserve">[706] </w:t>
      </w:r>
      <w:hyperlink r:id="rId1866">
        <w:r>
          <w:rPr>
            <w:color w:val="1155CC"/>
            <w:u w:val="single"/>
          </w:rPr>
          <w:t>用氟化物盐和醌氧化剂氟化白磷</w:t>
        </w:r>
      </w:hyperlink>
    </w:p>
    <w:p>
      <w:pPr>
        <w:spacing w:before="0" w:after="80"/>
      </w:pPr>
      <w:r>
        <w:rPr>
          <w:i/>
          <w:sz w:val="20"/>
        </w:rPr>
        <w:t>EN: Fluorination of White Phosphorus with Fluoride Salts and Quinone Oxidants</w:t>
      </w:r>
    </w:p>
    <w:p>
      <w:pPr>
        <w:spacing w:before="0" w:after="120"/>
      </w:pPr>
      <w:r>
        <w:rPr>
          <w:b/>
        </w:rPr>
        <w:t xml:space="preserve">Source: </w:t>
      </w:r>
      <w:r>
        <w:t>Journal of the American Chemical Society: Latest Articles (ACS Publications)</w:t>
      </w:r>
      <w:r>
        <w:t xml:space="preserve">    </w:t>
      </w:r>
      <w:r>
        <w:rPr>
          <w:b/>
        </w:rPr>
        <w:t xml:space="preserve">Pub date: </w:t>
      </w:r>
      <w:r>
        <w:t>2026-07-23 00:00:00+00:00</w:t>
      </w:r>
      <w:r>
        <w:t xml:space="preserve">    </w:t>
      </w:r>
      <w:r>
        <w:rPr>
          <w:b/>
        </w:rPr>
        <w:t xml:space="preserve">DOI: </w:t>
      </w:r>
      <w:hyperlink r:id="rId1867">
        <w:r>
          <w:rPr>
            <w:color w:val="1155CC"/>
            <w:u w:val="single"/>
          </w:rPr>
          <w:t>10.1021/jacs.6c04361</w:t>
        </w:r>
      </w:hyperlink>
    </w:p>
    <w:p>
      <w:pPr>
        <w:spacing w:before="0" w:after="120"/>
      </w:pPr>
      <w:r>
        <w:rPr>
          <w:b/>
        </w:rPr>
        <w:t xml:space="preserve">Notes: </w:t>
      </w:r>
      <w:r>
        <w:t>abstract_source=pubmed</w:t>
      </w:r>
    </w:p>
    <w:p>
      <w:pPr>
        <w:spacing w:before="0" w:after="80" w:lineRule="auto" w:line="276"/>
      </w:pPr>
      <w:r>
        <w:rPr>
          <w:b/>
        </w:rPr>
        <w:t xml:space="preserve">摘要（ZH）: </w:t>
      </w:r>
      <w:r>
        <w:t>我们报告了直接从白磷 (P4) 和简单氟化物 MF（M = Li、Na、K、Cs、NMe4）一步合成六氟磷酸盐 (PF6-) 盐。对醌的利用，如 2,3-二氯-4,5-二氰基-1,4-苯醌 (DDQ) 提供了一种选择性氟化途径，在乙腈 (MeCN) 中以高达 95% 的产率提供 MPF6 盐。 DDQ 介导的 P4 氟化反应的 NMR 研究揭示了 PF3 和 PF5·MeCN 作为关键反应中间体的形成。 DDQ 和氟化物之间的供体-受体相互作用至关重要，可有效提高氟化物浓度并实现高效氟化为 PF6-。四乙二醇 (TEG) 选择性地终止加合物 K[PF5·TEG] 处的反应。相比之下，非配位二氯甲烷 (DCM) 通过低氟化物溶解度（可能通过三（氢醌基）亚磷酸酯 P(DDQH)3）抑制 EDA 相互作用，从而有利于 PF3 的形成，这强调了氟化物溶解度的关键作用。这项工作表明，醌-氟化物相互作用可用于氧化氟化化学，为 P4 氟化建立了新的概念框架。</w:t>
      </w:r>
    </w:p>
    <w:p>
      <w:pPr>
        <w:spacing w:before="0" w:after="200" w:lineRule="auto" w:line="276"/>
      </w:pPr>
      <w:r>
        <w:rPr>
          <w:b/>
        </w:rPr>
        <w:t xml:space="preserve">Abstract (EN): </w:t>
      </w:r>
      <w:r>
        <w:t>We report the synthesis of hexafluorophosphate (PF6-) salts directly from white phosphorus (P4) and simple fluorides MF (M = Li, Na, K, Cs, NMe4) in a single step. The utilization of p-quinones, such as 2,3-dichloro-4,5-dicyano-1,4-benzoquinone (DDQ) offers a selective fluorination pathway, which affords MPF6 salts in up to 95% yield in acetonitrile (MeCN). NMR investigations of the DDQ-mediated P4 fluorination reaction revealed the formation of PF3 and PF5·MeCN as key reaction intermediates. Donor-acceptor interactions between DDQ and fluoride are critical, effectively increasing the fluoride concentration and enabling efficient fluorination to PF6-. Tetraethylene glycol (TEG) selectively stops the reaction at the adduct K[PF5·TEG]. In contrast, noncoordinating dichloromethane (DCM) favors PF3 formation by suppressing EDA interactions through low fluoride solubility, possibly via the tris(hydroquinonyl)phosphite P(DDQH)3, underscoring the critical role of fluoride solubility. This work demonstrates that quinone-fluoride interactions can be exploited for oxidative fluorination chemistry, establishing a new conceptual framework for P4 fluorination.</w:t>
      </w:r>
    </w:p>
    <w:p>
      <w:pPr>
        <w:spacing w:before="120" w:after="120"/>
      </w:pPr>
      <w:r>
        <w:rPr>
          <w:sz w:val="18"/>
        </w:rPr>
        <w:t>——————————————————————————————————————————————————————————————————————</w:t>
      </w:r>
    </w:p>
    <w:p>
      <w:pPr>
        <w:spacing w:before="160" w:after="40" w:line="240" w:lineRule="auto"/>
      </w:pPr>
      <w:r>
        <w:rPr>
          <w:b/>
        </w:rPr>
        <w:t xml:space="preserve">[707] </w:t>
      </w:r>
      <w:hyperlink r:id="rId1868">
        <w:r>
          <w:rPr>
            <w:color w:val="1155CC"/>
            <w:u w:val="single"/>
          </w:rPr>
          <w:t>几飞秒光电子能谱揭示了乙烯中碳-碳双键的基本光动力学</w:t>
        </w:r>
      </w:hyperlink>
    </w:p>
    <w:p>
      <w:pPr>
        <w:spacing w:before="0" w:after="80"/>
      </w:pPr>
      <w:r>
        <w:rPr>
          <w:i/>
          <w:sz w:val="20"/>
        </w:rPr>
        <w:t>EN: Few-femtosecond photoelectron spectroscopy reveals fundamental photodynamics of the carbon-carbon double bond in ethylene</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共轭 π 系统通常由碳-碳双键作为关键结构单元组成，是最重要的有机发色团之一，是研究 ππ* 激发的原型系统。它们的超快激发态动力学控制着基本光化学过程的结果，包括视觉、光异构化、光合作用和太阳能转换。在这里，我们使用 150-200 nm 范围内广泛可调的亚 4 飞秒脉冲与时间分辨光电子能谱相结合，研究了最简单的分离 C=C 发色团、乙烯及其全氘化同位素体的超快动力学。在先进的量子动力学计算的支持下，我们的结果揭示了 1B3g(σπ*) 态的重要作用，它通过扭转运动与光学填充的 1B1u(ππ*) 态强耦合。这些发现为理解和控制共轭分子系统中的光化学反应建立了一个修订的框架。</w:t>
      </w:r>
    </w:p>
    <w:p>
      <w:pPr>
        <w:spacing w:before="0" w:after="200" w:lineRule="auto" w:line="276"/>
      </w:pPr>
      <w:r>
        <w:rPr>
          <w:b/>
        </w:rPr>
        <w:t xml:space="preserve">Abstract (EN): </w:t>
      </w:r>
      <w:r>
        <w:t>Conjugated π-systems, often composed of carbon-carbon double bonds as key structural units, are among the most important organic chromophores and serve as prototypical systems for studying ππ* excitation. Their ultrafast excited-state dynamics govern the outcomes of fundamental photochemical processes, including vision, photoisomerization, photosynthesis, and solar energy conversion. Here, we investigate the ultrafast dynamics of the simplest isolated C=C chromophore, ethylene, and its per-deuterated isotopologue using broadly tunable sub-4 femtosecond pulses in the 150-200 nm range combined with time-resolved photoelectron spectroscopy. Supported by advanced quantum dynamics calculations, our results reveal the important role of the 1B3g(σπ*) state, which is strongly coupled through torsional motion to the optically populated 1B1u(ππ*) state. These findings establish a revised framework for understanding and controlling photochemical reaction in conjugated molecular systems.</w:t>
      </w:r>
    </w:p>
    <w:p>
      <w:pPr>
        <w:spacing w:before="120" w:after="120"/>
      </w:pPr>
      <w:r>
        <w:rPr>
          <w:sz w:val="18"/>
        </w:rPr>
        <w:t>——————————————————————————————————————————————————————————————————————</w:t>
      </w:r>
    </w:p>
    <w:p>
      <w:pPr>
        <w:spacing w:before="160" w:after="40" w:line="240" w:lineRule="auto"/>
      </w:pPr>
      <w:r>
        <w:rPr>
          <w:b/>
        </w:rPr>
        <w:t xml:space="preserve">[708] </w:t>
      </w:r>
      <w:hyperlink r:id="rId1869">
        <w:r>
          <w:rPr>
            <w:color w:val="1155CC"/>
            <w:u w:val="single"/>
          </w:rPr>
          <w:t>免疫刺激脂质凝胶植入物增强癌症免疫治疗</w:t>
        </w:r>
      </w:hyperlink>
    </w:p>
    <w:p>
      <w:pPr>
        <w:spacing w:before="0" w:after="80"/>
      </w:pPr>
      <w:r>
        <w:rPr>
          <w:i/>
          <w:sz w:val="20"/>
        </w:rPr>
        <w:t>EN: Immunostimulatory lipogel implant enhances cancer immunotherapy</w:t>
      </w:r>
    </w:p>
    <w:p>
      <w:pPr>
        <w:spacing w:before="0" w:after="120"/>
      </w:pPr>
      <w:r>
        <w:rPr>
          <w:b/>
        </w:rPr>
        <w:t xml:space="preserve">Source: </w:t>
      </w:r>
      <w:r>
        <w:t>Nature Nanotechnology</w:t>
      </w:r>
      <w:r>
        <w:t xml:space="preserve">    </w:t>
      </w:r>
      <w:r>
        <w:rPr>
          <w:b/>
        </w:rPr>
        <w:t xml:space="preserve">Pub date: </w:t>
      </w:r>
      <w:r>
        <w:t>2026-07-23 00:00:00+00:00</w:t>
      </w:r>
      <w:r>
        <w:t xml:space="preserve">    </w:t>
      </w:r>
      <w:r>
        <w:rPr>
          <w:b/>
        </w:rPr>
        <w:t xml:space="preserve">DOI: </w:t>
      </w:r>
      <w:hyperlink r:id="rId1870">
        <w:r>
          <w:rPr>
            <w:color w:val="1155CC"/>
            <w:u w:val="single"/>
          </w:rPr>
          <w:t>10.1038/s41565-026-02194-1</w:t>
        </w:r>
      </w:hyperlink>
    </w:p>
    <w:p>
      <w:pPr>
        <w:spacing w:before="0" w:after="120"/>
      </w:pPr>
      <w:r>
        <w:rPr>
          <w:b/>
        </w:rPr>
        <w:t xml:space="preserve">Notes: </w:t>
      </w:r>
      <w:r>
        <w:t>abstract_source=pubmed</w:t>
      </w:r>
    </w:p>
    <w:p>
      <w:pPr>
        <w:spacing w:before="0" w:after="80" w:lineRule="auto" w:line="276"/>
      </w:pPr>
      <w:r>
        <w:rPr>
          <w:b/>
        </w:rPr>
        <w:t xml:space="preserve">摘要（ZH）: </w:t>
      </w:r>
      <w:r>
        <w:t>癌症干细胞样细胞有助于先天性肿瘤免疫抵抗和免疫抑制肿瘤微环境，导致对免疫检查点抑制剂的反应不佳。化疗药物可以通过诱导免疫原性细胞死亡来引发肿瘤免疫原性，以增强免疫检查点抑制剂的治疗效果，但在高度耐药的癌症干细胞样细胞中，免疫原性细胞死亡激活效率较低。在这里，我们报道了一种基于免疫刺激溶致液晶的脂质凝胶，用于局部共同递送全反式视黄酸（一种分化诱导药物）和多柔比星（一种具有不同释放动力学的免疫原性细胞死亡诱导化疗剂）。脂质凝胶经过定制，以差异化和持续的方式释放组合药物，满足增强药物协同作用以促进癌症干细胞样细胞的免疫原性细胞死亡的要求。免疫刺激脂质凝胶的局部植入会引发抗肿瘤免疫反应，免疫检查点抑制剂进一步增强该反应，以抑制肿瘤生长和转移，并防止高干细胞肿瘤小鼠模型的术后复发。</w:t>
      </w:r>
    </w:p>
    <w:p>
      <w:pPr>
        <w:spacing w:before="0" w:after="200" w:lineRule="auto" w:line="276"/>
      </w:pPr>
      <w:r>
        <w:rPr>
          <w:b/>
        </w:rPr>
        <w:t xml:space="preserve">Abstract (EN): </w:t>
      </w:r>
      <w:r>
        <w:t>Cancer stem-like cells contribute to innate tumour immunoresistance and an immunosuppressive tumour microenvironment, leading to poor responses to immune checkpoint inhibitors. Chemotherapeutic agents can elicit tumour immunogenicity by inducing immunogenic cell death to reinforce the therapeutic efficacies of immune checkpoint inhibitors, but suffer from inefficient immunogenic cell death activation in highly resistant cancer stem-like cells. Here we report an immunostimulatory lyotropic liquid-crystal-based lipogel for localized co-delivery of all-trans retinoic acid, a differentiation-inducing drug, and doxorubicin, an immunogenic-cell-death-inducing chemotherapeutic agent with distinct release kinetics. The lipogel is tailored to release the combinatorial drugs in a differential and sustained manner, which fulfils the requirement for enhanced drug synergism in promoting the immunogenic cell death of cancer stem-like cells. Local implantation of the immunostimulatory lipogel elicits an antitumour immune response that is further augmented by an immune checkpoint inhibitor to suppress tumour growth and metastasis, as well as to prevent post-surgical recurrence in murine models of high-stemness tumours.</w:t>
      </w:r>
    </w:p>
    <w:p>
      <w:pPr>
        <w:spacing w:before="120" w:after="120"/>
      </w:pPr>
      <w:r>
        <w:rPr>
          <w:sz w:val="18"/>
        </w:rPr>
        <w:t>——————————————————————————————————————————————————————————————————————</w:t>
      </w:r>
    </w:p>
    <w:p>
      <w:pPr>
        <w:spacing w:before="160" w:after="40" w:line="240" w:lineRule="auto"/>
      </w:pPr>
      <w:r>
        <w:rPr>
          <w:b/>
        </w:rPr>
        <w:t xml:space="preserve">[709] </w:t>
      </w:r>
      <w:hyperlink r:id="rId1871">
        <w:r>
          <w:rPr>
            <w:color w:val="1155CC"/>
            <w:u w:val="single"/>
          </w:rPr>
          <w:t>镁铁质-超镁铁质火成岩作为生命起源的活性磷来源</w:t>
        </w:r>
      </w:hyperlink>
    </w:p>
    <w:p>
      <w:pPr>
        <w:spacing w:before="0" w:after="80"/>
      </w:pPr>
      <w:r>
        <w:rPr>
          <w:i/>
          <w:sz w:val="20"/>
        </w:rPr>
        <w:t>EN: Mafic-ultramafic igneous rocks as a source of reactive phosphorus for the origin of life</w:t>
      </w:r>
    </w:p>
    <w:p>
      <w:pPr>
        <w:spacing w:before="0" w:after="120"/>
      </w:pPr>
      <w:r>
        <w:rPr>
          <w:b/>
        </w:rPr>
        <w:t xml:space="preserve">Source: </w:t>
      </w:r>
      <w:r>
        <w:t>Earth and environmental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亚磷酸盐和焦磷酸盐（磷的还原形式和聚合形式）由于其较高的反应性和溶解度，可能在生命起源化学中发挥着核心作用，但它们的地质来源仍然不确定。在这里，我们表明，早期地球上的镁铁质-超镁铁质岩石可能通过海底风化提供了活性磷的持续来源。 15 个地点的岩石分析显示，橄榄石分离物、橄榄岩、科马提岩和玄武岩中，亚磷酸盐含量分别高达 7%、24%、17% 和 0.6%，而焦磷酸盐在科马提岩和玄武岩中的含量分别高达 5% 和 0.4%。盒模型计算表明，在低紫外线条件下，深海中的亚磷酸盐浓度高达 1 µM，湖泊中的亚磷酸盐浓度高达 67 µM。我们认为，镁铁质-超镁铁质岩石释放的活性磷可能促进了生命前的磷酸化，并为地球上的新兴生命提供磷酸盐，这一过程也可能增强其他行星体的宜居性。</w:t>
      </w:r>
    </w:p>
    <w:p>
      <w:pPr>
        <w:spacing w:before="0" w:after="200" w:lineRule="auto" w:line="276"/>
      </w:pPr>
      <w:r>
        <w:rPr>
          <w:b/>
        </w:rPr>
        <w:t xml:space="preserve">Abstract (EN): </w:t>
      </w:r>
      <w:r>
        <w:t>Phosphite and pyrophosphate—reduced and polymerized forms of phosphorus—may have played a central role in prebiotic chemistry owing to their higher reactivity and solubility, yet their geological sources remain uncertain. Here we show that mafic–ultramafic rocks on the early Earth could have provided a sustained source of reactive phosphorus through seafloor weathering. Rock analyses from 15 localities reveal phosphite comprising up to 7%, 24%, 17%, and 0.6% of total phosphorus in olivine separates, peridotite, komatiite, and basalt, respectively, while pyrophosphate accounts for up to 5% and 0.4% in komatiite and basalt. Box-model calculations indicate phosphite concentrations reaching up to 1 µM in the deep ocean and up to 67 µM in lakes under low-UV conditions. We suggest that reactive phosphorus released from mafic–ultramafic rocks could have fuelled prebiotic phosphorylation and supplied phosphate to emerging life on Earth, a process that may also enhance the habitability of other planetary bodies.</w:t>
      </w:r>
    </w:p>
    <w:p>
      <w:pPr>
        <w:spacing w:before="120" w:after="120"/>
      </w:pPr>
      <w:r>
        <w:rPr>
          <w:sz w:val="18"/>
        </w:rPr>
        <w:t>——————————————————————————————————————————————————————————————————————</w:t>
      </w:r>
    </w:p>
    <w:p>
      <w:pPr>
        <w:spacing w:before="160" w:after="40" w:line="240" w:lineRule="auto"/>
      </w:pPr>
      <w:r>
        <w:rPr>
          <w:b/>
        </w:rPr>
        <w:t xml:space="preserve">[710] </w:t>
      </w:r>
      <w:hyperlink r:id="rId1872">
        <w:r>
          <w:rPr>
            <w:color w:val="1155CC"/>
            <w:u w:val="single"/>
          </w:rPr>
          <w:t>具有改进的光学反射率和隔热性的各向异性核壳陶瓷纳米纤维膜，用于高能激光防护</w:t>
        </w:r>
      </w:hyperlink>
    </w:p>
    <w:p>
      <w:pPr>
        <w:spacing w:before="0" w:after="80"/>
      </w:pPr>
      <w:r>
        <w:rPr>
          <w:i/>
          <w:sz w:val="20"/>
        </w:rPr>
        <w:t>EN: Anisotropic core–shell ceramic nanofibrous membrane with improved optical reflectivity and thermal insulation for high-energy laser protection</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开发能够适应复杂热光子环境的多功能耦合材料对于下一代航空航天、国防和高能激光应用越来越重要。陶瓷纳米纤维虽然本质上很坚固，但在极端条件下往往很难协调光学反射率与定向热管理。在这里，我们提出了一种核壳陶瓷纳米纤维膜，由介孔二氧化硅壳和结晶氮化硼核组成，它表现出适合高通量激光曝光的动态热光功能。凭借双通道静电纺丝和煅烧，该结构实现了高反射率（在 1064 nm 处约为 100%），同时实现各向异性热传导，即在膜平面中快速散热，同时通过其厚度进行绝缘。这种单纤维水平的功能解耦使膜能够在 1500°C 以上保持机械和结构完整性，在激光屏蔽和热弹性方面优于传统陶瓷或聚合物系统。此外，该膜表现出95%应变的压缩弹性、约20 MPa的拉伸强度以及实时激光冲击下的结构稳定性。通过引入将光学散射与空间控制热流耦合的设计策略，这项工作为设计自适应陶瓷纳米纤维系统提供了一条有效的途径，该系统旨在在复杂的耦合机制环境中蓬勃发展。</w:t>
      </w:r>
    </w:p>
    <w:p>
      <w:pPr>
        <w:spacing w:before="0" w:after="200" w:lineRule="auto" w:line="276"/>
      </w:pPr>
      <w:r>
        <w:rPr>
          <w:b/>
        </w:rPr>
        <w:t xml:space="preserve">Abstract (EN): </w:t>
      </w:r>
      <w:r>
        <w:t>The development of multifunctionally coupled materials that can adapt to complex thermophotonic environments is increasingly critical for next-generation aerospace, defense, and high-energy laser applications. Ceramic nanofibers, though inherently robust, often struggle to reconcile optical reflectivity with directional thermal management under extreme conditions. Here, we present a core–shell ceramic nanofibrous membrane, comprising a mesoporous silica shell and a crystalline boron nitride core, which exhibits dynamic thermal-optical functionality tailored to high-flux laser exposure. By virtue of dual-channel electrospinning and calcination, the structure achieves high reflectivity (≈ 100% at 1064 nm) while enabling anisotropic thermal conduction—rapidly dissipating heat in the membrane plane while insulating through its thickness. This functional decoupling at the single-fiber level empowers the membrane to maintain mechanical and structural integrity above 1500 °C, outperforming conventional ceramic or polymer systems in both laser shielding and thermal resilience. Moreover, the membrane demonstrates a compressive elasticity of 95% strain, a tensile strength of ≈ 20 MPa, and structural stability under a real-time laser impact. By introducing a design strategy that couples optical scattering with spatially controlled heat flow, this work provides an effective pathway for designing adaptive ceramic nanofiber systems engineered to thrive in complex, coupled-mechanism environments.</w:t>
      </w:r>
    </w:p>
    <w:p>
      <w:pPr>
        <w:spacing w:before="120" w:after="120"/>
      </w:pPr>
      <w:r>
        <w:rPr>
          <w:sz w:val="18"/>
        </w:rPr>
        <w:t>——————————————————————————————————————————————————————————————————————</w:t>
      </w:r>
    </w:p>
    <w:p>
      <w:pPr>
        <w:spacing w:before="160" w:after="40" w:line="240" w:lineRule="auto"/>
      </w:pPr>
      <w:r>
        <w:rPr>
          <w:b/>
        </w:rPr>
        <w:t xml:space="preserve">[711] </w:t>
      </w:r>
      <w:hyperlink r:id="rId1873">
        <w:r>
          <w:rPr>
            <w:color w:val="1155CC"/>
            <w:u w:val="single"/>
          </w:rPr>
          <w:t>结构性不平等塑造了固定性和流动性的日常节奏</w:t>
        </w:r>
      </w:hyperlink>
    </w:p>
    <w:p>
      <w:pPr>
        <w:spacing w:before="0" w:after="80"/>
      </w:pPr>
      <w:r>
        <w:rPr>
          <w:i/>
          <w:sz w:val="20"/>
        </w:rPr>
        <w:t>EN: Structural inequality shapes the daily rhythm of stationarity and mobility</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人员流动呈现出影响经济活动、社会互动和获得基本服务的节奏模式。然而，虽然先前的研究集中在空间运动，但人们静止性的时间结构（居住行为）仍然没有得到充分探索。在这里，我们引入平稳正弦稳定性 (STASIS) 模型来量化物理存在的每日脉动。使用范围、相位角和基线这三个参数，我们发现黑人占多数的人口普查区块组 (CBG) 比白人和西班牙裔占多数的人口普查区块组 (CBG) 具有更小的每日平稳性范围、更晚的活动峰值以及更低的平均家庭存在基线。节奏稳定性指数进一步表明，黑人居民比例较高的 CBG 之间的活动时间变异性更大，并且这种变异性与 CBG 水平的经济不稳定相关。使用 COVID-19 作为压力测试，我们的研究结果表明，具有不同种族和西班牙裔血统的 CBG 的每日流动节律的时间稳定性有所不同。</w:t>
      </w:r>
    </w:p>
    <w:p>
      <w:pPr>
        <w:spacing w:before="0" w:after="200" w:lineRule="auto" w:line="276"/>
      </w:pPr>
      <w:r>
        <w:rPr>
          <w:b/>
        </w:rPr>
        <w:t xml:space="preserve">Abstract (EN): </w:t>
      </w:r>
      <w:r>
        <w:t>Human mobility exhibits rhythmic patterns that shape economic activity, social interactions, and access to essential services. Yet, while prior studies focus on spatial movement, the temporal structure of people’s stationarity—the act of dwelling—remains underexplored. Here, we introduce the Stationarity Sinusoidal Stability (STASIS) model to quantify the daily pulse of physical presence. Using three parameters—range, phase angle, and baseline—we show that majority-Black census block groups (CBGs) have smaller daily stationarity ranges, later activity peaks, and lower average home-presence baselines than majority-White and majority-Hispanic CBGs. The Rhythm Stability Index further indicates greater variability in activity timing among CBGs with higher proportions of Black residents, and this variability is associated with CBG-level economic precarity. Using COVID-19 as a stress test, our findings show that temporal stability in daily mobility rhythms differs across CBGs with different racial and Hispanic-origin compositions.</w:t>
      </w:r>
    </w:p>
    <w:p>
      <w:pPr>
        <w:spacing w:before="120" w:after="120"/>
      </w:pPr>
      <w:r>
        <w:rPr>
          <w:sz w:val="18"/>
        </w:rPr>
        <w:t>——————————————————————————————————————————————————————————————————————</w:t>
      </w:r>
    </w:p>
    <w:p>
      <w:pPr>
        <w:spacing w:before="160" w:after="40" w:line="240" w:lineRule="auto"/>
      </w:pPr>
      <w:r>
        <w:rPr>
          <w:b/>
        </w:rPr>
        <w:t xml:space="preserve">[712] </w:t>
      </w:r>
      <w:hyperlink r:id="rId1874">
        <w:r>
          <w:rPr>
            <w:color w:val="1155CC"/>
            <w:u w:val="single"/>
          </w:rPr>
          <w:t>火星上的微型邓吉循环</w:t>
        </w:r>
      </w:hyperlink>
    </w:p>
    <w:p>
      <w:pPr>
        <w:spacing w:before="0" w:after="80"/>
      </w:pPr>
      <w:r>
        <w:rPr>
          <w:i/>
          <w:sz w:val="20"/>
        </w:rPr>
        <w:t>EN: Miniature Dungey-like cycle at Mars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由于地壳磁场分布不均匀，火星呈现出与行星自转和太阳风条件相关的复杂且高度可变的极光模式。利用来自火星大气和挥发物演化（MAVEN）任务的原位电子、离子和磁场数据，我们表明，与这些小规模地壳磁场相关的极光过程可以用磁通量和等离子体循环的微型循环来理解，类似于地球上发生的情况的微型版本。然而，在地球上，这个以其发现者命名的邓吉循环是在全球固有偶极场的存在下运行的，该偶极场的强度大约是原来的 100 倍，空间尺度大约是原来的 20 倍。从普遍的角度来看，当前的发现为极光概念的动物园增加了一个入口，丰富了我们对（外）行星等离子体多样性的理解，以及我们对行星如何与其空间环境相互作用的理解。</w:t>
      </w:r>
    </w:p>
    <w:p>
      <w:pPr>
        <w:spacing w:before="0" w:after="200" w:lineRule="auto" w:line="276"/>
      </w:pPr>
      <w:r>
        <w:rPr>
          <w:b/>
        </w:rPr>
        <w:t xml:space="preserve">Abstract (EN): </w:t>
      </w:r>
      <w:r>
        <w:t>With its non-uniform distribution of crustal magnetic fields, Mars exhibits complex and highly variable auroral patterns related to both planetary rotation and solar wind conditions. Using in situ electron, ion, and magnetic field data from the Mars Atmospheric and Volatile EvolutioN (MAVEN) mission, we show that auroral processes associated with these small-scale crustal magnetic fields can be understood in terms of a miniature cycle of magnetic flux and plasma circulations that resemble a miniature version of what occurs at the Earth. However, at Earth, this Dungey cycle, named after its discoverer, operates in the presence of a global intrinsic dipole field with a strength approximately 100 times stronger and spatial scales roughly 20 times larger. From a universal perspective, the current finding adds an entry to the zoo of auroral concepts that enriches our understanding of the diversity of (exo)planetary plasma and our understanding of how planets interact with their space environments.</w:t>
      </w:r>
    </w:p>
    <w:p>
      <w:pPr>
        <w:spacing w:before="120" w:after="120"/>
      </w:pPr>
      <w:r>
        <w:rPr>
          <w:sz w:val="18"/>
        </w:rPr>
        <w:t>——————————————————————————————————————————————————————————————————————</w:t>
      </w:r>
    </w:p>
    <w:p>
      <w:pPr>
        <w:spacing w:before="160" w:after="40" w:line="240" w:lineRule="auto"/>
      </w:pPr>
      <w:r>
        <w:rPr>
          <w:b/>
        </w:rPr>
        <w:t xml:space="preserve">[713] </w:t>
      </w:r>
      <w:hyperlink r:id="rId1875">
        <w:r>
          <w:rPr>
            <w:color w:val="1155CC"/>
            <w:u w:val="single"/>
          </w:rPr>
          <w:t>大规模量子过程的纠缠增强学习</w:t>
        </w:r>
      </w:hyperlink>
    </w:p>
    <w:p>
      <w:pPr>
        <w:spacing w:before="0" w:after="80"/>
      </w:pPr>
      <w:r>
        <w:rPr>
          <w:i/>
          <w:sz w:val="20"/>
        </w:rPr>
        <w:t>EN: Entanglement-enhanced learning of quantum processes at scale</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学习量子系统中的未知噪声过程揭示了它们的物理起源并告知错误抑制、减轻和纠正。表征一般量子过程需要从非交换测量中推断出指数级的许多参数。由于这些测量不能同时进行，样本的复杂性呈指数级增长。对于泡利通道，量子存储和纠缠操作可以将这项任务转化为对通勤可观测量的测量，从而以指数方式降低复杂性。然而，这些资源中的噪声会增加开销，从而使实际设备是否仍具有任何优势尚不确定。在这里，我们介绍了误差减轻纠缠增强学习，对其进行了理论分析，并进行了实验演示。我们量化噪声引起的开销，使用最多 64 个量子位执行假设检验，并使用最多 16 个量子位的超导处理器学习并行门层中的固有噪声。我们证明，噪声量子存储器具有学习优势，当前实验开销为每量子位 1.33 ± 0.05，低于无纠缠下限 2。</w:t>
      </w:r>
    </w:p>
    <w:p>
      <w:pPr>
        <w:spacing w:before="0" w:after="200" w:lineRule="auto" w:line="276"/>
      </w:pPr>
      <w:r>
        <w:rPr>
          <w:b/>
        </w:rPr>
        <w:t xml:space="preserve">Abstract (EN): </w:t>
      </w:r>
      <w:r>
        <w:t>Learning unknown noise processes in quantum systems reveals their physical origin and informs error suppression, mitigation, and correction. Characterizing a general quantum process requires exponentially many parameters inferred from noncommuting measurements. Because these measurements cannot be performed simultaneously, the sample complexity grows exponentially. For Pauli channels, quantum memory and entangling operations can transform this task into measurements of commuting observables, reducing complexity exponentially. However, noise in these resources increases the overhead, leaving open whether any advantage remains in realistic devices. Here, we introduce error-mitigated entanglement-enhanced learning, analyze it theoretically, and demonstrate it experimentally. We quantify the noise-induced overhead, perform hypothesis testing with up to 64 qubits, and learn intrinsic noise in parallel-gate layers using up to 16 qubits of a superconducting processor. We show that noisy quantum memory provides a learning advantage, with a current experimental overhead of 1.33 ± 0.05 per qubit, below the no-entanglement lower bound of 2.</w:t>
      </w:r>
    </w:p>
    <w:p>
      <w:pPr>
        <w:spacing w:before="120" w:after="120"/>
      </w:pPr>
      <w:r>
        <w:rPr>
          <w:sz w:val="18"/>
        </w:rPr>
        <w:t>——————————————————————————————————————————————————————————————————————</w:t>
      </w:r>
    </w:p>
    <w:p>
      <w:pPr>
        <w:spacing w:before="160" w:after="40" w:line="240" w:lineRule="auto"/>
      </w:pPr>
      <w:r>
        <w:rPr>
          <w:b/>
        </w:rPr>
        <w:t xml:space="preserve">[714] </w:t>
      </w:r>
      <w:hyperlink r:id="rId1876">
        <w:r>
          <w:rPr>
            <w:color w:val="1155CC"/>
            <w:u w:val="single"/>
          </w:rPr>
          <w:t>采用表面工程微生物网络制造的可编程生命力传感器</w:t>
        </w:r>
      </w:hyperlink>
    </w:p>
    <w:p>
      <w:pPr>
        <w:spacing w:before="0" w:after="80"/>
      </w:pPr>
      <w:r>
        <w:rPr>
          <w:i/>
          <w:sz w:val="20"/>
        </w:rPr>
        <w:t>EN: A programmable living force sensor fabricated with surface engineered microbial network</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工程活性材料最近已扩展到生物电子领域，因为其中包含了合理重新布线的微生物。将生物材料与力传感相结合，提供了一种克服传统传感器局限性（例如脆弱性和拉伸敏感性）的替代途径。在这里，我们提出了一种由表面工程微生物网络制造的可编程生命力传感器，具有自下而上的人机界面设计。细菌细胞经过基因重组，以显示表面锚定的亲和对，介导细菌的宏观组装。作为导电和传感层，微生物网络被封装在弹性管中以制造宏观力传感器。由此产生的活体传感器具有可调节的测量范围、数十毫秒内的快速自我恢复能力以及出色的拉伸不敏感性，在 800% 伸长率下电阻仅增加约 30%。这种生物集成方法使微生物能够制备出坚固且可重构的力传感器，适用于拉伸、动态和极端机械条件。</w:t>
      </w:r>
    </w:p>
    <w:p>
      <w:pPr>
        <w:spacing w:before="0" w:after="200" w:lineRule="auto" w:line="276"/>
      </w:pPr>
      <w:r>
        <w:rPr>
          <w:b/>
        </w:rPr>
        <w:t xml:space="preserve">Abstract (EN): </w:t>
      </w:r>
      <w:r>
        <w:t>Engineered living materials have recently expanded into the field of bioelectronics when incorporating the rationally rewired microbes inside. Integrating living materials with force sensing provides an alternative route to overcome limitations of traditional sensors, such as fragility and stretching-sensitivity. Here, we present a programmable living force sensor fabricated by surface engineered microbial network with a bottom-up design for human-machine interfaces. Bacterial cells are genetically rewired to display surface-anchored affinity pairs that mediate the assembly of bacteria to macroscale. Functioning as the conductive and sensing layer, the microbial network is encapsulated in elastic tubes to fabricate the macroscopic force sensor. The resulting living sensor features a tunable measuring range, rapid self-recovery capacity within tens of milliseconds, and remarkably, excellent stretching-insensitivity with only ~30% increase in resistance under 800% of elongation. This bio-integrated approach enables microbes to prepare robust and reconfigurable force sensor suitable for tensile, dynamic and extreme mechanical conditions.</w:t>
      </w:r>
    </w:p>
    <w:p>
      <w:pPr>
        <w:spacing w:before="120" w:after="120"/>
      </w:pPr>
      <w:r>
        <w:rPr>
          <w:sz w:val="18"/>
        </w:rPr>
        <w:t>——————————————————————————————————————————————————————————————————————</w:t>
      </w:r>
    </w:p>
    <w:p>
      <w:pPr>
        <w:spacing w:before="160" w:after="40" w:line="240" w:lineRule="auto"/>
      </w:pPr>
      <w:r>
        <w:rPr>
          <w:b/>
        </w:rPr>
        <w:t xml:space="preserve">[715] </w:t>
      </w:r>
      <w:hyperlink r:id="rId1877">
        <w:r>
          <w:rPr>
            <w:color w:val="1155CC"/>
            <w:u w:val="single"/>
          </w:rPr>
          <w:t>大陆无机卤素在全球空气质量演变中的关键作用</w:t>
        </w:r>
      </w:hyperlink>
    </w:p>
    <w:p>
      <w:pPr>
        <w:spacing w:before="0" w:after="80"/>
      </w:pPr>
      <w:r>
        <w:rPr>
          <w:i/>
          <w:sz w:val="20"/>
        </w:rPr>
        <w:t>EN: Key role of continental inorganic halogens in the evolution of global air quality</w:t>
      </w:r>
    </w:p>
    <w:p>
      <w:pPr>
        <w:spacing w:before="0" w:after="120"/>
      </w:pPr>
      <w:r>
        <w:rPr>
          <w:b/>
        </w:rPr>
        <w:t xml:space="preserve">Source: </w:t>
      </w:r>
      <w:r>
        <w:t>Earth and environmental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卤素（氯、溴和碘）与氮氧化物、有机气体和臭氧等其他大气成分发生积极的相互作用。先前的现场观察证实了卤素在各种环境中普遍存在，并且建模模拟量化了目前卤素对空气污染物的影响。然而，历史上大陆无机卤素 (CIH) 的丰度及其对全球空气质量的影响仍未得到探索。在这里，我们列出了 1970 年至 2015 年人为和生物质燃烧来源的 CIH 排放清单，其中氯、溴和碘的平均通量分别为 4302、207 和 98 kt/年，分别占相应全球短期氯、溴和碘排放量的约 15%、5-10% 和约 3%。将这些排放纳入全球化学气候模型显示各大洲无机卤素水平大幅增加（&gt; 50%），有助于重现观测到的卤素水平。我们的研究结果还表明，CIH对空气污染物浓度的显着影响具有显着的时空变化，例如，氮氧化物和二次气溶胶的最大扰动在1980年代至1990年代从欧洲和北美迁移到2000年代东亚，然后在2010年代迁移到南亚，这表明与CIH相关的空气质量影响热点从发达地区向发展中地区移动。这项研究强调了卤素化学在空气质量中未被充分认识的作用及其近四十年来的演变，并呼吁关注</w:t>
      </w:r>
    </w:p>
    <w:p>
      <w:pPr>
        <w:spacing w:before="0" w:after="200" w:lineRule="auto" w:line="276"/>
      </w:pPr>
      <w:r>
        <w:rPr>
          <w:b/>
        </w:rPr>
        <w:t xml:space="preserve">Abstract (EN): </w:t>
      </w:r>
      <w:r>
        <w:t>Halogen (chlorine, bromine, and iodine) species actively interact with other atmospheric constituents such as nitrogen oxides, organic gases, and ozone. Previous field observations confirmed the ubiquitous existence of halogens in various environments and modeling simulations quantified halogen impacts on air pollutants at present time. However, the abundance and impacts of continental inorganic halogens (CIH) on global air quality throughout history remain unexplored. Here, we present a global inventory of CIH emissions from anthropogenic and biomass-burning sources from 1970 to 2015, with average fluxes of 4302, 207, and 98 kt/yr for chlorine, bromine, and iodine, respectively, representing ~15%, 5-10%, and ~3% of the corresponding global short-lived chlorine, bromine, and iodine emissions. Incorporating these emissions into a global chemistry-climate model reveals a substantial increase ( &gt; 50%) in inorganic halogen levels over continents, helping to reproduce the observed halogen levels. Our results also suggest substantial effects of CIH on air pollutant concentrations with significant spatio-temporal variations, e.g., the largest perturbations in nitrogen oxides and secondary aerosols migrating from Europe and North America in the 1980s-1990s, to East Asia in the 2000s, then to South Asia in the 2010s, suggesting a movement of CIH-associated air quality impact hotspots from the developed regions to the developing areas. This study highlights the under-appreciated role of halogen chemistry in air quality and its evolution in the recent four decades and calls for attention to the potential CIH impacts in emerging regions where field observations are not yet available.</w:t>
      </w:r>
    </w:p>
    <w:p>
      <w:pPr>
        <w:spacing w:before="120" w:after="120"/>
      </w:pPr>
      <w:r>
        <w:rPr>
          <w:sz w:val="18"/>
        </w:rPr>
        <w:t>——————————————————————————————————————————————————————————————————————</w:t>
      </w:r>
    </w:p>
    <w:p>
      <w:pPr>
        <w:spacing w:before="160" w:after="40" w:line="240" w:lineRule="auto"/>
      </w:pPr>
      <w:r>
        <w:rPr>
          <w:b/>
        </w:rPr>
        <w:t xml:space="preserve">[716] </w:t>
      </w:r>
      <w:hyperlink r:id="rId1878">
        <w:r>
          <w:rPr>
            <w:color w:val="1155CC"/>
            <w:u w:val="single"/>
          </w:rPr>
          <w:t>具有原子级尖锐边界的磁性位的可控图案</w:t>
        </w:r>
      </w:hyperlink>
    </w:p>
    <w:p>
      <w:pPr>
        <w:spacing w:before="0" w:after="80"/>
      </w:pPr>
      <w:r>
        <w:rPr>
          <w:i/>
          <w:sz w:val="20"/>
        </w:rPr>
        <w:t>EN: Controllable patterning of magnetic bits with atomically sharp boundaries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磁性介质中的磁性信息位正在接近其基本热力学极限，迫切需要高精度纳米级制造方法。在这里，我们建立了一个概念验证演示，用于在纳米尺度上制造、控制和测试紧密间隔的单个磁性位。像差校正的原子尺寸电子探针通过束诱导相变直接在反铁磁 (AFM) 岩盐垫片内雕刻亚铁磁 (FM) 尖晶石 NiFe2O4 钻头。通过原位纳米束电子磁圆二色性（EMCD）探测平面外磁化分量，我们进行了单域磁力测量。这表明来自横向宽度约为 4 nm 的域的可检测磁信号，通过交换偏置耦合由周围 AFM 矩阵提供热力学支持。此外，我们通过在施加的外部磁场下反转各个FM位的局部磁化方向来实现二进制信息（“1”和“0”）的确定性写入。通过建立从原子级制造到单位磁读出的完整闭环工作流程，这项研究展示了设计未来高密度磁性架构的途径。</w:t>
      </w:r>
    </w:p>
    <w:p>
      <w:pPr>
        <w:spacing w:before="0" w:after="200" w:lineRule="auto" w:line="276"/>
      </w:pPr>
      <w:r>
        <w:rPr>
          <w:b/>
        </w:rPr>
        <w:t xml:space="preserve">Abstract (EN): </w:t>
      </w:r>
      <w:r>
        <w:t>Magnetic information bits in magnetic media are approaching their fundamental thermodynamic limits, creating an urgent need for high-precision nanoscale fabrication methods. Here we establish a proof-of-concept demonstration for fabricating, controlling, and testing closely spaced individual magnetic bits at the nanometre scale. An aberration-corrected atomic-sized electron probe directly sculpts ferrimagnetic (FM) spinel NiFe2O4 bits within an antiferromagnetic (AFM) rock-salt spacer by beam-induced phase transition. Through in situ nanobeam electron magnetic circular dichroism (EMCD), which probes the out-of-plane magnetization component, we perform single-domain magnetometry. This demonstrates detectable magnetic signals from a domain with a lateral width of ~4 nm, thermodynamically supported by the surrounding AFM matrix via exchange bias coupling. Furthermore, we achieve the deterministic writing of binary information (“1” and “0”) by reversing the localized magnetization direction of individual FM bits under an applied external magnetic field. By establishing a complete, closed-loop workflow from atomic-scale fabrication to single-bit magnetic readout, this study demonstrates a pathway toward engineering future high-density magnetic architectures.</w:t>
      </w:r>
    </w:p>
    <w:p>
      <w:pPr>
        <w:spacing w:before="120" w:after="120"/>
      </w:pPr>
      <w:r>
        <w:rPr>
          <w:sz w:val="18"/>
        </w:rPr>
        <w:t>——————————————————————————————————————————————————————————————————————</w:t>
      </w:r>
    </w:p>
    <w:p>
      <w:pPr>
        <w:spacing w:before="160" w:after="40" w:line="240" w:lineRule="auto"/>
      </w:pPr>
      <w:r>
        <w:rPr>
          <w:b/>
        </w:rPr>
        <w:t xml:space="preserve">[717] </w:t>
      </w:r>
      <w:hyperlink r:id="rId1879">
        <w:r>
          <w:rPr>
            <w:color w:val="1155CC"/>
            <w:u w:val="single"/>
          </w:rPr>
          <w:t>基于超快可重构拓扑调制器的光子处理加速器</w:t>
        </w:r>
      </w:hyperlink>
    </w:p>
    <w:p>
      <w:pPr>
        <w:spacing w:before="0" w:after="80"/>
      </w:pPr>
      <w:r>
        <w:rPr>
          <w:i/>
          <w:sz w:val="20"/>
        </w:rPr>
        <w:t>EN: Ultrafast reconfigurable topological-modulators-based photonic processing accelerator</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人工智能的兴起引发了数据量的指数级增长，需要快速高效的处理。因此，高速、节能且可并行扩展的计算硬件变得越来越重要。我们展示了使用拓扑调制器的晶圆级非易失性光子计算芯片。通过拓扑光子限制，利用铁电锆钛酸铅 (PZT) 薄膜的 GHz 速度电光响应和非易失性，我们的芯片可实现 1,000 倍加速重构、近零静态功耗操作以及每平方毫米每秒 266 万亿次操作 (TOPS/mm²) 的计算密度。 16 通道波长空间复用芯片可提供 1.92 TOPS 的吞吐量、95.64% 的数字识别精度和 94.5% 的时变偏微分方程求解精度。此外，该芯片还支持高带宽密度光纤 I/O 的功能重新配置。这项工作建立了铁电拓扑光子学，以实现高效的高速光子张量处理。</w:t>
      </w:r>
    </w:p>
    <w:p>
      <w:pPr>
        <w:spacing w:before="0" w:after="200" w:lineRule="auto" w:line="276"/>
      </w:pPr>
      <w:r>
        <w:rPr>
          <w:b/>
        </w:rPr>
        <w:t xml:space="preserve">Abstract (EN): </w:t>
      </w:r>
      <w:r>
        <w:t>The rise of artificial intelligence has triggered exponential growth in data volume, demanding rapid and efficient processing. High-speed, energy-efficient, and parallel-scalable computing hardware is thus increasingly critical. We demonstrate a wafer-scale non-volatile photonic computing chip using topological modulators. Leveraging the GHz-speed electro-optic response and nonvolatility of ferroelectric lead zirconate titanate (PZT) thin films via topological photonic confinement, our chip enables 1,000× accelerated reconfiguration, near-zero static-power operation, and a computational density of 266 trillion operations per second per square millimeter (TOPS/mm²). A 16-channel wavelength-space multiplexed chip delivers 1.92 TOPS throughput with 95.64% digit-recognition accuracy and 94.5% precision for solving time-varying partial differential equations. Additionally, the chip supports functional reconfiguration for high bandwidth density optical I/O. This work establishes ferroelectric topological photonics for efficient high-speed photonic tensor processing.</w:t>
      </w:r>
    </w:p>
    <w:p>
      <w:pPr>
        <w:spacing w:before="120" w:after="120"/>
      </w:pPr>
      <w:r>
        <w:rPr>
          <w:sz w:val="18"/>
        </w:rPr>
        <w:t>——————————————————————————————————————————————————————————————————————</w:t>
      </w:r>
    </w:p>
    <w:p>
      <w:pPr>
        <w:spacing w:before="160" w:after="40" w:line="240" w:lineRule="auto"/>
      </w:pPr>
      <w:r>
        <w:rPr>
          <w:b/>
        </w:rPr>
        <w:t xml:space="preserve">[718] </w:t>
      </w:r>
      <w:hyperlink r:id="rId1880">
        <w:r>
          <w:rPr>
            <w:color w:val="1155CC"/>
            <w:u w:val="single"/>
          </w:rPr>
          <w:t>用于老年雌性大鼠组织再生的表观遗传和免疫代谢重编程的生物正交纳米中心体系统</w:t>
        </w:r>
      </w:hyperlink>
    </w:p>
    <w:p>
      <w:pPr>
        <w:spacing w:before="0" w:after="80"/>
      </w:pPr>
      <w:r>
        <w:rPr>
          <w:i/>
          <w:sz w:val="20"/>
        </w:rPr>
        <w:t>EN: A bioorthogonal nanoconcentrisome system for epigenetic and immunometabolic reprogramming of tissue regeneration in aged female rats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基于干细胞的疗法显示出组织再生的希望，但受到治疗不稳定的限制，特别是在老化组织中。在这里，再生骨的多组学分析揭示了 S-腺苷甲硫氨酸 (SAM) 的显着消耗，表明与修复受损相关的表观遗传失调。为了解决这个问题，我们开发了一种空间分隔的融合纳米囊泡系统（SMNV），称为“纳米中心体”，由装载 SAM 的融合脂质体组成，封装间充质干细胞衍生的纳米囊泡（MNV）。这种双室结构有利于通过膜融合在细胞质中传递货物，而溶酶体的参与有限。在巨噬细胞中，SMNV 减弱炎症激活并促进胞吞作用和代谢重编程，而在衰老干细胞中，它增强表观遗传完整性、线粒体功能和成骨分化。通过协调调节免疫和祖细胞状态，SMNV 显着增强组织再生并有效修复老年雌性大鼠的骨缺损，突出了一个精密纳米医学平台，该平台将代谢表观遗传调节与无细胞再生信号传导相结合，以抵消与衰老相关的再生衰退。</w:t>
      </w:r>
    </w:p>
    <w:p>
      <w:pPr>
        <w:spacing w:before="0" w:after="200" w:lineRule="auto" w:line="276"/>
      </w:pPr>
      <w:r>
        <w:rPr>
          <w:b/>
        </w:rPr>
        <w:t xml:space="preserve">Abstract (EN): </w:t>
      </w:r>
      <w:r>
        <w:t>Stem cell–based therapies show promise for tissue regeneration but are limited by therapeutic instability, particularly in aged tissues. Here, multi-omics profiling of regenerating bone reveals marked depletion of S-adenosylmethionine (SAM), indicating epigenetic dysregulation associated with impaired repair. To address this, we develop a spatially compartmentalized, fusogenic nanovesicle system (SMNV), termed a “nanoconcentrisome,” composed of SAM-loaded fusogenic liposomes encapsulating mesenchymal stem cell–derived nanovesicles (MNV). This dual-compartment architecture facilitates cytosolic delivery of cargos through membrane fusion with limited lysosomal involvement. In macrophages, SMNV attenuates inflammatory activation and promotes efferocytosis and metabolic reprogramming, while in senescent stem cells it enhances epigenetic integrity, mitochondrial function and osteogenic differentiation. Through coordinated modulation of immune and progenitor cell states, SMNV significantly enhances tissue regeneration and effectively repairs bone defects in aged female rats, highlighting a precision nanomedicine platform that integrates metabolic–epigenetic regulation with cell-free regenerative signaling to counteract ageing-associated regenerative decline.</w:t>
      </w:r>
    </w:p>
    <w:p>
      <w:pPr>
        <w:spacing w:before="120" w:after="120"/>
      </w:pPr>
      <w:r>
        <w:rPr>
          <w:sz w:val="18"/>
        </w:rPr>
        <w:t>——————————————————————————————————————————————————————————————————————</w:t>
      </w:r>
    </w:p>
    <w:p>
      <w:pPr>
        <w:spacing w:before="160" w:after="40" w:line="240" w:lineRule="auto"/>
      </w:pPr>
      <w:r>
        <w:rPr>
          <w:b/>
        </w:rPr>
        <w:t xml:space="preserve">[719] </w:t>
      </w:r>
      <w:hyperlink r:id="rId1881">
        <w:r>
          <w:rPr>
            <w:color w:val="1155CC"/>
            <w:u w:val="single"/>
          </w:rPr>
          <w:t>仿生多孔金属氨基酸纳米酶通过抗氧化和促胞吞作用实现动脉粥样硬化的多途径治疗</w:t>
        </w:r>
      </w:hyperlink>
    </w:p>
    <w:p>
      <w:pPr>
        <w:spacing w:before="0" w:after="80"/>
      </w:pPr>
      <w:r>
        <w:rPr>
          <w:i/>
          <w:sz w:val="20"/>
        </w:rPr>
        <w:t>EN: Bioinspired porous metal-amino acid nanozymes enable multi-pathway treatment of atherosclerosis through anti-oxidation and pro-efferocytosis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动脉粥样硬化的特征是慢性炎症、持续的氧化应激、内膜脂质积累和斑块内胞吞作用受损。在这里，我们开发了一种通过金属-氨基酸配位组装的铜基多孔纳米酶（MAzyme），用于负载抗吞噬细胞 CD47-SIRPα 信号通路的抑制剂并用巨噬细胞膜包裹。由此产生的仿生纳米平台（MMAzyme-S）继承了多孔纳米酶的多酶活性和生物膜的炎症归巢特征。 MAzyme 具有与天然超氧化物歧化酶相当的显着抗氧化作用，可通过消除活性氧来有效解决炎症。我们的研究结果还表明，MMAzyme-S 可以阻断 CD47 介导的抗吞噬作用，以恢复病变巨噬细胞中受损的胞吞作用，从而促进凋亡细胞的吞噬清除。此外，通过协同抗氧化和抗炎作用，胆固醇转运途径得到加强，从而大大减少泡沫细胞的形成和斑块负担。因此，MMAzyme-S 凭借同源炎症靶向和发病机制多环节干预的独特优势，减少了雄性 ApoE−/− 小鼠的动脉粥样硬化斑块负担。这项研究强调了具有抗氧化和促细胞作用活性的仿生多孔 MAzyme 作为对抗动脉粥样硬化的多方面干预策略的潜力。</w:t>
      </w:r>
    </w:p>
    <w:p>
      <w:pPr>
        <w:spacing w:before="0" w:after="200" w:lineRule="auto" w:line="276"/>
      </w:pPr>
      <w:r>
        <w:rPr>
          <w:b/>
        </w:rPr>
        <w:t xml:space="preserve">Abstract (EN): </w:t>
      </w:r>
      <w:r>
        <w:t>Atherosclerosis is characterized by chronic inflammation, persistent oxidative stress, intimal lipid accumulation, and impaired efferocytosis within plaques. Here, we develop a copper-based porous nanozyme assembled through metal-amino acid coordination (MAzyme) for loading an inhibitor of the antiphagocytic CD47-SIRPα signaling pathway and cloaking with macropahge membrane. The resulting biomimetic nanoplatform (MMAzyme-S) inherits both the multi-enzymatic activities of the porous nanozyme and the inflammation-homing features of the biomembranes. The prominent antioxidant effects of MAzyme, comparable to those of natural superoxide dismutase, enable efficient inflammatory resolution via the elimination of reactive oxygen species. Our findings also demonstrate that MMAzyme-S can block CD47-mediated anti-phagocytosis to restore impaired efferocytosis in lesional macrophages, thereby boosting the phagocytic clearance of apoptotic cells. Additionally, cholesterol transport pathways are strengthened through synergistic antioxidant and anti-inflammatory effects, which profoundly reduce foam cell formation and plaque burden. Consequently, with the distinctive advantages of homologous inflammation targeting and multilink intervention in pathogenesis, MMAzyme-S reduces atherosclerotic plaque burden in male ApoE−/− mice. This study highlights the potential of biomimetic porous MAzyme with combined antioxidant and pro-efferocytosis activities as a multifaceted intervention strategy against atherosclerosis.</w:t>
      </w:r>
    </w:p>
    <w:p>
      <w:pPr>
        <w:spacing w:before="120" w:after="120"/>
      </w:pPr>
      <w:r>
        <w:rPr>
          <w:sz w:val="18"/>
        </w:rPr>
        <w:t>——————————————————————————————————————————————————————————————————————</w:t>
      </w:r>
    </w:p>
    <w:p>
      <w:pPr>
        <w:spacing w:before="160" w:after="40" w:line="240" w:lineRule="auto"/>
      </w:pPr>
      <w:r>
        <w:rPr>
          <w:b/>
        </w:rPr>
        <w:t xml:space="preserve">[720] </w:t>
      </w:r>
      <w:hyperlink r:id="rId1882">
        <w:r>
          <w:rPr>
            <w:color w:val="1155CC"/>
            <w:u w:val="single"/>
          </w:rPr>
          <w:t>镜上等离激元纳米球隧道结中的电致发光和电流整流</w:t>
        </w:r>
      </w:hyperlink>
    </w:p>
    <w:p>
      <w:pPr>
        <w:spacing w:before="0" w:after="80"/>
      </w:pPr>
      <w:r>
        <w:rPr>
          <w:i/>
          <w:sz w:val="20"/>
        </w:rPr>
        <w:t>EN: Electroluminescence and Current Rectification in Plasmonic Nanosphere-on-Mirror Tunnel Junctions</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1883">
        <w:r>
          <w:rPr>
            <w:color w:val="1155CC"/>
            <w:u w:val="single"/>
          </w:rPr>
          <w:t>10.1021/acsami.6c09293</w:t>
        </w:r>
      </w:hyperlink>
    </w:p>
    <w:p>
      <w:pPr>
        <w:spacing w:before="0" w:after="120"/>
      </w:pPr>
      <w:r>
        <w:rPr>
          <w:b/>
        </w:rPr>
        <w:t xml:space="preserve">Notes: </w:t>
      </w:r>
      <w:r>
        <w:t>abstract_source=pubmed</w:t>
      </w:r>
    </w:p>
    <w:p>
      <w:pPr>
        <w:spacing w:before="0" w:after="80" w:lineRule="auto" w:line="276"/>
      </w:pPr>
      <w:r>
        <w:rPr>
          <w:b/>
        </w:rPr>
        <w:t xml:space="preserve">摘要（ZH）: </w:t>
      </w:r>
      <w:r>
        <w:t>鲁棒非弹性电子隧道电致发光（EL）和电流整流代表了分子电子学的两个关键里程碑。我们报告了自下而上制造的隧道结中的强整流 EL 和电流（整流比高达 102-103），其中贵金属纳米球（20-200 nm）通过结构对称分子（1,4-苯二硫醇或 1,4-二乙炔基苯）桥接到平面金属薄膜。两个电极均由相同的贵金属（M = Ag 或 Au）制成，因此结在成分上是对称的。整流比很大程度上取决于电极几何形状和连接体化学：当纳米球被同等尺寸的纳米立方体取代或当纳米球直径从 20 nm 增加到 200 nm 时，整流行为会受到强烈抑制。二硫醇 (M-S) 和二乙炔基 (M-C≡C) 连接体会发生明显的整流，但二异氰化物 (M-CN) 则不会。这些观察结果不能用电极的简单静电不对称性来解释，而是由曲率相关的金属分子耦合产生，特别是纳米球的欠配位表面原子处增强的电子耦合。总体而言，结果表明，当结构对称的分子放置在成分相同但几何形状不相等的电极之间时，可以进行整流。这些发现为可扩展、自下而上的分子光电二极管开辟了一条新途径，其功能被编码在名义对称结的几何形状和化学中。</w:t>
      </w:r>
    </w:p>
    <w:p>
      <w:pPr>
        <w:spacing w:before="0" w:after="200" w:lineRule="auto" w:line="276"/>
      </w:pPr>
      <w:r>
        <w:rPr>
          <w:b/>
        </w:rPr>
        <w:t xml:space="preserve">Abstract (EN): </w:t>
      </w:r>
      <w:r>
        <w:t>Robust inelastic electron tunneling electroluminescence (EL) and current rectification represent two key milestones in molecular electronics. We report strongly rectified EL and current (rectification ratio up to 102-103) in bottom-up fabricated tunnel junctions where a noble-metal nanosphere (20-200 nm) is bridged to a planar metal thin film by structurally symmetric molecules (1,4-benzenedithiol or 1,4-diethynylbenzene). Both electrodes are made of the same noble metal (M = Ag or Au), so the junctions are compositionally symmetric. The rectification ratio is strongly dependent on the electrode geometry and linker chemistry: The rectification behavior is strongly suppressed when the nanosphere is replaced by a nanocube of comparable size or when the nanosphere diameter increases from 20 to 200 nm. Pronounced rectification occurs with dithiol (M-S) and diethynyl (M-C≡C) linkers but not with diisocyanide (M-CN). These observations cannot be explained by simple electrostatic asymmetry of electrodes but instead arise from curvature-dependent metal-molecule coupling, specifically the enhanced electronic coupling at under-coordinated surface atoms of the nanosphere. Overall, the results show that a structurally symmetric molecule can rectify when placed between compositionally identical but geometrically inequivalent electrodes. These findings open a new route to scalable, bottom-up molecular optoelectronic diodes whose function is encoded in the geometry and chemistry of nominally symmetric junctions.</w:t>
      </w:r>
    </w:p>
    <w:p>
      <w:pPr>
        <w:spacing w:before="120" w:after="120"/>
      </w:pPr>
      <w:r>
        <w:rPr>
          <w:sz w:val="18"/>
        </w:rPr>
        <w:t>——————————————————————————————————————————————————————————————————————</w:t>
      </w:r>
    </w:p>
    <w:p>
      <w:pPr>
        <w:spacing w:before="160" w:after="40" w:line="240" w:lineRule="auto"/>
      </w:pPr>
      <w:r>
        <w:rPr>
          <w:b/>
        </w:rPr>
        <w:t xml:space="preserve">[721] </w:t>
      </w:r>
      <w:hyperlink r:id="rId1884">
        <w:r>
          <w:rPr>
            <w:color w:val="1155CC"/>
            <w:u w:val="single"/>
          </w:rPr>
          <w:t>美国历史上的红线社区遭受极端洪水的比例过高</w:t>
        </w:r>
      </w:hyperlink>
    </w:p>
    <w:p>
      <w:pPr>
        <w:spacing w:before="0" w:after="80"/>
      </w:pPr>
      <w:r>
        <w:rPr>
          <w:i/>
          <w:sz w:val="20"/>
        </w:rPr>
        <w:t>EN: Disproportionate exposure to extreme floods in historically redlined U.S. communities</w:t>
      </w:r>
    </w:p>
    <w:p>
      <w:pPr>
        <w:spacing w:before="0" w:after="120"/>
      </w:pPr>
      <w:r>
        <w:rPr>
          <w:b/>
        </w:rPr>
        <w:t xml:space="preserve">Source: </w:t>
      </w:r>
      <w:r>
        <w:t>Earth and environmental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极端洪水和历史公共政策都会留下持久的影响。我们分析了 202 个美国城市社区的洪水风险，历史上由房主贷款公司按照从“最佳”(A) 到“危险”(D) 的等级进行贷款风险评估。利用高分辨率洪水模型和测绘人口测绘，我们发现大约四分之三的城市中 D 级社区承受着不成比例的洪水负担。这种不平等遵循系统梯度：A 级和 B 级社区在洪水人口中所占比例不足，C 级社区所占比例较高，而 D 级社区所占比例过高。遭受100年一遇洪水的D级居民（6.4%）比遭受1000年一遇洪水的A级居民（5.9%）要多，而且在更高强度的洪水中，差距会扩大。洪水差异在中西部和中大西洋地区最为明显，这与历史上工业劳动力的集中和水道沿线的红线社区一致。然而，我们发现，仅靠近水道并不能解释所观察到的不平等：即使在远离主要河流和海岸的社区中，洪水差异也持续存在，这意味着基础设施赤字是一个复合因素。近一个世纪前被标记为“危险”的社区如今仍然极其脆弱，这凸显了公平城市规划的必要性。</w:t>
      </w:r>
    </w:p>
    <w:p>
      <w:pPr>
        <w:spacing w:before="0" w:after="200" w:lineRule="auto" w:line="276"/>
      </w:pPr>
      <w:r>
        <w:rPr>
          <w:b/>
        </w:rPr>
        <w:t xml:space="preserve">Abstract (EN): </w:t>
      </w:r>
      <w:r>
        <w:t>Extreme floods and historical public policies both leave lasting impacts. We analyzed flood exposure across the neighborhoods of 202 US cities historically assessed for lending risk by the Home Owners’ Loan Corporation on a scale from ‘best (A) to ‘hazardous’ (D). Using high-resolution flood modeling and dasymetric population mapping, we found that D-graded neighborhoods bear a disproportionate flood burden in roughly three-quarters of cities. This inequality follows a systematic gradient: A- and B-graded neighborhoods are underrepresented in the flooded population, C-graded neighborhoods are proportionately represented, and D-graded neighborhoods are overrepresented. A greater fraction of D-graded residents are exposed to the 100-yr flood (6.4%) than A-graded residents to the 1000-yr flood (5.9%) with the gap widening at higher-magnitude floods. Flood disparities are most pronounced in the Midwest and Mid-Atlantic regions, aligning with the historical concentration of industrial labor and redlined neighborhoods along waterways. However, we find that proximity to waterways alone does not explain the observed inequality: flood disparities persist even among neighborhoods far from major rivers and coasts, implicating infrastructure deficits as a compounding factor. Neighborhoods marked as ‘hazardous’ nearly a century ago remain disproportionately vulnerable today, underscoring the need for equitable urban planning.</w:t>
      </w:r>
    </w:p>
    <w:p>
      <w:pPr>
        <w:spacing w:before="120" w:after="120"/>
      </w:pPr>
      <w:r>
        <w:rPr>
          <w:sz w:val="18"/>
        </w:rPr>
        <w:t>——————————————————————————————————————————————————————————————————————</w:t>
      </w:r>
    </w:p>
    <w:p>
      <w:pPr>
        <w:spacing w:before="160" w:after="40" w:line="240" w:lineRule="auto"/>
      </w:pPr>
      <w:r>
        <w:rPr>
          <w:b/>
        </w:rPr>
        <w:t xml:space="preserve">[722] </w:t>
      </w:r>
      <w:hyperlink r:id="rId1885">
        <w:r>
          <w:rPr>
            <w:color w:val="1155CC"/>
            <w:u w:val="single"/>
          </w:rPr>
          <w:t>通过反铁磁二维半金属中相互交织的多重挫败实现多功能电子相</w:t>
        </w:r>
      </w:hyperlink>
    </w:p>
    <w:p>
      <w:pPr>
        <w:spacing w:before="0" w:after="80"/>
      </w:pPr>
      <w:r>
        <w:rPr>
          <w:i/>
          <w:sz w:val="20"/>
        </w:rPr>
        <w:t>EN: Versatile electronic phases enabled by intertwined multiple frustrations in an antiferromagnetic two-dimensional semimetal</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随着石墨烯的发现，范德华材料已成为量子物质的主要平台，但石墨烯之外的强相互作用相仍然难以捉摸。利用扫描隧道显微镜和光谱学，我们在范德华半金属 CeTe3 中发现了三种相互竞争的条纹型和棋盘型多 q 反铁磁电荷有序态，超出了传统的电荷密度波。这些场可调状态的传播矢量为 (0.33, 0)、(0, 0.08) 和 (0.19, ±0.19)，并由适度的面内磁场 (~1.5 T) 控制。准粒子干涉成像识别出相应的三个不同的嵌套通道和相关的费米表面重建。同时，光谱学揭示了在费米能级周围延伸至 ±30 meV 的广泛电子重建，超出了简单的近藤耦合图像。我们的结果将 CeTe3 确立为可调谐纳米级反铁磁电子相的平台，其特征是相互交织的相关性、奇特的对称性破缺和非平凡的拓扑结构。</w:t>
      </w:r>
    </w:p>
    <w:p>
      <w:pPr>
        <w:spacing w:before="0" w:after="200" w:lineRule="auto" w:line="276"/>
      </w:pPr>
      <w:r>
        <w:rPr>
          <w:b/>
        </w:rPr>
        <w:t xml:space="preserve">Abstract (EN): </w:t>
      </w:r>
      <w:r>
        <w:t>Following the discovery of graphene, van der Waals materials have become a major platform for quantum matter, yet strongly interacting phases beyond graphene remain elusive. Using scanning tunneling microscopy and spectroscopy, we uncover three competing stripe- and checkerboard-type multiple-q antiferromagnetic charge-ordered states in the van der Waals semimetal CeTe3, beyond the conventional charge density wave. These field-tunable states exhibit propagation vectors of (0.33, 0), (0, 0.08), and (0.19, ±0.19), and are controlled by a modest in-plane magnetic field (~1.5 T). Quasiparticle-interference imaging identifies corresponding three distinct nesting channels and associated Fermi-surface reconstructions. At the same time, spectroscopy reveals a broad electronic reconstruction extending to ±30 meV around the Fermi level, beyond a simple Kondo-coupling picture. Our results establish CeTe3 as a platform for tunable nanoscale antiferromagnetic electronic phases characterized by intertwined correlations, exotic symmetry-breaking, and nontrivial topology.</w:t>
      </w:r>
    </w:p>
    <w:p>
      <w:pPr>
        <w:spacing w:before="120" w:after="120"/>
      </w:pPr>
      <w:r>
        <w:rPr>
          <w:sz w:val="18"/>
        </w:rPr>
        <w:t>——————————————————————————————————————————————————————————————————————</w:t>
      </w:r>
    </w:p>
    <w:p>
      <w:pPr>
        <w:spacing w:before="160" w:after="40" w:line="240" w:lineRule="auto"/>
      </w:pPr>
      <w:r>
        <w:rPr>
          <w:b/>
        </w:rPr>
        <w:t xml:space="preserve">[723] </w:t>
      </w:r>
      <w:hyperlink r:id="rId1886">
        <w:r>
          <w:rPr>
            <w:color w:val="1155CC"/>
            <w:u w:val="single"/>
          </w:rPr>
          <w:t>手性 π-两亲物的分层自组装、纳米结构和新兴功能</w:t>
        </w:r>
      </w:hyperlink>
    </w:p>
    <w:p>
      <w:pPr>
        <w:spacing w:before="0" w:after="80"/>
      </w:pPr>
      <w:r>
        <w:rPr>
          <w:i/>
          <w:sz w:val="20"/>
        </w:rPr>
        <w:t>EN: Hierarchical Self-Assembly, Nanoarchitectonics, and Emerging Functionalities of Chiral π-Amphiphiles</w:t>
      </w:r>
    </w:p>
    <w:p>
      <w:pPr>
        <w:spacing w:before="0" w:after="120"/>
      </w:pPr>
      <w:r>
        <w:rPr>
          <w:b/>
        </w:rPr>
        <w:t xml:space="preserve">Source: </w:t>
      </w:r>
      <w:r>
        <w:t>Chemical Reviews: Latest Articles (ACS Publications)</w:t>
      </w:r>
      <w:r>
        <w:t xml:space="preserve">    </w:t>
      </w:r>
      <w:r>
        <w:rPr>
          <w:b/>
        </w:rPr>
        <w:t xml:space="preserve">Pub date: </w:t>
      </w:r>
      <w:r>
        <w:t>2026-07-23 00:00:00+00:00</w:t>
      </w:r>
      <w:r>
        <w:t xml:space="preserve">    </w:t>
      </w:r>
      <w:r>
        <w:rPr>
          <w:b/>
        </w:rPr>
        <w:t xml:space="preserve">DOI: </w:t>
      </w:r>
      <w:hyperlink r:id="rId1887">
        <w:r>
          <w:rPr>
            <w:color w:val="1155CC"/>
            <w:u w:val="single"/>
          </w:rPr>
          <w:t>10.1021/acs.chemrev.6c00011</w:t>
        </w:r>
      </w:hyperlink>
    </w:p>
    <w:p>
      <w:pPr>
        <w:spacing w:before="0" w:after="120"/>
      </w:pPr>
      <w:r>
        <w:rPr>
          <w:b/>
        </w:rPr>
        <w:t xml:space="preserve">Notes: </w:t>
      </w:r>
      <w:r>
        <w:t>abstract_source=pubmed</w:t>
      </w:r>
    </w:p>
    <w:p>
      <w:pPr>
        <w:spacing w:before="0" w:after="80" w:lineRule="auto" w:line="276"/>
      </w:pPr>
      <w:r>
        <w:rPr>
          <w:b/>
        </w:rPr>
        <w:t xml:space="preserve">摘要（ZH）: </w:t>
      </w:r>
      <w:r>
        <w:t>功能构件的合理设计和对其分层自组装的精确控制构成了超分子化学和材料科学的基石。两亲性分子具有固有的亲水-疏水二元性，可作为跨多个学科的关键组成部分。集成π-共轭和手性等附加功能显着扩展了常见两亲物的设计空间和实用性，从而产生了一类新的结构单元：手性π-两亲物。通常，合成的手性 π-两亲物由两个功能不同的片段组成，即疏水性 π-延伸发色团和亲水性手性单元，通过常见的化学接头共价连接。手性、功能性 π 系统和两亲性的整合提供了独特的优势，例如手性引导的定向 π 堆积以及有机相和水相中的分层手性结构产生的优异手性光学性质。手性π-两亲物的新兴手性功能，包括圆偏振发光、手性识别与分离、手性生物医学和自旋电子学等，近年来取得了突破性进展，我们相信这将有助于通过分子自组装方法开发新型手性材料。本文系统地总结和讨论了手性π-两亲物的定义、分子设计策略、分类、纳米结构、应用以及未来展望，旨在帮助科学家们评估其手性π-两亲物的性能。</w:t>
      </w:r>
    </w:p>
    <w:p>
      <w:pPr>
        <w:spacing w:before="0" w:after="200" w:lineRule="auto" w:line="276"/>
      </w:pPr>
      <w:r>
        <w:rPr>
          <w:b/>
        </w:rPr>
        <w:t xml:space="preserve">Abstract (EN): </w:t>
      </w:r>
      <w:r>
        <w:t>Rational design of functional building blocks and precise control over their hierarchical self-assembly form the cornerstones of supramolecular chemistry and materials science. Amphiphilic molecules, with their inherent hydrophilic-hydrophobic duality, serve as critical building blocks across several disciplines. Integrating additional functionalities such as π-conjugation and chirality significantly expands the design space and utility of common amphiphiles, giving rise to a new class of building blocks: chiral π-amphiphiles. Typically, a synthetic chiral π-amphiphile consists of two functionally distinct segments, i.e., a hydrophobic π-extended chromophore and a hydrophilic chiral unit, covalently linked via common chemical linkers. The integration of chirality, functional π-systems, and amphiphilicity offers distinct advantages, such as chirality-guided directional π-stacking and superior chiroptical properties arising from their hierarchical chiral architectures in both organic and aqueous phases. Emerging chiral functions of chiral π-amphiphiles including circularly polarized luminescence, chiral recognition and separation, chiral biomedicine, and spin electronics have witnessed groundbreaking progress in recent years, which we believe will contribute to the development of novel chiral materials through molecular self-assembly approaches. This review systematically summarizes and discusses the definition, molecular design strategies, classification, nanostructures, applications, and future perspectives of chiral π-amphiphiles, aiming to help scientists evaluate the cutting-edge field of chirality science via diverse supramolecular technologies and systematic molecular engineering.</w:t>
      </w:r>
    </w:p>
    <w:p>
      <w:pPr>
        <w:spacing w:before="120" w:after="120"/>
      </w:pPr>
      <w:r>
        <w:rPr>
          <w:sz w:val="18"/>
        </w:rPr>
        <w:t>——————————————————————————————————————————————————————————————————————</w:t>
      </w:r>
    </w:p>
    <w:p>
      <w:pPr>
        <w:spacing w:before="160" w:after="40" w:line="240" w:lineRule="auto"/>
      </w:pPr>
      <w:r>
        <w:rPr>
          <w:b/>
        </w:rPr>
        <w:t xml:space="preserve">[724] </w:t>
      </w:r>
      <w:hyperlink r:id="rId1888">
        <w:r>
          <w:rPr>
            <w:color w:val="1155CC"/>
            <w:u w:val="single"/>
          </w:rPr>
          <w:t>通过活性粒子掺杂实现无定形固体中可调节的屈服和突现流变学</w:t>
        </w:r>
      </w:hyperlink>
    </w:p>
    <w:p>
      <w:pPr>
        <w:spacing w:before="0" w:after="80"/>
      </w:pPr>
      <w:r>
        <w:rPr>
          <w:i/>
          <w:sz w:val="20"/>
        </w:rPr>
        <w:t>EN: Tunable yielding and emergent rheology in amorphous solids with active particle doping</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机械稳定的玻璃，特别是退火良好和超稳定的玻璃，通常会通过剪切带形成而表现出脆性破坏。这种局域化是退火不可避免的结果还是可以动态控制仍然未知。我们通过在非晶固体中掺杂自驱动粒子来解决这个问题，这些粒子可以执行运行和翻滚或活跃的布朗动力学。通过对多分散模型的广泛模拟，我们表明剪切带的形成和传播受三个时间尺度之间的竞争控制：施加的剪切时间 1/γ˙" role="presentation"&gt;1/γ˙1/\dot{\gamma }、活性持续时间 τp 以及剪切带跨越系统的固有时间。在低持续时间下，活性掺杂逐渐将单个系统跨越剪切带转换为剪切带网络，产生有趣的是，我们发现了主动力和整体剪切速率之间的普遍补偿关系：一个的上升抵消了另一个的下降，这是由力-应变率组合的同构行为引起的：屈服应力在小 τp 时随着主动力的增加而增加，但在大 τp 时往往会减少。蠕变，增加主动力会降低稳态应变率并延迟流化，将补偿范围扩大到应力控制范围。这些结果已建立。</w:t>
      </w:r>
    </w:p>
    <w:p>
      <w:pPr>
        <w:spacing w:before="0" w:after="200" w:lineRule="auto" w:line="276"/>
      </w:pPr>
      <w:r>
        <w:rPr>
          <w:b/>
        </w:rPr>
        <w:t xml:space="preserve">Abstract (EN): </w:t>
      </w:r>
      <w:r>
        <w:t>Mechanically stable glasses, notably well-annealed and ultrastable ones, typically exhibit brittle failure through shear-band formation. Whether this localization is an inevitable consequence of annealing or can be dynamically controlled remains unknown. We address this by doping amorphous solids with self-propelled particles that perform run-and-tumble or active Brownian dynamics. Through extensive simulations of a polydisperse model, we show that shear-band formation and propagation are governed by a competition among three timescales: the imposed shear time 1/&amp;#x03B3;&amp;#x02D9;" role="presentation"&gt;1/γ˙1/\dot{\gamma }, the activity persistence time τp, and the intrinsic time for a shear band to span the system. At low persistence time, active doping progressively converts a single system-spanning shear band into a network of shear bands, yielding continuously with increased yield stress and yield strain, and inter-band spacing that decreases as a power law with active force. Interestingly, we uncover a universal compensatory relationship between active forces and global shear rates: a rise in one offsets a decline in the other, arising from isomorphic-like behavior across force–strain-rate combinations. We further identify a non-monotonic relationship between yielding and persistence time: while the yield stress increases at small τp with increasing active forces, it tends to decrease at large τp. Under creep, increasing active force reduces the steady-state strain rate and delays fluidization, extending the compensation to the stress-controlled regime. These results establish that shear localization in brittle glasses is not dictated solely by preparation history but can be dynamically altered through internal activity, with broad implications for yielding in living and synthetic active matter.</w:t>
      </w:r>
    </w:p>
    <w:p>
      <w:pPr>
        <w:spacing w:before="120" w:after="120"/>
      </w:pPr>
      <w:r>
        <w:rPr>
          <w:sz w:val="18"/>
        </w:rPr>
        <w:t>——————————————————————————————————————————————————————————————————————</w:t>
      </w:r>
    </w:p>
    <w:p>
      <w:pPr>
        <w:spacing w:before="160" w:after="40" w:line="240" w:lineRule="auto"/>
      </w:pPr>
      <w:r>
        <w:rPr>
          <w:b/>
        </w:rPr>
        <w:t xml:space="preserve">[725] </w:t>
      </w:r>
      <w:hyperlink r:id="rId1889">
        <w:r>
          <w:rPr>
            <w:color w:val="1155CC"/>
            <w:u w:val="single"/>
          </w:rPr>
          <w:t>二维极限下少层NbSe2的动感</w:t>
        </w:r>
      </w:hyperlink>
    </w:p>
    <w:p>
      <w:pPr>
        <w:spacing w:before="0" w:after="80"/>
      </w:pPr>
      <w:r>
        <w:rPr>
          <w:i/>
          <w:sz w:val="20"/>
        </w:rPr>
        <w:t>EN: Kinetic inductance of few-layer NbSe2 in the two-dimensional limit</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范德瓦尔斯 (vdW) 超导体在低至单层极限的情况下仍保持超导性，从而能够探索由降维驱动的新兴物理现象和功能。在这里，我们使用电路量子电动力学 (cQED) 熟悉的超导共面波导和微波测量技术，报告了原子薄 NbSe2（一种二维范德华超导体）的动态电感的表征。动态电感与 NbSe2 层数成反比，在单层极限下达到 1.2 nH/□。此外，测量的动态电感表现出从清洁极限到脏极限行为的厚度依赖性交叉，并且在超薄区域中出现了增强的脏极限贡献。这些效应可能是由表面散射增加、多带超导性和几何限制驱动的。此外，NbSe2薄膜的自克尔非线性范围为K/2π = -0.006至-14.7 Hz/光子，表明其在需要紧凑、近线性、高电感超导量子器件和探测器的应用中具有强大的潜力。这里演示的制造和表征技术可以扩展到其他二维超导体的研究。</w:t>
      </w:r>
    </w:p>
    <w:p>
      <w:pPr>
        <w:spacing w:before="0" w:after="200" w:lineRule="auto" w:line="276"/>
      </w:pPr>
      <w:r>
        <w:rPr>
          <w:b/>
        </w:rPr>
        <w:t xml:space="preserve">Abstract (EN): </w:t>
      </w:r>
      <w:r>
        <w:t>Van der Waals (vdW) superconductors remain superconducting down to the monolayer limit, enabling the exploration of emergent physical phenomena and functionality driven by reduced dimensionality. Here, we report the characterization of the kinetic inductance of atomically thin NbSe2, a two-dimensional van der Waals superconductor, using superconducting coplanar waveguides and microwave measurement techniques familiar to circuit quantum electrodynamics (cQED). The kinetic inductance scales inversely with the number of NbSe2 layers, reaching 1.2 nH/□ in the monolayer limit. Furthermore, the measured kinetic inductance exhibits a thickness-dependent crossover from clean- to dirty-limit behavior, with enhanced dirty-limit contributions emerging in the ultra-thin regime. These effects are likely driven by increased surface scattering, multi-band superconductivity, and geometric confinement. Additionally, the self-Kerr nonlinearity of the NbSe2 films ranges from K/2π = −0.006 to −14.7 Hz/photon, indicating its strong potential in applications requiring compact, nearly linear, high-inductance superconducting quantum devices and detectors. The fabrication and characterization techniques demonstrated here are extensible to the investigation of other two-dimensional superconductors.</w:t>
      </w:r>
    </w:p>
    <w:p>
      <w:pPr>
        <w:spacing w:before="120" w:after="120"/>
      </w:pPr>
      <w:r>
        <w:rPr>
          <w:sz w:val="18"/>
        </w:rPr>
        <w:t>——————————————————————————————————————————————————————————————————————</w:t>
      </w:r>
    </w:p>
    <w:p>
      <w:pPr>
        <w:spacing w:before="160" w:after="40" w:line="240" w:lineRule="auto"/>
      </w:pPr>
      <w:r>
        <w:rPr>
          <w:b/>
        </w:rPr>
        <w:t xml:space="preserve">[726] </w:t>
      </w:r>
      <w:hyperlink r:id="rId1890">
        <w:r>
          <w:rPr>
            <w:color w:val="1155CC"/>
            <w:u w:val="single"/>
          </w:rPr>
          <w:t>双空间可见光认证实现高安全物理不可克隆功能</w:t>
        </w:r>
      </w:hyperlink>
    </w:p>
    <w:p>
      <w:pPr>
        <w:spacing w:before="0" w:after="80"/>
      </w:pPr>
      <w:r>
        <w:rPr>
          <w:i/>
          <w:sz w:val="20"/>
        </w:rPr>
        <w:t>EN: Dual-space visible light authentication toward high security physical unclonable function</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通过非确定性自组装生成随机模式为基于硬件的信息安全系统提供物理不可克隆功能（PUF）。然而，如果没有耗时、昂贵的表征，验证来自随机无序结构的复杂信号是具有挑战性的。在这里，我们提出了易于认证、高度安全的基于自组装的 PUF 系统，该系统通过利用双空间可见信号的协同认证机制来实现。胶体自组装图案的多晶单层形态由2D空间坐标和晶体取向定义的虚拟3D空间组成，可以通过结合可见光波长范围内的实空间布拉格反射和倒易空间衍射信号来有效地验证。值得注意的是，由六方密堆积胶体颗粒组成的多晶图案结构对于实用的PUF标签非常有益，同时提供不可预测的倒易晶格信息，具有高度的自由度，便于使用大量加密密钥进行身份验证。我们的 PUF 仅基于结构信息，可用于多功能模板，用于机械灵活、可再生、可隐藏、介质独立和生物相容性目的。</w:t>
      </w:r>
    </w:p>
    <w:p>
      <w:pPr>
        <w:spacing w:before="0" w:after="200" w:lineRule="auto" w:line="276"/>
      </w:pPr>
      <w:r>
        <w:rPr>
          <w:b/>
        </w:rPr>
        <w:t xml:space="preserve">Abstract (EN): </w:t>
      </w:r>
      <w:r>
        <w:t>Random pattern generation by nondeterministic self-assembly offers physical unclonable function (PUF) for hardware-based information security system. However, authenticating intricate signals from randomized disordered structures is challenging without time-consuming, expensive characterization. Here, we present easily authenticatable, highly secure self-assembly-based PUF system enabled by synergistic authentication mechanism exploiting dual-space visible signals. Polycrystalline monolayer morphology of colloidal self-assembled pattern, consisting of a virtual 3D space defined by 2D spatial coordinates and crystal orientation, can be effectively authenticated by combining real-space Bragg reflection and reciprocal-space diffraction signals in visible wavelength regime. Notably, polycrystalline patterned structures composed of hexagonal close-packed colloidal grains are highly beneficial for practical PUF labels, while providing unpredictable reciprocal lattice information with a high degree of freedom for easy authentication with a vast number of encryption keys. Our PUF solely based on structural information can serve for versatile templates for mechanically flexible, renewable, concealable, medium-independent, and biocompatible purposes.</w:t>
      </w:r>
    </w:p>
    <w:p>
      <w:pPr>
        <w:spacing w:before="120" w:after="120"/>
      </w:pPr>
      <w:r>
        <w:rPr>
          <w:sz w:val="18"/>
        </w:rPr>
        <w:t>——————————————————————————————————————————————————————————————————————</w:t>
      </w:r>
    </w:p>
    <w:p>
      <w:pPr>
        <w:spacing w:before="160" w:after="40" w:line="240" w:lineRule="auto"/>
      </w:pPr>
      <w:r>
        <w:rPr>
          <w:b/>
        </w:rPr>
        <w:t xml:space="preserve">[727] </w:t>
      </w:r>
      <w:hyperlink r:id="rId1891">
        <w:r>
          <w:rPr>
            <w:color w:val="1155CC"/>
            <w:u w:val="single"/>
          </w:rPr>
          <w:t>阐明控制金属-聚合物杂化物中界面化学键合的内在电子机制</w:t>
        </w:r>
      </w:hyperlink>
    </w:p>
    <w:p>
      <w:pPr>
        <w:spacing w:before="0" w:after="80"/>
      </w:pPr>
      <w:r>
        <w:rPr>
          <w:i/>
          <w:sz w:val="20"/>
        </w:rPr>
        <w:t>EN: Elucidation of the intrinsic electronic mechanism governing interfacial chemical bonding in metal-polymer hybrids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集成金属和聚合物对于先进功能应用至关重要，但由于材料不匹配，它们固有的电子键合起源仍然难以捉摸。本研究结合密度泛函理论（DFT）计算和实验，建立了统一的界面电子供体-受体框架。我们证明，金属空位 3p 轨道和氧孤对电子 2p 轨道之间的 p-p σ 杂化驱动界面金属氧化物和聚合物羧基促进 μ2 桥联配位，这一点已通过价带谱得到验证。此外，引入表面氧空位增强了金属位点的电子接受能力，使配位界面能够抵抗热力学波动，从而将拉伸剪切强度提高了400%以上。跨各种阳离子价态（+1 至 +4）和聚合物杂原子的跨系统验证成功证明了这种理论指导的受体机制在不同结构合金和热塑性塑料中的普遍适用性。这项工作为特定系统之外的高性能多材料混合接口的合理设计提供了预测电子结构基础。</w:t>
      </w:r>
    </w:p>
    <w:p>
      <w:pPr>
        <w:spacing w:before="0" w:after="200" w:lineRule="auto" w:line="276"/>
      </w:pPr>
      <w:r>
        <w:rPr>
          <w:b/>
        </w:rPr>
        <w:t xml:space="preserve">Abstract (EN): </w:t>
      </w:r>
      <w:r>
        <w:t>Integrating metals and polymers is pivotal for advanced functional applications, yet their intrinsic electronic bonding origin remains elusive due to material mismatch. Combining density functional theory (DFT) calculations and experiments, this study establishes a unified interfacial electron donor-acceptor framework. We demonstrate that interfacial metal oxides and polymer carboxyl groups facilitate μ₂-bridging coordination, driven by p-p σ hybridization between metal vacant 3p and oxygen lone-pair 2p orbitals, which is verified by valence band spectra. Furthermore, introducing surface oxygen vacancies enhances the electron-accepting capability of metal sites, enabling the coordinated interface to resist thermodynamic fluctuations, thereby improving the tensile-shear strength by over 400%. Cross-system validations across various cation valence states (+1 to +4) and polymer heteroatoms successfully demonstrate the general applicability of this theory-guided acceptor mechanism among diverse structural alloys and thermoplastics. This work provides a predictive electronic-structure foundation for the rational design of high-performance multi-material hybrid interfaces beyond specific systems.</w:t>
      </w:r>
    </w:p>
    <w:p>
      <w:pPr>
        <w:spacing w:before="120" w:after="120"/>
      </w:pPr>
      <w:r>
        <w:rPr>
          <w:sz w:val="18"/>
        </w:rPr>
        <w:t>——————————————————————————————————————————————————————————————————————</w:t>
      </w:r>
    </w:p>
    <w:p>
      <w:pPr>
        <w:spacing w:before="160" w:after="40" w:line="240" w:lineRule="auto"/>
      </w:pPr>
      <w:r>
        <w:rPr>
          <w:b/>
        </w:rPr>
        <w:t xml:space="preserve">[728] </w:t>
      </w:r>
      <w:hyperlink r:id="rId1892">
        <w:r>
          <w:rPr>
            <w:color w:val="1155CC"/>
            <w:u w:val="single"/>
          </w:rPr>
          <w:t>用于承载驱动和逻辑人机交互的高强度、自感知多相水凝胶</w:t>
        </w:r>
      </w:hyperlink>
    </w:p>
    <w:p>
      <w:pPr>
        <w:spacing w:before="0" w:after="80"/>
      </w:pPr>
      <w:r>
        <w:rPr>
          <w:i/>
          <w:sz w:val="20"/>
        </w:rPr>
        <w:t>EN: High-Strength, Self-Sensing Multiphase Hydrogels for Load-Bearing Actuation and Logical Human–Machine Interaction</w:t>
      </w:r>
    </w:p>
    <w:p>
      <w:pPr>
        <w:spacing w:before="0" w:after="120"/>
      </w:pPr>
      <w:r>
        <w:rPr>
          <w:b/>
        </w:rPr>
        <w:t xml:space="preserve">Source: </w:t>
      </w:r>
      <w:r>
        <w:t>Nano-Micro Letters</w:t>
      </w:r>
      <w:r>
        <w:t xml:space="preserve">    </w:t>
      </w:r>
      <w:r>
        <w:rPr>
          <w:b/>
        </w:rPr>
        <w:t xml:space="preserve">Pub date: </w:t>
      </w:r>
      <w:r>
        <w:t>2026-07-23 00:00:00+00:00</w:t>
      </w:r>
      <w:r>
        <w:t xml:space="preserve">    </w:t>
      </w:r>
      <w:r>
        <w:rPr>
          <w:b/>
        </w:rPr>
        <w:t xml:space="preserve">DOI: </w:t>
      </w:r>
      <w:hyperlink r:id="rId1893">
        <w:r>
          <w:rPr>
            <w:color w:val="1155CC"/>
            <w:u w:val="single"/>
          </w:rPr>
          <w:t>10.1007/s40820-026-02280-y</w:t>
        </w:r>
      </w:hyperlink>
    </w:p>
    <w:p>
      <w:pPr>
        <w:spacing w:before="0" w:after="120"/>
      </w:pPr>
      <w:r>
        <w:rPr>
          <w:b/>
        </w:rPr>
        <w:t xml:space="preserve">Notes: </w:t>
      </w:r>
      <w:r>
        <w:t>abstract_source=rss_description</w:t>
      </w:r>
    </w:p>
    <w:p>
      <w:pPr>
        <w:spacing w:before="0" w:after="80" w:lineRule="auto" w:line="276"/>
      </w:pPr>
      <w:r>
        <w:rPr>
          <w:b/>
        </w:rPr>
        <w:t xml:space="preserve">摘要（ZH）: </w:t>
      </w:r>
      <w:r>
        <w:t>刺激响应变形水凝胶是人造肌肉、电子皮肤和软机器人领域最具竞争力的候选材料。然而，现有的驱动水凝胶经常在驱动性能和机械强度之间进行权衡，这极大地限制了它们作为外力负载下的驱动器的应用前景。在这里，我们采用级联聚合策略，将电传感和机械增强的聚合物网络相相继引入海绵状PNIPAM水凝胶中，以实现具有快速响应、高强度和自传感性能的基于PNIPAM的光热响应驱动水凝胶。所制备的水凝胶致动器即使在远远超过其自身质量的外部载荷下也可以执行快速致动任务，并根据外部载荷的大小产生差异化的电传感信号。基于负载质量和驱动行为之间的对应关系（例如“0/1”编码），我们开发了一种新颖的基于材料的二进制信息编码系统。此外，通过制造逻辑门来分析差异化的反馈传感信号，并将其与物联网技术相结合，建立闭环逻辑控制系统，用于基于逻辑的远程交互通信。该研究填补了传统水凝胶在承载驱动和复杂交互应用方面的空白，为下一代智能软材料开辟了新方向。亮点：1 级联聚合协同增韧机理全面</w:t>
      </w:r>
    </w:p>
    <w:p>
      <w:pPr>
        <w:spacing w:before="0" w:after="200" w:lineRule="auto" w:line="276"/>
      </w:pPr>
      <w:r>
        <w:rPr>
          <w:b/>
        </w:rPr>
        <w:t xml:space="preserve">Abstract (EN): </w:t>
      </w:r>
      <w:r>
        <w:t>Stimuli-responsive shape-changing hydrogels are the most competitive candidates for artificial muscles, electronic skins, and soft robotics. However, existing actuating hydrogels often suffer a trade-off between actuation performance and mechanical strength, which greatly limits their application prospects as actuators under external force loads. Here, we adopt a cascade polymerization strategy to successively introduce electrical sensing and mechanically enhanced polymer network phases into sponge-like PNIPAM hydrogels to achieve PNIPAM-based photothermal-responsive actuating hydrogels with fast response, high strength, and self-sensing performance. The as-prepared hydrogel actuator can execute rapid actuation missions even under external loading far exceeding its own mass and generate differentiated electrical sensing signals according to the magnitude of the external load. Based on the corresponding relationship between the mass of the load and the actuation behavior (such as "0/1" encoding), we develop a novel material-based binary information encoding system. Furthermore, by manufacturing logic gates to analyze differentiated feedback sensing signals and integrating them with Internet of Things technology, a closed-loop logic control system is established for remote logic-based interactive communication. This study fills the gap of traditional hydrogels in load-bearing actuation and complex interactive applications and opens up a new direction for the next generation of smart soft materials. Highlights:1 The cascade polymerization synergistic toughening mechanism overcomes the problem of mutual constraints between "mechanical strength and response speed" of traditional hydrogels and realizes load-bearing actuation.2 The “mass–deformation” dynamic coding law was established, enabling a hydrogel-based 0/1 binary information encoding system derived from mechanical actuation responses.3 Actuation–perception integrated logic-gate units were developed to enable intelligent soft robotics through a closed-loop “light-triggered actuation–signal feedback–logic processing–robotic action” control system.</w:t>
      </w:r>
    </w:p>
    <w:p>
      <w:pPr>
        <w:spacing w:before="120" w:after="120"/>
      </w:pPr>
      <w:r>
        <w:rPr>
          <w:sz w:val="18"/>
        </w:rPr>
        <w:t>——————————————————————————————————————————————————————————————————————</w:t>
      </w:r>
    </w:p>
    <w:p>
      <w:pPr>
        <w:spacing w:before="160" w:after="40" w:line="240" w:lineRule="auto"/>
      </w:pPr>
      <w:r>
        <w:rPr>
          <w:b/>
        </w:rPr>
        <w:t xml:space="preserve">[729] </w:t>
      </w:r>
      <w:hyperlink r:id="rId1894">
        <w:r>
          <w:rPr>
            <w:color w:val="1155CC"/>
            <w:u w:val="single"/>
          </w:rPr>
          <w:t>一种基于镓基液态金属的可回收仿生柔性传感器，用于实时心电信号监测</w:t>
        </w:r>
      </w:hyperlink>
    </w:p>
    <w:p>
      <w:pPr>
        <w:spacing w:before="0" w:after="80"/>
      </w:pPr>
      <w:r>
        <w:rPr>
          <w:i/>
          <w:sz w:val="20"/>
        </w:rPr>
        <w:t>EN: A Recyclable Biomimetic Flexible Sensor Based on Gallium-Based Liquid Metal for Real-Time ECG Signal Monitoring</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1895">
        <w:r>
          <w:rPr>
            <w:color w:val="1155CC"/>
            <w:u w:val="single"/>
          </w:rPr>
          <w:t>10.1021/acsami.6c08249</w:t>
        </w:r>
      </w:hyperlink>
    </w:p>
    <w:p>
      <w:pPr>
        <w:spacing w:before="0" w:after="120"/>
      </w:pPr>
      <w:r>
        <w:rPr>
          <w:b/>
        </w:rPr>
        <w:t xml:space="preserve">Notes: </w:t>
      </w:r>
      <w:r>
        <w:t>abstract_source=pubmed</w:t>
      </w:r>
    </w:p>
    <w:p>
      <w:pPr>
        <w:spacing w:before="0" w:after="80" w:lineRule="auto" w:line="276"/>
      </w:pPr>
      <w:r>
        <w:rPr>
          <w:b/>
        </w:rPr>
        <w:t xml:space="preserve">摘要（ZH）: </w:t>
      </w:r>
      <w:r>
        <w:t>镓基液态金属（Ga-LM）具有高导电性、优异的变形性、可回收性和生物相容性，同时满足可拉伸心电图传感器的核心要求：高信噪比（SNR）、低界面阻抗和顺应性。本研究制备了一种基于Ga-LM的可回收仿生柔性传感器。通过静电纺丝将纳米纤维膜制成柔性基材。同时，通过机械剪切和超声处理获得导电油墨。最终通过将导电墨水印刷到柔性基板上来构建仿生蜘蛛网结构传感器。实验结果表明，柔性传感器在700次拉伸循环后表现出小于50%的相对电阻变化，表现出优异的拉伸和电稳定性。该传感器具有较高的可回收性，平均Ga-LM回收率为95.88%，并具有自愈能力。此外，该传感器具有良好的生物相容性，其透气性和透湿性支持皮肤接触式可穿戴应用。在实时心电信号监测中，该传感器实现了34.88 dB的高信噪比，与传统传感器相当，同时具有灵活性、可回收性、耐用性和耐磨性等优势。这项研究为心电图监测智能服装提供了新的见解，其中仿生设计和材料回收促进了柔性传感器的可持续发展。</w:t>
      </w:r>
    </w:p>
    <w:p>
      <w:pPr>
        <w:spacing w:before="0" w:after="200" w:lineRule="auto" w:line="276"/>
      </w:pPr>
      <w:r>
        <w:rPr>
          <w:b/>
        </w:rPr>
        <w:t xml:space="preserve">Abstract (EN): </w:t>
      </w:r>
      <w:r>
        <w:t>Gallium-based liquid metal (Ga-LM) has high electrical conductivity, excellent deformability, recyclability, and biocompatibility, simultaneously satisfying the core requirements of stretchable ECG sensors: high signal-to-noise ratio (SNR), low interfacial impedance, and conformability. A recyclable biomimetic flexible sensor based on Ga-LM was prepared in this study. Nanofiber membranes were fabricated as flexible substrates via electrospinning. Concurrently, conductive inks were obtained by mechanical shearing and ultrasonication. The biomimetic spider-web-structured sensor was ultimately constructed by printing the conductive ink onto the flexible substrate. Experimental results showed that the flexible sensor exhibited a relative resistance change of less than 50% after 700 tensile cycles, demonstrating excellent tensile and electrical stability. The sensor exhibited high recyclability, with an average Ga-LM recovery rate of 95.88%, and demonstrated self-healing capability. In addition, the sensor had favorable biocompatibility, and its air and moisture permeability supported skin-contact wearable applications. In real-time ECG signal monitoring, the sensor achieved a high SNR of 34.88 dB, comparable to that of traditional sensors while offering advantages in flexibility, recyclability, durability, and wearability. This study offers new insights into ECG-monitoring smart clothing, where biomimetic design and material recycling facilitate the sustainable development of flexible sensors.</w:t>
      </w:r>
    </w:p>
    <w:p>
      <w:pPr>
        <w:spacing w:before="120" w:after="120"/>
      </w:pPr>
      <w:r>
        <w:rPr>
          <w:sz w:val="18"/>
        </w:rPr>
        <w:t>——————————————————————————————————————————————————————————————————————</w:t>
      </w:r>
    </w:p>
    <w:p>
      <w:pPr>
        <w:spacing w:before="160" w:after="40" w:line="240" w:lineRule="auto"/>
      </w:pPr>
      <w:r>
        <w:rPr>
          <w:b/>
        </w:rPr>
        <w:t xml:space="preserve">[730] </w:t>
      </w:r>
      <w:hyperlink r:id="rId1896">
        <w:r>
          <w:rPr>
            <w:color w:val="1155CC"/>
            <w:u w:val="single"/>
          </w:rPr>
          <w:t>生物基光敏剂/肟酯组合通过三重态-三重态能量转移实现可持续的可见光光引发</w:t>
        </w:r>
      </w:hyperlink>
    </w:p>
    <w:p>
      <w:pPr>
        <w:spacing w:before="0" w:after="80"/>
      </w:pPr>
      <w:r>
        <w:rPr>
          <w:i/>
          <w:sz w:val="20"/>
        </w:rPr>
        <w:t>EN: Sustainable Visible-Light Photoinitiation Enabled by a Bio-Based Photosensitizer/Oxime Ester Combination via Triplet–Triplet Energy Transfer</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1897">
        <w:r>
          <w:rPr>
            <w:color w:val="1155CC"/>
            <w:u w:val="single"/>
          </w:rPr>
          <w:t>10.1021/acsami.6c13183</w:t>
        </w:r>
      </w:hyperlink>
    </w:p>
    <w:p>
      <w:pPr>
        <w:spacing w:before="0" w:after="120"/>
      </w:pPr>
      <w:r>
        <w:rPr>
          <w:b/>
        </w:rPr>
        <w:t xml:space="preserve">Notes: </w:t>
      </w:r>
      <w:r>
        <w:t>abstract_source=pubmed</w:t>
      </w:r>
    </w:p>
    <w:p>
      <w:pPr>
        <w:spacing w:before="0" w:after="80" w:lineRule="auto" w:line="276"/>
      </w:pPr>
      <w:r>
        <w:rPr>
          <w:b/>
        </w:rPr>
        <w:t xml:space="preserve">摘要（ZH）: </w:t>
      </w:r>
      <w:r>
        <w:t>AC：AC：与热引发固化或短波长紫外线工艺相比，可见光光聚合可提供更安全的加工、更低的能量输入以及与先进制造更广泛的兼容性。然而，在可见光下有效运行的可持续光引发系统仍然有限。在此，报道了一种可持续的双组分策略，将生物源肟酯与天然或生物启发的光敏剂相结合，进行 405 nm 固化。在所研究的系统中，合成的肟酯（OXE1）和甲萘醌（MD，维生素K3）对表现出最佳性能，能够实现TMPTA的快速光聚合，具有良好的配方均匀性、低着色和良好的储存稳定性。电化学分析和激发态能量学表明，MD 和 OXE1 之间的直接单电子转移在热力学上是不利的。相比之下，稳态光解、激光闪光光解、CO2释放和ESR自旋捕获支持三重态-三重态能量转移途径，随后进行N-O键断裂和脱羧，以产生引发自由基。这项工作建立了一种简单的敏化原理，用于将紫外线响应型生物源肟酯转化为可见光光引发剂，并为光聚合和 3D 微加工提供了可持续的设计策略。</w:t>
      </w:r>
    </w:p>
    <w:p>
      <w:pPr>
        <w:spacing w:before="0" w:after="200" w:lineRule="auto" w:line="276"/>
      </w:pPr>
      <w:r>
        <w:rPr>
          <w:b/>
        </w:rPr>
        <w:t xml:space="preserve">Abstract (EN): </w:t>
      </w:r>
      <w:r>
        <w:t>AC:AC:Visible-light photopolymerization offers safer processing, lower energy input, and broader compatibility with advanced manufacturing than thermally initiated curing or short-wavelength UV processes. However, sustainable photoinitiating systems that operate efficiently under visible light remain limited. Here, a sustainable two-component strategy is reported by combining bio-derived oxime esters with natural or bio-inspired photosensitizers for 405 nm curing. Among the systems investigated, the synthesized oxime ester (OXE1) and menadione (MD, vitamin K3) pair show the best performance, enabling rapid photopolymerization of TMPTA with good formulation homogeneity, low coloration, and good storage stability. Electrochemical analysis and excited-state energetics indicate that direct single-electron transfer between MD and OXE1 is thermodynamically unfavorable. In contrast, steady-state photolysis, laser flash photolysis, CO2 evolution, and ESR spin trapping support a triplet-triplet energy transfer pathway, followed by N-O bond cleavage and decarboxylation, to generate initiating radicals. This work establishes a simple sensitization principle for converting UV-responsive bio-derived oxime esters into visible-light photoinitiators and provides a sustainable design strategy for photopolymerization and 3D microfabrication.</w:t>
      </w:r>
    </w:p>
    <w:p>
      <w:pPr>
        <w:spacing w:before="120" w:after="120"/>
      </w:pPr>
      <w:r>
        <w:rPr>
          <w:sz w:val="18"/>
        </w:rPr>
        <w:t>——————————————————————————————————————————————————————————————————————</w:t>
      </w:r>
    </w:p>
    <w:p>
      <w:pPr>
        <w:spacing w:before="160" w:after="40" w:line="240" w:lineRule="auto"/>
      </w:pPr>
      <w:r>
        <w:rPr>
          <w:b/>
        </w:rPr>
        <w:t xml:space="preserve">[731] </w:t>
      </w:r>
      <w:hyperlink r:id="rId1898">
        <w:r>
          <w:rPr>
            <w:color w:val="1155CC"/>
            <w:u w:val="single"/>
          </w:rPr>
          <w:t>离散分布可以从亚稳态样本中学习</w:t>
        </w:r>
      </w:hyperlink>
    </w:p>
    <w:p>
      <w:pPr>
        <w:spacing w:before="0" w:after="80"/>
      </w:pPr>
      <w:r>
        <w:rPr>
          <w:i/>
          <w:sz w:val="20"/>
        </w:rPr>
        <w:t>EN: Discrete distributions are learnable from metastable samples</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物理驱动的随机动力学被广泛用于从高维分布中进行采样。然而，此类采样器经常陷入亚稳态，近似从与所需稳态显着不同的分布进行采样。我们严格证明，对于多变量离散分布，真正的平稳模型仍然可以从这些亚稳态样本中恢复。这依赖于一个基本观察：对于满足强亚稳态条件的分布，它们的单变量条件概率平均非常接近真正的平稳分布。即使两个分布在库尔贝克-莱布勒散度等全局指标下相距甚远，情况仍然如此。因此，即使样本是从受限状态空间中抽取的，我们也可以使用条件似然估计器有效地学习真实模型。将这些一般结果扩展到伊辛模型，我们证明了严格的参数和结构学习保证。最后，我们在更高字母的自旋玻璃模型上以数值方式证明了这种现象。</w:t>
      </w:r>
    </w:p>
    <w:p>
      <w:pPr>
        <w:spacing w:before="0" w:after="200" w:lineRule="auto" w:line="276"/>
      </w:pPr>
      <w:r>
        <w:rPr>
          <w:b/>
        </w:rPr>
        <w:t xml:space="preserve">Abstract (EN): </w:t>
      </w:r>
      <w:r>
        <w:t>Physically motivated stochastic dynamics are widely used to sample from high-dimensional distributions. However, such samplers often get trapped in metastable states, approximately sampling from a distribution that differs significantly from the desired stationary state. We rigorously show that for multivariable discrete distributions, the true stationary model can nevertheless be recovered from these metastable samples. This relies on a fundamental observation: for distributions satisfying a strong metastability condition, their single-variable conditional probabilities are on average extremely close to those of the true stationary distribution. This remains true even when the two distributions are far apart under global metrics such as Kullback-Leibler divergence. Consequently, we can effectively learn the true model using a conditional-likelihood estimator even when the samples are drawn from a restricted state space. Extending these general results to Ising models, we prove rigorous parameter and structure learning guarantees. Finally, we demonstrate this phenomenon numerically on higher-alphabet spin glass models.</w:t>
      </w:r>
    </w:p>
    <w:p>
      <w:pPr>
        <w:spacing w:before="120" w:after="120"/>
      </w:pPr>
      <w:r>
        <w:rPr>
          <w:sz w:val="18"/>
        </w:rPr>
        <w:t>——————————————————————————————————————————————————————————————————————</w:t>
      </w:r>
    </w:p>
    <w:p>
      <w:pPr>
        <w:spacing w:before="160" w:after="40" w:line="240" w:lineRule="auto"/>
      </w:pPr>
      <w:r>
        <w:rPr>
          <w:b/>
        </w:rPr>
        <w:t xml:space="preserve">[732] </w:t>
      </w:r>
      <w:hyperlink r:id="rId1899">
        <w:r>
          <w:rPr>
            <w:color w:val="1155CC"/>
            <w:u w:val="single"/>
          </w:rPr>
          <w:t>核酸疫苗聚合物递送载体：设计策略和生物屏障</w:t>
        </w:r>
      </w:hyperlink>
    </w:p>
    <w:p>
      <w:pPr>
        <w:spacing w:before="0" w:after="80"/>
      </w:pPr>
      <w:r>
        <w:rPr>
          <w:i/>
          <w:sz w:val="20"/>
        </w:rPr>
        <w:t>EN: Polymeric Delivery Vehicles for Nucleic Acid Vaccines: Design Strategies and Biological Barriers</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1900">
        <w:r>
          <w:rPr>
            <w:color w:val="1155CC"/>
            <w:u w:val="single"/>
          </w:rPr>
          <w:t>10.1021/acsami.6c09208</w:t>
        </w:r>
      </w:hyperlink>
    </w:p>
    <w:p>
      <w:pPr>
        <w:spacing w:before="0" w:after="120"/>
      </w:pPr>
      <w:r>
        <w:rPr>
          <w:b/>
        </w:rPr>
        <w:t xml:space="preserve">Notes: </w:t>
      </w:r>
      <w:r>
        <w:t>abstract_source=pubmed</w:t>
      </w:r>
    </w:p>
    <w:p>
      <w:pPr>
        <w:spacing w:before="0" w:after="80" w:lineRule="auto" w:line="276"/>
      </w:pPr>
      <w:r>
        <w:rPr>
          <w:b/>
        </w:rPr>
        <w:t xml:space="preserve">摘要（ZH）: </w:t>
      </w:r>
      <w:r>
        <w:t>核酸疫苗已成为传染病预防和癌症免疫治疗的革命性平台。然而，它们的临床转化受到连续生物屏障的严重阻碍，需要高效的递送系统。生物医用聚合物由于其可调节的物理化学性质、多功能的结构工程和强大的生物相容性，已成为核酸纳米载体开发的基石。本综述对核酸疫苗的聚合物递送载体进行了全面概述，特别关注为克服复杂的生理障碍而定制的合理设计策略。我们系统地剖析了功能性聚合物工程（包括界面屏蔽、靶向配体修饰、膜扰动和刺激响应性分解）如何促进全身循环、抗原呈递细胞摄取、内体逃逸和细胞内货物释放。此外，我们批判性地研究了当前递送平台中持续存在的瓶颈，例如初级免疫细胞的摄取受限和内体逃逸的基本低效，同时概述了下一代临床可翻译聚合核酸疫苗的开发的未来前景。</w:t>
      </w:r>
    </w:p>
    <w:p>
      <w:pPr>
        <w:spacing w:before="0" w:after="200" w:lineRule="auto" w:line="276"/>
      </w:pPr>
      <w:r>
        <w:rPr>
          <w:b/>
        </w:rPr>
        <w:t xml:space="preserve">Abstract (EN): </w:t>
      </w:r>
      <w:r>
        <w:t>Nucleic acid vaccines have emerged as revolutionary platforms for infectious disease prevention and cancer immunotherapy. However, their clinical translation is significantly hindered by sequential biological barriers, necessitating highly efficient delivery systems. Biomedical polymers, owing to their tunable physicochemical properties, versatile structural engineering, and robust biocompatibility, have become a cornerstone in the development of nucleic acid nanocarriers. This review provides a comprehensive overview of polymeric delivery vehicles for nucleic acid vaccines, with a specific focus on rational design strategies tailored to overcome complex physiological barriers. We systematically dissect how functional polymer engineering-including interfacial shielding, targeted ligand modification, membrane perturbation, and stimuli-responsive disassembly-facilitates systemic circulation, antigen-presenting cell uptake, endosomal escape, and intracellular cargo release. Furthermore, we critically examine the persistent bottlenecks in current delivery platforms, such as the restricted uptake in primary immune cells and the fundamental inefficiencies of endosomal escape, while outlining future perspectives for the development of next-generation, clinically translatable polymeric nucleic acid vaccines.</w:t>
      </w:r>
    </w:p>
    <w:p>
      <w:pPr>
        <w:spacing w:before="120" w:after="120"/>
      </w:pPr>
      <w:r>
        <w:rPr>
          <w:sz w:val="18"/>
        </w:rPr>
        <w:t>——————————————————————————————————————————————————————————————————————</w:t>
      </w:r>
    </w:p>
    <w:p>
      <w:pPr>
        <w:spacing w:before="160" w:after="40" w:line="240" w:lineRule="auto"/>
      </w:pPr>
      <w:r>
        <w:rPr>
          <w:b/>
        </w:rPr>
        <w:t xml:space="preserve">[733] </w:t>
      </w:r>
      <w:hyperlink r:id="rId1901">
        <w:r>
          <w:rPr>
            <w:color w:val="1155CC"/>
            <w:u w:val="single"/>
          </w:rPr>
          <w:t>充满外泌体的 3D 复合网片可减轻应力集中并促进胶原蛋白再生，以修复盆腔器官脱垂</w:t>
        </w:r>
      </w:hyperlink>
    </w:p>
    <w:p>
      <w:pPr>
        <w:spacing w:before="0" w:after="80"/>
      </w:pPr>
      <w:r>
        <w:rPr>
          <w:i/>
          <w:sz w:val="20"/>
        </w:rPr>
        <w:t>EN: Exosome-Laden 3D Composite Mesh Attenuates Stress Concentration and Promotes Collagen Regeneration toward Pelvic Organ Prolapse Repair</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1902">
        <w:r>
          <w:rPr>
            <w:color w:val="1155CC"/>
            <w:u w:val="single"/>
          </w:rPr>
          <w:t>10.1021/acsami.6c10635</w:t>
        </w:r>
      </w:hyperlink>
    </w:p>
    <w:p>
      <w:pPr>
        <w:spacing w:before="0" w:after="120"/>
      </w:pPr>
      <w:r>
        <w:rPr>
          <w:b/>
        </w:rPr>
        <w:t xml:space="preserve">Notes: </w:t>
      </w:r>
      <w:r>
        <w:t>abstract_source=pubmed</w:t>
      </w:r>
    </w:p>
    <w:p>
      <w:pPr>
        <w:spacing w:before="0" w:after="80" w:lineRule="auto" w:line="276"/>
      </w:pPr>
      <w:r>
        <w:rPr>
          <w:b/>
        </w:rPr>
        <w:t xml:space="preserve">摘要（ZH）: </w:t>
      </w:r>
      <w:r>
        <w:t>盆腔器官脱垂是影响中老年女性生活质量的常见疾病。传统的聚丙烯（PP）手术网片经常因机械失配和生物惰性而导致长期并发症，表现为应力集中和慢性炎症。为了同时解决这些双重挑战，本研究设计并制造了一种多功能复合网格。该网状物采用了用于机械支撑的临床级 PP 底座，并与经季铵化壳聚糖 (QCS) 改性的三维印刷聚己内酯 (PCL) 仿生网络集成。人脐带间充质干细胞衍生的外泌体（Exos）通过静电吸附进一步加载到该网络上。 PP/PCL/QCS 复合网表现出结构完整性和稳定的降解性。有限元分析验证了其独特的应力缓冲和重新分布能力，有效缓解界面应力集中。生物学上，PP/PCL/QCS/Exos网在体外促进细胞增殖和粘附，在体内表现出良好的生物相容性。它积极调节修复微环境，导致炎症反应迅速消退，巨噬细胞浸润减少，肌成纤维细胞活化增强，胶原蛋白有序重塑，III型胶原蛋白显着增加。转录组分析表明，网状结构可诱导系统性抗炎和促修复分子表型。综上所述，本工作实现了从被动支持到主动再生的战略转变。</w:t>
      </w:r>
    </w:p>
    <w:p>
      <w:pPr>
        <w:spacing w:before="0" w:after="200" w:lineRule="auto" w:line="276"/>
      </w:pPr>
      <w:r>
        <w:rPr>
          <w:b/>
        </w:rPr>
        <w:t xml:space="preserve">Abstract (EN): </w:t>
      </w:r>
      <w:r>
        <w:t>Pelvic organ prolapse is a prevalent condition that impairs the quality of life in middle-aged and elderly women. Traditional polypropylene (PP) surgical meshes often lead to long-term complications due to mechanical mismatch and biological inertness, manifesting as stress concentration and chronic inflammation. To concurrently address these dual challenges, this study designed and fabricated a multifunctional composite mesh. The mesh incorporates a clinical-grade PP base for mechanical support, integrated with a three-dimensional printed polycaprolactone (PCL) biomimetic network modified by quaternized chitosan (QCS). Human umbilical cord mesenchymal stem cell-derived exosomes (Exos) were further loaded onto this network via electrostatic adsorption. The PP/PCL/QCS composite mesh demonstrated structural integrity and stable degradation. Finite element analysis verified its unique stress-buffering and redistribution capability, which effectively mitigates interfacial stress concentration. Biologically, the PP/PCL/QCS/Exos mesh promoted cell proliferation and adhesion in vitro and showed good biocompatibility in vivo. It actively modulated the repair microenvironment, leading to a rapidly resolved inflammatory response, reduced macrophage infiltration, enhanced myofibroblast activation, and orderly collagen remodeling with a significant increase in collagen type III. Transcriptomic analysis revealed that the mesh induces a systemic anti-inflammatory and pro-repair molecular phenotype. In summary, this work achieves a strategic shift from passive support to active regeneration through synergistic mechanical and biological design, offering a promising direction toward next-generation pelvic floor repair.</w:t>
      </w:r>
    </w:p>
    <w:p>
      <w:pPr>
        <w:spacing w:before="120" w:after="120"/>
      </w:pPr>
      <w:r>
        <w:rPr>
          <w:sz w:val="18"/>
        </w:rPr>
        <w:t>——————————————————————————————————————————————————————————————————————</w:t>
      </w:r>
    </w:p>
    <w:p>
      <w:pPr>
        <w:spacing w:before="160" w:after="40" w:line="240" w:lineRule="auto"/>
      </w:pPr>
      <w:r>
        <w:rPr>
          <w:b/>
        </w:rPr>
        <w:t xml:space="preserve">[734] </w:t>
      </w:r>
      <w:hyperlink r:id="rId1903">
        <w:r>
          <w:rPr>
            <w:color w:val="1155CC"/>
            <w:u w:val="single"/>
          </w:rPr>
          <w:t>聚合物炸药的超低碳纳米管增强热性能和机械性能</w:t>
        </w:r>
      </w:hyperlink>
    </w:p>
    <w:p>
      <w:pPr>
        <w:spacing w:before="0" w:after="80"/>
      </w:pPr>
      <w:r>
        <w:rPr>
          <w:i/>
          <w:sz w:val="20"/>
        </w:rPr>
        <w:t>EN: Ultralow-CNT-Reinforced Thermal and Mechanical Properties for Polymer-Bonded Explosives</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1904">
        <w:r>
          <w:rPr>
            <w:color w:val="1155CC"/>
            <w:u w:val="single"/>
          </w:rPr>
          <w:t>10.1021/acsami.6c07879</w:t>
        </w:r>
      </w:hyperlink>
    </w:p>
    <w:p>
      <w:pPr>
        <w:spacing w:before="0" w:after="120"/>
      </w:pPr>
      <w:r>
        <w:rPr>
          <w:b/>
        </w:rPr>
        <w:t xml:space="preserve">Notes: </w:t>
      </w:r>
      <w:r>
        <w:t>abstract_source=pubmed</w:t>
      </w:r>
    </w:p>
    <w:p>
      <w:pPr>
        <w:spacing w:before="0" w:after="80" w:lineRule="auto" w:line="276"/>
      </w:pPr>
      <w:r>
        <w:rPr>
          <w:b/>
        </w:rPr>
        <w:t xml:space="preserve">摘要（ZH）: </w:t>
      </w:r>
      <w:r>
        <w:t>增强聚合物粘结炸药 (PBX) 的热性能和机械性能对于提高其安全性和可靠性至关重要。碳纳米管（CNT）是有前途的填料，但在超低负载下形成连续导电网络仍然具有挑战性。在此，我们开发了一种结合水悬浮液和浆料方法的多级复合策略，仅用 0.5 wt% CNT 构建分层热/机械网络。当CNT负载量为0.5 wt%时，导热系数提高了52.09%，达到0.6993 W·m-1·K-1，巴西劈裂强度提高了181.6%。在形态表征、热/机械测试、理论建模和 COMSOL 仿真的支持下，对二元 (CNT/F2311) 和三元 (CNT/F2311/三聚氰胺) 复合材料进行了系统研究，揭示了增强机制。这项工作为设计具有超低功能填料的高性能含能复合材料提供了一种简便有效的方法。</w:t>
      </w:r>
    </w:p>
    <w:p>
      <w:pPr>
        <w:spacing w:before="0" w:after="200" w:lineRule="auto" w:line="276"/>
      </w:pPr>
      <w:r>
        <w:rPr>
          <w:b/>
        </w:rPr>
        <w:t xml:space="preserve">Abstract (EN): </w:t>
      </w:r>
      <w:r>
        <w:t>Enhancing the thermal and mechanical properties of polymer-bonded explosives (PBXs) is critical for improving their safety and reliability. Carbon nanotubes (CNTs) are promising fillers, yet forming continuous conductive networks at ultralow loadings remains challenging. Herein, we developed a multi-level composite strategy combining water suspension and slurry methods to construct hierarchical thermal/mechanical networks with only 0.5 wt % CNTs. At 0.5 wt % CNT loading, the thermal conductivity increased by 52.09% to 0.6993 W·m-1·K-1, and the Brazilian splitting strength surged by 181.6%. Systematic studies on binary (CNT/F2311) and ternary (CNT/F2311/melamine) composites, supported by morphological characterization, thermal/mechanical testing, theoretical modeling, and COMSOL simulation, reveal the reinforcement mechanisms. This work provides a facile and effective approach for designing high-performance energetic composites with ultralow functional fillers.</w:t>
      </w:r>
    </w:p>
    <w:p>
      <w:pPr>
        <w:spacing w:before="120" w:after="120"/>
      </w:pPr>
      <w:r>
        <w:rPr>
          <w:sz w:val="18"/>
        </w:rPr>
        <w:t>——————————————————————————————————————————————————————————————————————</w:t>
      </w:r>
    </w:p>
    <w:p>
      <w:pPr>
        <w:spacing w:before="160" w:after="40" w:line="240" w:lineRule="auto"/>
      </w:pPr>
      <w:r>
        <w:rPr>
          <w:b/>
        </w:rPr>
        <w:t xml:space="preserve">[735] </w:t>
      </w:r>
      <w:hyperlink r:id="rId1905">
        <w:r>
          <w:rPr>
            <w:color w:val="1155CC"/>
            <w:u w:val="single"/>
          </w:rPr>
          <w:t>通过结合溶液加工的半导体聚合物中间层来控制纳米晶体 LED 的阳极和阴极界面特性</w:t>
        </w:r>
      </w:hyperlink>
    </w:p>
    <w:p>
      <w:pPr>
        <w:spacing w:before="0" w:after="80"/>
      </w:pPr>
      <w:r>
        <w:rPr>
          <w:i/>
          <w:sz w:val="20"/>
        </w:rPr>
        <w:t>EN: Controlling Both Anode and Cathode Interfacial Properties of Nanocrystal LEDs by Combining Solution-Processed Semiconducting Polymer Interlayers</w:t>
      </w:r>
    </w:p>
    <w:p>
      <w:pPr>
        <w:spacing w:before="0" w:after="120"/>
      </w:pPr>
      <w:r>
        <w:rPr>
          <w:b/>
        </w:rPr>
        <w:t xml:space="preserve">Source: </w:t>
      </w:r>
      <w:r>
        <w:t>ACS Applied Materials &amp; Interfaces: Latest Articles (ACS Publications)</w:t>
      </w:r>
      <w:r>
        <w:t xml:space="preserve">    </w:t>
      </w:r>
      <w:r>
        <w:rPr>
          <w:b/>
        </w:rPr>
        <w:t xml:space="preserve">Pub date: </w:t>
      </w:r>
      <w:r>
        <w:t>2026-07-23 00:00:00+00:00</w:t>
      </w:r>
      <w:r>
        <w:t xml:space="preserve">    </w:t>
      </w:r>
      <w:r>
        <w:rPr>
          <w:b/>
        </w:rPr>
        <w:t xml:space="preserve">DOI: </w:t>
      </w:r>
      <w:hyperlink r:id="rId1906">
        <w:r>
          <w:rPr>
            <w:color w:val="1155CC"/>
            <w:u w:val="single"/>
          </w:rPr>
          <w:t>10.1021/acsami.6c04525</w:t>
        </w:r>
      </w:hyperlink>
    </w:p>
    <w:p>
      <w:pPr>
        <w:spacing w:before="0" w:after="120"/>
      </w:pPr>
      <w:r>
        <w:rPr>
          <w:b/>
        </w:rPr>
        <w:t xml:space="preserve">Notes: </w:t>
      </w:r>
      <w:r>
        <w:t>abstract_source=pubmed</w:t>
      </w:r>
    </w:p>
    <w:p>
      <w:pPr>
        <w:spacing w:before="0" w:after="80" w:lineRule="auto" w:line="276"/>
      </w:pPr>
      <w:r>
        <w:rPr>
          <w:b/>
        </w:rPr>
        <w:t xml:space="preserve">摘要（ZH）: </w:t>
      </w:r>
      <w:r>
        <w:t>基于胶体半导体纳米晶体的发光二极管（LED）代表了下一代电致发光显示器的一项有前途的技术。虽然目前的工作重点是优化纳米晶体特性，但器件性能也很大程度上取决于 LED 架构，特别是界面层的设计。向复合层的有效电荷注入和平衡载流子传输需要仔细对准相邻层之间的能级。在这项研究中，我们研究了不同空穴传输 (HT) 和电子注入 (EI) 聚合物在采用 CdSe/CdZnS 纳米片作为深红色发射器的多层全溶液处理 LED 结构中的协同作用。三种市售 HT 聚合物（空穴迁移率和能级不同）与定制设计的 EI 极性聚合物相结合，这些聚合物具有不同的共轭主链和定制的最高占据分子轨道/最低未占据分子轨道 (HOMO/LUMO) 水平。特别关注 EI/金属界面，其性能可通过膦酸酯官能化聚合物侧链进行调节。器件性能在惰性和环境条件下（无封装）进行评估，并与界面层的电子特性相关。值得注意的是，特定的 HT/EI 聚合物配对极大地影响了制造的 LED 的关键参数，可以将开启电压降低至 1.7 V，或将外部量子效率提高至 7%，具体取决于所选的组合。</w:t>
      </w:r>
    </w:p>
    <w:p>
      <w:pPr>
        <w:spacing w:before="0" w:after="200" w:lineRule="auto" w:line="276"/>
      </w:pPr>
      <w:r>
        <w:rPr>
          <w:b/>
        </w:rPr>
        <w:t xml:space="preserve">Abstract (EN): </w:t>
      </w:r>
      <w:r>
        <w:t>Light-emitting diodes (LEDs) based on colloidal semiconductor nanocrystals represent a promising technology for next-generation electroluminescence displays. While ongoing efforts focus on optimizing nanocrystal properties, device performance also critically depends on the LED architecture, particularly the design of interfacial layers. Efficient charge injection and balanced carrier transport toward recombination layers require careful alignment of energy levels between adjacent layers. In this study, we investigate the cooperative role of different hole-transporting (HT) and electron-injecting (EI) polymers in a multilayered all-solution-processed LED structure incorporating CdSe/CdZnS nanoplatelets as deep-red emitters. Three commercially available HT polymers, differing in hole mobility and energy levels, were combined with custom-designed EI polar polymers featuring varied conjugated backbones and tailored highest occupied molecular orbital/lowest unoccupied molecular orbital (HOMO/LUMO) levels. Particular attention is given to the EI/metal interface, whose properties are tuned via phosphonate-functionalized polymer side chains. Device performance is assessed under inert and ambient conditions (without encapsulation) and correlated to the electronic properties of the interfacial layers. Notably, specific HT/EI polymer pairings substantially influence key parameters of fabricated LEDs, enabling either a reduced turn-on voltage down to 1.7 V or enhanced external quantum efficiency up to 7%, depending on the selected combination.</w:t>
      </w:r>
    </w:p>
    <w:p>
      <w:pPr>
        <w:spacing w:before="120" w:after="120"/>
      </w:pPr>
      <w:r>
        <w:rPr>
          <w:sz w:val="18"/>
        </w:rPr>
        <w:t>——————————————————————————————————————————————————————————————————————</w:t>
      </w:r>
    </w:p>
    <w:p>
      <w:pPr>
        <w:spacing w:before="160" w:after="40" w:line="240" w:lineRule="auto"/>
      </w:pPr>
      <w:r>
        <w:rPr>
          <w:b/>
        </w:rPr>
        <w:t xml:space="preserve">[736] </w:t>
      </w:r>
      <w:hyperlink r:id="rId1907">
        <w:r>
          <w:rPr>
            <w:color w:val="1155CC"/>
            <w:u w:val="single"/>
          </w:rPr>
          <w:t>通过量子退火实现有限温度临界</w:t>
        </w:r>
      </w:hyperlink>
    </w:p>
    <w:p>
      <w:pPr>
        <w:spacing w:before="0" w:after="80"/>
      </w:pPr>
      <w:r>
        <w:rPr>
          <w:i/>
          <w:sz w:val="20"/>
        </w:rPr>
        <w:t>EN: Finite-temperature criticality through quantum annealing</w:t>
      </w:r>
    </w:p>
    <w:p>
      <w:pPr>
        <w:spacing w:before="0" w:after="120"/>
      </w:pPr>
      <w:r>
        <w:rPr>
          <w:b/>
        </w:rPr>
        <w:t xml:space="preserve">Source: </w:t>
      </w:r>
      <w:r>
        <w:t>Physical sciences : Nature Communications subject feeds</w:t>
      </w:r>
      <w:r>
        <w:t xml:space="preserve">    </w:t>
      </w:r>
      <w:r>
        <w:rPr>
          <w:b/>
        </w:rPr>
        <w:t xml:space="preserve">Pub date: </w:t>
      </w:r>
      <w:r>
        <w:t>2026-07-23 00:00:00+00:00</w:t>
      </w:r>
    </w:p>
    <w:p>
      <w:pPr>
        <w:spacing w:before="0" w:after="120"/>
      </w:pPr>
      <w:r>
        <w:rPr>
          <w:b/>
        </w:rPr>
        <w:t xml:space="preserve">Notes: </w:t>
      </w:r>
      <w:r>
        <w:t>abstract_source=nature_html</w:t>
      </w:r>
    </w:p>
    <w:p>
      <w:pPr>
        <w:spacing w:before="0" w:after="80" w:lineRule="auto" w:line="276"/>
      </w:pPr>
      <w:r>
        <w:rPr>
          <w:b/>
        </w:rPr>
        <w:t xml:space="preserve">摘要（ZH）: </w:t>
      </w:r>
      <w:r>
        <w:t>有限温度下的临界现象支撑着广泛的物理系统，但由于相变附近的计算瓶颈，他们的研究仍然具有挑战性。量子退火器作为获取超出经典范围的有限温度临界值的潜在工具引起了人们的极大兴趣，但它们在精确解决临界值方面的效用仍然受到噪声、硬件限制和热波动的限制。在这里，我们克服了这些挑战，引入了一种采样协议，该协议将实时温度推断与整个实验中能量尺度的精细控制相结合。仔细的嵌入策略使我们能够完全捕获典型二维伊辛铁磁体在最多 2640 次旋转的环形晶格上的有限温度临界行为。通过调整系统的能量规模和减轻设备缺陷，我们对有效的玻尔兹曼分布进行采样，提取临界温度和相关的通用临界指数。我们的方法开启了对有限温度下一大类系统的平衡和非平衡临界现象的研究。</w:t>
      </w:r>
    </w:p>
    <w:p>
      <w:pPr>
        <w:spacing w:before="0" w:after="200" w:lineRule="auto" w:line="276"/>
      </w:pPr>
      <w:r>
        <w:rPr>
          <w:b/>
        </w:rPr>
        <w:t xml:space="preserve">Abstract (EN): </w:t>
      </w:r>
      <w:r>
        <w:t>Critical phenomena at finite temperature underpin a broad range of physical systems, yet their study remains challenging due to computational bottlenecks near phase transitions. Quantum annealers have attracted significant interest as a potential tool for accessing finite temperature criticality beyond classical reach, but their utility in precisely resolving criticality has remained limited by noise, hardware constraints, and thermal fluctuations. Here we overcome these challenges, introducing a sampling protocol that combines real-time temperature inference with fine control of the energy scales throughout experiments. A careful embedding strategy allows us to fully capture the finite-temperature critical behavior of the paradigmatic two-dimensional Ising ferromagnet on toroidal lattices up to 2640 spins. By tuning the energy scale of the system and mitigating device defects, we sample effective Boltzmann distributions extracting both the critical temperature and the associated universal critical exponents. Our approach opens the study of equilibrium and non-equilibrium critical phenomena in a broad class of systems at finite temperature.</w:t>
      </w:r>
    </w:p>
    <w:p>
      <w:pPr>
        <w:spacing w:before="120" w:after="120"/>
      </w:pPr>
      <w:r>
        <w:rPr>
          <w:sz w:val="18"/>
        </w:rPr>
        <w:t>——————————————————————————————————————————————————————————————————————</w:t>
      </w:r>
    </w:p>
    <w:p>
      <w:pPr>
        <w:spacing w:before="160" w:after="40" w:line="240" w:lineRule="auto"/>
      </w:pPr>
      <w:r>
        <w:rPr>
          <w:b/>
        </w:rPr>
        <w:t xml:space="preserve">[737] </w:t>
      </w:r>
      <w:hyperlink r:id="rId1908">
        <w:r>
          <w:rPr>
            <w:color w:val="1155CC"/>
            <w:u w:val="single"/>
          </w:rPr>
          <w:t>索尔克研究所著名生物学家在不当性行为调查后辞职</w:t>
        </w:r>
      </w:hyperlink>
    </w:p>
    <w:p>
      <w:pPr>
        <w:spacing w:before="0" w:after="80"/>
      </w:pPr>
      <w:r>
        <w:rPr>
          <w:i/>
          <w:sz w:val="20"/>
        </w:rPr>
        <w:t>EN: Prominent Salk Institute biologist to resign following sexual misconduct investigation</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09">
        <w:r>
          <w:rPr>
            <w:color w:val="1155CC"/>
            <w:u w:val="single"/>
          </w:rPr>
          <w:t>10.1126/science.aek8026</w:t>
        </w:r>
      </w:hyperlink>
    </w:p>
    <w:p>
      <w:pPr>
        <w:spacing w:before="0" w:after="120"/>
      </w:pPr>
      <w:r>
        <w:rPr>
          <w:b/>
        </w:rPr>
        <w:t xml:space="preserve">Notes: </w:t>
      </w:r>
      <w:r>
        <w:t>abstract_source=crossref</w:t>
      </w:r>
    </w:p>
    <w:p>
      <w:pPr>
        <w:spacing w:before="0" w:after="80" w:lineRule="auto" w:line="276"/>
      </w:pPr>
      <w:r>
        <w:rPr>
          <w:b/>
        </w:rPr>
        <w:t xml:space="preserve">摘要（ZH）: </w:t>
      </w:r>
      <w:r>
        <w:t>工作人员抱怨索尔克允许昼夜节律研究员 Satchidananda Panda 悄悄离开，而指控和调查结果仍处于保密状态</w:t>
      </w:r>
    </w:p>
    <w:p>
      <w:pPr>
        <w:spacing w:before="0" w:after="200" w:lineRule="auto" w:line="276"/>
      </w:pPr>
      <w:r>
        <w:rPr>
          <w:b/>
        </w:rPr>
        <w:t xml:space="preserve">Abstract (EN): </w:t>
      </w:r>
      <w:r>
        <w:t>Staffers complain that Salk allowed circadian rhythms researcher Satchidananda Panda to depart quietly, while the allegations and findings remain under wraps</w:t>
      </w:r>
    </w:p>
    <w:p>
      <w:pPr>
        <w:spacing w:before="120" w:after="120"/>
      </w:pPr>
      <w:r>
        <w:rPr>
          <w:sz w:val="18"/>
        </w:rPr>
        <w:t>——————————————————————————————————————————————————————————————————————</w:t>
      </w:r>
    </w:p>
    <w:p>
      <w:pPr>
        <w:spacing w:before="160" w:after="40" w:line="240" w:lineRule="auto"/>
      </w:pPr>
      <w:r>
        <w:rPr>
          <w:b/>
        </w:rPr>
        <w:t xml:space="preserve">[738] </w:t>
      </w:r>
      <w:hyperlink r:id="rId1910">
        <w:r>
          <w:rPr>
            <w:color w:val="1155CC"/>
            <w:u w:val="single"/>
          </w:rPr>
          <w:t>传染性鱼癌泛滥新英格兰湖</w:t>
        </w:r>
      </w:hyperlink>
    </w:p>
    <w:p>
      <w:pPr>
        <w:spacing w:before="0" w:after="80"/>
      </w:pPr>
      <w:r>
        <w:rPr>
          <w:i/>
          <w:sz w:val="20"/>
        </w:rPr>
        <w:t>EN: Contagious fish cancer overruns New England lake</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11">
        <w:r>
          <w:rPr>
            <w:color w:val="1155CC"/>
            <w:u w:val="single"/>
          </w:rPr>
          <w:t>10.1126/science.aek8028</w:t>
        </w:r>
      </w:hyperlink>
    </w:p>
    <w:p>
      <w:pPr>
        <w:spacing w:before="0" w:after="120"/>
      </w:pPr>
      <w:r>
        <w:rPr>
          <w:b/>
        </w:rPr>
        <w:t xml:space="preserve">Notes: </w:t>
      </w:r>
      <w:r>
        <w:t>abstract_source=crossref</w:t>
      </w:r>
    </w:p>
    <w:p>
      <w:pPr>
        <w:spacing w:before="0" w:after="80" w:lineRule="auto" w:line="276"/>
      </w:pPr>
      <w:r>
        <w:rPr>
          <w:b/>
        </w:rPr>
        <w:t xml:space="preserve">摘要（ZH）: </w:t>
      </w:r>
      <w:r>
        <w:t>基因研究揭示了罕见的相同传染性肿瘤的例子</w:t>
      </w:r>
    </w:p>
    <w:p>
      <w:pPr>
        <w:spacing w:before="0" w:after="200" w:lineRule="auto" w:line="276"/>
      </w:pPr>
      <w:r>
        <w:rPr>
          <w:b/>
        </w:rPr>
        <w:t xml:space="preserve">Abstract (EN): </w:t>
      </w:r>
      <w:r>
        <w:t>Genetic studies reveal rare example of identical transmissible tumors</w:t>
      </w:r>
    </w:p>
    <w:p>
      <w:pPr>
        <w:spacing w:before="120" w:after="120"/>
      </w:pPr>
      <w:r>
        <w:rPr>
          <w:sz w:val="18"/>
        </w:rPr>
        <w:t>——————————————————————————————————————————————————————————————————————</w:t>
      </w:r>
    </w:p>
    <w:p>
      <w:pPr>
        <w:spacing w:before="160" w:after="40" w:line="240" w:lineRule="auto"/>
      </w:pPr>
      <w:r>
        <w:rPr>
          <w:b/>
        </w:rPr>
        <w:t xml:space="preserve">[739] </w:t>
      </w:r>
      <w:hyperlink r:id="rId1912">
        <w:r>
          <w:rPr>
            <w:color w:val="1155CC"/>
            <w:u w:val="single"/>
          </w:rPr>
          <w:t>抗压气囊使昆虫幼虫能够利用极深的水生栖息地</w:t>
        </w:r>
      </w:hyperlink>
    </w:p>
    <w:p>
      <w:pPr>
        <w:spacing w:before="0" w:after="80"/>
      </w:pPr>
      <w:r>
        <w:rPr>
          <w:i/>
          <w:sz w:val="20"/>
        </w:rPr>
        <w:t>EN: Crush-resistant air sacs allow insect larvae to exploit aquatic habitats at extreme depth</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13">
        <w:r>
          <w:rPr>
            <w:color w:val="1155CC"/>
            <w:u w:val="single"/>
          </w:rPr>
          <w:t>10.1126/science.aed0667</w:t>
        </w:r>
      </w:hyperlink>
    </w:p>
    <w:p>
      <w:pPr>
        <w:spacing w:before="0" w:after="120"/>
      </w:pPr>
      <w:r>
        <w:rPr>
          <w:b/>
        </w:rPr>
        <w:t xml:space="preserve">Notes: </w:t>
      </w:r>
      <w:r>
        <w:t>abstract_source=crossref</w:t>
      </w:r>
    </w:p>
    <w:p>
      <w:pPr>
        <w:spacing w:before="0" w:after="80" w:lineRule="auto" w:line="276"/>
      </w:pPr>
      <w:r>
        <w:rPr>
          <w:b/>
        </w:rPr>
        <w:t xml:space="preserve">摘要（ZH）: </w:t>
      </w:r>
      <w:r>
        <w:t>远洋海洋栖息地中缺乏水生昆虫的原因是它们的气管呼吸系统充满空气，在进行昼夜垂直迁徙以逃避掠食性鱼类时，该系统可能会在深处内爆。然而我们发现湖里的水生幼虫飞来飞去</w:t>
      </w:r>
      <w:r>
        <w:t xml:space="preserve"> </w:t>
      </w:r>
      <w:r>
        <w:t>美味豆豉</w:t>
      </w:r>
      <w:r>
        <w:t xml:space="preserve"> </w:t>
      </w:r>
      <w:r>
        <w:t>马拉维湖的鱼类将其气管系统改造为增强型浮力调节充气囊，使它们能够在白天迁徙到湖中缺氧的低层水深 200 米深处，以逃避掠食性鱼类的追捕。它们气囊的挤压深度随着每个龄期的增加而增加，最后的龄期可以在超过半公里的深度抵抗内爆。与预期相反，这些昆虫适应了深水栖息地的极端静水压力，使它们能够与中上层鱼类共存。</w:t>
      </w:r>
    </w:p>
    <w:p>
      <w:pPr>
        <w:spacing w:before="0" w:after="200" w:lineRule="auto" w:line="276"/>
      </w:pPr>
      <w:r>
        <w:rPr>
          <w:b/>
        </w:rPr>
        <w:t xml:space="preserve">Abstract (EN): </w:t>
      </w:r>
      <w:r>
        <w:t>The absence of aquatic insects from pelagic marine habitats has been attributed to their air-filled tracheal respiratory system, which could implode at depth while undertaking diel vertical migrations to escape predatory fish. However, we found that the aquatic larvae of the lake fly</w:t>
      </w:r>
      <w:r>
        <w:t xml:space="preserve"> </w:t>
      </w:r>
      <w:r>
        <w:t>Chaoborus edulis</w:t>
      </w:r>
      <w:r>
        <w:t xml:space="preserve"> </w:t>
      </w:r>
      <w:r>
        <w:t>in Lake Malawi have modified their tracheal system into reinforced buoyancy-regulating air-filled sacs, allowing them to escape predatory fish by undertaking these migrations well over 200 meters deep into the lake’s anoxic hypolimnion during the day. The crush depth of their air sacs increases with each instar, with final instars resisting implosion at depths greater than half a kilometer. Contrary to expectations, these insects adapt to the extreme hydrostatic pressures of deep-water habitats, allowing them to coexist with pelagic fish.</w:t>
      </w:r>
    </w:p>
    <w:p>
      <w:pPr>
        <w:spacing w:before="120" w:after="120"/>
      </w:pPr>
      <w:r>
        <w:rPr>
          <w:sz w:val="18"/>
        </w:rPr>
        <w:t>——————————————————————————————————————————————————————————————————————</w:t>
      </w:r>
    </w:p>
    <w:p>
      <w:pPr>
        <w:spacing w:before="160" w:after="40" w:line="240" w:lineRule="auto"/>
      </w:pPr>
      <w:r>
        <w:rPr>
          <w:b/>
        </w:rPr>
        <w:t xml:space="preserve">[740] </w:t>
      </w:r>
      <w:hyperlink r:id="rId1914">
        <w:r>
          <w:rPr>
            <w:color w:val="1155CC"/>
            <w:u w:val="single"/>
          </w:rPr>
          <w:t>气候科学家改进了将全球变暖与极端天气联系起来的工具</w:t>
        </w:r>
      </w:hyperlink>
    </w:p>
    <w:p>
      <w:pPr>
        <w:spacing w:before="0" w:after="80"/>
      </w:pPr>
      <w:r>
        <w:rPr>
          <w:i/>
          <w:sz w:val="20"/>
        </w:rPr>
        <w:t>EN: Climate scientists sharpen tools for linking global warming to extreme weather</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15">
        <w:r>
          <w:rPr>
            <w:color w:val="1155CC"/>
            <w:u w:val="single"/>
          </w:rPr>
          <w:t>10.1126/science.aek8030</w:t>
        </w:r>
      </w:hyperlink>
    </w:p>
    <w:p>
      <w:pPr>
        <w:spacing w:before="0" w:after="120"/>
      </w:pPr>
      <w:r>
        <w:rPr>
          <w:b/>
        </w:rPr>
        <w:t xml:space="preserve">Notes: </w:t>
      </w:r>
      <w:r>
        <w:t>abstract_source=crossref</w:t>
      </w:r>
    </w:p>
    <w:p>
      <w:pPr>
        <w:spacing w:before="0" w:after="80" w:lineRule="auto" w:line="276"/>
      </w:pPr>
      <w:r>
        <w:rPr>
          <w:b/>
        </w:rPr>
        <w:t xml:space="preserve">摘要（ZH）: </w:t>
      </w:r>
      <w:r>
        <w:t>美国国家科学院报告称，更严格的结果将增强人们对快速发展领域的信心</w:t>
      </w:r>
    </w:p>
    <w:p>
      <w:pPr>
        <w:spacing w:before="0" w:after="200" w:lineRule="auto" w:line="276"/>
      </w:pPr>
      <w:r>
        <w:rPr>
          <w:b/>
        </w:rPr>
        <w:t xml:space="preserve">Abstract (EN): </w:t>
      </w:r>
      <w:r>
        <w:t>National Academies report says more rigorous results will boost confidence in fast-growing field</w:t>
      </w:r>
    </w:p>
    <w:p>
      <w:pPr>
        <w:spacing w:before="120" w:after="120"/>
      </w:pPr>
      <w:r>
        <w:rPr>
          <w:sz w:val="18"/>
        </w:rPr>
        <w:t>——————————————————————————————————————————————————————————————————————</w:t>
      </w:r>
    </w:p>
    <w:p>
      <w:pPr>
        <w:spacing w:before="160" w:after="40" w:line="240" w:lineRule="auto"/>
      </w:pPr>
      <w:r>
        <w:rPr>
          <w:b/>
        </w:rPr>
        <w:t xml:space="preserve">[741] </w:t>
      </w:r>
      <w:hyperlink r:id="rId1916">
        <w:r>
          <w:rPr>
            <w:color w:val="1155CC"/>
            <w:u w:val="single"/>
          </w:rPr>
          <w:t>已知最古老的火星岩石让我们一睹火星年轻时的水样</w:t>
        </w:r>
      </w:hyperlink>
    </w:p>
    <w:p>
      <w:pPr>
        <w:spacing w:before="0" w:after="80"/>
      </w:pPr>
      <w:r>
        <w:rPr>
          <w:i/>
          <w:sz w:val="20"/>
        </w:rPr>
        <w:t>EN: Oldest known Mars rock offers glimpse of planet’s watery youth</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17">
        <w:r>
          <w:rPr>
            <w:color w:val="1155CC"/>
            <w:u w:val="single"/>
          </w:rPr>
          <w:t>10.1126/science.aek8031</w:t>
        </w:r>
      </w:hyperlink>
    </w:p>
    <w:p>
      <w:pPr>
        <w:spacing w:before="0" w:after="120"/>
      </w:pPr>
      <w:r>
        <w:rPr>
          <w:b/>
        </w:rPr>
        <w:t xml:space="preserve">Notes: </w:t>
      </w:r>
      <w:r>
        <w:t>abstract_source=crossref</w:t>
      </w:r>
    </w:p>
    <w:p>
      <w:pPr>
        <w:spacing w:before="0" w:after="80" w:lineRule="auto" w:line="276"/>
      </w:pPr>
      <w:r>
        <w:rPr>
          <w:b/>
        </w:rPr>
        <w:t xml:space="preserve">摘要（ZH）: </w:t>
      </w:r>
      <w:r>
        <w:t>Teghaza 陨石暗示存在令人惊讶的类似地球的地壳，并表明火星在 41 亿年前就已经失去了水分</w:t>
      </w:r>
    </w:p>
    <w:p>
      <w:pPr>
        <w:spacing w:before="0" w:after="200" w:lineRule="auto" w:line="276"/>
      </w:pPr>
      <w:r>
        <w:rPr>
          <w:b/>
        </w:rPr>
        <w:t xml:space="preserve">Abstract (EN): </w:t>
      </w:r>
      <w:r>
        <w:t>Teghaza meteorite hints at surprisingly Earth-like crust and shows Mars was already losing its water 4.1 billion years ago</w:t>
      </w:r>
    </w:p>
    <w:p>
      <w:pPr>
        <w:spacing w:before="120" w:after="120"/>
      </w:pPr>
      <w:r>
        <w:rPr>
          <w:sz w:val="18"/>
        </w:rPr>
        <w:t>——————————————————————————————————————————————————————————————————————</w:t>
      </w:r>
    </w:p>
    <w:p>
      <w:pPr>
        <w:spacing w:before="160" w:after="40" w:line="240" w:lineRule="auto"/>
      </w:pPr>
      <w:r>
        <w:rPr>
          <w:b/>
        </w:rPr>
        <w:t xml:space="preserve">[742] </w:t>
      </w:r>
      <w:hyperlink r:id="rId1918">
        <w:r>
          <w:rPr>
            <w:color w:val="1155CC"/>
            <w:u w:val="single"/>
          </w:rPr>
          <w:t>阿尔茨海默病试验结果为靶向 tau 蛋白的药物提供了动力</w:t>
        </w:r>
      </w:hyperlink>
    </w:p>
    <w:p>
      <w:pPr>
        <w:spacing w:before="0" w:after="80"/>
      </w:pPr>
      <w:r>
        <w:rPr>
          <w:i/>
          <w:sz w:val="20"/>
        </w:rPr>
        <w:t>EN: Alzheimer’s trial results lend momentum to drugs targeting tau</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19">
        <w:r>
          <w:rPr>
            <w:color w:val="1155CC"/>
            <w:u w:val="single"/>
          </w:rPr>
          <w:t>10.1126/science.aek8032</w:t>
        </w:r>
      </w:hyperlink>
    </w:p>
    <w:p>
      <w:pPr>
        <w:spacing w:before="0" w:after="120"/>
      </w:pPr>
      <w:r>
        <w:rPr>
          <w:b/>
        </w:rPr>
        <w:t xml:space="preserve">Notes: </w:t>
      </w:r>
      <w:r>
        <w:t>abstract_source=crossref</w:t>
      </w:r>
    </w:p>
    <w:p>
      <w:pPr>
        <w:spacing w:before="0" w:after="80" w:lineRule="auto" w:line="276"/>
      </w:pPr>
      <w:r>
        <w:rPr>
          <w:b/>
        </w:rPr>
        <w:t xml:space="preserve">摘要（ZH）: </w:t>
      </w:r>
      <w:r>
        <w:t>尽管数据令人费解，但第一种降低蛋白质和减缓认知能力下降的药物引起了轰动</w:t>
      </w:r>
    </w:p>
    <w:p>
      <w:pPr>
        <w:spacing w:before="0" w:after="200" w:lineRule="auto" w:line="276"/>
      </w:pPr>
      <w:r>
        <w:rPr>
          <w:b/>
        </w:rPr>
        <w:t xml:space="preserve">Abstract (EN): </w:t>
      </w:r>
      <w:r>
        <w:t>First drug to lower the protein and slow cognitive decline created buzz despite puzzling data</w:t>
      </w:r>
    </w:p>
    <w:p>
      <w:pPr>
        <w:spacing w:before="120" w:after="120"/>
      </w:pPr>
      <w:r>
        <w:rPr>
          <w:sz w:val="18"/>
        </w:rPr>
        <w:t>——————————————————————————————————————————————————————————————————————</w:t>
      </w:r>
    </w:p>
    <w:p>
      <w:pPr>
        <w:spacing w:before="160" w:after="40" w:line="240" w:lineRule="auto"/>
      </w:pPr>
      <w:r>
        <w:rPr>
          <w:b/>
        </w:rPr>
        <w:t xml:space="preserve">[743] </w:t>
      </w:r>
      <w:hyperlink r:id="rId1920">
        <w:r>
          <w:rPr>
            <w:color w:val="1155CC"/>
            <w:u w:val="single"/>
          </w:rPr>
          <w:t>入侵物种对南半球的环境影响更为严重</w:t>
        </w:r>
      </w:hyperlink>
    </w:p>
    <w:p>
      <w:pPr>
        <w:spacing w:before="0" w:after="80"/>
      </w:pPr>
      <w:r>
        <w:rPr>
          <w:i/>
          <w:sz w:val="20"/>
        </w:rPr>
        <w:t>EN: Invasive species’ environmental impacts are more severe in the Global South</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21">
        <w:r>
          <w:rPr>
            <w:color w:val="1155CC"/>
            <w:u w:val="single"/>
          </w:rPr>
          <w:t>10.1126/science.aed0603</w:t>
        </w:r>
      </w:hyperlink>
    </w:p>
    <w:p>
      <w:pPr>
        <w:spacing w:before="0" w:after="120"/>
      </w:pPr>
      <w:r>
        <w:rPr>
          <w:b/>
        </w:rPr>
        <w:t xml:space="preserve">Notes: </w:t>
      </w:r>
      <w:r>
        <w:t>abstract_source=crossref</w:t>
      </w:r>
    </w:p>
    <w:p>
      <w:pPr>
        <w:spacing w:before="0" w:after="80" w:lineRule="auto" w:line="276"/>
      </w:pPr>
      <w:r>
        <w:rPr>
          <w:b/>
        </w:rPr>
        <w:t xml:space="preserve">摘要（ZH）: </w:t>
      </w:r>
      <w:r>
        <w:t>外来入侵物种 (IAS) 是生物多样性的主要威胁，但对其影响分布仍知之甚少。全球生物多样性评估表明，北半球富裕国家的影响最大，但这只是根据 IAS 数据推断的，反映了研究偏差。我们使用标准化影响衡量指标的新全球数据库计算了每个国家的平均影响严重程度，发现尽管全球北方的报告数量是南方国家的两倍多，但全球南方的影响严重程度更高。治理薄弱和管理能力有限是造成严重影响的主要原因。经济快速增长但治理不善的新兴经济体尤其容易受到影响。如果不认识到南半球面临着最严重的外来入侵影响，就会转移人们对受威胁最严重地区的注意力。</w:t>
      </w:r>
    </w:p>
    <w:p>
      <w:pPr>
        <w:spacing w:before="0" w:after="200" w:lineRule="auto" w:line="276"/>
      </w:pPr>
      <w:r>
        <w:rPr>
          <w:b/>
        </w:rPr>
        <w:t xml:space="preserve">Abstract (EN): </w:t>
      </w:r>
      <w:r>
        <w:t>Invasive alien species (IAS) are a major threat to biodiversity, yet their impact distribution remains poorly understood. Global biodiversity assessments suggest the highest impacts in wealthy countries of the Global North, but this is only inferred from IAS numbers, reflecting research bias. Using a new global database of standardized impact measures, we calculated average impact severity per country and found that it is higher in the Global South despite more than twice as many reports in the Global North. Weak governance and limited management capacity are the main drivers of high impact severity. Emerging economies with rapid economic growth but poor governance are particularly vulnerable. Failure to recognize the Global South as facing the highest IAS impacts diverts attention away from the most threatened regions.</w:t>
      </w:r>
    </w:p>
    <w:p>
      <w:pPr>
        <w:spacing w:before="120" w:after="120"/>
      </w:pPr>
      <w:r>
        <w:rPr>
          <w:sz w:val="18"/>
        </w:rPr>
        <w:t>——————————————————————————————————————————————————————————————————————</w:t>
      </w:r>
    </w:p>
    <w:p>
      <w:pPr>
        <w:spacing w:before="160" w:after="40" w:line="240" w:lineRule="auto"/>
      </w:pPr>
      <w:r>
        <w:rPr>
          <w:b/>
        </w:rPr>
        <w:t xml:space="preserve">[744] </w:t>
      </w:r>
      <w:hyperlink r:id="rId1922">
        <w:r>
          <w:rPr>
            <w:color w:val="1155CC"/>
            <w:u w:val="single"/>
          </w:rPr>
          <w:t>空间解析单个分子的反应锥</w:t>
        </w:r>
      </w:hyperlink>
    </w:p>
    <w:p>
      <w:pPr>
        <w:spacing w:before="0" w:after="80"/>
      </w:pPr>
      <w:r>
        <w:rPr>
          <w:i/>
          <w:sz w:val="20"/>
        </w:rPr>
        <w:t>EN: Spatially resolving the cone of reaction for a single molecule</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23">
        <w:r>
          <w:rPr>
            <w:color w:val="1155CC"/>
            <w:u w:val="single"/>
          </w:rPr>
          <w:t>10.1126/science.aec7913</w:t>
        </w:r>
      </w:hyperlink>
    </w:p>
    <w:p>
      <w:pPr>
        <w:spacing w:before="0" w:after="120"/>
      </w:pPr>
      <w:r>
        <w:rPr>
          <w:b/>
        </w:rPr>
        <w:t xml:space="preserve">Notes: </w:t>
      </w:r>
      <w:r>
        <w:t>abstract_source=crossref</w:t>
      </w:r>
    </w:p>
    <w:p>
      <w:pPr>
        <w:spacing w:before="0" w:after="80" w:lineRule="auto" w:line="276"/>
      </w:pPr>
      <w:r>
        <w:rPr>
          <w:b/>
        </w:rPr>
        <w:t xml:space="preserve">摘要（ZH）: </w:t>
      </w:r>
      <w:r>
        <w:t>原子和分子的碰撞是键形成所必需的，因此是任何化学反应的关键。它们的结果由反应物的碰撞能量、相对方向和冲击参数决定。气相碰撞研究表明，能量很容易控制，但很难控制分子方向，并且完全不可能控制碰撞参数。在这里，我们研究了表面上单个分子的碰撞，通过扫描隧道显微镜对碰撞前后的每个涉及的化合物进行成像，从而可以精确控制方向和冲击参数。我们观察到分子必须在狭窄的反应锥体中碰撞，并且表面原子位移甚至可以在不利的路径下发生反应。</w:t>
      </w:r>
    </w:p>
    <w:p>
      <w:pPr>
        <w:spacing w:before="0" w:after="200" w:lineRule="auto" w:line="276"/>
      </w:pPr>
      <w:r>
        <w:rPr>
          <w:b/>
        </w:rPr>
        <w:t xml:space="preserve">Abstract (EN): </w:t>
      </w:r>
      <w:r>
        <w:t>Collisions of atoms and molecules are required for bond formation and are thus key to any chemical reaction. Their outcome is determined by the collision energy, relative orientation, and impact parameter of the reactants. Collision studies in the gas phase have shown that energies are easily controlled, whereas it is difficult to steer the molecular orientations and completely impossible to control the impact parameter. Here, we study the collision of individual molecules at a surface where each involved compound is imaged before and after collision by scanning tunneling microscopy, allowing precise control of orientations and impact parameter. We observe that the molecules must collide in a narrow cone of reaction and that surface atom displacements can enable a reaction even for disfavored pathways.</w:t>
      </w:r>
    </w:p>
    <w:p>
      <w:pPr>
        <w:spacing w:before="120" w:after="120"/>
      </w:pPr>
      <w:r>
        <w:rPr>
          <w:sz w:val="18"/>
        </w:rPr>
        <w:t>——————————————————————————————————————————————————————————————————————</w:t>
      </w:r>
    </w:p>
    <w:p>
      <w:pPr>
        <w:spacing w:before="160" w:after="40" w:line="240" w:lineRule="auto"/>
      </w:pPr>
      <w:r>
        <w:rPr>
          <w:b/>
        </w:rPr>
        <w:t xml:space="preserve">[745] </w:t>
      </w:r>
      <w:hyperlink r:id="rId1924">
        <w:r>
          <w:rPr>
            <w:color w:val="1155CC"/>
            <w:u w:val="single"/>
          </w:rPr>
          <w:t>美国的大学科学需要一个连贯的计划</w:t>
        </w:r>
      </w:hyperlink>
    </w:p>
    <w:p>
      <w:pPr>
        <w:spacing w:before="0" w:after="80"/>
      </w:pPr>
      <w:r>
        <w:rPr>
          <w:i/>
          <w:sz w:val="20"/>
        </w:rPr>
        <w:t>EN: University science in the US needs a coherent plan</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25">
        <w:r>
          <w:rPr>
            <w:color w:val="1155CC"/>
            <w:u w:val="single"/>
          </w:rPr>
          <w:t>10.1126/science.aek7500</w:t>
        </w:r>
      </w:hyperlink>
    </w:p>
    <w:p>
      <w:pPr>
        <w:spacing w:before="0" w:after="120"/>
      </w:pPr>
      <w:r>
        <w:rPr>
          <w:b/>
        </w:rPr>
        <w:t xml:space="preserve">Notes: </w:t>
      </w:r>
      <w:r>
        <w:t>abstract_source=crossref</w:t>
      </w:r>
    </w:p>
    <w:p>
      <w:pPr>
        <w:spacing w:before="0" w:after="80" w:lineRule="auto" w:line="276"/>
      </w:pPr>
      <w:r>
        <w:rPr>
          <w:b/>
        </w:rPr>
        <w:t xml:space="preserve">摘要（ZH）: </w:t>
      </w:r>
      <w:r>
        <w:t>特朗普政府继续削弱美国的科学机构，对国家更广泛的利益和福祉造成广泛损害。上周，美国大学协会报告称，主要研究型大学的研究生入学率比一年前下降了 15%，这些大学授予美国一半的博士学位。考虑到最近阻碍国际学生的移民政策的影响，以及考虑到联邦资金的不可预测性，大学所面临的财务不确定性，也就不足为奇了。支持新博士生的能力在很大程度上取决于研究资助，任何负责任的管理者都会对向他们无法兑现的学生做出承诺持谨慎态度。这令科学界感到沮丧，但也应该引起所有人的警惕。</w:t>
      </w:r>
    </w:p>
    <w:p>
      <w:pPr>
        <w:spacing w:before="0" w:after="200" w:lineRule="auto" w:line="276"/>
      </w:pPr>
      <w:r>
        <w:rPr>
          <w:b/>
        </w:rPr>
        <w:t xml:space="preserve">Abstract (EN): </w:t>
      </w:r>
      <w:r>
        <w:t>The Trump administration continues to degrade America’s scientific establishment, causing widespread harm to the country’s broader interests and well-being. Last week, the Association of American Universities reported that graduate student enrollment in major research universities, which award half of all doctorate degrees in the United States, is down 15% compared to a year ago. And no wonder, considering the effect of recent immigration policies that deter international students and the financial uncertainties that universities are facing given the unpredictable nature of federal funding. The ability to support new doctoral students depends heavily on research grants, and any responsible administrator would be cautious about making commitments to students they can’t keep. This is discouraging to the scientific community but should be alarming to everyone.</w:t>
      </w:r>
    </w:p>
    <w:p>
      <w:pPr>
        <w:spacing w:before="120" w:after="120"/>
      </w:pPr>
      <w:r>
        <w:rPr>
          <w:sz w:val="18"/>
        </w:rPr>
        <w:t>——————————————————————————————————————————————————————————————————————</w:t>
      </w:r>
    </w:p>
    <w:p>
      <w:pPr>
        <w:spacing w:before="160" w:after="40" w:line="240" w:lineRule="auto"/>
      </w:pPr>
      <w:r>
        <w:rPr>
          <w:b/>
        </w:rPr>
        <w:t xml:space="preserve">[746] </w:t>
      </w:r>
      <w:hyperlink r:id="rId1926">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27">
        <w:r>
          <w:rPr>
            <w:color w:val="1155CC"/>
            <w:u w:val="single"/>
          </w:rPr>
          <w:t>10.1126/science.aek7590</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[747] </w:t>
      </w:r>
      <w:hyperlink r:id="rId1928">
        <w:r>
          <w:rPr>
            <w:color w:val="1155CC"/>
            <w:u w:val="single"/>
          </w:rPr>
          <w:t>埃博拉病毒的迅速传播刺激了新药和疫苗试验</w:t>
        </w:r>
      </w:hyperlink>
    </w:p>
    <w:p>
      <w:pPr>
        <w:spacing w:before="0" w:after="80"/>
      </w:pPr>
      <w:r>
        <w:rPr>
          <w:i/>
          <w:sz w:val="20"/>
        </w:rPr>
        <w:t>EN: Ebola’s rapid spread spurs new drug and vaccine trials</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29">
        <w:r>
          <w:rPr>
            <w:color w:val="1155CC"/>
            <w:u w:val="single"/>
          </w:rPr>
          <w:t>10.1126/science.aek8027</w:t>
        </w:r>
      </w:hyperlink>
    </w:p>
    <w:p>
      <w:pPr>
        <w:spacing w:before="0" w:after="120"/>
      </w:pPr>
      <w:r>
        <w:rPr>
          <w:b/>
        </w:rPr>
        <w:t xml:space="preserve">Notes: </w:t>
      </w:r>
      <w:r>
        <w:t>abstract_source=crossref</w:t>
      </w:r>
    </w:p>
    <w:p>
      <w:pPr>
        <w:spacing w:before="0" w:after="80" w:lineRule="auto" w:line="276"/>
      </w:pPr>
      <w:r>
        <w:rPr>
          <w:b/>
        </w:rPr>
        <w:t xml:space="preserve">摘要（ZH）: </w:t>
      </w:r>
      <w:r>
        <w:t>在困难的条件下正在进行开创性研究，以解决本迪布焦的威胁</w:t>
      </w:r>
    </w:p>
    <w:p>
      <w:pPr>
        <w:spacing w:before="0" w:after="200" w:lineRule="auto" w:line="276"/>
      </w:pPr>
      <w:r>
        <w:rPr>
          <w:b/>
        </w:rPr>
        <w:t xml:space="preserve">Abstract (EN): </w:t>
      </w:r>
      <w:r>
        <w:t>Pioneering studies are underway amid difficult conditions to address Bundibugyo’s threat</w:t>
      </w:r>
    </w:p>
    <w:p>
      <w:pPr>
        <w:spacing w:before="120" w:after="120"/>
      </w:pPr>
      <w:r>
        <w:rPr>
          <w:sz w:val="18"/>
        </w:rPr>
        <w:t>——————————————————————————————————————————————————————————————————————</w:t>
      </w:r>
    </w:p>
    <w:p>
      <w:pPr>
        <w:spacing w:before="160" w:after="40" w:line="240" w:lineRule="auto"/>
      </w:pPr>
      <w:r>
        <w:rPr>
          <w:b/>
        </w:rPr>
        <w:t xml:space="preserve">[748] </w:t>
      </w:r>
      <w:hyperlink r:id="rId1930">
        <w:r>
          <w:rPr>
            <w:color w:val="1155CC"/>
            <w:u w:val="single"/>
          </w:rPr>
          <w:t>巴西的环境治理面临风险</w:t>
        </w:r>
      </w:hyperlink>
    </w:p>
    <w:p>
      <w:pPr>
        <w:spacing w:before="0" w:after="80"/>
      </w:pPr>
      <w:r>
        <w:rPr>
          <w:i/>
          <w:sz w:val="20"/>
        </w:rPr>
        <w:t>EN: Brazil’s environmental governance at risk</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31">
        <w:r>
          <w:rPr>
            <w:color w:val="1155CC"/>
            <w:u w:val="single"/>
          </w:rPr>
          <w:t>10.1126/science.aej1473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[749] </w:t>
      </w:r>
      <w:hyperlink r:id="rId1932">
        <w:r>
          <w:rPr>
            <w:color w:val="1155CC"/>
            <w:u w:val="single"/>
          </w:rPr>
          <w:t>中国拘留美国地震学家令研究人员震惊</w:t>
        </w:r>
      </w:hyperlink>
    </w:p>
    <w:p>
      <w:pPr>
        <w:spacing w:before="0" w:after="80"/>
      </w:pPr>
      <w:r>
        <w:rPr>
          <w:i/>
          <w:sz w:val="20"/>
        </w:rPr>
        <w:t>EN: Detention of U.S. seismologist by China alarms researchers</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33">
        <w:r>
          <w:rPr>
            <w:color w:val="1155CC"/>
            <w:u w:val="single"/>
          </w:rPr>
          <w:t>10.1126/science.aek8033</w:t>
        </w:r>
      </w:hyperlink>
    </w:p>
    <w:p>
      <w:pPr>
        <w:spacing w:before="0" w:after="120"/>
      </w:pPr>
      <w:r>
        <w:rPr>
          <w:b/>
        </w:rPr>
        <w:t xml:space="preserve">Notes: </w:t>
      </w:r>
      <w:r>
        <w:t>abstract_source=crossref</w:t>
      </w:r>
    </w:p>
    <w:p>
      <w:pPr>
        <w:spacing w:before="0" w:after="80" w:lineRule="auto" w:line="276"/>
      </w:pPr>
      <w:r>
        <w:rPr>
          <w:b/>
        </w:rPr>
        <w:t xml:space="preserve">摘要（ZH）: </w:t>
      </w:r>
      <w:r>
        <w:t>陈友林分析地震数据也有助于核试验监测</w:t>
      </w:r>
    </w:p>
    <w:p>
      <w:pPr>
        <w:spacing w:before="0" w:after="200" w:lineRule="auto" w:line="276"/>
      </w:pPr>
      <w:r>
        <w:rPr>
          <w:b/>
        </w:rPr>
        <w:t xml:space="preserve">Abstract (EN): </w:t>
      </w:r>
      <w:r>
        <w:t>Youlin Chen analyzed earthquake data that can also aid nuclear test monitoring</w:t>
      </w:r>
    </w:p>
    <w:p>
      <w:pPr>
        <w:spacing w:before="120" w:after="120"/>
      </w:pPr>
      <w:r>
        <w:rPr>
          <w:sz w:val="18"/>
        </w:rPr>
        <w:t>——————————————————————————————————————————————————————————————————————</w:t>
      </w:r>
    </w:p>
    <w:p>
      <w:pPr>
        <w:spacing w:before="160" w:after="40" w:line="240" w:lineRule="auto"/>
      </w:pPr>
      <w:r>
        <w:rPr>
          <w:b/>
        </w:rPr>
        <w:t xml:space="preserve">[750] </w:t>
      </w:r>
      <w:hyperlink r:id="rId1934">
        <w:r>
          <w:rPr>
            <w:color w:val="1155CC"/>
            <w:u w:val="single"/>
          </w:rPr>
          <w:t>海鲜生物安全差距威胁生物多样性</w:t>
        </w:r>
      </w:hyperlink>
    </w:p>
    <w:p>
      <w:pPr>
        <w:spacing w:before="0" w:after="80"/>
      </w:pPr>
      <w:r>
        <w:rPr>
          <w:i/>
          <w:sz w:val="20"/>
        </w:rPr>
        <w:t>EN: Seafood biosecurity gaps threaten biodiversity</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35">
        <w:r>
          <w:rPr>
            <w:color w:val="1155CC"/>
            <w:u w:val="single"/>
          </w:rPr>
          <w:t>10.1126/science.aej1248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[751] </w:t>
      </w:r>
      <w:hyperlink r:id="rId1936">
        <w:r>
          <w:rPr>
            <w:color w:val="1155CC"/>
            <w:u w:val="single"/>
          </w:rPr>
          <w:t>致命反应</w:t>
        </w:r>
      </w:hyperlink>
    </w:p>
    <w:p>
      <w:pPr>
        <w:spacing w:before="0" w:after="80"/>
      </w:pPr>
      <w:r>
        <w:rPr>
          <w:i/>
          <w:sz w:val="20"/>
        </w:rPr>
        <w:t>EN: A fatal reaction</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37">
        <w:r>
          <w:rPr>
            <w:color w:val="1155CC"/>
            <w:u w:val="single"/>
          </w:rPr>
          <w:t>10.1126/science.aek8000</w:t>
        </w:r>
      </w:hyperlink>
    </w:p>
    <w:p>
      <w:pPr>
        <w:spacing w:before="0" w:after="120"/>
      </w:pPr>
      <w:r>
        <w:rPr>
          <w:b/>
        </w:rPr>
        <w:t xml:space="preserve">Notes: </w:t>
      </w:r>
      <w:r>
        <w:t>abstract_source=crossref</w:t>
      </w:r>
    </w:p>
    <w:p>
      <w:pPr>
        <w:spacing w:before="0" w:after="80" w:lineRule="auto" w:line="276"/>
      </w:pPr>
      <w:r>
        <w:rPr>
          <w:b/>
        </w:rPr>
        <w:t xml:space="preserve">摘要（ZH）: </w:t>
      </w:r>
      <w:r>
        <w:t>中国的一项尖端基因编辑试验出现了灾难性的错误。家庭需要责任</w:t>
      </w:r>
    </w:p>
    <w:p>
      <w:pPr>
        <w:spacing w:before="0" w:after="200" w:lineRule="auto" w:line="276"/>
      </w:pPr>
      <w:r>
        <w:rPr>
          <w:b/>
        </w:rPr>
        <w:t xml:space="preserve">Abstract (EN): </w:t>
      </w:r>
      <w:r>
        <w:t>A cutting-edge gene-editing trial in China went disastrously wrong. A family wants accountability</w:t>
      </w:r>
    </w:p>
    <w:p>
      <w:pPr>
        <w:spacing w:before="120" w:after="120"/>
      </w:pPr>
      <w:r>
        <w:rPr>
          <w:sz w:val="18"/>
        </w:rPr>
        <w:t>——————————————————————————————————————————————————————————————————————</w:t>
      </w:r>
    </w:p>
    <w:p>
      <w:pPr>
        <w:spacing w:before="160" w:after="40" w:line="240" w:lineRule="auto"/>
      </w:pPr>
      <w:r>
        <w:rPr>
          <w:b/>
        </w:rPr>
        <w:t xml:space="preserve">[752] </w:t>
      </w:r>
      <w:hyperlink r:id="rId1938">
        <w:r>
          <w:rPr>
            <w:color w:val="1155CC"/>
            <w:u w:val="single"/>
          </w:rPr>
          <w:t>一个微小的反应锥</w:t>
        </w:r>
      </w:hyperlink>
    </w:p>
    <w:p>
      <w:pPr>
        <w:spacing w:before="0" w:after="80"/>
      </w:pPr>
      <w:r>
        <w:rPr>
          <w:i/>
          <w:sz w:val="20"/>
        </w:rPr>
        <w:t>EN: A tiny cone of reactivity</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39">
        <w:r>
          <w:rPr>
            <w:color w:val="1155CC"/>
            <w:u w:val="single"/>
          </w:rPr>
          <w:t>10.1126/science.aej5890</w:t>
        </w:r>
      </w:hyperlink>
    </w:p>
    <w:p>
      <w:pPr>
        <w:spacing w:before="0" w:after="120"/>
      </w:pPr>
      <w:r>
        <w:rPr>
          <w:b/>
        </w:rPr>
        <w:t xml:space="preserve">Notes: </w:t>
      </w:r>
      <w:r>
        <w:t>abstract_source=crossref</w:t>
      </w:r>
    </w:p>
    <w:p>
      <w:pPr>
        <w:spacing w:before="0" w:after="80" w:lineRule="auto" w:line="276"/>
      </w:pPr>
      <w:r>
        <w:rPr>
          <w:b/>
        </w:rPr>
        <w:t xml:space="preserve">摘要（ZH）: </w:t>
      </w:r>
      <w:r>
        <w:t>碰撞分子仅当其方向和撞击点落在狭窄范围内时才会发生反应</w:t>
      </w:r>
    </w:p>
    <w:p>
      <w:pPr>
        <w:spacing w:before="0" w:after="200" w:lineRule="auto" w:line="276"/>
      </w:pPr>
      <w:r>
        <w:rPr>
          <w:b/>
        </w:rPr>
        <w:t xml:space="preserve">Abstract (EN): </w:t>
      </w:r>
      <w:r>
        <w:t>Colliding molecules react only when their orientations and point of impact fall within a narrow range</w:t>
      </w:r>
    </w:p>
    <w:p>
      <w:pPr>
        <w:spacing w:before="120" w:after="120"/>
      </w:pPr>
      <w:r>
        <w:rPr>
          <w:sz w:val="18"/>
        </w:rPr>
        <w:t>——————————————————————————————————————————————————————————————————————</w:t>
      </w:r>
    </w:p>
    <w:p>
      <w:pPr>
        <w:spacing w:before="160" w:after="40" w:line="240" w:lineRule="auto"/>
      </w:pPr>
      <w:r>
        <w:rPr>
          <w:b/>
        </w:rPr>
        <w:t xml:space="preserve">[753] </w:t>
      </w:r>
      <w:hyperlink r:id="rId1940">
        <w:r>
          <w:rPr>
            <w:color w:val="1155CC"/>
            <w:u w:val="single"/>
          </w:rPr>
          <w:t>保护和扩大海洋观测系统</w:t>
        </w:r>
      </w:hyperlink>
    </w:p>
    <w:p>
      <w:pPr>
        <w:spacing w:before="0" w:after="80"/>
      </w:pPr>
      <w:r>
        <w:rPr>
          <w:i/>
          <w:sz w:val="20"/>
        </w:rPr>
        <w:t>EN: Protect and expand ocean observation systems</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41">
        <w:r>
          <w:rPr>
            <w:color w:val="1155CC"/>
            <w:u w:val="single"/>
          </w:rPr>
          <w:t>10.1126/science.aej4152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[754] </w:t>
      </w:r>
      <w:hyperlink r:id="rId1942">
        <w:r>
          <w:rPr>
            <w:color w:val="1155CC"/>
            <w:u w:val="single"/>
          </w:rPr>
          <w:t>蛇分类学的错综复杂的世界</w:t>
        </w:r>
      </w:hyperlink>
    </w:p>
    <w:p>
      <w:pPr>
        <w:spacing w:before="0" w:after="80"/>
      </w:pPr>
      <w:r>
        <w:rPr>
          <w:i/>
          <w:sz w:val="20"/>
        </w:rPr>
        <w:t>EN: The tangled world of snake taxonomy</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43">
        <w:r>
          <w:rPr>
            <w:color w:val="1155CC"/>
            <w:u w:val="single"/>
          </w:rPr>
          <w:t>10.1126/science.aei8559</w:t>
        </w:r>
      </w:hyperlink>
    </w:p>
    <w:p>
      <w:pPr>
        <w:spacing w:before="0" w:after="120"/>
      </w:pPr>
      <w:r>
        <w:rPr>
          <w:b/>
        </w:rPr>
        <w:t xml:space="preserve">Notes: </w:t>
      </w:r>
      <w:r>
        <w:t>abstract_source=crossref</w:t>
      </w:r>
    </w:p>
    <w:p>
      <w:pPr>
        <w:spacing w:before="0" w:after="80" w:lineRule="auto" w:line="276"/>
      </w:pPr>
      <w:r>
        <w:rPr>
          <w:b/>
        </w:rPr>
        <w:t xml:space="preserve">摘要（ZH）: </w:t>
      </w:r>
      <w:r>
        <w:t>爬行动物学中的边缘人物在不寻常的分类学历史中提出了不太可能（且未经检查）的主张</w:t>
      </w:r>
    </w:p>
    <w:p>
      <w:pPr>
        <w:spacing w:before="0" w:after="200" w:lineRule="auto" w:line="276"/>
      </w:pPr>
      <w:r>
        <w:rPr>
          <w:b/>
        </w:rPr>
        <w:t xml:space="preserve">Abstract (EN): </w:t>
      </w:r>
      <w:r>
        <w:t>Fringe figures in herpetology advance unlikely (and unchecked) claims in an offbeat taxonomical history</w:t>
      </w:r>
    </w:p>
    <w:p>
      <w:pPr>
        <w:spacing w:before="120" w:after="120"/>
      </w:pPr>
      <w:r>
        <w:rPr>
          <w:sz w:val="18"/>
        </w:rPr>
        <w:t>——————————————————————————————————————————————————————————————————————</w:t>
      </w:r>
    </w:p>
    <w:p>
      <w:pPr>
        <w:spacing w:before="160" w:after="40" w:line="240" w:lineRule="auto"/>
      </w:pPr>
      <w:r>
        <w:rPr>
          <w:b/>
        </w:rPr>
        <w:t xml:space="preserve">[755] </w:t>
      </w:r>
      <w:hyperlink r:id="rId1944">
        <w:r>
          <w:rPr>
            <w:color w:val="1155CC"/>
            <w:u w:val="single"/>
          </w:rPr>
          <w:t>全新世语言多样性的兴衰</w:t>
        </w:r>
      </w:hyperlink>
    </w:p>
    <w:p>
      <w:pPr>
        <w:spacing w:before="0" w:after="80"/>
      </w:pPr>
      <w:r>
        <w:rPr>
          <w:i/>
          <w:sz w:val="20"/>
        </w:rPr>
        <w:t>EN: The rise and fall of language diversity through the Holocene</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45">
        <w:r>
          <w:rPr>
            <w:color w:val="1155CC"/>
            <w:u w:val="single"/>
          </w:rPr>
          <w:t>10.1126/science.adx4343</w:t>
        </w:r>
      </w:hyperlink>
    </w:p>
    <w:p>
      <w:pPr>
        <w:spacing w:before="0" w:after="120"/>
      </w:pPr>
      <w:r>
        <w:rPr>
          <w:b/>
        </w:rPr>
        <w:t xml:space="preserve">Notes: </w:t>
      </w:r>
      <w:r>
        <w:t>abstract_source=crossref</w:t>
      </w:r>
    </w:p>
    <w:p>
      <w:pPr>
        <w:spacing w:before="0" w:after="80" w:lineRule="auto" w:line="276"/>
      </w:pPr>
      <w:r>
        <w:rPr>
          <w:b/>
        </w:rPr>
        <w:t xml:space="preserve">摘要（ZH）: </w:t>
      </w:r>
      <w:r>
        <w:t>描述塑造语言多样性的因素对于理解人类历史、文化和认知至关重要。在这项研究中，我们结合了统计和社会计算模型、人种学数据和古人口学推断来模拟全球语言多样性的轨迹。在动植物驯化出现之前，语言的数量比现在少（从 7500 种到 4500 到 6000 种）。随后全球人口的增加促进了语言多样性的增加。我们发现了3000至1000年前的一个拥有数万种语言的语言“黄金时代”。语言多样性的巨大丧失并不是从最近的殖民扩张开始的，而是随着多民族帝国首先连同其语言、病原体和文化一起传播而开始的。因此，灭绝在塑造语言和文化多样性方面发挥的作用可能比之前想象的要大得多。</w:t>
      </w:r>
    </w:p>
    <w:p>
      <w:pPr>
        <w:spacing w:before="0" w:after="200" w:lineRule="auto" w:line="276"/>
      </w:pPr>
      <w:r>
        <w:rPr>
          <w:b/>
        </w:rPr>
        <w:t xml:space="preserve">Abstract (EN): </w:t>
      </w:r>
      <w:r>
        <w:t>Characterizing the factors that have shaped linguistic diversity is fundamental for understanding human history, culture, and cognition. In this study, we combined statistical and social computational modeling, ethnographic data, and paleodemographic inference to model trajectories of global linguistic diversity. Before the onset of plant and animal domestication, the number of languages was smaller than it is today (4500 to 6000 compared with 7500). Subsequent increases in global population precipitated increased linguistic diversity. We uncovered a linguistic “golden age” with tens of thousands of languages 3000 to 1000 years ago. Great loss of linguistic diversity did not begin with recent colonial expansion but as multinational empires first spread along with their languages, pathogens, and cultures. Thus, extinction has likely played a much greater role in shaping linguistic and cultural diversity than previously thought.</w:t>
      </w:r>
    </w:p>
    <w:p>
      <w:pPr>
        <w:spacing w:before="120" w:after="120"/>
      </w:pPr>
      <w:r>
        <w:rPr>
          <w:sz w:val="18"/>
        </w:rPr>
        <w:t>——————————————————————————————————————————————————————————————————————</w:t>
      </w:r>
    </w:p>
    <w:p>
      <w:pPr>
        <w:spacing w:before="160" w:after="40" w:line="240" w:lineRule="auto"/>
      </w:pPr>
      <w:r>
        <w:rPr>
          <w:b/>
        </w:rPr>
        <w:t xml:space="preserve">[756] </w:t>
      </w:r>
      <w:hyperlink r:id="rId1946">
        <w:r>
          <w:rPr>
            <w:color w:val="1155CC"/>
            <w:u w:val="single"/>
          </w:rPr>
          <w:t>应变释放弹头的后期功能化可实现可调节的共价抑制</w:t>
        </w:r>
      </w:hyperlink>
    </w:p>
    <w:p>
      <w:pPr>
        <w:spacing w:before="0" w:after="80"/>
      </w:pPr>
      <w:r>
        <w:rPr>
          <w:i/>
          <w:sz w:val="20"/>
        </w:rPr>
        <w:t>EN: Late-stage functionalization with strain-release warheads enables tunable covalent inhibition</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47">
        <w:r>
          <w:rPr>
            <w:color w:val="1155CC"/>
            <w:u w:val="single"/>
          </w:rPr>
          <w:t>10.1126/science.adx7219</w:t>
        </w:r>
      </w:hyperlink>
    </w:p>
    <w:p>
      <w:pPr>
        <w:spacing w:before="0" w:after="120"/>
      </w:pPr>
      <w:r>
        <w:rPr>
          <w:b/>
        </w:rPr>
        <w:t xml:space="preserve">Notes: </w:t>
      </w:r>
      <w:r>
        <w:t>abstract_source=crossref</w:t>
      </w:r>
    </w:p>
    <w:p>
      <w:pPr>
        <w:spacing w:before="0" w:after="80" w:lineRule="auto" w:line="276"/>
      </w:pPr>
      <w:r>
        <w:rPr>
          <w:b/>
        </w:rPr>
        <w:t xml:space="preserve">摘要（ZH）: </w:t>
      </w:r>
      <w:r>
        <w:t>共价抑制作为治疗和化学生物学背景下选择性蛋白质调节的策略继续获得动力。共价反应基团 (CRG) 通常与半胱氨酸等亲核残基结合，导致目标蛋白质失活。然而，常见的亲电子试剂（例如丙烯酰胺）通常会发生非选择性反应，导致脱靶效应和毒性。为了克服这些限制，我们开发了一种模块化硫 (IV) 试剂平台，用于磺酰基和磺酰亚氨基双环丁烷基序的温和后期安装，具有完全的半胱氨酸选择性。该方法能够获得具有可调应变释放反应性的多种硫 (VI) CRG。纳入美国食品和药物管理局批准的共价抑制剂，证明了丙烯酰胺的有效生物等排替代以及菌株释放 CRG 用于选择性蛋白质靶向的潜力。小鼠临床前研究验证了这种方法，凸显了其对下一代共价药物设计的前景。</w:t>
      </w:r>
    </w:p>
    <w:p>
      <w:pPr>
        <w:spacing w:before="0" w:after="200" w:lineRule="auto" w:line="276"/>
      </w:pPr>
      <w:r>
        <w:rPr>
          <w:b/>
        </w:rPr>
        <w:t xml:space="preserve">Abstract (EN): </w:t>
      </w:r>
      <w:r>
        <w:t>Covalent inhibition continues to gain momentum as a strategy for selective protein modulation in both therapeutic and chemical biology contexts. Covalent reactive groups (CRGs) typically engage nucleophilic residues such as cysteine, resulting in targeted protein inactivation. However, common electrophiles such as acrylamides often suffer from nonselective reactivity, leading to off-target effects and toxicity. To overcome these limitations, we developed a modular sulfur(IV) reagent platform for the mild, late-stage installation of sulfonyl- and sulfonimidoyl-bicyclobutane motifs with complete cysteine selectivity. This methodology enables access to diverse sulfur(VI) CRGs with tunable strain-release reactivity. Incorporation into US Food and Drug Administration–approved covalent inhibitors demonstrated effective bioisosteric replacement of acrylamides and the potential of strain-release CRGs for selective protein targeting. Preclinical studies in mice have validated this approach, highlighting its promise for next-generation covalent drug design.</w:t>
      </w:r>
    </w:p>
    <w:p>
      <w:pPr>
        <w:spacing w:before="120" w:after="120"/>
      </w:pPr>
      <w:r>
        <w:rPr>
          <w:sz w:val="18"/>
        </w:rPr>
        <w:t>——————————————————————————————————————————————————————————————————————</w:t>
      </w:r>
    </w:p>
    <w:p>
      <w:pPr>
        <w:spacing w:before="160" w:after="40" w:line="240" w:lineRule="auto"/>
      </w:pPr>
      <w:r>
        <w:rPr>
          <w:b/>
        </w:rPr>
        <w:t xml:space="preserve">[757] </w:t>
      </w:r>
      <w:hyperlink r:id="rId1948">
        <w:r>
          <w:rPr>
            <w:color w:val="1155CC"/>
            <w:u w:val="single"/>
          </w:rPr>
          <w:t>世界各地的鸟鸣多样性</w:t>
        </w:r>
      </w:hyperlink>
    </w:p>
    <w:p>
      <w:pPr>
        <w:spacing w:before="0" w:after="80"/>
      </w:pPr>
      <w:r>
        <w:rPr>
          <w:i/>
          <w:sz w:val="20"/>
        </w:rPr>
        <w:t>EN: Birdsong diversity across the world</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49">
        <w:r>
          <w:rPr>
            <w:color w:val="1155CC"/>
            <w:u w:val="single"/>
          </w:rPr>
          <w:t>10.1126/science.aej0087</w:t>
        </w:r>
      </w:hyperlink>
    </w:p>
    <w:p>
      <w:pPr>
        <w:spacing w:before="0" w:after="120"/>
      </w:pPr>
      <w:r>
        <w:rPr>
          <w:b/>
        </w:rPr>
        <w:t xml:space="preserve">Notes: </w:t>
      </w:r>
      <w:r>
        <w:t>abstract_source=crossref</w:t>
      </w:r>
    </w:p>
    <w:p>
      <w:pPr>
        <w:spacing w:before="0" w:after="80" w:lineRule="auto" w:line="276"/>
      </w:pPr>
      <w:r>
        <w:rPr>
          <w:b/>
        </w:rPr>
        <w:t xml:space="preserve">摘要（ZH）: </w:t>
      </w:r>
      <w:r>
        <w:t>鸟鸣主题是由进化历史、生物特征和环境限制决定的</w:t>
      </w:r>
    </w:p>
    <w:p>
      <w:pPr>
        <w:spacing w:before="0" w:after="200" w:lineRule="auto" w:line="276"/>
      </w:pPr>
      <w:r>
        <w:rPr>
          <w:b/>
        </w:rPr>
        <w:t xml:space="preserve">Abstract (EN): </w:t>
      </w:r>
      <w:r>
        <w:t>Birdsong motifs are shaped by evolutionary history, biological traits, and environmental constraints</w:t>
      </w:r>
    </w:p>
    <w:p>
      <w:pPr>
        <w:spacing w:before="120" w:after="120"/>
      </w:pPr>
      <w:r>
        <w:rPr>
          <w:sz w:val="18"/>
        </w:rPr>
        <w:t>——————————————————————————————————————————————————————————————————————</w:t>
      </w:r>
    </w:p>
    <w:p>
      <w:pPr>
        <w:spacing w:before="160" w:after="40" w:line="240" w:lineRule="auto"/>
      </w:pPr>
      <w:r>
        <w:rPr>
          <w:b/>
        </w:rPr>
        <w:t xml:space="preserve">[758] </w:t>
      </w:r>
      <w:hyperlink r:id="rId1950">
        <w:r>
          <w:rPr>
            <w:color w:val="1155CC"/>
            <w:u w:val="single"/>
          </w:rPr>
          <w:t>雀形目鸟类鸣叫的全球生物地理学</w:t>
        </w:r>
      </w:hyperlink>
    </w:p>
    <w:p>
      <w:pPr>
        <w:spacing w:before="0" w:after="80"/>
      </w:pPr>
      <w:r>
        <w:rPr>
          <w:i/>
          <w:sz w:val="20"/>
        </w:rPr>
        <w:t>EN: The global biogeography of passerine songs</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51">
        <w:r>
          <w:rPr>
            <w:color w:val="1155CC"/>
            <w:u w:val="single"/>
          </w:rPr>
          <w:t>10.1126/science.aee6239</w:t>
        </w:r>
      </w:hyperlink>
    </w:p>
    <w:p>
      <w:pPr>
        <w:spacing w:before="0" w:after="120"/>
      </w:pPr>
      <w:r>
        <w:rPr>
          <w:b/>
        </w:rPr>
        <w:t xml:space="preserve">Notes: </w:t>
      </w:r>
      <w:r>
        <w:t>abstract_source=crossref</w:t>
      </w:r>
    </w:p>
    <w:p>
      <w:pPr>
        <w:spacing w:before="0" w:after="80" w:lineRule="auto" w:line="276"/>
      </w:pPr>
      <w:r>
        <w:rPr>
          <w:b/>
        </w:rPr>
        <w:t xml:space="preserve">摘要（ZH）: </w:t>
      </w:r>
      <w:r>
        <w:t>尽管鸟鸣声是理解声音交流进化的经典模型，但它们的全球多样性长期以来使得统一框架的开发充满挑战。通过分析全球 3000 多种雀形目鸟类歌曲的声学结构，我们表明该声学空间可以围绕八个基本主题构建。这些主题的不同使用是由物种的生物特征（社会组织、形态和交配系统）和声音传播物理学的结合驱动的。在热带雨林中，传输效率的环境过滤有利于结构简单的图案，例如平口哨。相反，在温带地区，人口密度高有利于近距离交流，而繁殖季节短则加强了性选择，平衡转向复杂、信息丰富的主题，例如超快颤音，尽管它们容易受到声学退化的影响。最终，鸟鸣的全球地理反映了物理环境限制和复杂交流的生物驱动力之间的空间变化平衡。</w:t>
      </w:r>
    </w:p>
    <w:p>
      <w:pPr>
        <w:spacing w:before="0" w:after="200" w:lineRule="auto" w:line="276"/>
      </w:pPr>
      <w:r>
        <w:rPr>
          <w:b/>
        </w:rPr>
        <w:t xml:space="preserve">Abstract (EN): </w:t>
      </w:r>
      <w:r>
        <w:t>Although bird songs are classic models for understanding the evolution of vocal communication, their global diversity has long made the development of a unifying framework challenging. By analyzing the acoustic architecture of songs from more than 3000 passerine species worldwide, we show that this acoustic space can be structured around eight elemental motifs. The differential use of these motifs is driven by a combination of species’ biological traits (social organization, morphology, and mating system) and the physics of sound propagation. In tropical rainforests, environmental filtering for transmission efficiency favors structurally simple motifs, such as flat whistles. Conversely, in temperate regions, where high population densities facilitate close-range communication and short breeding seasons intensify sexual selection, the balance shifts toward complex, information-rich motifs, such as ultrafast trills, despite their susceptibility to acoustic degradation. Ultimately, the global geography of birdsong reflects a spatially varying equilibrium between physical environmental constraints and the biological drive for complex communication.</w:t>
      </w:r>
    </w:p>
    <w:p>
      <w:pPr>
        <w:spacing w:before="120" w:after="120"/>
      </w:pPr>
      <w:r>
        <w:rPr>
          <w:sz w:val="18"/>
        </w:rPr>
        <w:t>——————————————————————————————————————————————————————————————————————</w:t>
      </w:r>
    </w:p>
    <w:p>
      <w:pPr>
        <w:spacing w:before="160" w:after="40" w:line="240" w:lineRule="auto"/>
      </w:pPr>
      <w:r>
        <w:rPr>
          <w:b/>
        </w:rPr>
        <w:t xml:space="preserve">[759] </w:t>
      </w:r>
      <w:hyperlink r:id="rId1952">
        <w:r>
          <w:rPr>
            <w:color w:val="1155CC"/>
            <w:u w:val="single"/>
          </w:rPr>
          <w:t>来自科学前线的快报</w:t>
        </w:r>
      </w:hyperlink>
    </w:p>
    <w:p>
      <w:pPr>
        <w:spacing w:before="0" w:after="80"/>
      </w:pPr>
      <w:r>
        <w:rPr>
          <w:i/>
          <w:sz w:val="20"/>
        </w:rPr>
        <w:t>EN: Dispatches from the front lines of science</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53">
        <w:r>
          <w:rPr>
            <w:color w:val="1155CC"/>
            <w:u w:val="single"/>
          </w:rPr>
          <w:t>10.1126/science.aei1520</w:t>
        </w:r>
      </w:hyperlink>
    </w:p>
    <w:p>
      <w:pPr>
        <w:spacing w:before="0" w:after="120"/>
      </w:pPr>
      <w:r>
        <w:rPr>
          <w:b/>
        </w:rPr>
        <w:t xml:space="preserve">Notes: </w:t>
      </w:r>
      <w:r>
        <w:t>abstract_source=crossref</w:t>
      </w:r>
    </w:p>
    <w:p>
      <w:pPr>
        <w:spacing w:before="0" w:after="80" w:lineRule="auto" w:line="276"/>
      </w:pPr>
      <w:r>
        <w:rPr>
          <w:b/>
        </w:rPr>
        <w:t xml:space="preserve">摘要（ZH）: </w:t>
      </w:r>
      <w:r>
        <w:t>年轻科学家的热情和承诺成为行动研究的动人画面的中心舞台</w:t>
      </w:r>
    </w:p>
    <w:p>
      <w:pPr>
        <w:spacing w:before="0" w:after="200" w:lineRule="auto" w:line="276"/>
      </w:pPr>
      <w:r>
        <w:rPr>
          <w:b/>
        </w:rPr>
        <w:t xml:space="preserve">Abstract (EN): </w:t>
      </w:r>
      <w:r>
        <w:t>Young scientists’ passion and commitment take center stage in a moving portrait of research in action</w:t>
      </w:r>
    </w:p>
    <w:p>
      <w:pPr>
        <w:spacing w:before="120" w:after="120"/>
      </w:pPr>
      <w:r>
        <w:rPr>
          <w:sz w:val="18"/>
        </w:rPr>
        <w:t>——————————————————————————————————————————————————————————————————————</w:t>
      </w:r>
    </w:p>
    <w:p>
      <w:pPr>
        <w:spacing w:before="160" w:after="40" w:line="240" w:lineRule="auto"/>
      </w:pPr>
      <w:r>
        <w:rPr>
          <w:b/>
        </w:rPr>
        <w:t xml:space="preserve">[760] </w:t>
      </w:r>
      <w:hyperlink r:id="rId1954">
        <w:r>
          <w:rPr>
            <w:color w:val="1155CC"/>
            <w:u w:val="single"/>
          </w:rPr>
          <w:t>运动中的基因组：绘制健康细胞核图谱</w:t>
        </w:r>
      </w:hyperlink>
    </w:p>
    <w:p>
      <w:pPr>
        <w:spacing w:before="0" w:after="80"/>
      </w:pPr>
      <w:r>
        <w:rPr>
          <w:i/>
          <w:sz w:val="20"/>
        </w:rPr>
        <w:t>EN: Genome in motion: Mapping the nucleus in health</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55">
        <w:r>
          <w:rPr>
            <w:color w:val="1155CC"/>
            <w:u w:val="single"/>
          </w:rPr>
          <w:t>10.1126/science.aek3868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[761] </w:t>
      </w:r>
      <w:hyperlink r:id="rId1956">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57">
        <w:r>
          <w:rPr>
            <w:color w:val="1155CC"/>
            <w:u w:val="single"/>
          </w:rPr>
          <w:t>10.1126/science.aek7591</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[762] </w:t>
      </w:r>
      <w:hyperlink r:id="rId1958">
        <w:r>
          <w:rPr>
            <w:color w:val="1155CC"/>
            <w:u w:val="single"/>
          </w:rPr>
          <w:t>地质学家学习人工智能</w:t>
        </w:r>
      </w:hyperlink>
    </w:p>
    <w:p>
      <w:pPr>
        <w:spacing w:before="0" w:after="80"/>
      </w:pPr>
      <w:r>
        <w:rPr>
          <w:i/>
          <w:sz w:val="20"/>
        </w:rPr>
        <w:t>EN: A geologist learns AI</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59">
        <w:r>
          <w:rPr>
            <w:color w:val="1155CC"/>
            <w:u w:val="single"/>
          </w:rPr>
          <w:t>10.1126/science.aek7592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[763] </w:t>
      </w:r>
      <w:hyperlink r:id="rId1960">
        <w:r>
          <w:rPr>
            <w:color w:val="1155CC"/>
            <w:u w:val="single"/>
          </w:rPr>
          <w:t>水下气球</w:t>
        </w:r>
      </w:hyperlink>
    </w:p>
    <w:p>
      <w:pPr>
        <w:spacing w:before="0" w:after="80"/>
      </w:pPr>
      <w:r>
        <w:rPr>
          <w:i/>
          <w:sz w:val="20"/>
        </w:rPr>
        <w:t>EN: Ballooning under water</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61">
        <w:r>
          <w:rPr>
            <w:color w:val="1155CC"/>
            <w:u w:val="single"/>
          </w:rPr>
          <w:t>10.1126/science.aei9743</w:t>
        </w:r>
      </w:hyperlink>
    </w:p>
    <w:p>
      <w:pPr>
        <w:spacing w:before="0" w:after="120"/>
      </w:pPr>
      <w:r>
        <w:rPr>
          <w:b/>
        </w:rPr>
        <w:t xml:space="preserve">Notes: </w:t>
      </w:r>
      <w:r>
        <w:t>abstract_source=crossref</w:t>
      </w:r>
    </w:p>
    <w:p>
      <w:pPr>
        <w:spacing w:before="0" w:after="80" w:lineRule="auto" w:line="276"/>
      </w:pPr>
      <w:r>
        <w:rPr>
          <w:b/>
        </w:rPr>
        <w:t xml:space="preserve">摘要（ZH）: </w:t>
      </w:r>
      <w:r>
        <w:t>昆虫幼虫的浮力由气囊的材料特性控制</w:t>
      </w:r>
    </w:p>
    <w:p>
      <w:pPr>
        <w:spacing w:before="0" w:after="200" w:lineRule="auto" w:line="276"/>
      </w:pPr>
      <w:r>
        <w:rPr>
          <w:b/>
        </w:rPr>
        <w:t xml:space="preserve">Abstract (EN): </w:t>
      </w:r>
      <w:r>
        <w:t>Insect larval buoyancy is controlled by material properties of their air sacs</w:t>
      </w:r>
    </w:p>
    <w:p>
      <w:pPr>
        <w:spacing w:before="120" w:after="120"/>
      </w:pPr>
      <w:r>
        <w:rPr>
          <w:sz w:val="18"/>
        </w:rPr>
        <w:t>——————————————————————————————————————————————————————————————————————</w:t>
      </w:r>
    </w:p>
    <w:p>
      <w:pPr>
        <w:spacing w:before="160" w:after="40" w:line="240" w:lineRule="auto"/>
      </w:pPr>
      <w:r>
        <w:rPr>
          <w:b/>
        </w:rPr>
        <w:t xml:space="preserve">[764] </w:t>
      </w:r>
      <w:hyperlink r:id="rId1962">
        <w:r>
          <w:rPr>
            <w:color w:val="1155CC"/>
            <w:u w:val="single"/>
          </w:rPr>
          <w:t>没有压力就没有收获</w:t>
        </w:r>
      </w:hyperlink>
    </w:p>
    <w:p>
      <w:pPr>
        <w:spacing w:before="0" w:after="80"/>
      </w:pPr>
      <w:r>
        <w:rPr>
          <w:i/>
          <w:sz w:val="20"/>
        </w:rPr>
        <w:t>EN: No strain, no gain</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63">
        <w:r>
          <w:rPr>
            <w:color w:val="1155CC"/>
            <w:u w:val="single"/>
          </w:rPr>
          <w:t>10.1126/science.aej4566</w:t>
        </w:r>
      </w:hyperlink>
    </w:p>
    <w:p>
      <w:pPr>
        <w:spacing w:before="0" w:after="120"/>
      </w:pPr>
      <w:r>
        <w:rPr>
          <w:b/>
        </w:rPr>
        <w:t xml:space="preserve">Notes: </w:t>
      </w:r>
      <w:r>
        <w:t>abstract_source=crossref</w:t>
      </w:r>
    </w:p>
    <w:p>
      <w:pPr>
        <w:spacing w:before="0" w:after="80" w:lineRule="auto" w:line="276"/>
      </w:pPr>
      <w:r>
        <w:rPr>
          <w:b/>
        </w:rPr>
        <w:t xml:space="preserve">摘要（ZH）: </w:t>
      </w:r>
      <w:r>
        <w:t>模块化方法可以扩展弹簧加载共价药物的种类</w:t>
      </w:r>
    </w:p>
    <w:p>
      <w:pPr>
        <w:spacing w:before="0" w:after="200" w:lineRule="auto" w:line="276"/>
      </w:pPr>
      <w:r>
        <w:rPr>
          <w:b/>
        </w:rPr>
        <w:t xml:space="preserve">Abstract (EN): </w:t>
      </w:r>
      <w:r>
        <w:t>A modular approach could expand the repertoire of spring-loaded covalent drugs</w:t>
      </w:r>
    </w:p>
    <w:p>
      <w:pPr>
        <w:spacing w:before="120" w:after="120"/>
      </w:pPr>
      <w:r>
        <w:rPr>
          <w:sz w:val="18"/>
        </w:rPr>
        <w:t>——————————————————————————————————————————————————————————————————————</w:t>
      </w:r>
    </w:p>
    <w:p>
      <w:pPr>
        <w:spacing w:before="160" w:after="40" w:line="240" w:lineRule="auto"/>
      </w:pPr>
      <w:r>
        <w:rPr>
          <w:b/>
        </w:rPr>
        <w:t xml:space="preserve">[765] </w:t>
      </w:r>
      <w:hyperlink r:id="rId1964">
        <w:r>
          <w:rPr>
            <w:color w:val="1155CC"/>
            <w:u w:val="single"/>
          </w:rPr>
          <w:t>阶梯几何引导菱面体石墨烯的生长</w:t>
        </w:r>
      </w:hyperlink>
    </w:p>
    <w:p>
      <w:pPr>
        <w:spacing w:before="0" w:after="80"/>
      </w:pPr>
      <w:r>
        <w:rPr>
          <w:i/>
          <w:sz w:val="20"/>
        </w:rPr>
        <w:t>EN: Step geometry–guided growth of rhombohedral graphene</w:t>
      </w:r>
    </w:p>
    <w:p>
      <w:pPr>
        <w:spacing w:before="0" w:after="120"/>
      </w:pPr>
      <w:r>
        <w:rPr>
          <w:b/>
        </w:rPr>
        <w:t xml:space="preserve">Source: </w:t>
      </w:r>
      <w:r>
        <w:t>AAAS: Science: Table of Contents</w:t>
      </w:r>
      <w:r>
        <w:t xml:space="preserve">    </w:t>
      </w:r>
      <w:r>
        <w:rPr>
          <w:b/>
        </w:rPr>
        <w:t xml:space="preserve">Pub date: </w:t>
      </w:r>
      <w:r>
        <w:t>2026-07-23 06:00:11+00:00</w:t>
      </w:r>
      <w:r>
        <w:t xml:space="preserve">    </w:t>
      </w:r>
      <w:r>
        <w:rPr>
          <w:b/>
        </w:rPr>
        <w:t xml:space="preserve">DOI: </w:t>
      </w:r>
      <w:hyperlink r:id="rId1965">
        <w:r>
          <w:rPr>
            <w:color w:val="1155CC"/>
            <w:u w:val="single"/>
          </w:rPr>
          <w:t>10.1126/science.aed9202</w:t>
        </w:r>
      </w:hyperlink>
    </w:p>
    <w:p>
      <w:pPr>
        <w:spacing w:before="0" w:after="120"/>
      </w:pPr>
      <w:r>
        <w:rPr>
          <w:b/>
        </w:rPr>
        <w:t xml:space="preserve">Notes: </w:t>
      </w:r>
      <w:r>
        <w:t>abstract_source=crossref</w:t>
      </w:r>
    </w:p>
    <w:p>
      <w:pPr>
        <w:spacing w:before="0" w:after="80" w:lineRule="auto" w:line="276"/>
      </w:pPr>
      <w:r>
        <w:rPr>
          <w:b/>
        </w:rPr>
        <w:t xml:space="preserve">摘要（ZH）: </w:t>
      </w:r>
      <w:r>
        <w:t>菱面体（ABC）堆叠石墨烯已成为探索相关物理和拓扑物理的平台。然而，其大规模纯相合成受到固有的热力学亚稳定性和动力学不稳定性的阻碍。在这项工作中，我们引入了一种阶梯几何引导的外延策略来确定性地控制层间滑移，从而能够合成纯相菱面体石墨烯。使用这种方法，我们获得了纯（相纯度&gt; 99%）菱形石墨烯，其面积达到160微米×80微米，厚度范围从~15层到~120纳米。由此产生的样品建立了第一个全面的拉曼指纹和本征能带结构参考数据集，从几层薄膜到约 200 层块体。电子输运测量揭示了层状反铁磁态和量子反常霍尔效应，从而能够对下一代量子科学和技术应用进行可扩展的探索。</w:t>
      </w:r>
    </w:p>
    <w:p>
      <w:pPr>
        <w:spacing w:before="0" w:after="200" w:lineRule="auto" w:line="276"/>
      </w:pPr>
      <w:r>
        <w:rPr>
          <w:b/>
        </w:rPr>
        <w:t xml:space="preserve">Abstract (EN): </w:t>
      </w:r>
      <w:r>
        <w:t>Rhombohedral (ABC)–stacked graphene has emerged as a platform for exploring correlated and topological physics. However, its large-scale, pure-phase synthesis has been hindered by intrinsic thermodynamic metastability and kinetic instability. In this work, we introduce a step geometry–guided epitaxial strategy to deterministically control interlayer slip, enabling the synthesis of pure-phase rhombohedral graphene. Using this approach, we obtained pure (phase purity &amp;gt; 99%) rhombohedral graphene with an area reaching 160 micrometers by 80 micrometers and thickness ranging from ~15 layers to ~120 nanometers. The resulting samples establish the first comprehensive reference dataset of Raman fingerprints and intrinsic band structures from few-layer films to ~200-layer bulk. Electronic transport measurements reveal a layer-antiferromagnetic state and the quantum anomalous Hall effect, enabling scalable exploration of next-generation quantum science and technology applications.</w:t>
      </w:r>
    </w:p>
    <w:p>
      <w:pPr>
        <w:spacing w:before="120" w:after="120"/>
      </w:pPr>
      <w:r>
        <w:rPr>
          <w:sz w:val="18"/>
        </w:rPr>
        <w:t>——————————————————————————————————————————————————————————————————————</w:t>
      </w:r>
    </w:p>
    <w:p>
      <w:pPr>
        <w:spacing w:before="160" w:after="40" w:line="240" w:lineRule="auto"/>
      </w:pPr>
      <w:r>
        <w:rPr>
          <w:b/>
        </w:rPr>
        <w:t xml:space="preserve">[766] </w:t>
      </w:r>
      <w:hyperlink r:id="rId1966">
        <w:r>
          <w:rPr>
            <w:color w:val="1155CC"/>
            <w:u w:val="single"/>
          </w:rPr>
          <w:t>LPA/LPAR 信号传导通过调节 PIEZO2 的表达和敏化驱动颞下颌疾病样疼痛</w:t>
        </w:r>
      </w:hyperlink>
    </w:p>
    <w:p>
      <w:pPr>
        <w:spacing w:before="0" w:after="80"/>
      </w:pPr>
      <w:r>
        <w:rPr>
          <w:i/>
          <w:sz w:val="20"/>
        </w:rPr>
        <w:t>EN: LPA/LPAR signaling drives temporomandibular disorders–like pain through regulating the expression and sensitization of PIEZO2</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67">
        <w:r>
          <w:rPr>
            <w:color w:val="1155CC"/>
            <w:u w:val="single"/>
          </w:rPr>
          <w:t>10.1126/sciadv.aed1854</w:t>
        </w:r>
      </w:hyperlink>
    </w:p>
    <w:p>
      <w:pPr>
        <w:spacing w:before="0" w:after="120"/>
      </w:pPr>
      <w:r>
        <w:rPr>
          <w:b/>
        </w:rPr>
        <w:t xml:space="preserve">Notes: </w:t>
      </w:r>
      <w:r>
        <w:t>abstract_source=crossref</w:t>
      </w:r>
    </w:p>
    <w:p>
      <w:pPr>
        <w:spacing w:before="0" w:after="80" w:lineRule="auto" w:line="276"/>
      </w:pPr>
      <w:r>
        <w:rPr>
          <w:b/>
        </w:rPr>
        <w:t xml:space="preserve">摘要（ZH）: </w:t>
      </w:r>
      <w:r>
        <w:t>颞下颌关节紊乱 (TMD) 疼痛是最常见的口面部疼痛，有效的治疗方法有限。在这里，我们在由 TMJ 炎症或咬肌损伤引起的 TMD 样疼痛模型中观察到血液、三叉神经节 (TG) 和颞下颌关节周围 (TMJ) 组织中的溶血磷脂酸 (LPA)（一种生物活性脂质）升高。值得注意的是，TMD 患者血液中的 LPA 水平也升高，并且与疼痛强度呈正相关。 LPA 受体 (LPAR) 1 和 3 在小鼠和人类 TG 神经元中表达，并在 TMD 样疼痛模型中上调。抑制或敲除 LPAR1 或 LPAR3 可减轻 TMD 样疼痛，而将 LPA 注射到 TMJ 或咬肌中则会引发疼痛。此外，我们证明 LPA/LPAR 信号通过细胞外信号调节激酶 (ERK) 上调 TG 神经元中的 PIEZO2（一种机械敏感离子通道）并使其敏感。特异性删除或抑制 TG 神经元中的 PIEZO2 以及抑制 ERK 激活可减轻 TMD 样疼痛。这些发现表明 LPA/LPAR 信号通过 PIEZO2 驱动 TMD 样疼痛，提供潜在的治疗靶点。</w:t>
      </w:r>
    </w:p>
    <w:p>
      <w:pPr>
        <w:spacing w:before="0" w:after="200" w:lineRule="auto" w:line="276"/>
      </w:pPr>
      <w:r>
        <w:rPr>
          <w:b/>
        </w:rPr>
        <w:t xml:space="preserve">Abstract (EN): </w:t>
      </w:r>
      <w:r>
        <w:t>Temporomandibular disorders (TMD) pain is the most common orofacial pain with limited effective treatments. Here, we observed elevated lysophosphatidic acid (LPA), a bioactive lipid, in blood, trigeminal ganglion (TG), and peri-temporomandibular joint (TMJ) tissues in mouse models of TMD-like pain induced by TMJ inflammation or masseter muscle injury. Notably, LPA levels were also elevated in TMD patients’ blood and positively correlated with their pain intensity. LPA receptors (LPAR) 1 and 3 were expressed in mouse and human TG neurons and upregulated in TMD-like pain models. Inhibition or knockout of LPAR1 or LPAR3 attenuated TMD-like pain, while LPA injection into the TMJ or masseter muscle evoked pain. Furthermore, we demonstrated that LPA/LPAR signaling upregulates and sensitizes PIEZO2, a mechanosensitive ion channel, in TG neurons via extracellular signal-regulated kinase (ERK). Specific deletion or inhibition of PIEZO2 and suppression of ERK activation in TG neurons mitigated TMD-like pain. These findings suggest that LPA/LPAR signaling drives TMD-like pain via PIEZO2, offering potential therapeutic targets.</w:t>
      </w:r>
    </w:p>
    <w:p>
      <w:pPr>
        <w:spacing w:before="120" w:after="120"/>
      </w:pPr>
      <w:r>
        <w:rPr>
          <w:sz w:val="18"/>
        </w:rPr>
        <w:t>——————————————————————————————————————————————————————————————————————</w:t>
      </w:r>
    </w:p>
    <w:p>
      <w:pPr>
        <w:spacing w:before="160" w:after="40" w:line="240" w:lineRule="auto"/>
      </w:pPr>
      <w:r>
        <w:rPr>
          <w:b/>
        </w:rPr>
        <w:t xml:space="preserve">[767] </w:t>
      </w:r>
      <w:hyperlink r:id="rId1968">
        <w:r>
          <w:rPr>
            <w:color w:val="1155CC"/>
            <w:u w:val="single"/>
          </w:rPr>
          <w:t>人类扁桃体 3D 基因组图谱以及环挤压在 B 细胞体细胞超突变中的作用</w:t>
        </w:r>
      </w:hyperlink>
    </w:p>
    <w:p>
      <w:pPr>
        <w:spacing w:before="0" w:after="80"/>
      </w:pPr>
      <w:r>
        <w:rPr>
          <w:i/>
          <w:sz w:val="20"/>
        </w:rPr>
        <w:t>EN: A 3D genome atlas of human tonsil and the role of loop extrusion in B cell somatic hypermutation</w:t>
      </w:r>
    </w:p>
    <w:p>
      <w:pPr>
        <w:spacing w:before="0" w:after="120"/>
      </w:pPr>
      <w:r>
        <w:rPr>
          <w:b/>
        </w:rPr>
        <w:t xml:space="preserve">Source: </w:t>
      </w:r>
      <w:r>
        <w:t>AAAS: Science: Table of Contents</w:t>
      </w:r>
      <w:r>
        <w:t xml:space="preserve">    </w:t>
      </w:r>
      <w:r>
        <w:rPr>
          <w:b/>
        </w:rPr>
        <w:t xml:space="preserve">Pub date: </w:t>
      </w:r>
      <w:r>
        <w:t>2026-07-23 07:00:00+00:00</w:t>
      </w:r>
      <w:r>
        <w:t xml:space="preserve">    </w:t>
      </w:r>
      <w:r>
        <w:rPr>
          <w:b/>
        </w:rPr>
        <w:t xml:space="preserve">DOI: </w:t>
      </w:r>
      <w:hyperlink r:id="rId1969">
        <w:r>
          <w:rPr>
            <w:color w:val="1155CC"/>
            <w:u w:val="single"/>
          </w:rPr>
          <w:t>10.1126/science.adw4243</w:t>
        </w:r>
      </w:hyperlink>
    </w:p>
    <w:p>
      <w:pPr>
        <w:spacing w:before="0" w:after="120"/>
      </w:pPr>
      <w:r>
        <w:rPr>
          <w:b/>
        </w:rPr>
        <w:t xml:space="preserve">Notes: </w:t>
      </w:r>
      <w:r>
        <w:t>abstract_source=crossref</w:t>
      </w:r>
    </w:p>
    <w:p>
      <w:pPr>
        <w:spacing w:before="0" w:after="80" w:lineRule="auto" w:line="276"/>
      </w:pPr>
      <w:r>
        <w:rPr>
          <w:b/>
        </w:rPr>
        <w:t xml:space="preserve">摘要（ZH）: </w:t>
      </w:r>
      <w:r>
        <w:t>生发中心组织微环境中的 B 细胞成熟涉及通过体细胞超突变 (SHM) 实现的免疫球蛋白基因多样化。三维 (3D) 基因组结构如何影响 SHM 尚不完全清楚。我们利用基于测序和基于图像的 3D 基因组学和转录组学来绘制人类扁桃体和 B 细胞淋巴瘤细胞系中跨细胞类型和状态的单细胞 3D 基因组组织和基因表达。这些分析揭示了 B 细胞免疫反应和 SHM 激活过程中区室、循环和核位置变化的轨迹。粘连蛋白成分 RAD21 的靶向蛋白质降解揭示了其对实现 SHM 的贡献。我们的结果提供了人类扁桃体细胞的单细胞 3D 基因组图谱，并概述了染色质环挤出机制和 SHM 之间的联系。</w:t>
      </w:r>
    </w:p>
    <w:p>
      <w:pPr>
        <w:spacing w:before="0" w:after="200" w:lineRule="auto" w:line="276"/>
      </w:pPr>
      <w:r>
        <w:rPr>
          <w:b/>
        </w:rPr>
        <w:t xml:space="preserve">Abstract (EN): </w:t>
      </w:r>
      <w:r>
        <w:t>B cell maturation within the germinal center tissue microenvironment involves immunoglobulin gene diversification by somatic hypermutation (SHM). How three-dimensional (3D) genome architecture influences SHM is not fully understood. We leveraged sequencing-based and image-based 3D genomics and transcriptomics to map single-cell 3D genome organization and gene expression across cell types and states in human tonsils and in B cell lymphoma cell lines. These analyses revealed trajectories of compartment, looping, and nuclear position changes during the B cell immune response and activation of SHM. Targeted protein degradation of cohesin component RAD21 revealed its contribution to enabling SHM. Our results provide a single-cell 3D genome atlas of human tonsil cells and outline the links between the chromatin loop extrusion machinery and SHM.</w:t>
      </w:r>
    </w:p>
    <w:p>
      <w:pPr>
        <w:spacing w:before="120" w:after="120"/>
      </w:pPr>
      <w:r>
        <w:rPr>
          <w:sz w:val="18"/>
        </w:rPr>
        <w:t>——————————————————————————————————————————————————————————————————————</w:t>
      </w:r>
    </w:p>
    <w:p>
      <w:pPr>
        <w:spacing w:before="160" w:after="40" w:line="240" w:lineRule="auto"/>
      </w:pPr>
      <w:r>
        <w:rPr>
          <w:b/>
        </w:rPr>
        <w:t xml:space="preserve">[768] </w:t>
      </w:r>
      <w:hyperlink r:id="rId1970">
        <w:r>
          <w:rPr>
            <w:color w:val="1155CC"/>
            <w:u w:val="single"/>
          </w:rPr>
          <w:t>人体单细胞三维基因组组织和DNA甲基化图谱</w:t>
        </w:r>
      </w:hyperlink>
    </w:p>
    <w:p>
      <w:pPr>
        <w:spacing w:before="0" w:after="80"/>
      </w:pPr>
      <w:r>
        <w:rPr>
          <w:i/>
          <w:sz w:val="20"/>
        </w:rPr>
        <w:t>EN: Human body single-cell atlas of three-dimensional genome organization and DNA methylation</w:t>
      </w:r>
    </w:p>
    <w:p>
      <w:pPr>
        <w:spacing w:before="0" w:after="120"/>
      </w:pPr>
      <w:r>
        <w:rPr>
          <w:b/>
        </w:rPr>
        <w:t xml:space="preserve">Source: </w:t>
      </w:r>
      <w:r>
        <w:t>AAAS: Science: Table of Contents</w:t>
      </w:r>
      <w:r>
        <w:t xml:space="preserve">    </w:t>
      </w:r>
      <w:r>
        <w:rPr>
          <w:b/>
        </w:rPr>
        <w:t xml:space="preserve">Pub date: </w:t>
      </w:r>
      <w:r>
        <w:t>2026-07-23 07:00:00+00:00</w:t>
      </w:r>
      <w:r>
        <w:t xml:space="preserve">    </w:t>
      </w:r>
      <w:r>
        <w:rPr>
          <w:b/>
        </w:rPr>
        <w:t xml:space="preserve">DOI: </w:t>
      </w:r>
      <w:hyperlink r:id="rId1971">
        <w:r>
          <w:rPr>
            <w:color w:val="1155CC"/>
            <w:u w:val="single"/>
          </w:rPr>
          <w:t>10.1126/science.adx0673</w:t>
        </w:r>
      </w:hyperlink>
    </w:p>
    <w:p>
      <w:pPr>
        <w:spacing w:before="0" w:after="120"/>
      </w:pPr>
      <w:r>
        <w:rPr>
          <w:b/>
        </w:rPr>
        <w:t xml:space="preserve">Notes: </w:t>
      </w:r>
      <w:r>
        <w:t>abstract_source=crossref</w:t>
      </w:r>
    </w:p>
    <w:p>
      <w:pPr>
        <w:spacing w:before="0" w:after="80" w:lineRule="auto" w:line="276"/>
      </w:pPr>
      <w:r>
        <w:rPr>
          <w:b/>
        </w:rPr>
        <w:t xml:space="preserve">摘要（ZH）: </w:t>
      </w:r>
      <w:r>
        <w:t>高阶染色质结构和 DNA 甲基化对于基因调控至关重要，但这些在人体中如何变化仍不清楚。我们对 16 个组织中的 86,689 个单核进行了三维 (3D) 基因组结构和 DNA 甲基化的多组学分析，鉴定了 35 种主要细胞亚型和 206 种细胞亚型。我们揭示了跨细胞类型的 CG 和非 CG 甲基化的广泛变化，并以前所未有的细胞分辨率表征了 3D 染色质结构。由 DNA 甲基化和基因组结构划分的细胞类型之间存在广泛的差异，这表明不同的表观基因组特征在维持细胞身份方面的作用可能因谱系而异。该研究拓展了我们对DNA甲基化和染色质结构多样性的认识，为探索人类健康和疾病中的基因调控提供参考。</w:t>
      </w:r>
    </w:p>
    <w:p>
      <w:pPr>
        <w:spacing w:before="0" w:after="200" w:lineRule="auto" w:line="276"/>
      </w:pPr>
      <w:r>
        <w:rPr>
          <w:b/>
        </w:rPr>
        <w:t xml:space="preserve">Abstract (EN): </w:t>
      </w:r>
      <w:r>
        <w:t>Higher-order chromatin structure and DNA methylation are critical for gene regulation, but how these vary across the human body remains unclear. We performed multiomic profiling of three-dimensional (3D) genome structure and DNA methylation for 86,689 single nuclei across 16 tissues, identifying 35 major and 206 cell subtypes. We revealed extensive changes in CG and non-CG methylation across cell types and characterized 3D chromatin structure at an unprecedented cellular resolution. Extensive discrepancies exist between cell types delineated by DNA methylation and genome structure, which indicates that the role of distinct epigenomic features in maintaining cell identity may vary by lineage. This study expands our understanding of the diversity of DNA methylation and chromatin structure and offers a reference for exploring gene regulation in human health and disease.</w:t>
      </w:r>
    </w:p>
    <w:p>
      <w:pPr>
        <w:spacing w:before="120" w:after="120"/>
      </w:pPr>
      <w:r>
        <w:rPr>
          <w:sz w:val="18"/>
        </w:rPr>
        <w:t>——————————————————————————————————————————————————————————————————————</w:t>
      </w:r>
    </w:p>
    <w:p>
      <w:pPr>
        <w:spacing w:before="160" w:after="40" w:line="240" w:lineRule="auto"/>
      </w:pPr>
      <w:r>
        <w:rPr>
          <w:b/>
        </w:rPr>
        <w:t xml:space="preserve">[769] </w:t>
      </w:r>
      <w:hyperlink r:id="rId1972">
        <w:r>
          <w:rPr>
            <w:color w:val="1155CC"/>
            <w:u w:val="single"/>
          </w:rPr>
          <w:t>寒武纪辐射后的 4000 万年里，地球磁场一直很弱</w:t>
        </w:r>
      </w:hyperlink>
    </w:p>
    <w:p>
      <w:pPr>
        <w:spacing w:before="0" w:after="80"/>
      </w:pPr>
      <w:r>
        <w:rPr>
          <w:i/>
          <w:sz w:val="20"/>
        </w:rPr>
        <w:t>EN: Earth’s magnetic field remained weak for 40 million years after the Cambrian radiation</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73">
        <w:r>
          <w:rPr>
            <w:color w:val="1155CC"/>
            <w:u w:val="single"/>
          </w:rPr>
          <w:t>10.1126/sciadv.aeg2325</w:t>
        </w:r>
      </w:hyperlink>
    </w:p>
    <w:p>
      <w:pPr>
        <w:spacing w:before="0" w:after="120"/>
      </w:pPr>
      <w:r>
        <w:rPr>
          <w:b/>
        </w:rPr>
        <w:t xml:space="preserve">Notes: </w:t>
      </w:r>
      <w:r>
        <w:t>abstract_source=crossref</w:t>
      </w:r>
    </w:p>
    <w:p>
      <w:pPr>
        <w:spacing w:before="0" w:after="80" w:lineRule="auto" w:line="276"/>
      </w:pPr>
      <w:r>
        <w:rPr>
          <w:b/>
        </w:rPr>
        <w:t xml:space="preserve">摘要（ZH）: </w:t>
      </w:r>
      <w:r>
        <w:t>埃迪卡拉纪-寒武纪标志着重大的环境变化和复杂生命的出现，恰逢地球历史上一些最弱的磁场强度。有人提出，该边界附近的内核成核引发了寒武纪早期地球发电机的快速增强，但对该区间磁场行为的直接约束仍然有限。在这里，我们展示了巴西（约 5.25 亿年前）和新斯科舍省（约 5.05 亿年前）两个寒武纪火成岩序列的新古强度结果。使用多种互补方法，这两个记录都表明反向地磁场仍然很弱。结合对已发表数据的重新分析，我们的结果表明，寒武纪辐射后弱磁场条件持续了数千万年。这些发现限制了任何寒武纪地球发电机加强的幅度和时间，并意味着地球磁层屏蔽在早期动物进化的关键阶段仍然受到强烈抑制。</w:t>
      </w:r>
    </w:p>
    <w:p>
      <w:pPr>
        <w:spacing w:before="0" w:after="200" w:lineRule="auto" w:line="276"/>
      </w:pPr>
      <w:r>
        <w:rPr>
          <w:b/>
        </w:rPr>
        <w:t xml:space="preserve">Abstract (EN): </w:t>
      </w:r>
      <w:r>
        <w:t>The Ediacaran-Cambrian interval marks major environmental change and the emergence of complex life, coinciding with some of the weakest magnetic field strengths in Earth history. It has been proposed that inner core nucleation near this boundary triggered a rapid strengthening of the geodynamo during the early Cambrian, but direct constraints on magnetic field behavior across this interval remain limited. Here, we present new paleointensity results from two Cambrian igneous sequences in Brazil (~525 million years ago) and Nova Scotia (~505 million years ago). Using multiple complementary methods, both records indicate a reversing geomagnetic field that remained weak. Combined with a reanalysis of published data, our results show that weak magnetic field conditions persisted for tens of millions of years after the Cambrian radiation. These findings limit the magnitude and timing of any Cambrian geodynamo strengthening and imply that Earth’s magnetospheric shielding remained strongly suppressed during a key phase of early animal evolution.</w:t>
      </w:r>
    </w:p>
    <w:p>
      <w:pPr>
        <w:spacing w:before="120" w:after="120"/>
      </w:pPr>
      <w:r>
        <w:rPr>
          <w:sz w:val="18"/>
        </w:rPr>
        <w:t>——————————————————————————————————————————————————————————————————————</w:t>
      </w:r>
    </w:p>
    <w:p>
      <w:pPr>
        <w:spacing w:before="160" w:after="40" w:line="240" w:lineRule="auto"/>
      </w:pPr>
      <w:r>
        <w:rPr>
          <w:b/>
        </w:rPr>
        <w:t xml:space="preserve">[770] </w:t>
      </w:r>
      <w:hyperlink r:id="rId1974">
        <w:r>
          <w:rPr>
            <w:color w:val="1155CC"/>
            <w:u w:val="single"/>
          </w:rPr>
          <w:t>单细胞多组学和染色质结构揭示心力衰竭的基因调控动态</w:t>
        </w:r>
      </w:hyperlink>
    </w:p>
    <w:p>
      <w:pPr>
        <w:spacing w:before="0" w:after="80"/>
      </w:pPr>
      <w:r>
        <w:rPr>
          <w:i/>
          <w:sz w:val="20"/>
        </w:rPr>
        <w:t>EN: Single-cell multiomics and chromatin structure reveal gene-regulatory dynamics in heart failure</w:t>
      </w:r>
    </w:p>
    <w:p>
      <w:pPr>
        <w:spacing w:before="0" w:after="120"/>
      </w:pPr>
      <w:r>
        <w:rPr>
          <w:b/>
        </w:rPr>
        <w:t xml:space="preserve">Source: </w:t>
      </w:r>
      <w:r>
        <w:t>AAAS: Science: Table of Contents</w:t>
      </w:r>
      <w:r>
        <w:t xml:space="preserve">    </w:t>
      </w:r>
      <w:r>
        <w:rPr>
          <w:b/>
        </w:rPr>
        <w:t xml:space="preserve">Pub date: </w:t>
      </w:r>
      <w:r>
        <w:t>2026-07-23 07:00:00+00:00</w:t>
      </w:r>
      <w:r>
        <w:t xml:space="preserve">    </w:t>
      </w:r>
      <w:r>
        <w:rPr>
          <w:b/>
        </w:rPr>
        <w:t xml:space="preserve">DOI: </w:t>
      </w:r>
      <w:hyperlink r:id="rId1975">
        <w:r>
          <w:rPr>
            <w:color w:val="1155CC"/>
            <w:u w:val="single"/>
          </w:rPr>
          <w:t>10.1126/science.ady6893</w:t>
        </w:r>
      </w:hyperlink>
    </w:p>
    <w:p>
      <w:pPr>
        <w:spacing w:before="0" w:after="120"/>
      </w:pPr>
      <w:r>
        <w:rPr>
          <w:b/>
        </w:rPr>
        <w:t xml:space="preserve">Notes: </w:t>
      </w:r>
      <w:r>
        <w:t>abstract_source=crossref</w:t>
      </w:r>
    </w:p>
    <w:p>
      <w:pPr>
        <w:spacing w:before="0" w:after="80" w:lineRule="auto" w:line="276"/>
      </w:pPr>
      <w:r>
        <w:rPr>
          <w:b/>
        </w:rPr>
        <w:t xml:space="preserve">摘要（ZH）: </w:t>
      </w:r>
      <w:r>
        <w:t>心力衰竭是发病和死亡的主要原因，但驱动细胞类型特异性病理反应的基因调控机制仍不清楚。在这里，我们展示了 13 个正常和 23 个衰竭人类心脏所有心室的细胞类型解析转录组、染色质可及性、组蛋白修饰和染色质组织。综合分析揭示了细胞类型组成、基因调控程序和染色质组织的动态变化，特别是在心肌细胞和成纤维细胞中。从这些分析中绘制细胞类型特异性增强子基因相互作用图谱，可以从遗传关联数据中阐明可能导致心力衰竭的遗传因素。总之，这些发现提供了人类心脏在健康和疾病中的多模式基因调控图谱，为设计精确的、针对细胞类型的心力衰竭治疗方法提供了框架。</w:t>
      </w:r>
    </w:p>
    <w:p>
      <w:pPr>
        <w:spacing w:before="0" w:after="200" w:lineRule="auto" w:line="276"/>
      </w:pPr>
      <w:r>
        <w:rPr>
          <w:b/>
        </w:rPr>
        <w:t xml:space="preserve">Abstract (EN): </w:t>
      </w:r>
      <w:r>
        <w:t>Heart failure is a leading cause of morbidity and mortality, yet gene-regulatory mechanisms driving cell type–specific pathologic responses remain undefined. Here, we present the cell type–resolved transcriptomes, chromatin accessibility, histone modifications, and chromatin organization of 13 nonfailing and 23 failing human hearts across all cardiac chambers. Integrative analyses revealed dynamic changes in cell type composition, gene-regulatory programs, and chromatin organization, particularly in cardiomyocytes and fibroblasts. Mapping cell type–specific enhancer-gene interactions from these analyses enabled the illumination of likely causal genetic contributors to heart failure from genetic association data. Together, these findings provide multimodal gene-regulatory maps of the human heart in health and disease, offering a framework for designing precise, cell type–targeted therapies for treating heart failure.</w:t>
      </w:r>
    </w:p>
    <w:p>
      <w:pPr>
        <w:spacing w:before="120" w:after="120"/>
      </w:pPr>
      <w:r>
        <w:rPr>
          <w:sz w:val="18"/>
        </w:rPr>
        <w:t>——————————————————————————————————————————————————————————————————————</w:t>
      </w:r>
    </w:p>
    <w:p>
      <w:pPr>
        <w:spacing w:before="160" w:after="40" w:line="240" w:lineRule="auto"/>
      </w:pPr>
      <w:r>
        <w:rPr>
          <w:b/>
        </w:rPr>
        <w:t xml:space="preserve">[771] </w:t>
      </w:r>
      <w:hyperlink r:id="rId1976">
        <w:r>
          <w:rPr>
            <w:color w:val="1155CC"/>
            <w:u w:val="single"/>
          </w:rPr>
          <w:t>高精度时域并行光子计算</w:t>
        </w:r>
      </w:hyperlink>
    </w:p>
    <w:p>
      <w:pPr>
        <w:spacing w:before="0" w:after="80"/>
      </w:pPr>
      <w:r>
        <w:rPr>
          <w:i/>
          <w:sz w:val="20"/>
        </w:rPr>
        <w:t>EN: High-precision time-domain parallelism photonic computing</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77">
        <w:r>
          <w:rPr>
            <w:color w:val="1155CC"/>
            <w:u w:val="single"/>
          </w:rPr>
          <w:t>10.1126/sciadv.aef7533</w:t>
        </w:r>
      </w:hyperlink>
    </w:p>
    <w:p>
      <w:pPr>
        <w:spacing w:before="0" w:after="120"/>
      </w:pPr>
      <w:r>
        <w:rPr>
          <w:b/>
        </w:rPr>
        <w:t xml:space="preserve">Notes: </w:t>
      </w:r>
      <w:r>
        <w:t>abstract_source=crossref</w:t>
      </w:r>
    </w:p>
    <w:p>
      <w:pPr>
        <w:spacing w:before="0" w:after="80" w:lineRule="auto" w:line="276"/>
      </w:pPr>
      <w:r>
        <w:rPr>
          <w:b/>
        </w:rPr>
        <w:t xml:space="preserve">摘要（ZH）: </w:t>
      </w:r>
      <w:r>
        <w:t>人工智能 (AI) 计算需求超过了电子硬件扩展，从而造成了严重的“AI 计算差距”。光子计算承诺速度、低延迟和并行性，但在核心阵列可扩展性和光电带宽效率方面面临瓶颈。我们提出了一种时域并行（TDP）计算架构，该架构可在时间上复用紧凑型核心，从而实现大规模卷积运算，同时优化带宽效率。为了支持这一框架，我们开发了基于氧化铟锡 (ITO) 的光子器件，展示了创纪录的 60 kHz 的 9 位动态可重构性和 311 kHz 的 3 分贝带宽。这些器件具有紧凑的移相器长度（</w:t>
      </w:r>
      <w:r>
        <w:t xml:space="preserve"> </w:t>
      </w:r>
      <w:r>
        <w:t>L</w:t>
      </w:r>
      <w:r>
        <w:t xml:space="preserve"> </w:t>
      </w:r>
      <w:r>
        <w:t>π</w:t>
      </w:r>
      <w:r>
        <w:t xml:space="preserve"> </w:t>
      </w:r>
      <w:r>
        <w:t>= 20 微米）和卓越的耐用性（&gt;10</w:t>
      </w:r>
      <w:r>
        <w:rPr>
          <w:vertAlign w:val="subscript"/>
        </w:rPr>
        <w:t>10</w:t>
      </w:r>
      <w:r>
        <w:t>消光比降低 &lt;0.1 分贝的循环）。使用 2 × 2 ITO 光子阵列验证 TDP 系统在 Fashion-MNIST 分类上的准确度达到 84.91%，与全精度 (FP32) 软件基准 (84.66%) 相当，并且优于 5 位基准 (71.94%)。值得注意的是，该系统在以每秒 1694 帧的速度运行时保持了这种高保真性能。这项工作为人工智能工作负载建立了一条实现节能光子计算的可扩展途径。</w:t>
      </w:r>
    </w:p>
    <w:p>
      <w:pPr>
        <w:spacing w:before="0" w:after="200" w:lineRule="auto" w:line="276"/>
      </w:pPr>
      <w:r>
        <w:rPr>
          <w:b/>
        </w:rPr>
        <w:t xml:space="preserve">Abstract (EN): </w:t>
      </w:r>
      <w:r>
        <w:t>Artificial intelligence (AI) compute demands outstrip electronic hardware scaling, creating a critical “AI compute gap.” Photonic computing promises speed, low latency, and parallelism yet faces bottlenecks in core array scalability and optoelectronic bandwidth efficiency. We propose a time-domain parallelism (TDP) computing architecture that temporally multiplexes compact cores, enabling large-scale convolutional operations while optimizing bandwidth efficiency. Supporting this framework, we develop indium tin oxide (ITO)–based photonic devices demonstrating a record 9-bit dynamic reconfigurability at 60 kilohertz and a 3-decibel bandwidth of 311 kilohertz. These devices feature compact phase shifter lengths (</w:t>
      </w:r>
      <w:r>
        <w:t xml:space="preserve"> </w:t>
      </w:r>
      <w:r>
        <w:t>L</w:t>
      </w:r>
      <w:r>
        <w:t xml:space="preserve"> </w:t>
      </w:r>
      <w:r>
        <w:t>π</w:t>
      </w:r>
      <w:r>
        <w:t xml:space="preserve"> </w:t>
      </w:r>
      <w:r>
        <w:t>= 20 micrometers) and exceptional endurance (&amp;gt;10</w:t>
      </w:r>
      <w:r>
        <w:rPr>
          <w:vertAlign w:val="subscript"/>
        </w:rPr>
        <w:t>10</w:t>
      </w:r>
      <w:r>
        <w:t>cycles with &amp;lt;0.1-decibel extinction ratio degradation). Validation of the TDP system using a 2 × 2 ITO photonic array achieves an accuracy of 84.91% on Fashion-MNIST classification, comparable to the full-precision (FP32) software baseline (84.66%) and outperforming a 5-bit benchmark (71.94%). Notably, the system maintains this high-fidelity performance while operating at 1694 frames per second. This work establishes a scalable pathway toward energy-efficient photonic computing for AI workloads.</w:t>
      </w:r>
    </w:p>
    <w:p>
      <w:pPr>
        <w:spacing w:before="120" w:after="120"/>
      </w:pPr>
      <w:r>
        <w:rPr>
          <w:sz w:val="18"/>
        </w:rPr>
        <w:t>——————————————————————————————————————————————————————————————————————</w:t>
      </w:r>
    </w:p>
    <w:p>
      <w:pPr>
        <w:spacing w:before="160" w:after="40" w:line="240" w:lineRule="auto"/>
      </w:pPr>
      <w:r>
        <w:rPr>
          <w:b/>
        </w:rPr>
        <w:t xml:space="preserve">[772] </w:t>
      </w:r>
      <w:hyperlink r:id="rId1978">
        <w:r>
          <w:rPr>
            <w:color w:val="1155CC"/>
            <w:u w:val="single"/>
          </w:rPr>
          <w:t>使用光纤地震学量化冰川的地下断裂损伤</w:t>
        </w:r>
      </w:hyperlink>
    </w:p>
    <w:p>
      <w:pPr>
        <w:spacing w:before="0" w:after="80"/>
      </w:pPr>
      <w:r>
        <w:rPr>
          <w:i/>
          <w:sz w:val="20"/>
        </w:rPr>
        <w:t>EN: Quantifying subsurface fracture damage in glaciers using fiber-optic seismology</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79">
        <w:r>
          <w:rPr>
            <w:color w:val="1155CC"/>
            <w:u w:val="single"/>
          </w:rPr>
          <w:t>10.1126/sciadv.aef1107</w:t>
        </w:r>
      </w:hyperlink>
    </w:p>
    <w:p>
      <w:pPr>
        <w:spacing w:before="0" w:after="120"/>
      </w:pPr>
      <w:r>
        <w:rPr>
          <w:b/>
        </w:rPr>
        <w:t xml:space="preserve">Notes: </w:t>
      </w:r>
      <w:r>
        <w:t>abstract_source=crossref</w:t>
      </w:r>
    </w:p>
    <w:p>
      <w:pPr>
        <w:spacing w:before="0" w:after="80" w:lineRule="auto" w:line="276"/>
      </w:pPr>
      <w:r>
        <w:rPr>
          <w:b/>
        </w:rPr>
        <w:t xml:space="preserve">摘要（ZH）: </w:t>
      </w:r>
      <w:r>
        <w:t>裂缝对冰川的稳定性起着至关重要的作用。裂缝可以深入冰川或冰架，促进崩解、冰崩，甚至突然发生灾难性的冰架崩塌。然而，量化地下断裂损伤在很大程度上仍然是未量化的。在这里，我们展示了分布式声学传感技术如何以前所未有的细节量化高山冰川的地下裂缝损伤。我们首先证明地震各向异性可以量化断裂程度。我们还研究裂缝冰震破坏机制，其主要通过拉伸张开而破坏。冰震产生的裂缝张开与各向异性产生的估计一致（约占总冰体积的 8%），表明损害主要是破裂而不是融化。这些结果建立了一种可扩展的监测地下冰损害的方法，补充了现有的卫星表面观测。应用范围包括监测对高山群落构成风险的高山冰川的稳定性，以及为评估全球相关冰盖和冰架的地下断裂程度提供基础。</w:t>
      </w:r>
    </w:p>
    <w:p>
      <w:pPr>
        <w:spacing w:before="0" w:after="200" w:lineRule="auto" w:line="276"/>
      </w:pPr>
      <w:r>
        <w:rPr>
          <w:b/>
        </w:rPr>
        <w:t xml:space="preserve">Abstract (EN): </w:t>
      </w:r>
      <w:r>
        <w:t>Crevassing critically controls glacier stability. Crevasses can penetrate deep into a glacier or ice shelf, promoting calving, ice avalanches, and even sudden catastrophic ice shelf collapse. Yet quantifying subsurface fracture damage remains largely unquantified. Here, we show how distributed acoustic sensing technology can quantify subsurface fracture damage in unprecedented detail at an alpine glacier. We first demonstrate that seismic anisotropy can quantify fracture extent. We also study crevasse icequake failure mechanisms, which fail predominantly via tensile opening. Icequake-derived crevasse opening is consistent with anisotropy-derived estimates (∼8% of total ice volume), suggesting that damage is dominated by fracture rather than melt. These results establish a scalable approach for monitoring subsurface ice damage that complements existing satellite surface observations. Applications range from monitoring the stability of alpine glaciers that pose a risk to alpine communities to providing foundations for assessing subsurface fracture extent at globally pertinent ice sheets and ice shelves.</w:t>
      </w:r>
    </w:p>
    <w:p>
      <w:pPr>
        <w:spacing w:before="120" w:after="120"/>
      </w:pPr>
      <w:r>
        <w:rPr>
          <w:sz w:val="18"/>
        </w:rPr>
        <w:t>——————————————————————————————————————————————————————————————————————</w:t>
      </w:r>
    </w:p>
    <w:p>
      <w:pPr>
        <w:spacing w:before="160" w:after="40" w:line="240" w:lineRule="auto"/>
      </w:pPr>
      <w:r>
        <w:rPr>
          <w:b/>
        </w:rPr>
        <w:t xml:space="preserve">[773] </w:t>
      </w:r>
      <w:hyperlink r:id="rId1980">
        <w:r>
          <w:rPr>
            <w:color w:val="1155CC"/>
            <w:u w:val="single"/>
          </w:rPr>
          <w:t>神经形态组织：用于受大脑启发的时间计算的软生物分子网络</w:t>
        </w:r>
      </w:hyperlink>
    </w:p>
    <w:p>
      <w:pPr>
        <w:spacing w:before="0" w:after="80"/>
      </w:pPr>
      <w:r>
        <w:rPr>
          <w:i/>
          <w:sz w:val="20"/>
        </w:rPr>
        <w:t>EN: Neuromorphic tissues: Soft biomolecular networks for brain-inspired temporal computing</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81">
        <w:r>
          <w:rPr>
            <w:color w:val="1155CC"/>
            <w:u w:val="single"/>
          </w:rPr>
          <w:t>10.1126/sciadv.aed0971</w:t>
        </w:r>
      </w:hyperlink>
    </w:p>
    <w:p>
      <w:pPr>
        <w:spacing w:before="0" w:after="120"/>
      </w:pPr>
      <w:r>
        <w:rPr>
          <w:b/>
        </w:rPr>
        <w:t xml:space="preserve">Notes: </w:t>
      </w:r>
      <w:r>
        <w:t>abstract_source=crossref</w:t>
      </w:r>
    </w:p>
    <w:p>
      <w:pPr>
        <w:spacing w:before="0" w:after="80" w:lineRule="auto" w:line="276"/>
      </w:pPr>
      <w:r>
        <w:rPr>
          <w:b/>
        </w:rPr>
        <w:t xml:space="preserve">摘要（ZH）: </w:t>
      </w:r>
      <w:r>
        <w:t>大脑通过神经元之间的密集互连和循环反馈在处理时间信息方面实现了非凡的效率。受这一原理的启发，我们引入了神经形态组织——软生物分子网络，由细胞大小的水室组成，通过含有电压门控离子通道的脂质膜互连。当隔室受到电流注入的电刺激时，将其与相邻隔室分开的膜会极化，直到发生通道激活，从而将界面短暂地转变为耦合相邻节点的导电突触。这些动力学产生内在的物理重现，使网络能够编码、传播和重建与时间相关的信号，而无需外部反馈电路。实验和建模证明了储层计算的非线性、衰落记忆和循环动力学特性，能够准确预测非线性和混沌序列，例如 NARMA-10 和洛伦兹吸引子。这项工作表明，空间互连可以增强物理储层的计算能力，并强调软自组装材料作为实现此类互连系统的有前景的平台。</w:t>
      </w:r>
    </w:p>
    <w:p>
      <w:pPr>
        <w:spacing w:before="0" w:after="200" w:lineRule="auto" w:line="276"/>
      </w:pPr>
      <w:r>
        <w:rPr>
          <w:b/>
        </w:rPr>
        <w:t xml:space="preserve">Abstract (EN): </w:t>
      </w:r>
      <w:r>
        <w:t>Brains achieve extraordinary efficiency in processing temporal information through dense interconnectivity and recurrent feedback among neurons. Inspired by this principle, we introduce neuromorphic tissues—soft biomolecular networks comprising cell-sized aqueous compartments interconnected by lipid membranes containing voltage-gated ion channels. When a compartment is electrically stimulated by current injection, the membranes separating it from neighboring compartments polarize until channel activation occurs, transiently transforming the interface into a conductive synapse that couples adjacent nodes. These dynamics generate intrinsic physical recurrence, enabling the network to encode, propagate, and reconstruct time-dependent signals without external feedback circuitry. Experiments and modeling demonstrate nonlinear, fading-memory, and recurrent dynamics characteristic of reservoir computing, enabling accurate prediction of nonlinear and chaotic sequences such as NARMA-10 and the Lorenz attractor. This work suggests that spatial interconnectivity can enhance the computational capabilities of physical reservoirs and highlights soft, self-assembled materials as a promising platform for implementing such interconnected systems.</w:t>
      </w:r>
    </w:p>
    <w:p>
      <w:pPr>
        <w:spacing w:before="120" w:after="120"/>
      </w:pPr>
      <w:r>
        <w:rPr>
          <w:sz w:val="18"/>
        </w:rPr>
        <w:t>——————————————————————————————————————————————————————————————————————</w:t>
      </w:r>
    </w:p>
    <w:p>
      <w:pPr>
        <w:spacing w:before="160" w:after="40" w:line="240" w:lineRule="auto"/>
      </w:pPr>
      <w:r>
        <w:rPr>
          <w:b/>
        </w:rPr>
        <w:t xml:space="preserve">[774] </w:t>
      </w:r>
      <w:hyperlink r:id="rId1982">
        <w:r>
          <w:rPr>
            <w:color w:val="1155CC"/>
            <w:u w:val="single"/>
          </w:rPr>
          <w:t>尽管气候变暖，西风引起的降水增加仍导致青藏高原近地表冰的增加</w:t>
        </w:r>
      </w:hyperlink>
    </w:p>
    <w:p>
      <w:pPr>
        <w:spacing w:before="0" w:after="80"/>
      </w:pPr>
      <w:r>
        <w:rPr>
          <w:i/>
          <w:sz w:val="20"/>
        </w:rPr>
        <w:t>EN: Westerly induced precipitation increase drives near-surface ground ice gain on the Tibetan Plateau despite warming</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83">
        <w:r>
          <w:rPr>
            <w:color w:val="1155CC"/>
            <w:u w:val="single"/>
          </w:rPr>
          <w:t>10.1126/sciadv.aed1105</w:t>
        </w:r>
      </w:hyperlink>
    </w:p>
    <w:p>
      <w:pPr>
        <w:spacing w:before="0" w:after="120"/>
      </w:pPr>
      <w:r>
        <w:rPr>
          <w:b/>
        </w:rPr>
        <w:t xml:space="preserve">Notes: </w:t>
      </w:r>
      <w:r>
        <w:t>abstract_source=crossref</w:t>
      </w:r>
    </w:p>
    <w:p>
      <w:pPr>
        <w:spacing w:before="0" w:after="80" w:lineRule="auto" w:line="276"/>
      </w:pPr>
      <w:r>
        <w:rPr>
          <w:b/>
        </w:rPr>
        <w:t xml:space="preserve">摘要（ZH）: </w:t>
      </w:r>
      <w:r>
        <w:t>近地表地面冰损失是全球变暖下永久冻土退化的一个关键迹象，决定了地面不稳定和碳反馈。然而，最近的现场证据表明，地面冰可能会局部积聚，但其驱动机制仍不清楚。利用钻孔地面冰观测、基于物理的永久冻土模型和基于卫星的地面变形数据，我们发现，尽管青藏高原内陆气候变暖，但活动层底部的冰异常增加，占高原永久冻土面积的35%。加强的西风带增加了降水，提供了额外的土壤水分，这些水分在活动层底部重新冻结并推动了这种意想不到的冰增加。与积冰相关的冻融过程会加剧地面变形，破坏永久冻土景观的稳定并威胁社会经济活动。永久冻土区的异常冰量增加，加上喀喇昆仑冰川质量的异常增加，代表了气候变暖下冰冻圈冰量增加与全球冰损失的不同，这凸显出降水的快速增加可能局部超过了推动青藏高原冰冻圈演化的温度。</w:t>
      </w:r>
    </w:p>
    <w:p>
      <w:pPr>
        <w:spacing w:before="0" w:after="200" w:lineRule="auto" w:line="276"/>
      </w:pPr>
      <w:r>
        <w:rPr>
          <w:b/>
        </w:rPr>
        <w:t xml:space="preserve">Abstract (EN): </w:t>
      </w:r>
      <w:r>
        <w:t>Near-surface ground ice loss is a key sign of permafrost degradation under global warming, dictating ground destabilization and carbon feedback. However, recent field evidence suggests that ground ice may locally accumulate, while the driving mechanisms remain unclear. Leveraging borehole ground ice observations, a physics-based permafrost model, and satellite-based ground deformation data, we identify an anomalous ice increase at the active layer bottom despite climate warming across the interior Tibetan Plateau, occupying 35% of plateau’s permafrost area. Strengthened westerlies have enhanced precipitation, supplying additional soil moisture that refreezes at the active layer bottom and drives this unexpected ice gain. Freeze-thaw process associated with the accumulated ice amplifies ground deformation, destabilizing permafrost landscapes and threatening socioeconomic activities. This anomalous ice gain in permafrost regions, together with the Karakoram anomalous glacier mass increase, represents a divergent cryospheric ice gain against global ice loss under climate warming, highlighting that rapid precipitation increase may locally outweigh temperature in driving cryosphere evolution on the Tibetan Plateau.</w:t>
      </w:r>
    </w:p>
    <w:p>
      <w:pPr>
        <w:spacing w:before="120" w:after="120"/>
      </w:pPr>
      <w:r>
        <w:rPr>
          <w:sz w:val="18"/>
        </w:rPr>
        <w:t>——————————————————————————————————————————————————————————————————————</w:t>
      </w:r>
    </w:p>
    <w:p>
      <w:pPr>
        <w:spacing w:before="160" w:after="40" w:line="240" w:lineRule="auto"/>
      </w:pPr>
      <w:r>
        <w:rPr>
          <w:b/>
        </w:rPr>
        <w:t xml:space="preserve">[775] </w:t>
      </w:r>
      <w:hyperlink r:id="rId1984">
        <w:r>
          <w:rPr>
            <w:color w:val="1155CC"/>
            <w:u w:val="single"/>
          </w:rPr>
          <w:t>菌株特异性上位性塑造了 HIV-1 Vif 蛋白对 APOBEC3G 拮抗作用的适应度</w:t>
        </w:r>
      </w:hyperlink>
    </w:p>
    <w:p>
      <w:pPr>
        <w:spacing w:before="0" w:after="80"/>
      </w:pPr>
      <w:r>
        <w:rPr>
          <w:i/>
          <w:sz w:val="20"/>
        </w:rPr>
        <w:t>EN: Strain-specific epistasis shapes fitness landscapes of APOBEC3G antagonism by HIV-1 Vif proteins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85">
        <w:r>
          <w:rPr>
            <w:color w:val="1155CC"/>
            <w:u w:val="single"/>
          </w:rPr>
          <w:t>10.1126/sciadv.aed4872</w:t>
        </w:r>
      </w:hyperlink>
    </w:p>
    <w:p>
      <w:pPr>
        <w:spacing w:before="0" w:after="120"/>
      </w:pPr>
      <w:r>
        <w:rPr>
          <w:b/>
        </w:rPr>
        <w:t xml:space="preserve">Notes: </w:t>
      </w:r>
      <w:r>
        <w:t>abstract_source=crossref</w:t>
      </w:r>
    </w:p>
    <w:p>
      <w:pPr>
        <w:spacing w:before="0" w:after="80" w:lineRule="auto" w:line="276"/>
      </w:pPr>
      <w:r>
        <w:rPr>
          <w:b/>
        </w:rPr>
        <w:t xml:space="preserve">摘要（ZH）: </w:t>
      </w:r>
      <w:r>
        <w:t>宿主免疫因素影响病毒进化。 HIV-1 病毒感染因子 (Vif) 蛋白可对抗宿主载脂蛋白 B 信使 RNA 编辑酶催化多肽样 3 (A3G)，以确保有效感染。通过对两种不同的 HIV-1 Vif 蛋白进行深度突变扫描，我们系统地绘制并比较了控制 A3G 的 Vif 拮抗作用的突变图谱。这些高分辨率的适应度图揭示了宿主病毒共同进化的核心原理。大多数错义突变具有很强的毒性，反映出普遍存在的纯化选择。然而，与 A3G、RNA 和核心结合因子 β 结合界面上的几个高度保守的 Vif 残基表现出意想不到的突变耐受性，表明这些位点的结构灵活性。比较分析表明，菌株特异性上位决定了 Vif-A3G 相互作用，包括 Vif-A3G 界面的适应性变化。进一步的分析发现了显着的时间上位性，最初对拮抗类人猿 A3G 至关重要的适应性 Vif 突变随后表现出适应性降低。因此，结构稳健性允许适应，而上位性则限制了 Vif 维持 A3G 拮抗作用同时保持对新进化压力的反应的能力。</w:t>
      </w:r>
    </w:p>
    <w:p>
      <w:pPr>
        <w:spacing w:before="0" w:after="200" w:lineRule="auto" w:line="276"/>
      </w:pPr>
      <w:r>
        <w:rPr>
          <w:b/>
        </w:rPr>
        <w:t xml:space="preserve">Abstract (EN): </w:t>
      </w:r>
      <w:r>
        <w:t>Host immune factors shape viral evolution. The HIV-1 viral infectivity factor (Vif) protein counteracts host Apolipoprotein B Messenger RNA Editing Enzyme Catalytic Polypeptide–like 3 (A3G) to ensure productive infection. Using deep mutational scanning across two divergent HIV-1 Vif proteins, we systematically mapped and compared the mutational landscapes governing Vif antagonism of A3G. These high-resolution fitness maps reveal core principles of host-virus coevolution. Most missense mutations were strongly deleterious, reflecting pervasive purifying selection. However, several highly conserved Vif residues at binding interfaces with A3G, RNA, and core-binding factor β exhibited unexpected mutational tolerance, indicating structural flexibility at these sites. Comparative analysis revealed that strain-specific epistasis dictates Vif-A3G interactions, including adaptive changes at the Vif-A3G interface. Further analysis uncovered notable temporal epistasis, whereby initially adaptive Vif mutations critical for antagonizing hominoid A3G subsequently exhibited reduced fitness. Thus, structural robustness permits adaptation, while epistasis imposes constraints on Vif’s ability to maintain A3G antagonism while remaining responsive to new evolutionary pressures.</w:t>
      </w:r>
    </w:p>
    <w:p>
      <w:pPr>
        <w:spacing w:before="120" w:after="120"/>
      </w:pPr>
      <w:r>
        <w:rPr>
          <w:sz w:val="18"/>
        </w:rPr>
        <w:t>——————————————————————————————————————————————————————————————————————</w:t>
      </w:r>
    </w:p>
    <w:p>
      <w:pPr>
        <w:spacing w:before="160" w:after="40" w:line="240" w:lineRule="auto"/>
      </w:pPr>
      <w:r>
        <w:rPr>
          <w:b/>
        </w:rPr>
        <w:t xml:space="preserve">[776] </w:t>
      </w:r>
      <w:hyperlink r:id="rId1986">
        <w:r>
          <w:rPr>
            <w:color w:val="1155CC"/>
            <w:u w:val="single"/>
          </w:rPr>
          <w:t>嫦娥六号撞击熔岩40Ar/39Ar年代学揭示的月球背面轰击历史</w:t>
        </w:r>
      </w:hyperlink>
    </w:p>
    <w:p>
      <w:pPr>
        <w:spacing w:before="0" w:after="80"/>
      </w:pPr>
      <w:r>
        <w:rPr>
          <w:i/>
          <w:sz w:val="20"/>
        </w:rPr>
        <w:t>EN: The bombardment history on the lunar farside revealed by 40Ar/39Ar geochronology of Chang’e-6 impact melt rocks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87">
        <w:r>
          <w:rPr>
            <w:color w:val="1155CC"/>
            <w:u w:val="single"/>
          </w:rPr>
          <w:t>10.1126/sciadv.aee8718</w:t>
        </w:r>
      </w:hyperlink>
    </w:p>
    <w:p>
      <w:pPr>
        <w:spacing w:before="0" w:after="120"/>
      </w:pPr>
      <w:r>
        <w:rPr>
          <w:b/>
        </w:rPr>
        <w:t xml:space="preserve">Notes: </w:t>
      </w:r>
      <w:r>
        <w:t>abstract_source=crossref</w:t>
      </w:r>
    </w:p>
    <w:p>
      <w:pPr>
        <w:spacing w:before="0" w:after="80" w:lineRule="auto" w:line="276"/>
      </w:pPr>
      <w:r>
        <w:rPr>
          <w:b/>
        </w:rPr>
        <w:t xml:space="preserve">摘要（ZH）: </w:t>
      </w:r>
      <w:r>
        <w:t>重建月球轰击历史对于理解地月系统的演化至关重要。到目前为止，它在很大程度上依赖于月球近侧样本的地质年代学研究，但缺乏来自月球背面的直接样本约束。在这里，我们展示了28个单块</w:t>
      </w:r>
      <w:r>
        <w:rPr>
          <w:vertAlign w:val="subscript"/>
        </w:rPr>
        <w:t>40</w:t>
      </w:r>
      <w:r>
        <w:t>氩气/</w:t>
      </w:r>
      <w:r>
        <w:rPr>
          <w:vertAlign w:val="subscript"/>
        </w:rPr>
        <w:t>39</w:t>
      </w:r>
      <w:r>
        <w:t>嫦娥六号任务返回的撞击融化岩石年龄。它们揭示了从~4.33年到~11.3亿年（Ga）的撞击事件。特别是，三个熔体碎屑的年代为~4.16 Ga，与阿波罗盆地最近的测年一致，只有两个年龄落在4.0至3.7 Ga。较老的年龄（&gt;4.0 Ga）的存在和~3.9 Ga左右的主要年龄的缺乏表明，月球背面轰击并不是由灾难性的尖峰主导，而是由后来的撞击所打断的平稳的长期下降所主导。</w:t>
      </w:r>
    </w:p>
    <w:p>
      <w:pPr>
        <w:spacing w:before="0" w:after="200" w:lineRule="auto" w:line="276"/>
      </w:pPr>
      <w:r>
        <w:rPr>
          <w:b/>
        </w:rPr>
        <w:t xml:space="preserve">Abstract (EN): </w:t>
      </w:r>
      <w:r>
        <w:t>The reconstruction of the lunar bombardment history is pivotal to understanding the evolution of Earth-Moon system. So far, it heavily depends on geochronological studies of lunar nearside samples but lacks direct sample constraints from the lunar farside. Here, we present 28 single-clast</w:t>
      </w:r>
      <w:r>
        <w:rPr>
          <w:vertAlign w:val="subscript"/>
        </w:rPr>
        <w:t>40</w:t>
      </w:r>
      <w:r>
        <w:t>Ar/</w:t>
      </w:r>
      <w:r>
        <w:rPr>
          <w:vertAlign w:val="subscript"/>
        </w:rPr>
        <w:t>39</w:t>
      </w:r>
      <w:r>
        <w:t>Ar ages of impact melt rocks returned by the Chang’e-6 mission. They reveal impact events spanning from ∼4.33 to ∼1.13 billion years (Ga). In particular, three melt clasts date to ∼4.16 Ga, consistent with the recent dating of the Apollo basin, and only two ages fall at 4.0 to 3.7 Ga. The presence of older ages (&amp;gt;4.0 Ga) and lack of predominant age around ∼3.9 Ga suggest that the lunar farside bombardment was not dominated by a cataclysmic spike but by a smooth long-term decline punctuated by later impacts.</w:t>
      </w:r>
    </w:p>
    <w:p>
      <w:pPr>
        <w:spacing w:before="120" w:after="120"/>
      </w:pPr>
      <w:r>
        <w:rPr>
          <w:sz w:val="18"/>
        </w:rPr>
        <w:t>——————————————————————————————————————————————————————————————————————</w:t>
      </w:r>
    </w:p>
    <w:p>
      <w:pPr>
        <w:spacing w:before="160" w:after="40" w:line="240" w:lineRule="auto"/>
      </w:pPr>
      <w:r>
        <w:rPr>
          <w:b/>
        </w:rPr>
        <w:t xml:space="preserve">[777] </w:t>
      </w:r>
      <w:hyperlink r:id="rId1988">
        <w:r>
          <w:rPr>
            <w:color w:val="1155CC"/>
            <w:u w:val="single"/>
          </w:rPr>
          <w:t>多巴胺 D2 受体绕过经典信号传导直接调节 NMDA 受体功能和厌恶学习</w:t>
        </w:r>
      </w:hyperlink>
    </w:p>
    <w:p>
      <w:pPr>
        <w:spacing w:before="0" w:after="80"/>
      </w:pPr>
      <w:r>
        <w:rPr>
          <w:i/>
          <w:sz w:val="20"/>
        </w:rPr>
        <w:t>EN: Dopamine D2 receptors bypass canonical signaling to directly tune NMDA receptor function and aversive learning</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89">
        <w:r>
          <w:rPr>
            <w:color w:val="1155CC"/>
            <w:u w:val="single"/>
          </w:rPr>
          <w:t>10.1126/sciadv.aee6579</w:t>
        </w:r>
      </w:hyperlink>
    </w:p>
    <w:p>
      <w:pPr>
        <w:spacing w:before="0" w:after="120"/>
      </w:pPr>
      <w:r>
        <w:rPr>
          <w:b/>
        </w:rPr>
        <w:t xml:space="preserve">Notes: </w:t>
      </w:r>
      <w:r>
        <w:t>abstract_source=crossref</w:t>
      </w:r>
    </w:p>
    <w:p>
      <w:pPr>
        <w:spacing w:before="0" w:after="80" w:lineRule="auto" w:line="276"/>
      </w:pPr>
      <w:r>
        <w:rPr>
          <w:b/>
        </w:rPr>
        <w:t xml:space="preserve">摘要（ZH）: </w:t>
      </w:r>
      <w:r>
        <w:t>多巴胺 D2 受体 (D2R) 调节奖励学习和厌恶行为，其功能障碍与成瘾和精神疾病有关。 D2R 通过调节纹状体谷氨酸传递来调节行为，但 D2R 如何控制突触后谷氨酸信号传导仍知之甚少。使用分子工具选择性破坏异聚相互作用，同时保留规范信号传导，我们表明 D2R 和含 GluN2B 之间的物理耦合</w:t>
      </w:r>
      <w:r>
        <w:t xml:space="preserve"> </w:t>
      </w:r>
      <w:r>
        <w:t>氮</w:t>
      </w:r>
      <w:r>
        <w:t xml:space="preserve"> </w:t>
      </w:r>
      <w:r>
        <w:t>-甲基-</w:t>
      </w:r>
      <w:r>
        <w:t>d</w:t>
      </w:r>
      <w:r>
        <w:t xml:space="preserve"> </w:t>
      </w:r>
      <w:r>
        <w:t>伏隔核中型多棘神经元中的天冬氨酸 (NMDA) 受体使 D2R 能够独立于经典 G 蛋白和抑制蛋白信号传导来抑制 NMDA 受体功能。这种调节是输入特异性的，发生在丘脑但不是皮质突触，聚集在相同的神经元上，限制了长期增强，并且在内侧腹侧伏隔核内，促进了厌恶性学习。这些发现表明，D2R 可以绕过第二信使系统，通过受体-受体相互作用来调节谷氨酸能传递，从而提供一种机制，多巴胺可以选择性地门控特定谷氨酸能输入，从而控制纹状体可塑性和行为适应。</w:t>
      </w:r>
    </w:p>
    <w:p>
      <w:pPr>
        <w:spacing w:before="0" w:after="200" w:lineRule="auto" w:line="276"/>
      </w:pPr>
      <w:r>
        <w:rPr>
          <w:b/>
        </w:rPr>
        <w:t xml:space="preserve">Abstract (EN): </w:t>
      </w:r>
      <w:r>
        <w:t>Dopamine D2 receptors (D2Rs) modulate reward learning and aversive behaviors, with dysfunction linked to addiction and psychiatric disorders. D2Rs regulate behavior through modulation of striatal glutamatergic transmission, yet how D2Rs control postsynaptic glutamate signaling remains poorly understood. Using molecular tools to selectively disrupt heteromeric interactions while preserving canonical signaling, we show that physical coupling between D2Rs and GluN2B-containing</w:t>
      </w:r>
      <w:r>
        <w:t xml:space="preserve"> </w:t>
      </w:r>
      <w:r>
        <w:t>N</w:t>
      </w:r>
      <w:r>
        <w:t xml:space="preserve"> </w:t>
      </w:r>
      <w:r>
        <w:t>-methyl-</w:t>
      </w:r>
      <w:r>
        <w:t>d</w:t>
      </w:r>
      <w:r>
        <w:t xml:space="preserve"> </w:t>
      </w:r>
      <w:r>
        <w:t>-aspartate (NMDA) receptors in nucleus accumbens medium spiny neurons enables D2Rs to suppress NMDA receptor function independent of canonical G protein and arrestin signaling. This modulation was input specific, occurred at thalamic but not cortical synapses converging on the same neurons, constrained long-term potentiation, and, within the medial ventral nucleus accumbens, facilitated aversive learning. These findings reveal that D2Rs can bypass second messenger systems to tune glutamatergic transmission through receptor-receptor interactions, providing a mechanism by which dopamine selectively gates specific glutamatergic inputs to control striatal plasticity and behavioral adaptation.</w:t>
      </w:r>
    </w:p>
    <w:p>
      <w:pPr>
        <w:spacing w:before="120" w:after="120"/>
      </w:pPr>
      <w:r>
        <w:rPr>
          <w:sz w:val="18"/>
        </w:rPr>
        <w:t>——————————————————————————————————————————————————————————————————————</w:t>
      </w:r>
    </w:p>
    <w:p>
      <w:pPr>
        <w:spacing w:before="160" w:after="40" w:line="240" w:lineRule="auto"/>
      </w:pPr>
      <w:r>
        <w:rPr>
          <w:b/>
        </w:rPr>
        <w:t xml:space="preserve">[778] </w:t>
      </w:r>
      <w:hyperlink r:id="rId1990">
        <w:r>
          <w:rPr>
            <w:color w:val="1155CC"/>
            <w:u w:val="single"/>
          </w:rPr>
          <w:t>ITCZ 响应二氧化碳强迫的快速扩张和缓慢收缩</w:t>
        </w:r>
      </w:hyperlink>
    </w:p>
    <w:p>
      <w:pPr>
        <w:spacing w:before="0" w:after="80"/>
      </w:pPr>
      <w:r>
        <w:rPr>
          <w:i/>
          <w:sz w:val="20"/>
        </w:rPr>
        <w:t>EN: Fast expansion and slow contraction of the ITCZ in response to CO2 forcing</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91">
        <w:r>
          <w:rPr>
            <w:color w:val="1155CC"/>
            <w:u w:val="single"/>
          </w:rPr>
          <w:t>10.1126/sciadv.aef2833</w:t>
        </w:r>
      </w:hyperlink>
    </w:p>
    <w:p>
      <w:pPr>
        <w:spacing w:before="0" w:after="120"/>
      </w:pPr>
      <w:r>
        <w:rPr>
          <w:b/>
        </w:rPr>
        <w:t xml:space="preserve">Notes: </w:t>
      </w:r>
      <w:r>
        <w:t>abstract_source=crossref</w:t>
      </w:r>
    </w:p>
    <w:p>
      <w:pPr>
        <w:spacing w:before="0" w:after="80" w:lineRule="auto" w:line="276"/>
      </w:pPr>
      <w:r>
        <w:rPr>
          <w:b/>
        </w:rPr>
        <w:t xml:space="preserve">摘要（ZH）: </w:t>
      </w:r>
      <w:r>
        <w:t>热带辐合带 (ITCZ) 强烈影响热带降雨和全球环流，但它对二氧化碳 (CO</w:t>
      </w:r>
      <w:r>
        <w:rPr>
          <w:vertAlign w:val="subscript"/>
        </w:rPr>
        <w:t>2</w:t>
      </w:r>
      <w:r>
        <w:t>）强迫仍然不确定。气候模型预测，在变暖的情况下，ITCZ 会长期缩小，但近几十年来，却显示出与东热带太平洋变冷有关的向极地扩张。使用由 30 名成员组成的突然四倍 CO 的整体</w:t>
      </w:r>
      <w:r>
        <w:rPr>
          <w:vertAlign w:val="subscript"/>
        </w:rPr>
        <w:t>2</w:t>
      </w:r>
      <w:r>
        <w:t>通过实验，我们确定了一个两阶段的演变：在赤道太平洋盆地范围相对变冷的推动下，在第一个十年中快速扩张，随后随着赤道变暖的加强而缓慢收缩。将此框架应用于每年 1% 的 CO</w:t>
      </w:r>
      <w:r>
        <w:rPr>
          <w:vertAlign w:val="subscript"/>
        </w:rPr>
        <w:t>2</w:t>
      </w:r>
      <w:r>
        <w:t>情景表明，慢相仅在约 80 年后才占主导地位，此时 CO</w:t>
      </w:r>
      <w:r>
        <w:rPr>
          <w:vertAlign w:val="subscript"/>
        </w:rPr>
        <w:t>2</w:t>
      </w:r>
      <w:r>
        <w:t>相对于工业化前的水平增加了一倍多，这表明当今的情况仍然以快速反应为主。这可能会协调最近的 ITCZ 扩张与长期收缩预测，强调在解释过去趋势和预测近期气候变化时考虑时间尺度相关过程的重要性。</w:t>
      </w:r>
    </w:p>
    <w:p>
      <w:pPr>
        <w:spacing w:before="0" w:after="200" w:lineRule="auto" w:line="276"/>
      </w:pPr>
      <w:r>
        <w:rPr>
          <w:b/>
        </w:rPr>
        <w:t xml:space="preserve">Abstract (EN): </w:t>
      </w:r>
      <w:r>
        <w:t>The Intertropical Convergence Zone (ITCZ) strongly shapes tropical rainfall and global circulation, yet its response to carbon dioxide (CO</w:t>
      </w:r>
      <w:r>
        <w:rPr>
          <w:vertAlign w:val="subscript"/>
        </w:rPr>
        <w:t>2</w:t>
      </w:r>
      <w:r>
        <w:t>) forcing remains uncertain. Climate models project a long-term narrowing of the ITCZ under warming, but recent decades instead show a poleward expansion linked to eastern tropical Pacific cooling. Using a 30-member ensemble of abruptly quadrupled CO</w:t>
      </w:r>
      <w:r>
        <w:rPr>
          <w:vertAlign w:val="subscript"/>
        </w:rPr>
        <w:t>2</w:t>
      </w:r>
      <w:r>
        <w:t>experiments, we identify a two-phase evolution: a fast expansion over the first decade, driven by basin-wide relative cooling in the equatorial Pacific, followed by a slow contraction as equatorial warming strengthens. Applying this framework to a 1%-per-year CO</w:t>
      </w:r>
      <w:r>
        <w:rPr>
          <w:vertAlign w:val="subscript"/>
        </w:rPr>
        <w:t>2</w:t>
      </w:r>
      <w:r>
        <w:t>scenario reveals that the slow phase dominates only after ∼80 years, when the CO</w:t>
      </w:r>
      <w:r>
        <w:rPr>
          <w:vertAlign w:val="subscript"/>
        </w:rPr>
        <w:t>2</w:t>
      </w:r>
      <w:r>
        <w:t>levels more than double relative to preindustrial, suggesting that present-day conditions are still dominated by the fast response. This potentially reconciles recent ITCZ expansion with long-term projections of contraction, underscoring the importance of accounting for timescale-dependent processes when interpreting past trends and projecting near-term climate change.</w:t>
      </w:r>
    </w:p>
    <w:p>
      <w:pPr>
        <w:spacing w:before="120" w:after="120"/>
      </w:pPr>
      <w:r>
        <w:rPr>
          <w:sz w:val="18"/>
        </w:rPr>
        <w:t>——————————————————————————————————————————————————————————————————————</w:t>
      </w:r>
    </w:p>
    <w:p>
      <w:pPr>
        <w:spacing w:before="160" w:after="40" w:line="240" w:lineRule="auto"/>
      </w:pPr>
      <w:r>
        <w:rPr>
          <w:b/>
        </w:rPr>
        <w:t xml:space="preserve">[779] </w:t>
      </w:r>
      <w:hyperlink r:id="rId1992">
        <w:r>
          <w:rPr>
            <w:color w:val="1155CC"/>
            <w:u w:val="single"/>
          </w:rPr>
          <w:t>通过自我探索好奇心驱动机器人动作和语言的发展</w:t>
        </w:r>
      </w:hyperlink>
    </w:p>
    <w:p>
      <w:pPr>
        <w:spacing w:before="0" w:after="80"/>
      </w:pPr>
      <w:r>
        <w:rPr>
          <w:i/>
          <w:sz w:val="20"/>
        </w:rPr>
        <w:t>EN: Curiosity-driven development of action and language in robots through self-exploration</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93">
        <w:r>
          <w:rPr>
            <w:color w:val="1155CC"/>
            <w:u w:val="single"/>
          </w:rPr>
          <w:t>10.1126/sciadv.aee7533</w:t>
        </w:r>
      </w:hyperlink>
    </w:p>
    <w:p>
      <w:pPr>
        <w:spacing w:before="0" w:after="120"/>
      </w:pPr>
      <w:r>
        <w:rPr>
          <w:b/>
        </w:rPr>
        <w:t xml:space="preserve">Notes: </w:t>
      </w:r>
      <w:r>
        <w:t>abstract_source=crossref</w:t>
      </w:r>
    </w:p>
    <w:p>
      <w:pPr>
        <w:spacing w:before="0" w:after="80" w:lineRule="auto" w:line="276"/>
      </w:pPr>
      <w:r>
        <w:rPr>
          <w:b/>
        </w:rPr>
        <w:t xml:space="preserve">摘要（ZH）: </w:t>
      </w:r>
      <w:r>
        <w:t>婴儿从最少的经验中获得泛化语言，而大型语言模型需要数十亿个训练标记。人类高效发展的基础是什么？我们通过实验研究了这个问题，其中机器人代理通过好奇心驱动的自我探索学习执行与祈使句（例如推红色立方体）相关的动作。我们的方法使用 Q-learning 分摊主动推理，从而实现内在动机的发展性学习。模拟揭示了与发展心理学观察相对应的关键发现。 (i) 随着组成元素规模的增加，泛化能力显着提高。 (ii) 好奇心驱动的探索可以加快学习速度。 (iii) 句子和动作的死记硬背先于组合概括。 (iv) 异常处理会导致 U 型发展表现，这种模式类似于儿童语言学习中的表征重新描述。这些结果表明，好奇心驱动的主动推理解释了内在动机的感觉运动语言学习如何支持人类和人工智能体的可扩展的组合概括和异常处理。</w:t>
      </w:r>
    </w:p>
    <w:p>
      <w:pPr>
        <w:spacing w:before="0" w:after="200" w:lineRule="auto" w:line="276"/>
      </w:pPr>
      <w:r>
        <w:rPr>
          <w:b/>
        </w:rPr>
        <w:t xml:space="preserve">Abstract (EN): </w:t>
      </w:r>
      <w:r>
        <w:t>Infants acquire language with generalization from minimal experience, whereas large language models require billions of training tokens. What underlies efficient development in humans? We investigated this problem through experiments wherein robotic agents learn to perform actions associated with imperative sentences (e.g., push red cube) via curiosity-driven self-exploration. Our approach amortizes active inference using Q-learning, enabling intrinsically motivated developmental learning. The simulations reveal key findings corresponding to observations in developmental psychology. (i) Generalization improves markedly as the scale of compositional elements increases. (ii) Curiosity-driven exploration enables faster learning. (iii) Rote pairing of sentences and actions precedes compositional generalization. (iv) Exception handling induces U-shaped developmental performance, a pattern like representational redescription in child language learning. These results suggest that curiosity-driven active inference accounts for how intrinsically motivated sensorimotor-linguistic learning supports scalable compositional generalization and exception handling in humans and artificial agents.</w:t>
      </w:r>
    </w:p>
    <w:p>
      <w:pPr>
        <w:spacing w:before="120" w:after="120"/>
      </w:pPr>
      <w:r>
        <w:rPr>
          <w:sz w:val="18"/>
        </w:rPr>
        <w:t>——————————————————————————————————————————————————————————————————————</w:t>
      </w:r>
    </w:p>
    <w:p>
      <w:pPr>
        <w:spacing w:before="160" w:after="40" w:line="240" w:lineRule="auto"/>
      </w:pPr>
      <w:r>
        <w:rPr>
          <w:b/>
        </w:rPr>
        <w:t xml:space="preserve">[780] </w:t>
      </w:r>
      <w:hyperlink r:id="rId1994">
        <w:r>
          <w:rPr>
            <w:color w:val="1155CC"/>
            <w:u w:val="single"/>
          </w:rPr>
          <w:t>特权的遗产：社会继承扭转了斑鬣狗生殖不平等的性别差异</w:t>
        </w:r>
      </w:hyperlink>
    </w:p>
    <w:p>
      <w:pPr>
        <w:spacing w:before="0" w:after="80"/>
      </w:pPr>
      <w:r>
        <w:rPr>
          <w:i/>
          <w:sz w:val="20"/>
        </w:rPr>
        <w:t>EN: The legacy of privilege: Social inheritance reverses sex differences in reproductive inequality in the spotted hyena</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95">
        <w:r>
          <w:rPr>
            <w:color w:val="1155CC"/>
            <w:u w:val="single"/>
          </w:rPr>
          <w:t>10.1126/sciadv.aee7880</w:t>
        </w:r>
      </w:hyperlink>
    </w:p>
    <w:p>
      <w:pPr>
        <w:spacing w:before="0" w:after="120"/>
      </w:pPr>
      <w:r>
        <w:rPr>
          <w:b/>
        </w:rPr>
        <w:t xml:space="preserve">Notes: </w:t>
      </w:r>
      <w:r>
        <w:t>abstract_source=crossref</w:t>
      </w:r>
    </w:p>
    <w:p>
      <w:pPr>
        <w:spacing w:before="0" w:after="80" w:lineRule="auto" w:line="276"/>
      </w:pPr>
      <w:r>
        <w:rPr>
          <w:b/>
        </w:rPr>
        <w:t xml:space="preserve">摘要（ZH）: </w:t>
      </w:r>
      <w:r>
        <w:t>女性和男性生殖成功率的不平等塑造了自然选择和性选择。对于有性繁殖的物种，达尔文-贝特曼范式预测雄性比雌性存在更大的生殖不平等。导致人类和其他动物生殖不平等的一个机制是特权的社会继承。在这里，我们证明这种机制可以扭转生殖不平等中的男性偏见。使用跨越八代斑点鬣狗的 29 年数据集（</w:t>
      </w:r>
      <w:r>
        <w:t xml:space="preserve"> </w:t>
      </w:r>
      <w:r>
        <w:t>番红花</w:t>
      </w:r>
      <w:r>
        <w:t xml:space="preserve"> </w:t>
      </w:r>
      <w:r>
        <w:t>），在这个物种中，社会地位和特权是从母亲那里继承的，我们发现，按年估算，女性的生殖不平等程度低于男性，但女性的生殖不平等在几代人中增长得更为强烈，从而迅速扭转了对女性的性别偏见。我们的研究结果表明，特权的社会继承（i）是生殖不平等中性别差异的强大驱动因素，（ii）可以解释为什么女性在某些物种中更具竞争力。我们概述了生殖不平等如何影响女性和男性的生殖策略、性内竞争和遗传进化。</w:t>
      </w:r>
    </w:p>
    <w:p>
      <w:pPr>
        <w:spacing w:before="0" w:after="200" w:lineRule="auto" w:line="276"/>
      </w:pPr>
      <w:r>
        <w:rPr>
          <w:b/>
        </w:rPr>
        <w:t xml:space="preserve">Abstract (EN): </w:t>
      </w:r>
      <w:r>
        <w:t>Inequalities in reproductive success among females and males shape natural and sexual selection. For sexually reproducing species, the Darwin-Bateman paradigm predicts greater reproductive inequality in males than females. A mechanism driving reproductive inequality in humans and other animals is social inheritance of privilege. Here, we show that this mechanism can reverse the male bias in reproductive inequality. Using a 29-year dataset spanning eight generations of spotted hyenas (</w:t>
      </w:r>
      <w:r>
        <w:t xml:space="preserve"> </w:t>
      </w:r>
      <w:r>
        <w:t>Crocuta crocuta</w:t>
      </w:r>
      <w:r>
        <w:t xml:space="preserve"> </w:t>
      </w:r>
      <w:r>
        <w:t>), a species in which social rank and privileges are inherited from the mother, we show that reproductive inequality was lower among females than males when estimated annually but increased more strongly in females over generations, quickly reversing the sex bias to females. Our findings suggest that social inheritance of privilege (i) is a powerful driver of sex differences in reproductive inequality and (ii) may explain why females are the more competitive sex in some species. We outline how reproductive inequality influences female and male reproductive strategies, intrasexual competition, and genetic evolution.</w:t>
      </w:r>
    </w:p>
    <w:p>
      <w:pPr>
        <w:spacing w:before="120" w:after="120"/>
      </w:pPr>
      <w:r>
        <w:rPr>
          <w:sz w:val="18"/>
        </w:rPr>
        <w:t>——————————————————————————————————————————————————————————————————————</w:t>
      </w:r>
    </w:p>
    <w:p>
      <w:pPr>
        <w:spacing w:before="160" w:after="40" w:line="240" w:lineRule="auto"/>
      </w:pPr>
      <w:r>
        <w:rPr>
          <w:b/>
        </w:rPr>
        <w:t xml:space="preserve">[781] </w:t>
      </w:r>
      <w:hyperlink r:id="rId1996">
        <w:r>
          <w:rPr>
            <w:color w:val="1155CC"/>
            <w:u w:val="single"/>
          </w:rPr>
          <w:t>人类三维染色质对心脏病相关转录因子的剂量依赖性敏感性</w:t>
        </w:r>
      </w:hyperlink>
    </w:p>
    <w:p>
      <w:pPr>
        <w:spacing w:before="0" w:after="80"/>
      </w:pPr>
      <w:r>
        <w:rPr>
          <w:i/>
          <w:sz w:val="20"/>
        </w:rPr>
        <w:t>EN: Dose-dependent sensitivity of human three-dimensional chromatin to a heart disease–linked transcription factor</w:t>
      </w:r>
    </w:p>
    <w:p>
      <w:pPr>
        <w:spacing w:before="0" w:after="120"/>
      </w:pPr>
      <w:r>
        <w:rPr>
          <w:b/>
        </w:rPr>
        <w:t xml:space="preserve">Source: </w:t>
      </w:r>
      <w:r>
        <w:t>AAAS: Science: Table of Contents</w:t>
      </w:r>
      <w:r>
        <w:t xml:space="preserve">    </w:t>
      </w:r>
      <w:r>
        <w:rPr>
          <w:b/>
        </w:rPr>
        <w:t xml:space="preserve">Pub date: </w:t>
      </w:r>
      <w:r>
        <w:t>2026-07-23 07:00:00+00:00</w:t>
      </w:r>
      <w:r>
        <w:t xml:space="preserve">    </w:t>
      </w:r>
      <w:r>
        <w:rPr>
          <w:b/>
        </w:rPr>
        <w:t xml:space="preserve">DOI: </w:t>
      </w:r>
      <w:hyperlink r:id="rId1997">
        <w:r>
          <w:rPr>
            <w:color w:val="1155CC"/>
            <w:u w:val="single"/>
          </w:rPr>
          <w:t>10.1126/science.adv5434</w:t>
        </w:r>
      </w:hyperlink>
    </w:p>
    <w:p>
      <w:pPr>
        <w:spacing w:before="0" w:after="120"/>
      </w:pPr>
      <w:r>
        <w:rPr>
          <w:b/>
        </w:rPr>
        <w:t xml:space="preserve">Notes: </w:t>
      </w:r>
      <w:r>
        <w:t>abstract_source=crossref</w:t>
      </w:r>
    </w:p>
    <w:p>
      <w:pPr>
        <w:spacing w:before="0" w:after="80" w:lineRule="auto" w:line="276"/>
      </w:pPr>
      <w:r>
        <w:rPr>
          <w:b/>
        </w:rPr>
        <w:t xml:space="preserve">摘要（ZH）: </w:t>
      </w:r>
      <w:r>
        <w:t>剂量敏感转录因子 (TF) 是人类发育障碍中基因调控改变的基础，而细胞类型特异性基因调控与细胞分化过程中三维 (3D) 染色质的重组有关。在这项工作中，我们展示了人类心肌细胞分化中与先天性心脏病 (CHD) 相关、谱系限制的 TF TBX5 对染色质组织的剂量依赖性调节。基因组组织，包括区室、拓扑相关域和染色质环，对减少的敏感</w:t>
      </w:r>
      <w:r>
        <w:t xml:space="preserve"> </w:t>
      </w:r>
      <w:r>
        <w:t>TBX5</w:t>
      </w:r>
      <w:r>
        <w:t xml:space="preserve"> </w:t>
      </w:r>
      <w:r>
        <w:t>人类冠心病模型中的剂量，不同细胞的反应存在差异。 TBX5 结合增强子元件处的粘连蛋白结合以 TBX5 剂量依赖性方式减少，为破坏环形成提供了潜在机制。这些结果强调了谱系限制的 TF 剂量在细胞类型特异性 3D 染色质动力学中的重要性，提示了 TF 依赖性疾病的机制。</w:t>
      </w:r>
    </w:p>
    <w:p>
      <w:pPr>
        <w:spacing w:before="0" w:after="200" w:lineRule="auto" w:line="276"/>
      </w:pPr>
      <w:r>
        <w:rPr>
          <w:b/>
        </w:rPr>
        <w:t xml:space="preserve">Abstract (EN): </w:t>
      </w:r>
      <w:r>
        <w:t>Dosage-sensitive transcription factors (TFs) underlie altered gene regulation in human developmental disorders, and cell type–specific gene regulation is linked to the reorganization of three-dimensional (3D) chromatin during cellular differentiation. In this work, we show dose-dependent regulation of chromatin organization by the congenital heart disease (CHD)–linked, lineage-restricted TF TBX5 in human cardiomyocyte differentiation. Genome organization, including compartments, topologically associated domains, and chromatin loops, was sensitive to reduced</w:t>
      </w:r>
      <w:r>
        <w:t xml:space="preserve"> </w:t>
      </w:r>
      <w:r>
        <w:t>TBX5</w:t>
      </w:r>
      <w:r>
        <w:t xml:space="preserve"> </w:t>
      </w:r>
      <w:r>
        <w:t>dosage in a human model of CHD, with variations in response across individual cells. Cohesin binding was reduced at TBX5-bound enhancer elements in a TBX5 dose-dependent manner, providing a potential mechanism for disrupted loop formation. These results highlight the importance of lineage-restricted TF dosage in cell type–specific 3D chromatin dynamics, suggesting a mechanism for TF-dependent disease.</w:t>
      </w:r>
    </w:p>
    <w:p>
      <w:pPr>
        <w:spacing w:before="120" w:after="120"/>
      </w:pPr>
      <w:r>
        <w:rPr>
          <w:sz w:val="18"/>
        </w:rPr>
        <w:t>——————————————————————————————————————————————————————————————————————</w:t>
      </w:r>
    </w:p>
    <w:p>
      <w:pPr>
        <w:spacing w:before="160" w:after="40" w:line="240" w:lineRule="auto"/>
      </w:pPr>
      <w:r>
        <w:rPr>
          <w:b/>
        </w:rPr>
        <w:t xml:space="preserve">[782] </w:t>
      </w:r>
      <w:hyperlink r:id="rId1998">
        <w:r>
          <w:rPr>
            <w:color w:val="1155CC"/>
            <w:u w:val="single"/>
          </w:rPr>
          <w:t>核壳颗粒工程颠覆了镁合金中传统的纯度-腐蚀依赖性</w:t>
        </w:r>
      </w:hyperlink>
    </w:p>
    <w:p>
      <w:pPr>
        <w:spacing w:before="0" w:after="80"/>
      </w:pPr>
      <w:r>
        <w:rPr>
          <w:i/>
          <w:sz w:val="20"/>
        </w:rPr>
        <w:t>EN: Core-shell particle engineering overturns conventional purity-corrosion dependence in Mg alloys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1999">
        <w:r>
          <w:rPr>
            <w:color w:val="1155CC"/>
            <w:u w:val="single"/>
          </w:rPr>
          <w:t>10.1126/sciadv.aee9898</w:t>
        </w:r>
      </w:hyperlink>
    </w:p>
    <w:p>
      <w:pPr>
        <w:spacing w:before="0" w:after="120"/>
      </w:pPr>
      <w:r>
        <w:rPr>
          <w:b/>
        </w:rPr>
        <w:t xml:space="preserve">Notes: </w:t>
      </w:r>
      <w:r>
        <w:t>abstract_source=crossref</w:t>
      </w:r>
    </w:p>
    <w:p>
      <w:pPr>
        <w:spacing w:before="0" w:after="80" w:lineRule="auto" w:line="276"/>
      </w:pPr>
      <w:r>
        <w:rPr>
          <w:b/>
        </w:rPr>
        <w:t xml:space="preserve">摘要（ZH）: </w:t>
      </w:r>
      <w:r>
        <w:t>镁 (Mg) 合金为运输技术提供了巨大的减重潜力；然而，它们的使用仍然受到耐腐蚀性差的限制，而耐腐蚀性很大程度上取决于合金的纯度。铁 (Fe) 等杂质的存在会严重降低镁合金的耐腐蚀性。在此，我们提出了一种合金设计策略，即使使用低纯度镁，也能显着提高耐腐蚀性。我们的方法产生核壳颗粒，其中富含铁的核被嵌入镁基体中的贫铁壳封装。该壳充当局部微清除剂，隔离核心并抑制杂质引发的腐蚀，从而实现只有使用超高纯镁才能实现的耐腐蚀性。这种方法为开发高性能镁合金提供了一条实用途径，无需依赖昂贵的纯化。</w:t>
      </w:r>
    </w:p>
    <w:p>
      <w:pPr>
        <w:spacing w:before="0" w:after="200" w:lineRule="auto" w:line="276"/>
      </w:pPr>
      <w:r>
        <w:rPr>
          <w:b/>
        </w:rPr>
        <w:t xml:space="preserve">Abstract (EN): </w:t>
      </w:r>
      <w:r>
        <w:t>Magnesium (Mg) alloys offer high weight-saving potential for transportation technologies; however, their use remains constrained by poor corrosion resistance, which is strongly dependent on alloy purity. The presence of impurities, such as iron (Fe), severely degrades the corrosion resistance of Mg alloys. Herein, we present an alloy design strategy that substantially improves the corrosion resistance, even when using low-purity Mg. Our method produces core-shell particles, where an Fe-rich core is encapsulated by an Fe-depleted shell embedded in the Mg matrix. This shell acts as a local microscavenger that isolates the core and suppresses impurity-triggered corrosion, resulting in corrosion resistance achievable only when using ultrahigh-purity Mg. This approach provides a practical pathway for the development of high-performance Mg alloys without relying on costly purification.</w:t>
      </w:r>
    </w:p>
    <w:p>
      <w:pPr>
        <w:spacing w:before="120" w:after="120"/>
      </w:pPr>
      <w:r>
        <w:rPr>
          <w:sz w:val="18"/>
        </w:rPr>
        <w:t>——————————————————————————————————————————————————————————————————————</w:t>
      </w:r>
    </w:p>
    <w:p>
      <w:pPr>
        <w:spacing w:before="160" w:after="40" w:line="240" w:lineRule="auto"/>
      </w:pPr>
      <w:r>
        <w:rPr>
          <w:b/>
        </w:rPr>
        <w:t xml:space="preserve">[783] </w:t>
      </w:r>
      <w:hyperlink r:id="rId2000">
        <w:r>
          <w:rPr>
            <w:color w:val="1155CC"/>
            <w:u w:val="single"/>
          </w:rPr>
          <w:t>用于超轻可重构飞行机器人的生物混合手性材料</w:t>
        </w:r>
      </w:hyperlink>
    </w:p>
    <w:p>
      <w:pPr>
        <w:spacing w:before="0" w:after="80"/>
      </w:pPr>
      <w:r>
        <w:rPr>
          <w:i/>
          <w:sz w:val="20"/>
        </w:rPr>
        <w:t>EN: Biohybrid chiral materials for an ultralight reconfigurable flying robot</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01">
        <w:r>
          <w:rPr>
            <w:color w:val="1155CC"/>
            <w:u w:val="single"/>
          </w:rPr>
          <w:t>10.1126/sciadv.aef0912</w:t>
        </w:r>
      </w:hyperlink>
    </w:p>
    <w:p>
      <w:pPr>
        <w:spacing w:before="0" w:after="120"/>
      </w:pPr>
      <w:r>
        <w:rPr>
          <w:b/>
        </w:rPr>
        <w:t xml:space="preserve">Notes: </w:t>
      </w:r>
      <w:r>
        <w:t>abstract_source=crossref</w:t>
      </w:r>
    </w:p>
    <w:p>
      <w:pPr>
        <w:spacing w:before="0" w:after="80" w:lineRule="auto" w:line="276"/>
      </w:pPr>
      <w:r>
        <w:rPr>
          <w:b/>
        </w:rPr>
        <w:t xml:space="preserve">摘要（ZH）: </w:t>
      </w:r>
      <w:r>
        <w:t>结构惯用手在控制动物和植物的各种运动中起着关键作用，特别是对于飞行系统中的旋转运动和空气动力学响应。然而，利用人造材料中的惯用手来实现对不受束缚的微型飞行器的动态、无线控制在很大程度上仍未得到探索。在这里，我们报告了一种羽毛聚合物混合手性飞行器，可实现光控空中运动。该器件将天然后羽毛与通过偶氮苯官能团光聚合合成的光响应致动器集成在一起，从而实现可编程和可逆的光机械致动。飞行器的惯用手由致动器引起的扭转产生，而空气动力阻力的光学调制允许在稳定气流下控制旋转和高度调整。我们展示了通过涡流引起的聚集对多个不受束缚的传单和空中收集的独立控制。计算流体动力学模拟揭示了与旋转方向相关的不对称压力梯度，而局部低气流区域有利于空中捕获。这些发现引入了一种可编程、无线超轻型飞行器的策略，将自然结构和合成执行器与智能机载系统连接起来。</w:t>
      </w:r>
    </w:p>
    <w:p>
      <w:pPr>
        <w:spacing w:before="0" w:after="200" w:lineRule="auto" w:line="276"/>
      </w:pPr>
      <w:r>
        <w:rPr>
          <w:b/>
        </w:rPr>
        <w:t xml:space="preserve">Abstract (EN): </w:t>
      </w:r>
      <w:r>
        <w:t>Structural handedness plays a key role in governing various motions in animals and plants, especially for rotational motion and aerodynamic response in flying systems. However, harnessing handedness in artificial materials to enable dynamic, wireless control of untethered miniature flyers remains largely unexplored. Here, we report a feather-polymer hybrid chiral flyer that achieves light-controlled airborne motion. The device integrates natural afterfeathers with a light-responsive actuator synthesized via photopolymerization of azobenzene-functionalized groups, enabling programmable and reversible photomechanical actuation. The handedness of the flyer arises from actuator-induced torsion, while optical modulation of aerodynamic drag allows controlled spinning and altitude adjustment under steady airflow. We demonstrate independent control of multiple untethered flyers and midair collection through vortex-induced aggregation. Computational fluid dynamics simulations reveal asymmetric pressure gradients that are associated with the direction of rotation, while localized low-airflow regions facilitate aerial trapping. These findings introduce a strategy for programmable, wireless ultralight flyers, bridging natural structures and synthetic actuators toward intelligent airborne systems.</w:t>
      </w:r>
    </w:p>
    <w:p>
      <w:pPr>
        <w:spacing w:before="120" w:after="120"/>
      </w:pPr>
      <w:r>
        <w:rPr>
          <w:sz w:val="18"/>
        </w:rPr>
        <w:t>——————————————————————————————————————————————————————————————————————</w:t>
      </w:r>
    </w:p>
    <w:p>
      <w:pPr>
        <w:spacing w:before="160" w:after="40" w:line="240" w:lineRule="auto"/>
      </w:pPr>
      <w:r>
        <w:rPr>
          <w:b/>
        </w:rPr>
        <w:t xml:space="preserve">[784] </w:t>
      </w:r>
      <w:hyperlink r:id="rId2002">
        <w:r>
          <w:rPr>
            <w:color w:val="1155CC"/>
            <w:u w:val="single"/>
          </w:rPr>
          <w:t>可扩展的纳米聚焦异质结，用于受猛禽启发的片上视觉感知</w:t>
        </w:r>
      </w:hyperlink>
    </w:p>
    <w:p>
      <w:pPr>
        <w:spacing w:before="0" w:after="80"/>
      </w:pPr>
      <w:r>
        <w:rPr>
          <w:i/>
          <w:sz w:val="20"/>
        </w:rPr>
        <w:t>EN: Scalable nanofocusing heterojunctions for raptor-inspired on-chip vision perception</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03">
        <w:r>
          <w:rPr>
            <w:color w:val="1155CC"/>
            <w:u w:val="single"/>
          </w:rPr>
          <w:t>10.1126/sciadv.aee7840</w:t>
        </w:r>
      </w:hyperlink>
    </w:p>
    <w:p>
      <w:pPr>
        <w:spacing w:before="0" w:after="120"/>
      </w:pPr>
      <w:r>
        <w:rPr>
          <w:b/>
        </w:rPr>
        <w:t xml:space="preserve">Notes: </w:t>
      </w:r>
      <w:r>
        <w:t>abstract_source=crossref</w:t>
      </w:r>
    </w:p>
    <w:p>
      <w:pPr>
        <w:spacing w:before="0" w:after="80" w:lineRule="auto" w:line="276"/>
      </w:pPr>
      <w:r>
        <w:rPr>
          <w:b/>
        </w:rPr>
        <w:t xml:space="preserve">摘要（ZH）: </w:t>
      </w:r>
      <w:r>
        <w:t>生物视觉系统为复杂动态环境中的智能感知提供了蓝图。受视网膜油滴在猛禽视觉中的光学作用的启发，我们报告了一种用于仿生视觉传感和运动感知的等离子体纳米聚焦突触阵列（PNSA）。关键设计是晶圆级 Au@MoS</w:t>
      </w:r>
      <w:r>
        <w:rPr>
          <w:vertAlign w:val="subscript"/>
        </w:rPr>
        <w:t>2</w:t>
      </w:r>
      <w:r>
        <w:t>核壳异质结可以像猛禽的视网膜油滴一样增强光集中。利用 Au 核中的强局域表面等离子体共振和 MoS2 中的高效热载流子生成</w:t>
      </w:r>
      <w:r>
        <w:rPr>
          <w:vertAlign w:val="subscript"/>
        </w:rPr>
        <w:t>2</w:t>
      </w:r>
      <w:r>
        <w:t>壳中，PNSA 表现出 2.2 ms 的超快弛豫时间，对应于~450 Hz 的理论刷新率。均匀的 2 英寸晶圆级制造可实现 32 × 32 光电突触阵列，良率达 100%，器件间差异仅为 2.2%。该阵列支持 5 位光学编程，并生成时间编码的运动表示，在 10 个训练周期后，运动方向分类的准确率达到 98.95%。这项工作为仿生视觉传感建立了一个可扩展的材料平台，为片上视觉感知提供了一条有前途的途径。</w:t>
      </w:r>
    </w:p>
    <w:p>
      <w:pPr>
        <w:spacing w:before="0" w:after="200" w:lineRule="auto" w:line="276"/>
      </w:pPr>
      <w:r>
        <w:rPr>
          <w:b/>
        </w:rPr>
        <w:t xml:space="preserve">Abstract (EN): </w:t>
      </w:r>
      <w:r>
        <w:t>Biological visual systems provide a blueprint for intelligent perception in complex dynamic environments. Inspired by the optical role of retinal oil droplets in raptor vision, we report a plasmonic nanofocusing synaptic array (PNSA) for bioinspired visual sensing and motion perception. The pivotal design is a wafer-scale Au@MoS</w:t>
      </w:r>
      <w:r>
        <w:rPr>
          <w:vertAlign w:val="subscript"/>
        </w:rPr>
        <w:t>2</w:t>
      </w:r>
      <w:r>
        <w:t>core-shell heterojunction that enhances light concentration like the retinal oil droplets of raptors. Leveraging strong localized surface plasmon resonance in the Au core and efficient hot-carrier generation in the MoS</w:t>
      </w:r>
      <w:r>
        <w:rPr>
          <w:vertAlign w:val="subscript"/>
        </w:rPr>
        <w:t>2</w:t>
      </w:r>
      <w:r>
        <w:t>shell, the PNSA exhibits an ultrafast relaxation time of 2.2 ms, corresponding to a theoretical refresh rate of ∼450 Hz. Uniform 2-inch wafer-scale fabrication enables a 32 × 32 optoelectronic synaptic array with 100% yield and only 2.2% device-to-device variation. The array supports 5-bit optical programming and generates temporally encoded motion representations that achieve 98.95% accuracy in motion-direction classification after 10 training epochs. This work establishes a scalable materials platform for bioinspired visual sensing, offering a promising route toward on-chip vision perception.</w:t>
      </w:r>
    </w:p>
    <w:p>
      <w:pPr>
        <w:spacing w:before="120" w:after="120"/>
      </w:pPr>
      <w:r>
        <w:rPr>
          <w:sz w:val="18"/>
        </w:rPr>
        <w:t>——————————————————————————————————————————————————————————————————————</w:t>
      </w:r>
    </w:p>
    <w:p>
      <w:pPr>
        <w:spacing w:before="160" w:after="40" w:line="240" w:lineRule="auto"/>
      </w:pPr>
      <w:r>
        <w:rPr>
          <w:b/>
        </w:rPr>
        <w:t xml:space="preserve">[785] </w:t>
      </w:r>
      <w:hyperlink r:id="rId2004">
        <w:r>
          <w:rPr>
            <w:color w:val="1155CC"/>
            <w:u w:val="single"/>
          </w:rPr>
          <w:t>运动中的基因组：绘制健康细胞核图谱</w:t>
        </w:r>
      </w:hyperlink>
    </w:p>
    <w:p>
      <w:pPr>
        <w:spacing w:before="0" w:after="80"/>
      </w:pPr>
      <w:r>
        <w:rPr>
          <w:i/>
          <w:sz w:val="20"/>
        </w:rPr>
        <w:t>EN: Genome in motion: Mapping the nucleus in health</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05">
        <w:r>
          <w:rPr>
            <w:color w:val="1155CC"/>
            <w:u w:val="single"/>
          </w:rPr>
          <w:t>10.1126/sciadv.aek6870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[786] </w:t>
      </w:r>
      <w:hyperlink r:id="rId2006">
        <w:r>
          <w:rPr>
            <w:color w:val="1155CC"/>
            <w:u w:val="single"/>
          </w:rPr>
          <w:t>解开的日冕疤痕太阳黑子的反向反应</w:t>
        </w:r>
      </w:hyperlink>
    </w:p>
    <w:p>
      <w:pPr>
        <w:spacing w:before="0" w:after="80"/>
      </w:pPr>
      <w:r>
        <w:rPr>
          <w:i/>
          <w:sz w:val="20"/>
        </w:rPr>
        <w:t>EN: Back reaction of the untwisting solar corona scars sunspots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07">
        <w:r>
          <w:rPr>
            <w:color w:val="1155CC"/>
            <w:u w:val="single"/>
          </w:rPr>
          <w:t>10.1126/sciadv.aed5294</w:t>
        </w:r>
      </w:hyperlink>
    </w:p>
    <w:p>
      <w:pPr>
        <w:spacing w:before="0" w:after="120"/>
      </w:pPr>
      <w:r>
        <w:rPr>
          <w:b/>
        </w:rPr>
        <w:t xml:space="preserve">Notes: </w:t>
      </w:r>
      <w:r>
        <w:t>abstract_source=crossref</w:t>
      </w:r>
    </w:p>
    <w:p>
      <w:pPr>
        <w:spacing w:before="0" w:after="80" w:lineRule="auto" w:line="276"/>
      </w:pPr>
      <w:r>
        <w:rPr>
          <w:b/>
        </w:rPr>
        <w:t xml:space="preserve">摘要（ZH）: </w:t>
      </w:r>
      <w:r>
        <w:t>脆弱的日冕中磁场的演化主要受底层致密光球层运动的控制。尽管如此，由相互作用的日冕场之间的磁重联驱动的日冕磁重组有时会发生反向反应，从而改变光球磁场。然而，反应机制仍不清楚。在这里，我们报告了逆反应现象的发现：在喷发中重新连接期间扭曲的日冕环的解开导致远离喷发的足点边界处的电流增强，表现为太阳黑子疤痕的生长。通过联合空间观测和磁流体动力学模拟，发现它是由从日冕到低层大气的磁扭曲的阿尔夫尼克逆向转移引起的。这些发现为与日冕物质抛射和/或耀斑相关的大多数令人费解的光球变化提供了可行的定量解释，并警告太阳黑子和星黑子中意外的磁场演化。</w:t>
      </w:r>
    </w:p>
    <w:p>
      <w:pPr>
        <w:spacing w:before="0" w:after="200" w:lineRule="auto" w:line="276"/>
      </w:pPr>
      <w:r>
        <w:rPr>
          <w:b/>
        </w:rPr>
        <w:t xml:space="preserve">Abstract (EN): </w:t>
      </w:r>
      <w:r>
        <w:t>The evolution of magnetic fields in the tenuous solar corona is predominantly governed by the motions of the underlying dense photosphere. Despite this, coronal magnetic restructuring driven by magnetic reconnection between interacting coronal fields can sometimes react backward to change photospheric magnetic fields. However, the mechanism of reactions remains undetermined. Here, we report the discovery of a back-reaction phenomenon: The untwisting of coronal loops that become twisted during reconnection in an eruption results in enhanced currents at the boundary of their footpoint away from the eruption, manifesting as the growth of a sunspot scar. It is revealed to arise from the Alfvénic reverse transfer of magnetic twist from the corona to the lower atmosphere, through joint space observations and a magnetohydrodynamic simulation. These findings provide a viable and quantitative interpretation for the majority of puzzling photospheric changes associated with coronal mass ejections and/or flares and warn for unexpected magnetic field evolutions in sunspots and starspots.</w:t>
      </w:r>
    </w:p>
    <w:p>
      <w:pPr>
        <w:spacing w:before="120" w:after="120"/>
      </w:pPr>
      <w:r>
        <w:rPr>
          <w:sz w:val="18"/>
        </w:rPr>
        <w:t>——————————————————————————————————————————————————————————————————————</w:t>
      </w:r>
    </w:p>
    <w:p>
      <w:pPr>
        <w:spacing w:before="160" w:after="40" w:line="240" w:lineRule="auto"/>
      </w:pPr>
      <w:r>
        <w:rPr>
          <w:b/>
        </w:rPr>
        <w:t xml:space="preserve">[787] </w:t>
      </w:r>
      <w:hyperlink r:id="rId2008">
        <w:r>
          <w:rPr>
            <w:color w:val="1155CC"/>
            <w:u w:val="single"/>
          </w:rPr>
          <w:t>人类海马衰老过程中的表观遗传和 3D 基因组重编程</w:t>
        </w:r>
      </w:hyperlink>
    </w:p>
    <w:p>
      <w:pPr>
        <w:spacing w:before="0" w:after="80"/>
      </w:pPr>
      <w:r>
        <w:rPr>
          <w:i/>
          <w:sz w:val="20"/>
        </w:rPr>
        <w:t>EN: Epigenetic and 3D genome reprogramming during the aging of the human hippocampus</w:t>
      </w:r>
    </w:p>
    <w:p>
      <w:pPr>
        <w:spacing w:before="0" w:after="120"/>
      </w:pPr>
      <w:r>
        <w:rPr>
          <w:b/>
        </w:rPr>
        <w:t xml:space="preserve">Source: </w:t>
      </w:r>
      <w:r>
        <w:t>AAAS: Science: Table of Contents</w:t>
      </w:r>
      <w:r>
        <w:t xml:space="preserve">    </w:t>
      </w:r>
      <w:r>
        <w:rPr>
          <w:b/>
        </w:rPr>
        <w:t xml:space="preserve">Pub date: </w:t>
      </w:r>
      <w:r>
        <w:t>2026-07-23 07:00:00+00:00</w:t>
      </w:r>
      <w:r>
        <w:t xml:space="preserve">    </w:t>
      </w:r>
      <w:r>
        <w:rPr>
          <w:b/>
        </w:rPr>
        <w:t xml:space="preserve">DOI: </w:t>
      </w:r>
      <w:hyperlink r:id="rId2009">
        <w:r>
          <w:rPr>
            <w:color w:val="1155CC"/>
            <w:u w:val="single"/>
          </w:rPr>
          <w:t>10.1126/science.adt8307</w:t>
        </w:r>
      </w:hyperlink>
    </w:p>
    <w:p>
      <w:pPr>
        <w:spacing w:before="0" w:after="120"/>
      </w:pPr>
      <w:r>
        <w:rPr>
          <w:b/>
        </w:rPr>
        <w:t xml:space="preserve">Notes: </w:t>
      </w:r>
      <w:r>
        <w:t>abstract_source=crossref</w:t>
      </w:r>
    </w:p>
    <w:p>
      <w:pPr>
        <w:spacing w:before="0" w:after="80" w:lineRule="auto" w:line="276"/>
      </w:pPr>
      <w:r>
        <w:rPr>
          <w:b/>
        </w:rPr>
        <w:t xml:space="preserve">摘要（ZH）: </w:t>
      </w:r>
      <w:r>
        <w:t>在衰老的人脑中观察到基因表达的变化，但我们对潜在调节机制的理解仍然有限。为了阐明这些复杂性，我们分析了跨越成人寿命的人类海马组织的单核基因表达、染色质可及性、DNA 甲基化和三维 (3D) 染色质结构。我们确定了衰老过程中的线性和非线性动态基因调控程序。在 50 至 75 岁之间，胚胎卵黄囊来源的小胶质细胞被耗尽，并被类似于外周血单核细胞来源的小胶质细胞的细胞所取代。海马星形胶质细胞随着年龄的增长而大幅减少，包括那些调节突触传递的星形胶质细胞。在不同的细胞类型中，3D 基因组结构经历了整体侵蚀。我们的分析为改变基因调控程序如何促进人脑中细胞类型特异性的衰老表型提供了见解。</w:t>
      </w:r>
    </w:p>
    <w:p>
      <w:pPr>
        <w:spacing w:before="0" w:after="200" w:lineRule="auto" w:line="276"/>
      </w:pPr>
      <w:r>
        <w:rPr>
          <w:b/>
        </w:rPr>
        <w:t xml:space="preserve">Abstract (EN): </w:t>
      </w:r>
      <w:r>
        <w:t>Changes in gene expression have been observed in the aging human brain, but our understanding of the underlying regulatory mechanisms remains limited. To unravel these complexities, we analyzed single-nucleus gene expression, chromatin accessibility, DNA methylation, and three-dimensional (3D) chromatin architecture from human hippocampal tissues spanning the adult lifespan. We identified both linear and nonlinear dynamic gene regulatory programs during aging. Between the ages of 50 to 75, embryonic yolk sac–derived microglia were depleted and replaced by cells resembling peripheral blood monocyte–derived microglia. Hippocampal astrocytes decreased substantially with age, including those regulating synaptic transmission. Across cell types, 3D genome architecture underwent global erosion. Our analysis provides insights for how altered gene regulatory programs promote cell type–specific aging phenotypes in the human brain.</w:t>
      </w:r>
    </w:p>
    <w:p>
      <w:pPr>
        <w:spacing w:before="120" w:after="120"/>
      </w:pPr>
      <w:r>
        <w:rPr>
          <w:sz w:val="18"/>
        </w:rPr>
        <w:t>——————————————————————————————————————————————————————————————————————</w:t>
      </w:r>
    </w:p>
    <w:p>
      <w:pPr>
        <w:spacing w:before="160" w:after="40" w:line="240" w:lineRule="auto"/>
      </w:pPr>
      <w:r>
        <w:rPr>
          <w:b/>
        </w:rPr>
        <w:t xml:space="preserve">[788] </w:t>
      </w:r>
      <w:hyperlink r:id="rId2010">
        <w:r>
          <w:rPr>
            <w:color w:val="1155CC"/>
            <w:u w:val="single"/>
          </w:rPr>
          <w:t>储存单胺和谷氨酸的突触小泡的蛋白质组成不同</w:t>
        </w:r>
      </w:hyperlink>
    </w:p>
    <w:p>
      <w:pPr>
        <w:spacing w:before="0" w:after="80"/>
      </w:pPr>
      <w:r>
        <w:rPr>
          <w:i/>
          <w:sz w:val="20"/>
        </w:rPr>
        <w:t>EN: Synaptic vesicles that store monoamines and glutamate differ in protein composition</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11">
        <w:r>
          <w:rPr>
            <w:color w:val="1155CC"/>
            <w:u w:val="single"/>
          </w:rPr>
          <w:t>10.1126/sciadv.adz6836</w:t>
        </w:r>
      </w:hyperlink>
    </w:p>
    <w:p>
      <w:pPr>
        <w:spacing w:before="0" w:after="120"/>
      </w:pPr>
      <w:r>
        <w:rPr>
          <w:b/>
        </w:rPr>
        <w:t xml:space="preserve">Notes: </w:t>
      </w:r>
      <w:r>
        <w:t>abstract_source=crossref</w:t>
      </w:r>
    </w:p>
    <w:p>
      <w:pPr>
        <w:spacing w:before="0" w:after="80" w:lineRule="auto" w:line="276"/>
      </w:pPr>
      <w:r>
        <w:rPr>
          <w:b/>
        </w:rPr>
        <w:t xml:space="preserve">摘要（ZH）: </w:t>
      </w:r>
      <w:r>
        <w:t>单胺等神经调节剂可确保大脑的基本功能，但对其释放机制知之甚少。虽然最近的工作增进了我们对多巴胺轴突活性区结构的了解，但对突触小泡 (SV) 内的释放机制仍然知之甚少。在这里，我们通过比较包含囊泡单胺转运蛋白 2 (VMAT2) 和囊泡谷氨酸转运蛋白 2 (VGLUT2) 的 SV 的组成来解决单胺和突触递质释放之间的差异。之前的研究表明，这些 SV 在频率依赖性、回收动力学和生物发生方面存在差异。我们现在发现许多 SV 蛋白家族的丰度和亚型表达存在差异，并在原代神经元和脑组织中验证了这些差异。海马神经元异源表达后的功能分析表明，差异表达 SCAMP5 的缺失选择性损害 VGLUT2 SV 的循环，从而在同一神经元群体中保留 VMAT2 靶向的囊泡。这些发现为了解 SV 的分子多样性和多巴胺释放机制提供了见解。</w:t>
      </w:r>
    </w:p>
    <w:p>
      <w:pPr>
        <w:spacing w:before="0" w:after="200" w:lineRule="auto" w:line="276"/>
      </w:pPr>
      <w:r>
        <w:rPr>
          <w:b/>
        </w:rPr>
        <w:t xml:space="preserve">Abstract (EN): </w:t>
      </w:r>
      <w:r>
        <w:t>Neuromodulators such as monoamines assure essential brain functions, but relatively little is known about their mechanism of release. While recent work has advanced our knowledge of active zone architecture in dopamine axons, release machinery within the synaptic vesicle (SV) remains poorly understood. Here, we address differences between the release of monoamines and synaptic transmitters by comparing the composition of SVs that contain the vesicular monoamine transporter 2 (VMAT2) versus vesicular glutamate transporter 2 (VGLUT2). Previous work revealed that these SVs differ in frequency dependence, recycling kinetics, and biogenesis. We now find differences in the abundance and isoform expression of many SV protein families and validate these differences in primary neurons and brain tissue. Functional analysis after heterologous expression in hippocampal neurons shows that loss of differentially expressed SCAMP5 selectively impairs the recycling of VGLUT2 SVs, sparing vesicles targeted by VMAT2 in the same neuronal population. These findings provide insights into the molecular diversity of SVs and mechanisms of dopamine release.</w:t>
      </w:r>
    </w:p>
    <w:p>
      <w:pPr>
        <w:spacing w:before="120" w:after="120"/>
      </w:pPr>
      <w:r>
        <w:rPr>
          <w:sz w:val="18"/>
        </w:rPr>
        <w:t>——————————————————————————————————————————————————————————————————————</w:t>
      </w:r>
    </w:p>
    <w:p>
      <w:pPr>
        <w:spacing w:before="160" w:after="40" w:line="240" w:lineRule="auto"/>
      </w:pPr>
      <w:r>
        <w:rPr>
          <w:b/>
        </w:rPr>
        <w:t xml:space="preserve">[789] </w:t>
      </w:r>
      <w:hyperlink r:id="rId2012">
        <w:r>
          <w:rPr>
            <w:color w:val="1155CC"/>
            <w:u w:val="single"/>
          </w:rPr>
          <w:t>人类世岛屿生物多样性的新兴模式</w:t>
        </w:r>
      </w:hyperlink>
    </w:p>
    <w:p>
      <w:pPr>
        <w:spacing w:before="0" w:after="80"/>
      </w:pPr>
      <w:r>
        <w:rPr>
          <w:i/>
          <w:sz w:val="20"/>
        </w:rPr>
        <w:t>EN: Emergent patterns of island biodiversity in the Anthropocene</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13">
        <w:r>
          <w:rPr>
            <w:color w:val="1155CC"/>
            <w:u w:val="single"/>
          </w:rPr>
          <w:t>10.1126/sciadv.aee1788</w:t>
        </w:r>
      </w:hyperlink>
    </w:p>
    <w:p>
      <w:pPr>
        <w:spacing w:before="0" w:after="120"/>
      </w:pPr>
      <w:r>
        <w:rPr>
          <w:b/>
        </w:rPr>
        <w:t xml:space="preserve">Notes: </w:t>
      </w:r>
      <w:r>
        <w:t>abstract_source=crossref</w:t>
      </w:r>
    </w:p>
    <w:p>
      <w:pPr>
        <w:spacing w:before="0" w:after="80" w:lineRule="auto" w:line="276"/>
      </w:pPr>
      <w:r>
        <w:rPr>
          <w:b/>
        </w:rPr>
        <w:t xml:space="preserve">摘要（ZH）: </w:t>
      </w:r>
      <w:r>
        <w:t>岛屿长期以来一直是生态和进化理论发展的基础，是研究生物多样性模式的模型系统。然而，普遍存在的人为影响——特别是物种灭绝和引入——极大地改变了岛屿生态系统，使根据当代数据得出的推论变得复杂化。在这里，我们回顾了这些人类驱动的变化如何重塑了岛屿上的关键生物多样性模式，包括物种丰富度、群落组成、进化和物种相互作用的模式。我们表明，当前在岛屿上观察到的许多生态和进化模式不仅反映了自然过程，还反映了数千年来人类引起的变化的遗产。更好地结合古生态证据的方法，以及改进的岛屿生物多样性数据库和建模技术，可以帮助更好地重建岛屿上的前人类生物多样性基线。</w:t>
      </w:r>
    </w:p>
    <w:p>
      <w:pPr>
        <w:spacing w:before="0" w:after="200" w:lineRule="auto" w:line="276"/>
      </w:pPr>
      <w:r>
        <w:rPr>
          <w:b/>
        </w:rPr>
        <w:t xml:space="preserve">Abstract (EN): </w:t>
      </w:r>
      <w:r>
        <w:t>Islands have long been foundational to the development of ecological and evolutionary theory, serving as model systems for studying patterns of biodiversity. However, pervasive anthropogenic impacts—particularly species extinctions and introductions—have substantially altered island ecosystems, complicating inferences drawn from contemporary data. Here, we review how these human-driven changes have reshaped key biodiversity patterns on islands, including patterns of species richness, community composition, evolution, and species interactions. We show that many current ecological and evolutionary patterns observed on islands reflect not just natural processes but also a legacy of human-induced change spanning millennia. Approaches that better incorporate paleoecological evidence, along with improved island biodiversity databases and modeling techniques, can help better reconstruct prehuman biodiversity baselines on islands.</w:t>
      </w:r>
    </w:p>
    <w:p>
      <w:pPr>
        <w:spacing w:before="120" w:after="120"/>
      </w:pPr>
      <w:r>
        <w:rPr>
          <w:sz w:val="18"/>
        </w:rPr>
        <w:t>——————————————————————————————————————————————————————————————————————</w:t>
      </w:r>
    </w:p>
    <w:p>
      <w:pPr>
        <w:spacing w:before="160" w:after="40" w:line="240" w:lineRule="auto"/>
      </w:pPr>
      <w:r>
        <w:rPr>
          <w:b/>
        </w:rPr>
        <w:t xml:space="preserve">[790] </w:t>
      </w:r>
      <w:hyperlink r:id="rId2014">
        <w:r>
          <w:rPr>
            <w:color w:val="1155CC"/>
            <w:u w:val="single"/>
          </w:rPr>
          <w:t>S1P 受体 1 信号通过上调内皮血栓调节蛋白表达减少动脉血栓形成</w:t>
        </w:r>
      </w:hyperlink>
    </w:p>
    <w:p>
      <w:pPr>
        <w:spacing w:before="0" w:after="80"/>
      </w:pPr>
      <w:r>
        <w:rPr>
          <w:i/>
          <w:sz w:val="20"/>
        </w:rPr>
        <w:t>EN: S1P receptor 1 signaling reduces arterial thrombosis via up-regulation of endothelial thrombomodulin expression</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15">
        <w:r>
          <w:rPr>
            <w:color w:val="1155CC"/>
            <w:u w:val="single"/>
          </w:rPr>
          <w:t>10.1126/sciadv.aea9826</w:t>
        </w:r>
      </w:hyperlink>
    </w:p>
    <w:p>
      <w:pPr>
        <w:spacing w:before="0" w:after="120"/>
      </w:pPr>
      <w:r>
        <w:rPr>
          <w:b/>
        </w:rPr>
        <w:t xml:space="preserve">Notes: </w:t>
      </w:r>
      <w:r>
        <w:t>abstract_source=crossref</w:t>
      </w:r>
    </w:p>
    <w:p>
      <w:pPr>
        <w:spacing w:before="0" w:after="80" w:lineRule="auto" w:line="276"/>
      </w:pPr>
      <w:r>
        <w:rPr>
          <w:b/>
        </w:rPr>
        <w:t xml:space="preserve">摘要（ZH）: </w:t>
      </w:r>
      <w:r>
        <w:t>1-磷酸鞘氨醇 (S1P) 是心血管系统中的关键介质，对凝血功能的影响存在争议。我们假设 S1P 通过上调内皮血栓调节蛋白 (TM)（一种抗血栓蛋白）来减少血小板粘附和血栓形成。 S1P 通过 S1P 受体 1 和磷酸肌醇 3 激酶信号传导增加内皮 TM 表达。在流室实验中，S1P 减少血小板在内皮细胞上的粘附。在没有内皮细胞的情况下，S1P 不影响血小板活化。在小鼠中，S1P 增强内皮 TM 表达并减少体内动脉血栓形成，但不改变出血时间。相反，鞘氨醇激酶 1 缺陷且 S1P 浓度较低的小鼠表现出内皮 TM 表达减少和血栓形成增强，通过 TM 治疗可逆转。与此相一致的是，在 74 名心血管疾病患者的全部队列中，较高的 S1P 浓度与较低的循环凝血酶浓度相关。总之，S1P 以内皮和 TM 依赖性方式抑制血栓形成。这可能是预防血栓形成而不增加出血风险的治疗目标。</w:t>
      </w:r>
    </w:p>
    <w:p>
      <w:pPr>
        <w:spacing w:before="0" w:after="200" w:lineRule="auto" w:line="276"/>
      </w:pPr>
      <w:r>
        <w:rPr>
          <w:b/>
        </w:rPr>
        <w:t xml:space="preserve">Abstract (EN): </w:t>
      </w:r>
      <w:r>
        <w:t>Sphingosine-1-phosphate (S1P) is a key mediator in the cardiovascular system with controversial effects on coagulation. We hypothesized that S1P reduces platelet adhesion and thrombus formation by up-regulating endothelial thrombomodulin (TM), an antithrombotic protein. S1P increased endothelial TM expression via S1P receptor 1 and phosphoinositide 3-kinase signaling. S1P reduced platelet adhesion on endothelial cells in flow-chamber experiments. In the absence of endothelial cells, S1P did not affect platelet activation. In mice, S1P enhanced endothelial TM expression and decreased in vivo arterial thrombus formation but did not change bleeding time. Conversely, sphingosine kinase 1–deficient mice with low S1P concentrations showed reduced endothelial TM expression and enhanced thrombus formation, reversible by TM treatment. In line with this, in an all-comer cohort of 74 patients with cardiovascular disease, higher S1P concentrations were associated with lower circulating thrombin concentrations. In conclusion, S1P inhibited thrombus formation in an endothelium- and TM-dependent manner. This might be a therapeutic target in prevention of thrombus formation without enhancing bleeding risk.</w:t>
      </w:r>
    </w:p>
    <w:p>
      <w:pPr>
        <w:spacing w:before="120" w:after="120"/>
      </w:pPr>
      <w:r>
        <w:rPr>
          <w:sz w:val="18"/>
        </w:rPr>
        <w:t>——————————————————————————————————————————————————————————————————————</w:t>
      </w:r>
    </w:p>
    <w:p>
      <w:pPr>
        <w:spacing w:before="160" w:after="40" w:line="240" w:lineRule="auto"/>
      </w:pPr>
      <w:r>
        <w:rPr>
          <w:b/>
        </w:rPr>
        <w:t xml:space="preserve">[791] </w:t>
      </w:r>
      <w:hyperlink r:id="rId2016">
        <w:r>
          <w:rPr>
            <w:color w:val="1155CC"/>
            <w:u w:val="single"/>
          </w:rPr>
          <w:t>全球基因组核苷酸切除修复中 TFIIH 逐步去抑制的可视化</w:t>
        </w:r>
      </w:hyperlink>
    </w:p>
    <w:p>
      <w:pPr>
        <w:spacing w:before="0" w:after="80"/>
      </w:pPr>
      <w:r>
        <w:rPr>
          <w:i/>
          <w:sz w:val="20"/>
        </w:rPr>
        <w:t>EN: Visualization of stepwise derepression of TFIIH in global genome nucleotide excision repair</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17">
        <w:r>
          <w:rPr>
            <w:color w:val="1155CC"/>
            <w:u w:val="single"/>
          </w:rPr>
          <w:t>10.1126/sciadv.aeb3506</w:t>
        </w:r>
      </w:hyperlink>
    </w:p>
    <w:p>
      <w:pPr>
        <w:spacing w:before="0" w:after="120"/>
      </w:pPr>
      <w:r>
        <w:rPr>
          <w:b/>
        </w:rPr>
        <w:t xml:space="preserve">Notes: </w:t>
      </w:r>
      <w:r>
        <w:t>abstract_source=crossref</w:t>
      </w:r>
    </w:p>
    <w:p>
      <w:pPr>
        <w:spacing w:before="0" w:after="80" w:lineRule="auto" w:line="276"/>
      </w:pPr>
      <w:r>
        <w:rPr>
          <w:b/>
        </w:rPr>
        <w:t xml:space="preserve">摘要（ZH）: </w:t>
      </w:r>
      <w:r>
        <w:t>核苷酸切除修复 (NER) 是真核细胞中由转录因子 IIH (TFIIH) 协调的重要 DNA 修复途径。 TFIIH 是一种多功能复合物，包含两个 DNA 解旋酶/DNA 转位酶亚基和一个激酶模块，其中不同的子集在 NER、转录起始和细胞周期控制中发挥作用。尽管具有多功能性，但为了确保保真度，TFIIH 的 DNA 解旋酶活性在其游离形式或参与转录起始时会受到自动抑制。虽然激酶模块的释放已被确定为 TFIIH 激活的关键步骤，但控制该步骤的分子机制以及 TFIIH 中伴随的结构变化尚不完全清楚。在这里，我们确定了三种 NER 中间体的高分辨率结构，这些中间体可视化 TFIIH 如何在自抑制状态下到达 DNA 损伤位点，以及如何通过先前未描述的中间体释放自抑制。这些发现有助于对人类 DNA 修复机制的理解。</w:t>
      </w:r>
    </w:p>
    <w:p>
      <w:pPr>
        <w:spacing w:before="0" w:after="200" w:lineRule="auto" w:line="276"/>
      </w:pPr>
      <w:r>
        <w:rPr>
          <w:b/>
        </w:rPr>
        <w:t xml:space="preserve">Abstract (EN): </w:t>
      </w:r>
      <w:r>
        <w:t>Nucleotide excision repair (NER) is a crucial DNA repair pathway that is orchestrated by transcription factor IIH (TFIIH) in eukaryotic cells. TFIIH is a multifunctional complex that contains two DNA helicase/DNA translocase subunits and a kinase module, different subsets of which act in NER, transcription initiation, and cell cycle control. To ensure fidelity despite multifunctionality, the DNA helicase activity of TFIIH is autoinhibited in its free form or when the factor engages in transcription initiation. While the release of the kinase module has been identified as a key step in TFIIH activation, the molecular mechanisms controlling this step and concomitant structural changes in TFIIH are incompletely understood. Here, we determine high-resolution structures of three NER intermediates that visualize how TFIIH arrives at sites of DNA damage in an autoinhibited state and how autoinhibition is released via previously undescribed intermediates. These findings contribute to a mechanistic understanding of human DNA repair.</w:t>
      </w:r>
    </w:p>
    <w:p>
      <w:pPr>
        <w:spacing w:before="120" w:after="120"/>
      </w:pPr>
      <w:r>
        <w:rPr>
          <w:sz w:val="18"/>
        </w:rPr>
        <w:t>——————————————————————————————————————————————————————————————————————</w:t>
      </w:r>
    </w:p>
    <w:p>
      <w:pPr>
        <w:spacing w:before="160" w:after="40" w:line="240" w:lineRule="auto"/>
      </w:pPr>
      <w:r>
        <w:rPr>
          <w:b/>
        </w:rPr>
        <w:t xml:space="preserve">[792] </w:t>
      </w:r>
      <w:hyperlink r:id="rId2018">
        <w:r>
          <w:rPr>
            <w:color w:val="1155CC"/>
            <w:u w:val="single"/>
          </w:rPr>
          <w:t>产生耶尔森菌素的粘附侵袭性大肠杆菌利用宿主糖酵解来驱动巨噬细胞 HIF-1α 稳定</w:t>
        </w:r>
      </w:hyperlink>
    </w:p>
    <w:p>
      <w:pPr>
        <w:spacing w:before="0" w:after="80"/>
      </w:pPr>
      <w:r>
        <w:rPr>
          <w:i/>
          <w:sz w:val="20"/>
        </w:rPr>
        <w:t>EN: Yersiniabactin-producing adherent-invasive Escherichia coli exploit host glycolysis to drive macrophage HIF-1α stabilization</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19">
        <w:r>
          <w:rPr>
            <w:color w:val="1155CC"/>
            <w:u w:val="single"/>
          </w:rPr>
          <w:t>10.1126/sciadv.aeb7972</w:t>
        </w:r>
      </w:hyperlink>
    </w:p>
    <w:p>
      <w:pPr>
        <w:spacing w:before="0" w:after="120"/>
      </w:pPr>
      <w:r>
        <w:rPr>
          <w:b/>
        </w:rPr>
        <w:t xml:space="preserve">Notes: </w:t>
      </w:r>
      <w:r>
        <w:t>abstract_source=crossref</w:t>
      </w:r>
    </w:p>
    <w:p>
      <w:pPr>
        <w:spacing w:before="0" w:after="80" w:lineRule="auto" w:line="276"/>
      </w:pPr>
      <w:r>
        <w:rPr>
          <w:b/>
        </w:rPr>
        <w:t xml:space="preserve">摘要（ZH）: </w:t>
      </w:r>
      <w:r>
        <w:t>铁载体耶尔森菌素 (Ybt) 由肠道粘附侵袭性细菌的子集产生</w:t>
      </w:r>
      <w:r>
        <w:t xml:space="preserve"> </w:t>
      </w:r>
      <w:r>
        <w:t>大肠杆菌</w:t>
      </w:r>
      <w:r>
        <w:t xml:space="preserve"> </w:t>
      </w:r>
      <w:r>
        <w:t>（AIEC）在克罗恩病（CD）小鼠模型中驱动肠道纤维化。这与 Ybt 诱导的宿主金属稳态破坏和巨噬细胞中缺氧诱导因子 1-α (HIF-1α) 的激活有关。 CD 患者的肠道组织和巨噬细胞中糖酵解活性升高，表明代谢重编程是该疾病的一个特征。在这里，我们证明了 Ybt 对 HIF-1α 的稳定作用</w:t>
      </w:r>
      <w:r>
        <w:t xml:space="preserve"> </w:t>
      </w:r>
      <w:r>
        <w:t>+</w:t>
      </w:r>
      <w:r>
        <w:t xml:space="preserve"> </w:t>
      </w:r>
      <w:r>
        <w:t>AIEC 需要活跃的宿主糖酵解。该效应独立于</w:t>
      </w:r>
      <w:r>
        <w:t xml:space="preserve"> </w:t>
      </w:r>
      <w:r>
        <w:t>Hif1a</w:t>
      </w:r>
      <w:r>
        <w:t xml:space="preserve"> </w:t>
      </w:r>
      <w:r>
        <w:t>转录和脂多糖刺激，并且不仅仅由细胞内细菌负荷来解释，而是依赖于宿主代谢活动。从机械上讲，Ybt</w:t>
      </w:r>
      <w:r>
        <w:t xml:space="preserve"> </w:t>
      </w:r>
      <w:r>
        <w:t>+</w:t>
      </w:r>
      <w:r>
        <w:t xml:space="preserve"> </w:t>
      </w:r>
      <w:r>
        <w:t>AIEC 激活 Akt-mTOR 通路来支持 HIF-1α 翻译。糖酵解的抑制抑制了该信号轴，减少了 HIF-1α 翻译和核定位。鉴于 Ybt 之间的关联</w:t>
      </w:r>
      <w:r>
        <w:t xml:space="preserve"> </w:t>
      </w:r>
      <w:r>
        <w:t>+</w:t>
      </w:r>
      <w:r>
        <w:t xml:space="preserve"> </w:t>
      </w:r>
      <w:r>
        <w:t>AIEC 和 CD 中的纤维化，这些研究结果表明，针对宿主糖酵解可能会限制 AIEC 驱动的巨噬细胞 HIF-1α 激活和 CD 患者的纤维化进展。</w:t>
      </w:r>
    </w:p>
    <w:p>
      <w:pPr>
        <w:spacing w:before="0" w:after="200" w:lineRule="auto" w:line="276"/>
      </w:pPr>
      <w:r>
        <w:rPr>
          <w:b/>
        </w:rPr>
        <w:t xml:space="preserve">Abstract (EN): </w:t>
      </w:r>
      <w:r>
        <w:t>The siderophore yersiniabactin (Ybt) produced by a subset of intestinal adherent-invasive</w:t>
      </w:r>
      <w:r>
        <w:t xml:space="preserve"> </w:t>
      </w:r>
      <w:r>
        <w:t>Escherichia coli</w:t>
      </w:r>
      <w:r>
        <w:t xml:space="preserve"> </w:t>
      </w:r>
      <w:r>
        <w:t>(AIEC) drive intestinal fibrosis in murine model of Crohn’s disease (CD). This is linked to the Ybt-induced disruption of host metal homeostasis and activation of the hypoxia-inducible factor 1–alpha (HIF-1α) in macrophages. Elevated glycolytic activity has been documented in both intestinal tissues and macrophages from patients with CD, indicating that metabolic reprogramming is a characteristic feature of the disease. Here, we show that HIF-1α stabilization by Ybt</w:t>
      </w:r>
      <w:r>
        <w:t xml:space="preserve"> </w:t>
      </w:r>
      <w:r>
        <w:t>+</w:t>
      </w:r>
      <w:r>
        <w:t xml:space="preserve"> </w:t>
      </w:r>
      <w:r>
        <w:t>AIEC requires active host glycolysis. This effect is independent of</w:t>
      </w:r>
      <w:r>
        <w:t xml:space="preserve"> </w:t>
      </w:r>
      <w:r>
        <w:t>Hif1a</w:t>
      </w:r>
      <w:r>
        <w:t xml:space="preserve"> </w:t>
      </w:r>
      <w:r>
        <w:t>transcription and lipopolysaccharide stimulation and is not solely explained by intracellular bacterial load but instead relies on host metabolic activity. Mechanistically, Ybt</w:t>
      </w:r>
      <w:r>
        <w:t xml:space="preserve"> </w:t>
      </w:r>
      <w:r>
        <w:t>+</w:t>
      </w:r>
      <w:r>
        <w:t xml:space="preserve"> </w:t>
      </w:r>
      <w:r>
        <w:t>AIEC activated the Akt-mTOR pathway to support HIF-1α translation. Inhibition of glycolysis suppressed this signaling axis, reducing HIF-1α translation and nuclear localization. Given the association between Ybt</w:t>
      </w:r>
      <w:r>
        <w:t xml:space="preserve"> </w:t>
      </w:r>
      <w:r>
        <w:t>+</w:t>
      </w:r>
      <w:r>
        <w:t xml:space="preserve"> </w:t>
      </w:r>
      <w:r>
        <w:t>AIEC and fibrosis in CD, these findings suggest that targeting host glycolysis may limit AIEC-driven macrophage HIF-1α activation and fibrotic progression in CD patients.</w:t>
      </w:r>
    </w:p>
    <w:p>
      <w:pPr>
        <w:spacing w:before="120" w:after="120"/>
      </w:pPr>
      <w:r>
        <w:rPr>
          <w:sz w:val="18"/>
        </w:rPr>
        <w:t>——————————————————————————————————————————————————————————————————————</w:t>
      </w:r>
    </w:p>
    <w:p>
      <w:pPr>
        <w:spacing w:before="160" w:after="40" w:line="240" w:lineRule="auto"/>
      </w:pPr>
      <w:r>
        <w:rPr>
          <w:b/>
        </w:rPr>
        <w:t xml:space="preserve">[793] </w:t>
      </w:r>
      <w:hyperlink r:id="rId2020">
        <w:r>
          <w:rPr>
            <w:color w:val="1155CC"/>
            <w:u w:val="single"/>
          </w:rPr>
          <w:t>表观遗传记忆形成过程中的单细胞染色质状态转变</w:t>
        </w:r>
      </w:hyperlink>
    </w:p>
    <w:p>
      <w:pPr>
        <w:spacing w:before="0" w:after="80"/>
      </w:pPr>
      <w:r>
        <w:rPr>
          <w:i/>
          <w:sz w:val="20"/>
        </w:rPr>
        <w:t>EN: Single-cell chromatin state transitions during epigenetic memory formation</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21">
        <w:r>
          <w:rPr>
            <w:color w:val="1155CC"/>
            <w:u w:val="single"/>
          </w:rPr>
          <w:t>10.1126/sciadv.aeb0060</w:t>
        </w:r>
      </w:hyperlink>
    </w:p>
    <w:p>
      <w:pPr>
        <w:spacing w:before="0" w:after="120"/>
      </w:pPr>
      <w:r>
        <w:rPr>
          <w:b/>
        </w:rPr>
        <w:t xml:space="preserve">Notes: </w:t>
      </w:r>
      <w:r>
        <w:t>abstract_source=crossref</w:t>
      </w:r>
    </w:p>
    <w:p>
      <w:pPr>
        <w:spacing w:before="0" w:after="80" w:lineRule="auto" w:line="276"/>
      </w:pPr>
      <w:r>
        <w:rPr>
          <w:b/>
        </w:rPr>
        <w:t xml:space="preserve">摘要（ZH）: </w:t>
      </w:r>
      <w:r>
        <w:t>抑制性染色质修饰会压缩染色质并介导可遗传基因沉默，但结构变化如何与表观遗传记忆定量相关仍不清楚。通过定向招募 KRAB 阻遏蛋白在报告基因处诱导 H3K9me3，并结合单分子 3D 染色质成像，我们发现不可逆沉默与数十千碱基的大规模染色质压缩相关。相反，组蛋白脱乙酰化会产生可逆沉默，而无需这种压缩。尽管存在显着的单细胞异质性，但沉默结束时的平均压缩定量预测了 KRAB 去除后几周的表观遗传记忆。在这里，记忆不是通过稳定的 H3K9me3 结构域产生的，而是通过动态切换产生的，其中 H3K9me3 逐渐丢失并被 DNA 甲基化取代。概括这些动态的随机模拟表明，压缩增强了读写反馈以促进这种转变。在分化和命运决定过程中，在内源基因座上观察到类似的压缩，这表明空间组织可能可以预测其他系统中的表观遗传记忆。</w:t>
      </w:r>
    </w:p>
    <w:p>
      <w:pPr>
        <w:spacing w:before="0" w:after="200" w:lineRule="auto" w:line="276"/>
      </w:pPr>
      <w:r>
        <w:rPr>
          <w:b/>
        </w:rPr>
        <w:t xml:space="preserve">Abstract (EN): </w:t>
      </w:r>
      <w:r>
        <w:t>Repressive chromatin modifications compact chromatin and mediate heritable gene silencing, but how structural changes quantitatively relate to epigenetic memory remains unclear. Using targeted recruitment of the KRAB repressor to induce H3K9me3 at a reporter gene, combined with single-molecule 3D chromatin imaging, we show that irreversible silencing is associated with large-scale chromatin compaction across tens of kilobases. In contrast, histone deacetylation produces reversible silencing without such compaction. Despite substantial single-cell heterogeneity, average compaction at the end of silencing quantitatively predicts epigenetic memory weeks after KRAB removal. Here, memory arises not through stable H3K9me3 domains but rather through a dynamic handoff in which H3K9me3 is gradually lost and replaced by DNA methylation. Stochastic simulations recapitulating these dynamics suggest that compaction enhances read-write feedback to promote this transition. Similar compaction is observed at endogenous loci during differentiation and fate commitment, suggesting that spatial organization may be predictive of epigenetic memory in other systems.</w:t>
      </w:r>
    </w:p>
    <w:p>
      <w:pPr>
        <w:spacing w:before="120" w:after="120"/>
      </w:pPr>
      <w:r>
        <w:rPr>
          <w:sz w:val="18"/>
        </w:rPr>
        <w:t>——————————————————————————————————————————————————————————————————————</w:t>
      </w:r>
    </w:p>
    <w:p>
      <w:pPr>
        <w:spacing w:before="160" w:after="40" w:line="240" w:lineRule="auto"/>
      </w:pPr>
      <w:r>
        <w:rPr>
          <w:b/>
        </w:rPr>
        <w:t xml:space="preserve">[794] </w:t>
      </w:r>
      <w:hyperlink r:id="rId2022">
        <w:r>
          <w:rPr>
            <w:color w:val="1155CC"/>
            <w:u w:val="single"/>
          </w:rPr>
          <w:t>用于肿瘤靶向胰腺癌治疗的工程益生菌双歧杆菌</w:t>
        </w:r>
      </w:hyperlink>
    </w:p>
    <w:p>
      <w:pPr>
        <w:spacing w:before="0" w:after="80"/>
      </w:pPr>
      <w:r>
        <w:rPr>
          <w:i/>
          <w:sz w:val="20"/>
        </w:rPr>
        <w:t>EN: Engineered probiotic Bifidobacterium for tumor-targeted pancreatic cancer therapy</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23">
        <w:r>
          <w:rPr>
            <w:color w:val="1155CC"/>
            <w:u w:val="single"/>
          </w:rPr>
          <w:t>10.1126/sciadv.adz1388</w:t>
        </w:r>
      </w:hyperlink>
    </w:p>
    <w:p>
      <w:pPr>
        <w:spacing w:before="0" w:after="120"/>
      </w:pPr>
      <w:r>
        <w:rPr>
          <w:b/>
        </w:rPr>
        <w:t xml:space="preserve">Notes: </w:t>
      </w:r>
      <w:r>
        <w:t>abstract_source=crossref</w:t>
      </w:r>
    </w:p>
    <w:p>
      <w:pPr>
        <w:spacing w:before="0" w:after="80" w:lineRule="auto" w:line="276"/>
      </w:pPr>
      <w:r>
        <w:rPr>
          <w:b/>
        </w:rPr>
        <w:t xml:space="preserve">摘要（ZH）: </w:t>
      </w:r>
      <w:r>
        <w:t>胰腺导管腺癌（PDAC）由于其对癌症治疗的耐药性而提出了巨大的挑战。这种有限的功效部分归因于免疫抑制肿瘤微环境 (TME)，它损害了效应 T (T</w:t>
      </w:r>
      <w:r>
        <w:t xml:space="preserve"> </w:t>
      </w:r>
      <w:r>
        <w:t>有效值</w:t>
      </w:r>
      <w:r>
        <w:t xml:space="preserve"> </w:t>
      </w:r>
      <w:r>
        <w:t>）细胞活性。白介素 2 (IL-2) 是 T 细胞激活的关键细胞因子，但其治疗用途受到半衰期短、全身毒性和调节性 T 细胞 (T</w:t>
      </w:r>
      <w:r>
        <w:t xml:space="preserve"> </w:t>
      </w:r>
      <w:r>
        <w:t>注册</w:t>
      </w:r>
      <w:r>
        <w:t xml:space="preserve"> </w:t>
      </w:r>
      <w:r>
        <w:t>）激活。为了解决这个限制，我们设计了</w:t>
      </w:r>
      <w:r>
        <w:t xml:space="preserve"> </w:t>
      </w:r>
      <w:r>
        <w:t>长双歧杆菌</w:t>
      </w:r>
      <w:r>
        <w:t xml:space="preserve"> </w:t>
      </w:r>
      <w:r>
        <w:t>是一种益生菌专性厌氧菌，选择性定植于 TME，持续分泌超突变体 IL-2 (SumIL-2)，这是一种工程化的 IL-2 变体，优先激活 TME</w:t>
      </w:r>
      <w:r>
        <w:t xml:space="preserve"> </w:t>
      </w:r>
      <w:r>
        <w:t>有效值</w:t>
      </w:r>
      <w:r>
        <w:t xml:space="preserve"> </w:t>
      </w:r>
      <w:r>
        <w:t>细胞超过T</w:t>
      </w:r>
      <w:r>
        <w:t xml:space="preserve"> </w:t>
      </w:r>
      <w:r>
        <w:t>注册</w:t>
      </w:r>
      <w:r>
        <w:t xml:space="preserve"> </w:t>
      </w:r>
      <w:r>
        <w:t>细胞，从而选择性地将 SumIL-2 递送至肿瘤 (BifidoSumIL-2)。全身给予 BifidoSumIL-2 显着抑制小鼠皮下肿瘤和原位 PDAC 的肿瘤生长，从而改善 T</w:t>
      </w:r>
      <w:r>
        <w:t xml:space="preserve"> </w:t>
      </w:r>
      <w:r>
        <w:t>有效值</w:t>
      </w:r>
      <w:r>
        <w:t xml:space="preserve"> </w:t>
      </w:r>
      <w:r>
        <w:t>/T</w:t>
      </w:r>
      <w:r>
        <w:t xml:space="preserve"> </w:t>
      </w:r>
      <w:r>
        <w:t>注册</w:t>
      </w:r>
      <w:r>
        <w:t xml:space="preserve"> </w:t>
      </w:r>
      <w:r>
        <w:t>比率。将 BifidoSumIL-2 与化疗、放疗和免疫疗法相结合，进一步抑制了原位 PDAC 的生长，突显了其对 PDAC 等难以治疗的癌症的治疗潜力。</w:t>
      </w:r>
    </w:p>
    <w:p>
      <w:pPr>
        <w:spacing w:before="0" w:after="200" w:lineRule="auto" w:line="276"/>
      </w:pPr>
      <w:r>
        <w:rPr>
          <w:b/>
        </w:rPr>
        <w:t xml:space="preserve">Abstract (EN): </w:t>
      </w:r>
      <w:r>
        <w:t>Pancreatic ductal adenocarcinoma (PDAC) presents a substantial challenge due to its resistance to cancer treatments. This limited efficacy is, in part, attributed to the immunosuppressive tumor microenvironment (TME), which impairs effector T (T</w:t>
      </w:r>
      <w:r>
        <w:t xml:space="preserve"> </w:t>
      </w:r>
      <w:r>
        <w:t>eff</w:t>
      </w:r>
      <w:r>
        <w:t xml:space="preserve"> </w:t>
      </w:r>
      <w:r>
        <w:t>) cell activity. Interleukin-2 (IL-2) is a key cytokine for T cell activation, but its therapeutic use is limited by a short half-life, systemic toxicity, and regulatory T (T</w:t>
      </w:r>
      <w:r>
        <w:t xml:space="preserve"> </w:t>
      </w:r>
      <w:r>
        <w:t>reg</w:t>
      </w:r>
      <w:r>
        <w:t xml:space="preserve"> </w:t>
      </w:r>
      <w:r>
        <w:t>) activation. To address this limitation, we engineered</w:t>
      </w:r>
      <w:r>
        <w:t xml:space="preserve"> </w:t>
      </w:r>
      <w:r>
        <w:t>Bifidobacterium longum</w:t>
      </w:r>
      <w:r>
        <w:t xml:space="preserve"> </w:t>
      </w:r>
      <w:r>
        <w:t>, a probiotic obligate anaerobe that selectively colonizes the TME, to continuously secrete Super-mutant IL-2 (SumIL-2), an engineered IL-2 variant that preferentially activates T</w:t>
      </w:r>
      <w:r>
        <w:t xml:space="preserve"> </w:t>
      </w:r>
      <w:r>
        <w:t>eff</w:t>
      </w:r>
      <w:r>
        <w:t xml:space="preserve"> </w:t>
      </w:r>
      <w:r>
        <w:t>cells over T</w:t>
      </w:r>
      <w:r>
        <w:t xml:space="preserve"> </w:t>
      </w:r>
      <w:r>
        <w:t>reg</w:t>
      </w:r>
      <w:r>
        <w:t xml:space="preserve"> </w:t>
      </w:r>
      <w:r>
        <w:t>cells, thereby delivering SumIL-2 selectively to the tumor (BifidoSumIL-2). Systemic administration of BifidoSumIL-2 significantly suppressed tumor growth in both subcutaneous tumors and orthotopic PDAC in mice, inducing an improved T</w:t>
      </w:r>
      <w:r>
        <w:t xml:space="preserve"> </w:t>
      </w:r>
      <w:r>
        <w:t>eff</w:t>
      </w:r>
      <w:r>
        <w:t xml:space="preserve"> </w:t>
      </w:r>
      <w:r>
        <w:t>/T</w:t>
      </w:r>
      <w:r>
        <w:t xml:space="preserve"> </w:t>
      </w:r>
      <w:r>
        <w:t>reg</w:t>
      </w:r>
      <w:r>
        <w:t xml:space="preserve"> </w:t>
      </w:r>
      <w:r>
        <w:t>ratio. Combining BifidoSumIL-2 with chemotherapy, radiation, and immunotherapy further restrained orthotopic PDAC growth, highlighting its therapeutic potential for difficult-to-treat cancers like PDAC.</w:t>
      </w:r>
    </w:p>
    <w:p>
      <w:pPr>
        <w:spacing w:before="120" w:after="120"/>
      </w:pPr>
      <w:r>
        <w:rPr>
          <w:sz w:val="18"/>
        </w:rPr>
        <w:t>——————————————————————————————————————————————————————————————————————</w:t>
      </w:r>
    </w:p>
    <w:p>
      <w:pPr>
        <w:spacing w:before="160" w:after="40" w:line="240" w:lineRule="auto"/>
      </w:pPr>
      <w:r>
        <w:rPr>
          <w:b/>
        </w:rPr>
        <w:t xml:space="preserve">[795] </w:t>
      </w:r>
      <w:hyperlink r:id="rId2024">
        <w:r>
          <w:rPr>
            <w:color w:val="1155CC"/>
            <w:u w:val="single"/>
          </w:rPr>
          <w:t>单细胞多组学将阿尔茨海默病的 3D 基因组和转录组改变联系起来</w:t>
        </w:r>
      </w:hyperlink>
    </w:p>
    <w:p>
      <w:pPr>
        <w:spacing w:before="0" w:after="80"/>
      </w:pPr>
      <w:r>
        <w:rPr>
          <w:i/>
          <w:sz w:val="20"/>
        </w:rPr>
        <w:t>EN: Single-cell multiomics connects 3D genome and transcriptome alterations in Alzheimer’s disease</w:t>
      </w:r>
    </w:p>
    <w:p>
      <w:pPr>
        <w:spacing w:before="0" w:after="120"/>
      </w:pPr>
      <w:r>
        <w:rPr>
          <w:b/>
        </w:rPr>
        <w:t xml:space="preserve">Source: </w:t>
      </w:r>
      <w:r>
        <w:t>AAAS: Science: Table of Contents</w:t>
      </w:r>
      <w:r>
        <w:t xml:space="preserve">    </w:t>
      </w:r>
      <w:r>
        <w:rPr>
          <w:b/>
        </w:rPr>
        <w:t xml:space="preserve">Pub date: </w:t>
      </w:r>
      <w:r>
        <w:t>2026-07-23 07:00:00+00:00</w:t>
      </w:r>
      <w:r>
        <w:t xml:space="preserve">    </w:t>
      </w:r>
      <w:r>
        <w:rPr>
          <w:b/>
        </w:rPr>
        <w:t xml:space="preserve">DOI: </w:t>
      </w:r>
      <w:hyperlink r:id="rId2025">
        <w:r>
          <w:rPr>
            <w:color w:val="1155CC"/>
            <w:u w:val="single"/>
          </w:rPr>
          <w:t>10.1126/science.adz1652</w:t>
        </w:r>
      </w:hyperlink>
    </w:p>
    <w:p>
      <w:pPr>
        <w:spacing w:before="0" w:after="120"/>
      </w:pPr>
      <w:r>
        <w:rPr>
          <w:b/>
        </w:rPr>
        <w:t xml:space="preserve">Notes: </w:t>
      </w:r>
      <w:r>
        <w:t>abstract_source=crossref</w:t>
      </w:r>
    </w:p>
    <w:p>
      <w:pPr>
        <w:spacing w:before="0" w:after="80" w:lineRule="auto" w:line="276"/>
      </w:pPr>
      <w:r>
        <w:rPr>
          <w:b/>
        </w:rPr>
        <w:t xml:space="preserve">摘要（ZH）: </w:t>
      </w:r>
      <w:r>
        <w:t>阿尔茨海默病 (AD) 通过细胞类型特异性转录组和表观基因组改变破坏大脑功能，但三维 (3D) 基因组组织对 AD 的贡献仍知之甚少。我们应用 GAGE-seq（基因组结构和基因表达测序）联合分析 AD 患者和年龄匹配的非 AD 个体死后脑组织中单细胞的基因表达和 3D 染色质结构，揭示与细胞类型特异性失调相关的染色质重组。与空间转录组学和染色质可及性数据的整合发现了反映基因组区室重塑和调控元件重组的改变的生态位。 Hicformer 是一个深度学习框架，它表明 3D 基因组特征对于预测与疾病相关的细胞类型特异性基因表达变化至关重要。我们的结果将高阶染色质改变确定为 AD 相关分子病理学的一个组成部分，提供了神经退行性变中转录调控和 3D 基因组组织的多尺度视图。</w:t>
      </w:r>
    </w:p>
    <w:p>
      <w:pPr>
        <w:spacing w:before="0" w:after="200" w:lineRule="auto" w:line="276"/>
      </w:pPr>
      <w:r>
        <w:rPr>
          <w:b/>
        </w:rPr>
        <w:t xml:space="preserve">Abstract (EN): </w:t>
      </w:r>
      <w:r>
        <w:t>Alzheimer’s disease (AD) disrupts brain function through cell type–specific transcriptomic and epigenomic alterations, yet the contribution of three-dimensional (3D) genome organization to AD remains poorly understood. We applied GAGE-seq (genome architecture and gene expression by sequencing) to jointly profile gene expression and 3D chromatin structure in single cells from postmortem brain tissue from AD patients and age-matched individuals without AD, revealing chromatin reorganization linked to cell type–specific dysregulation. Integrations with spatial transcriptomics and chromatin accessibility data uncovered altered niches reflecting genome compartment remodeling and regulatory element reorganization. Hicformer, a deep learning framework, showed that 3D genome features are essential for predicting disease-relevant, cell type–specific gene expression changes. Our results establish higher-order chromatin alterations as a component of AD-associated molecular pathology, providing a multiscale view of transcriptional regulation and 3D genome organization in neurodegeneration.</w:t>
      </w:r>
    </w:p>
    <w:p>
      <w:pPr>
        <w:spacing w:before="120" w:after="120"/>
      </w:pPr>
      <w:r>
        <w:rPr>
          <w:sz w:val="18"/>
        </w:rPr>
        <w:t>——————————————————————————————————————————————————————————————————————</w:t>
      </w:r>
    </w:p>
    <w:p>
      <w:pPr>
        <w:spacing w:before="160" w:after="40" w:line="240" w:lineRule="auto"/>
      </w:pPr>
      <w:r>
        <w:rPr>
          <w:b/>
        </w:rPr>
        <w:t xml:space="preserve">[796] </w:t>
      </w:r>
      <w:hyperlink r:id="rId2026">
        <w:r>
          <w:rPr>
            <w:color w:val="1155CC"/>
            <w:u w:val="single"/>
          </w:rPr>
          <w:t>在没有节点流的情况下，Wnt 和 Nodal 不对称性对小鼠偏侧性表型进行分层</w:t>
        </w:r>
      </w:hyperlink>
    </w:p>
    <w:p>
      <w:pPr>
        <w:spacing w:before="0" w:after="80"/>
      </w:pPr>
      <w:r>
        <w:rPr>
          <w:i/>
          <w:sz w:val="20"/>
        </w:rPr>
        <w:t>EN: Wnt and Nodal asymmetries stratify mouse laterality phenotypes in the absence of node flow</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27">
        <w:r>
          <w:rPr>
            <w:color w:val="1155CC"/>
            <w:u w:val="single"/>
          </w:rPr>
          <w:t>10.1126/sciadv.adx6486</w:t>
        </w:r>
      </w:hyperlink>
    </w:p>
    <w:p>
      <w:pPr>
        <w:spacing w:before="0" w:after="120"/>
      </w:pPr>
      <w:r>
        <w:rPr>
          <w:b/>
        </w:rPr>
        <w:t xml:space="preserve">Notes: </w:t>
      </w:r>
      <w:r>
        <w:t>abstract_source=crossref</w:t>
      </w:r>
    </w:p>
    <w:p>
      <w:pPr>
        <w:spacing w:before="0" w:after="80" w:lineRule="auto" w:line="276"/>
      </w:pPr>
      <w:r>
        <w:rPr>
          <w:b/>
        </w:rPr>
        <w:t xml:space="preserve">摘要（ZH）: </w:t>
      </w:r>
      <w:r>
        <w:t>小鼠的左右对称性破缺被认为是通过节点向左的流体流动而发生的。节点内的分子级联已以高分辨率重建；然而，它对器官发生的重要性仍然知之甚少。在这里，我们在运动纤毛成分 CCDC40 的突变体中显示，尽管节点流被废除，但 70% 的小鼠在出生时发育出正常位置。离散形态空间输出，包括逆位和左异构异位，支持对称破缺的创新模型，其中节点流仅偏置不对称方向，而一种可能自我放大的独特机制生成它。纵向、定量和配对转录组分析揭示了偏侧性簇的分子特征，除了 NODAL 通路外还突出了 WNT。我们确定了心肺祖细胞的不对称性，其破坏与突变体中的心脏和肺联合缺陷有关。除了节点之外，功能性药理学扰动强化了 WNT 在不对称性建立中的重要性。</w:t>
      </w:r>
    </w:p>
    <w:p>
      <w:pPr>
        <w:spacing w:before="0" w:after="200" w:lineRule="auto" w:line="276"/>
      </w:pPr>
      <w:r>
        <w:rPr>
          <w:b/>
        </w:rPr>
        <w:t xml:space="preserve">Abstract (EN): </w:t>
      </w:r>
      <w:r>
        <w:t>Left-right symmetry breaking in mice is considered to occur via node leftward fluid flow. The molecular cascade within the node has been reconstructed at high resolution; however, its importance for organogenesis remains poorly understood. Here, we show in mutants for the motile cilium component CCDC40 that 70% of mice develop normal situs at birth despite abrogation of node flow. The discrete morphospace output, including situs inversus totalis and heterotaxy with left isomerism, supports an innovative model of symmetry breaking, in which node flow only biases asymmetry orientation, while a distinct mechanism, potentially self-amplifying, generates it. Longitudinal, quantitative, and paired transcriptomic analyses uncover the molecular signature of laterality clusters, highlighting WNT in addition to NODAL pathways. We identify asymmetry of cardiopulmonary progenitors, the disruption of which is associated with combined heart and lung defects in mutants. Functional pharmacological perturbation reinforces the importance of WNT, besides the node, in the establishment of asymmetry.</w:t>
      </w:r>
    </w:p>
    <w:p>
      <w:pPr>
        <w:spacing w:before="120" w:after="120"/>
      </w:pPr>
      <w:r>
        <w:rPr>
          <w:sz w:val="18"/>
        </w:rPr>
        <w:t>——————————————————————————————————————————————————————————————————————</w:t>
      </w:r>
    </w:p>
    <w:p>
      <w:pPr>
        <w:spacing w:before="160" w:after="40" w:line="240" w:lineRule="auto"/>
      </w:pPr>
      <w:r>
        <w:rPr>
          <w:b/>
        </w:rPr>
        <w:t xml:space="preserve">[797] </w:t>
      </w:r>
      <w:hyperlink r:id="rId2028">
        <w:r>
          <w:rPr>
            <w:color w:val="1155CC"/>
            <w:u w:val="single"/>
          </w:rPr>
          <w:t>HiC2Self：批量和单细胞 Hi-C 接触图的自监督去噪</w:t>
        </w:r>
      </w:hyperlink>
    </w:p>
    <w:p>
      <w:pPr>
        <w:spacing w:before="0" w:after="80"/>
      </w:pPr>
      <w:r>
        <w:rPr>
          <w:i/>
          <w:sz w:val="20"/>
        </w:rPr>
        <w:t>EN: HiC2Self: Self-supervised denoising for bulk and single-cell Hi-C contact maps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29">
        <w:r>
          <w:rPr>
            <w:color w:val="1155CC"/>
            <w:u w:val="single"/>
          </w:rPr>
          <w:t>10.1126/sciadv.adu8060</w:t>
        </w:r>
      </w:hyperlink>
    </w:p>
    <w:p>
      <w:pPr>
        <w:spacing w:before="0" w:after="120"/>
      </w:pPr>
      <w:r>
        <w:rPr>
          <w:b/>
        </w:rPr>
        <w:t xml:space="preserve">Notes: </w:t>
      </w:r>
      <w:r>
        <w:t>abstract_source=crossref</w:t>
      </w:r>
    </w:p>
    <w:p>
      <w:pPr>
        <w:spacing w:before="0" w:after="80" w:lineRule="auto" w:line="276"/>
      </w:pPr>
      <w:r>
        <w:rPr>
          <w:b/>
        </w:rPr>
        <w:t xml:space="preserve">摘要（ZH）: </w:t>
      </w:r>
      <w:r>
        <w:t>Hi-C 是一种染色体构象捕获测定，用于研究三维 (3D) 基因组组织。单细胞 Hi-C 技术现在能够检查单个细胞中的 3D 染色质组织，尽管这些方法经常受到库覆盖率低和数据稀疏的困扰。在这里，我们介绍 HiC2Self，一种用于对 Hi-C 接触图进行去噪的自监督框架，仅需要低覆盖率数据作为输入。 HiC2Self 可重建关键结构，如拓扑关联域 (TAD) 和来自批量库的重要循环，包括细胞类型特异性的 Hi-C 结构，而不会遇到监督模型面临的泛化挑战。 HiC2Self 还可以以 1 kb 分辨率从 Micro-C 数据中准确重建重要循环。当应用于单核甲基 3C 数据时，HiC2Self 成功地用少至 50 个细胞以 10 kb 分辨率重建了特定基因周围的局部 TAD 结构。最后，HiC2Self 能够以 50 kb 分辨率检查相同细胞类型的单个细胞中的单细胞结构。因此，HiC2Self 提供了一种通用工具，用于对批量、伪批量和单细胞 3D 接触图进行去噪，以实现下游分析。</w:t>
      </w:r>
    </w:p>
    <w:p>
      <w:pPr>
        <w:spacing w:before="0" w:after="200" w:lineRule="auto" w:line="276"/>
      </w:pPr>
      <w:r>
        <w:rPr>
          <w:b/>
        </w:rPr>
        <w:t xml:space="preserve">Abstract (EN): </w:t>
      </w:r>
      <w:r>
        <w:t>Hi-C is a chromosome conformation capture assay used to study three-dimensional (3D) genome organization. Single-cell Hi-C technologies now enable the examination of 3D chromatin organization in individual cells, although these approaches often suffer from low-coverage libraries and data sparsity. Here, we introduce HiC2Self, a self-supervised framework for denoising Hi-C contact maps that requires only low-coverage data as input. HiC2Self reconstructs key structures such as topologically associating domains (TADs) and significant loops from bulk libraries, including cell-type-specific Hi-C structures, without the generalization challenges faced by supervised models. HiC2Self can also accurately reconstruct significant loops from Micro-C data at 1-kilobase resolution. When applied to single-nucleus methyl-3C data, HiC2Self successfully reconstructs local TAD structures around specific genes at 10-kilobase resolution with as few as 50 cells. Last, HiC2Self enables the examination of single-cell structures at 50-kilobase resolution in individual cells of the same cell type. HiC2Self thus provides a general tool for denoising bulk, pseudobulk, and single-cell 3D contact maps to enable downstream analyses.</w:t>
      </w:r>
    </w:p>
    <w:p>
      <w:pPr>
        <w:spacing w:before="120" w:after="120"/>
      </w:pPr>
      <w:r>
        <w:rPr>
          <w:sz w:val="18"/>
        </w:rPr>
        <w:t>——————————————————————————————————————————————————————————————————————</w:t>
      </w:r>
    </w:p>
    <w:p>
      <w:pPr>
        <w:spacing w:before="160" w:after="40" w:line="240" w:lineRule="auto"/>
      </w:pPr>
      <w:r>
        <w:rPr>
          <w:b/>
        </w:rPr>
        <w:t xml:space="preserve">[798] </w:t>
      </w:r>
      <w:hyperlink r:id="rId2030">
        <w:r>
          <w:rPr>
            <w:color w:val="1155CC"/>
            <w:u w:val="single"/>
          </w:rPr>
          <w:t>mTOR 信号传导有助于小鼠肝脏中系统驱动的节律性基因表达</w:t>
        </w:r>
      </w:hyperlink>
    </w:p>
    <w:p>
      <w:pPr>
        <w:spacing w:before="0" w:after="80"/>
      </w:pPr>
      <w:r>
        <w:rPr>
          <w:i/>
          <w:sz w:val="20"/>
        </w:rPr>
        <w:t>EN: mTOR signaling contributes to system-driven rhythmic gene expression in mouse liver</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31">
        <w:r>
          <w:rPr>
            <w:color w:val="1155CC"/>
            <w:u w:val="single"/>
          </w:rPr>
          <w:t>10.1126/sciadv.aec0131</w:t>
        </w:r>
      </w:hyperlink>
    </w:p>
    <w:p>
      <w:pPr>
        <w:spacing w:before="0" w:after="120"/>
      </w:pPr>
      <w:r>
        <w:rPr>
          <w:b/>
        </w:rPr>
        <w:t xml:space="preserve">Notes: </w:t>
      </w:r>
      <w:r>
        <w:t>abstract_source=crossref</w:t>
      </w:r>
    </w:p>
    <w:p>
      <w:pPr>
        <w:spacing w:before="0" w:after="80" w:lineRule="auto" w:line="276"/>
      </w:pPr>
      <w:r>
        <w:rPr>
          <w:b/>
        </w:rPr>
        <w:t xml:space="preserve">摘要（ZH）: </w:t>
      </w:r>
      <w:r>
        <w:t>有节奏的基因表达对于生物过程的日常组织至关重要。虽然循环转录组受到几乎每个细胞中存在的生物钟的调节，但越来越多的证据表明，它们也可以由独立于生物钟的有节奏的食物驱动的系统信号启动。然而，其根本机制仍然很大程度上未知。在这里，我们表明，通过雷帕霉素营养感应激酶机制靶标（mTOR）发出的信号对于介导食物驱动的肝脏节律性基因表达、肝脏代谢组的节律性调节和内质网应激反应是必要且充分的。在活性阶段之前急性抑制 mTOR 会使 mTOR 驱动的节律基因的相位去同步，而不影响时钟控制的节律基因，表明节律 mTOR 活性与昼夜节律周期的对齐对于明显循环转录组至关重要。这些发现可以解释时钟和系统信号之间的失调如何导致疾病，并强调使用 mTOR 抑制剂来重新同步系统驱动的节律并缓解昼夜节律紊乱。</w:t>
      </w:r>
    </w:p>
    <w:p>
      <w:pPr>
        <w:spacing w:before="0" w:after="200" w:lineRule="auto" w:line="276"/>
      </w:pPr>
      <w:r>
        <w:rPr>
          <w:b/>
        </w:rPr>
        <w:t xml:space="preserve">Abstract (EN): </w:t>
      </w:r>
      <w:r>
        <w:t>Rhythmic gene expression is essential to the daily organization of biological processes. While cycling transcriptomes are regulated by circadian clocks present in nearly every cell, accumulating evidence indicates that they can also be initiated by rhythmic food-driven systemic signals independently of circadian clocks. The underlying mechanisms remain however largely unknown. Here, we show that signaling through the nutrient-sensing kinase mechanistic target of rapamycin (mTOR) is both necessary and sufficient to mediate food-driven hepatic rhythmic gene expression, rhythmic regulation of the liver metabolome, and endoplasmic reticulum stress response. Acute inhibition of mTOR before the active phase desynchronizes the phase of mTOR-driven rhythmic genes without affecting clock-controlled rhythmic genes, indicating that alignment of rhythmic mTOR activity to the circadian cycle is critical for overt cycling transcriptomes. These findings may explain how misalignment between clock and systemic signals contributes to disease and underscore the use of mTOR inhibitors for resynchronizing system-driven rhythms and alleviating circadian rhythm disorders.</w:t>
      </w:r>
    </w:p>
    <w:p>
      <w:pPr>
        <w:spacing w:before="120" w:after="120"/>
      </w:pPr>
      <w:r>
        <w:rPr>
          <w:sz w:val="18"/>
        </w:rPr>
        <w:t>——————————————————————————————————————————————————————————————————————</w:t>
      </w:r>
    </w:p>
    <w:p>
      <w:pPr>
        <w:spacing w:before="160" w:after="40" w:line="240" w:lineRule="auto"/>
      </w:pPr>
      <w:r>
        <w:rPr>
          <w:b/>
        </w:rPr>
        <w:t xml:space="preserve">[799] </w:t>
      </w:r>
      <w:hyperlink r:id="rId2032">
        <w:r>
          <w:rPr>
            <w:color w:val="1155CC"/>
            <w:u w:val="single"/>
          </w:rPr>
          <w:t>当你吃东西时你就是：食物如何同步肝脏时钟</w:t>
        </w:r>
      </w:hyperlink>
    </w:p>
    <w:p>
      <w:pPr>
        <w:spacing w:before="0" w:after="80"/>
      </w:pPr>
      <w:r>
        <w:rPr>
          <w:i/>
          <w:sz w:val="20"/>
        </w:rPr>
        <w:t>EN: You are when you eat: How food synchronizes liver clocks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33">
        <w:r>
          <w:rPr>
            <w:color w:val="1155CC"/>
            <w:u w:val="single"/>
          </w:rPr>
          <w:t>10.1126/sciadv.aej7423</w:t>
        </w:r>
      </w:hyperlink>
    </w:p>
    <w:p>
      <w:pPr>
        <w:spacing w:before="0" w:after="120"/>
      </w:pPr>
      <w:r>
        <w:rPr>
          <w:b/>
        </w:rPr>
        <w:t xml:space="preserve">Notes: </w:t>
      </w:r>
      <w:r>
        <w:t>abstract_source=crossref</w:t>
      </w:r>
    </w:p>
    <w:p>
      <w:pPr>
        <w:spacing w:before="0" w:after="80" w:lineRule="auto" w:line="276"/>
      </w:pPr>
      <w:r>
        <w:rPr>
          <w:b/>
        </w:rPr>
        <w:t xml:space="preserve">摘要（ZH）: </w:t>
      </w:r>
      <w:r>
        <w:t>食物摄入通过 mTOR 通路的激素和营养调节来同步肝脏昼夜节律基因表达。</w:t>
      </w:r>
    </w:p>
    <w:p>
      <w:pPr>
        <w:spacing w:before="0" w:after="200" w:lineRule="auto" w:line="276"/>
      </w:pPr>
      <w:r>
        <w:rPr>
          <w:b/>
        </w:rPr>
        <w:t xml:space="preserve">Abstract (EN): </w:t>
      </w:r>
      <w:r>
        <w:t>Food ingestion synchronizes liver circadian gene expression via hormone and nutrient regulation of the mTOR pathway.</w:t>
      </w:r>
    </w:p>
    <w:p>
      <w:pPr>
        <w:spacing w:before="120" w:after="120"/>
      </w:pPr>
      <w:r>
        <w:rPr>
          <w:sz w:val="18"/>
        </w:rPr>
        <w:t>——————————————————————————————————————————————————————————————————————</w:t>
      </w:r>
    </w:p>
    <w:p>
      <w:pPr>
        <w:spacing w:before="160" w:after="40" w:line="240" w:lineRule="auto"/>
      </w:pPr>
      <w:r>
        <w:rPr>
          <w:b/>
        </w:rPr>
        <w:t xml:space="preserve">[800] </w:t>
      </w:r>
      <w:hyperlink r:id="rId2034">
        <w:r>
          <w:rPr>
            <w:color w:val="1155CC"/>
            <w:u w:val="single"/>
          </w:rPr>
          <w:t>菲尔兹奖之外还有什么？</w:t>
        </w:r>
      </w:hyperlink>
    </w:p>
    <w:p>
      <w:pPr>
        <w:spacing w:before="0" w:after="80"/>
      </w:pPr>
      <w:r>
        <w:rPr>
          <w:i/>
          <w:sz w:val="20"/>
        </w:rPr>
        <w:t>EN: What lies beyond the Fields Medal?</w:t>
      </w:r>
    </w:p>
    <w:p>
      <w:pPr>
        <w:spacing w:before="0" w:after="120"/>
      </w:pPr>
      <w:r>
        <w:rPr>
          <w:b/>
        </w:rPr>
        <w:t xml:space="preserve">Source: </w:t>
      </w:r>
      <w:r>
        <w:t>AAAS: Science: Table of Contents</w:t>
      </w:r>
      <w:r>
        <w:t xml:space="preserve">    </w:t>
      </w:r>
      <w:r>
        <w:rPr>
          <w:b/>
        </w:rPr>
        <w:t xml:space="preserve">Pub date: </w:t>
      </w:r>
      <w:r>
        <w:t>2026-07-23 07:00:00+00:00</w:t>
      </w:r>
      <w:r>
        <w:t xml:space="preserve">    </w:t>
      </w:r>
      <w:r>
        <w:rPr>
          <w:b/>
        </w:rPr>
        <w:t xml:space="preserve">DOI: </w:t>
      </w:r>
      <w:hyperlink r:id="rId2035">
        <w:r>
          <w:rPr>
            <w:color w:val="1155CC"/>
            <w:u w:val="single"/>
          </w:rPr>
          <w:t>10.1126/science.aej6433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[801] </w:t>
      </w:r>
      <w:hyperlink r:id="rId2036">
        <w:r>
          <w:rPr>
            <w:color w:val="1155CC"/>
            <w:u w:val="single"/>
          </w:rPr>
          <w:t>COPI 蛋白在细胞衰老中的独特作用减弱</w:t>
        </w:r>
      </w:hyperlink>
    </w:p>
    <w:p>
      <w:pPr>
        <w:spacing w:before="0" w:after="80"/>
      </w:pPr>
      <w:r>
        <w:rPr>
          <w:i/>
          <w:sz w:val="20"/>
        </w:rPr>
        <w:t>EN: Distinct roles of COPI proteins attenuated in cell senescence</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37">
        <w:r>
          <w:rPr>
            <w:color w:val="1155CC"/>
            <w:u w:val="single"/>
          </w:rPr>
          <w:t>10.1126/sciadv.aec2786</w:t>
        </w:r>
      </w:hyperlink>
    </w:p>
    <w:p>
      <w:pPr>
        <w:spacing w:before="0" w:after="120"/>
      </w:pPr>
      <w:r>
        <w:rPr>
          <w:b/>
        </w:rPr>
        <w:t xml:space="preserve">Notes: </w:t>
      </w:r>
      <w:r>
        <w:t>abstract_source=crossref</w:t>
      </w:r>
    </w:p>
    <w:p>
      <w:pPr>
        <w:spacing w:before="0" w:after="80" w:lineRule="auto" w:line="276"/>
      </w:pPr>
      <w:r>
        <w:rPr>
          <w:b/>
        </w:rPr>
        <w:t xml:space="preserve">摘要（ZH）: </w:t>
      </w:r>
      <w:r>
        <w:t>在衰老细胞中，线粒体和溶酶体等细胞器的功能变化已得到很好的表征，但与衰老相关的高尔基体功能变化却没有得到很好的表征。 RNA 干扰筛选显示，对涉及高尔基体的细胞内运输至关重要的外壳蛋白 I (COPI) 复合物的亚基沉默，会减少细胞外囊泡的摄取。在增殖的WI-38成纤维细胞中，沉默COPI成分COPA、COPB1、COPB2或COPD会诱导ATF4产生，并破坏自噬、细胞凋亡和细胞因子信号传导，这些都是高尔基体到内质网运输受损的标志，而沉默COPI成分COPG1、COPE或COPZ1会改变细胞外基质蛋白的产生。此外，各个 COPI 蛋白与高尔基体和内体蛋白相关，在囊泡运输中发挥支持作用。在衰老的 WI-38 成纤维细胞中，沉默 COPI 蛋白不会引发这些表型。我们的研究结果强调了各个 COPI 蛋白独特的多功能作用及其在衰老过程中减弱的细胞内稳态运输​​网络中的关键作用。</w:t>
      </w:r>
    </w:p>
    <w:p>
      <w:pPr>
        <w:spacing w:before="0" w:after="200" w:lineRule="auto" w:line="276"/>
      </w:pPr>
      <w:r>
        <w:rPr>
          <w:b/>
        </w:rPr>
        <w:t xml:space="preserve">Abstract (EN): </w:t>
      </w:r>
      <w:r>
        <w:t>In senescent cells, functional alterations in organelles like mitochondria and lysosomes are well characterized, but senescence-associated changes in Golgi function are not. An RNA interference screen revealed that silencing subunits of the coatomer protein I (COPI) complex, critical for intracellular transport involving the Golgi, reduced extracellular vesicle uptake. In proliferating WI-38 fibroblasts, silencing COPI constituents COPA, COPB1, COPB2, or COPD induced ATF4 production and disrupted autophagy, apoptosis, and cytokine signaling, all hallmarks of impaired Golgi–to–endoplasmic reticulum transport, while silencing COPI constituents COPG1, COPE, or COPZ1 altered the production of extracellular matrix proteins. Furthermore, individual COPI proteins associated with Golgi and endosomal proteins, supporting roles in vesicular trafficking. In senescent WI-38 fibroblasts, silencing COPI proteins did not elicit these phenotypes. Our findings underscore the distinct, multifunctional actions of individual COPI proteins and their key roles in intracellular homeostatic transport networks that become attenuated during senescence.</w:t>
      </w:r>
    </w:p>
    <w:p>
      <w:pPr>
        <w:spacing w:before="120" w:after="120"/>
      </w:pPr>
      <w:r>
        <w:rPr>
          <w:sz w:val="18"/>
        </w:rPr>
        <w:t>——————————————————————————————————————————————————————————————————————</w:t>
      </w:r>
    </w:p>
    <w:p>
      <w:pPr>
        <w:spacing w:before="160" w:after="40" w:line="240" w:lineRule="auto"/>
      </w:pPr>
      <w:r>
        <w:rPr>
          <w:b/>
        </w:rPr>
        <w:t xml:space="preserve">[802] </w:t>
      </w:r>
      <w:hyperlink r:id="rId2038">
        <w:r>
          <w:rPr>
            <w:color w:val="1155CC"/>
            <w:u w:val="single"/>
          </w:rPr>
          <w:t>中亚南部丝绸之路之前的蚕业种植（公元前 2000 年）</w:t>
        </w:r>
      </w:hyperlink>
    </w:p>
    <w:p>
      <w:pPr>
        <w:spacing w:before="0" w:after="80"/>
      </w:pPr>
      <w:r>
        <w:rPr>
          <w:i/>
          <w:sz w:val="20"/>
        </w:rPr>
        <w:t>EN: Silkworm cultivation predating the Silk Road in southern Central Asia (2000 BCE)</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39">
        <w:r>
          <w:rPr>
            <w:color w:val="1155CC"/>
            <w:u w:val="single"/>
          </w:rPr>
          <w:t>10.1126/sciadv.aec8738</w:t>
        </w:r>
      </w:hyperlink>
    </w:p>
    <w:p>
      <w:pPr>
        <w:spacing w:before="0" w:after="120"/>
      </w:pPr>
      <w:r>
        <w:rPr>
          <w:b/>
        </w:rPr>
        <w:t xml:space="preserve">Notes: </w:t>
      </w:r>
      <w:r>
        <w:t>abstract_source=crossref</w:t>
      </w:r>
    </w:p>
    <w:p>
      <w:pPr>
        <w:spacing w:before="0" w:after="80" w:lineRule="auto" w:line="276"/>
      </w:pPr>
      <w:r>
        <w:rPr>
          <w:b/>
        </w:rPr>
        <w:t xml:space="preserve">摘要（ZH）: </w:t>
      </w:r>
      <w:r>
        <w:t>历史叙述认为，蚕桑起源于中国，并在大约两千年前沿着丝绸之路传播。为了质疑这一假设，我们对从乌兹别克斯坦 Sapalli Tepe（大约公元前 2000 年至 1500 年）遗址回收的三个茧进行了微形态学和蛋白质组学分析。我们将他们识别为</w:t>
      </w:r>
      <w:r>
        <w:t xml:space="preserve"> </w:t>
      </w:r>
      <w:r>
        <w:t>家蚕</w:t>
      </w:r>
      <w:r>
        <w:t xml:space="preserve"> </w:t>
      </w:r>
      <w:r>
        <w:t>，直接追溯到 1940 年至 1765 年。公元前，代表了最早的遗迹</w:t>
      </w:r>
      <w:r>
        <w:t xml:space="preserve"> </w:t>
      </w:r>
      <w:r>
        <w:t>家蚕</w:t>
      </w:r>
      <w:r>
        <w:t xml:space="preserve"> </w:t>
      </w:r>
      <w:r>
        <w:t>茧。我们进一步报道了最早的桑树（</w:t>
      </w:r>
      <w:r>
        <w:t xml:space="preserve"> </w:t>
      </w:r>
      <w:r>
        <w:t>桑属</w:t>
      </w:r>
      <w:r>
        <w:t xml:space="preserve"> </w:t>
      </w:r>
      <w:r>
        <w:t>sp.）来自中亚的木炭碎片，证明了桑树-</w:t>
      </w:r>
      <w:r>
        <w:t>家蚕</w:t>
      </w:r>
      <w:r>
        <w:t xml:space="preserve"> </w:t>
      </w:r>
      <w:r>
        <w:t>阿姆河地区养蚕的历史比之前记载的要早近2000年。我们强调，早期的蚕和桑树可能是沿着喜马拉雅山南坡引入中亚的，尽管其他路线也可以合理地解释观察到的模式。这项多学科研究改写了早期蚕桑及其全球化的神秘历史。</w:t>
      </w:r>
    </w:p>
    <w:p>
      <w:pPr>
        <w:spacing w:before="0" w:after="200" w:lineRule="auto" w:line="276"/>
      </w:pPr>
      <w:r>
        <w:rPr>
          <w:b/>
        </w:rPr>
        <w:t xml:space="preserve">Abstract (EN): </w:t>
      </w:r>
      <w:r>
        <w:t>Historical narratives hold that sericulture originated in China and spread along the Silk Road roughly two millennia ago. In questioning this assumption, we conducted micromorphological and proteomics analyses on three cocoons recovered from the Sapalli Tepe (approximately 2000 to 1500 BCE) site in Uzbekistan. We identified them as</w:t>
      </w:r>
      <w:r>
        <w:t xml:space="preserve"> </w:t>
      </w:r>
      <w:r>
        <w:t>Bombyx mori</w:t>
      </w:r>
      <w:r>
        <w:t xml:space="preserve"> </w:t>
      </w:r>
      <w:r>
        <w:t>, directly dated to 1940 to 1765 cal. BCE, representing the earliest remains of</w:t>
      </w:r>
      <w:r>
        <w:t xml:space="preserve"> </w:t>
      </w:r>
      <w:r>
        <w:t>Bombyx</w:t>
      </w:r>
      <w:r>
        <w:t xml:space="preserve"> </w:t>
      </w:r>
      <w:r>
        <w:t>cocoons. We further report the earliest mulberry (</w:t>
      </w:r>
      <w:r>
        <w:t xml:space="preserve"> </w:t>
      </w:r>
      <w:r>
        <w:t>Morus</w:t>
      </w:r>
      <w:r>
        <w:t xml:space="preserve"> </w:t>
      </w:r>
      <w:r>
        <w:t>sp.) charcoal fragments from Central Asia, attesting to mulberry-</w:t>
      </w:r>
      <w:r>
        <w:t>Bombyx</w:t>
      </w:r>
      <w:r>
        <w:t xml:space="preserve"> </w:t>
      </w:r>
      <w:r>
        <w:t>sericulture in the Oxus nearly 2000 years earlier than previously documented. We highlight that early silkworms and mulberry trees may have been introduced to Central Asia along the southern slope of the Himalayas, although other routes could also plausibly explain the observed pattern. This multidisciplinary research rewrites the enigmatic history of early sericulture and its globalization.</w:t>
      </w:r>
    </w:p>
    <w:p>
      <w:pPr>
        <w:spacing w:before="120" w:after="120"/>
      </w:pPr>
      <w:r>
        <w:rPr>
          <w:sz w:val="18"/>
        </w:rPr>
        <w:t>——————————————————————————————————————————————————————————————————————</w:t>
      </w:r>
    </w:p>
    <w:p>
      <w:pPr>
        <w:spacing w:before="160" w:after="40" w:line="240" w:lineRule="auto"/>
      </w:pPr>
      <w:r>
        <w:rPr>
          <w:b/>
        </w:rPr>
        <w:t xml:space="preserve">[803] </w:t>
      </w:r>
      <w:hyperlink r:id="rId2040">
        <w:r>
          <w:rPr>
            <w:color w:val="1155CC"/>
            <w:u w:val="single"/>
          </w:rPr>
          <w:t>KRASG12D 抑制重新编程肿瘤诱导的免疫抑制环境并增强 NK 细胞介导的抗肿瘤免疫</w:t>
        </w:r>
      </w:hyperlink>
    </w:p>
    <w:p>
      <w:pPr>
        <w:spacing w:before="0" w:after="80"/>
      </w:pPr>
      <w:r>
        <w:rPr>
          <w:i/>
          <w:sz w:val="20"/>
        </w:rPr>
        <w:t>EN: KRASG12D inhibition reprograms the tumor-induced immunosuppressive environment and enhances NK cell–mediated antitumor immunity</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41">
        <w:r>
          <w:rPr>
            <w:color w:val="1155CC"/>
            <w:u w:val="single"/>
          </w:rPr>
          <w:t>10.1126/sciadv.aec9236</w:t>
        </w:r>
      </w:hyperlink>
    </w:p>
    <w:p>
      <w:pPr>
        <w:spacing w:before="0" w:after="120"/>
      </w:pPr>
      <w:r>
        <w:rPr>
          <w:b/>
        </w:rPr>
        <w:t xml:space="preserve">Notes: </w:t>
      </w:r>
      <w:r>
        <w:t>abstract_source=pubmed</w:t>
      </w:r>
    </w:p>
    <w:p>
      <w:pPr>
        <w:spacing w:before="0" w:after="80" w:lineRule="auto" w:line="276"/>
      </w:pPr>
      <w:r>
        <w:rPr>
          <w:b/>
        </w:rPr>
        <w:t xml:space="preserve">摘要（ZH）: </w:t>
      </w:r>
      <w:r>
        <w:t>KRASG12D 突变可驱动致癌进展，并在胰腺导管腺癌和结直肠癌等癌症中产生免疫抑制微环境。我们研究了 KRASG12D 抑制的免疫调节机制及其与自然杀伤 (NK) 细胞疗法的协同作用。我们证明，MRTX1133 抑制 KRASG12D 通过减少骨髓源性抑制细胞 (MDSC) 积累并促进 NK 和 CD8+ T 细胞的浸润和激活来重塑免疫景观。至关重要的是，MRTX1133 可逆转全身免疫抑制，恢复过继转移的 NK 细胞的健康状况。从机制上讲，KRASG12D 抑制会损害 IFNGR1 棕榈酰化和随后的溶酶体降解。 MRTX1133 通过减少棕榈酰转移酶表达和棕榈酸酯池来稳定 IFNGR1。这种稳定性增加了 IFN-γ/IFNGR 信号传导并上调 NK 细胞激活配体 ICAM1 和 ULBP1，从而使癌细胞对 NK 细胞敏感。因此，将 MRTX1133 与 IL-15 或过继性 NK 细胞疗法相结合可产生协同抗肿瘤反应并延长生存期。我们的研究结果为将 KRASG12D 抑制剂与基于 NK 细胞的免疫疗法相结合以改善 KRASG12D 突变癌症患者的预后提供了机制原理。</w:t>
      </w:r>
    </w:p>
    <w:p>
      <w:pPr>
        <w:spacing w:before="0" w:after="200" w:lineRule="auto" w:line="276"/>
      </w:pPr>
      <w:r>
        <w:rPr>
          <w:b/>
        </w:rPr>
        <w:t xml:space="preserve">Abstract (EN): </w:t>
      </w:r>
      <w:r>
        <w:t>KRASG12D mutation drives oncogenic progression and creates an immunosuppressive microenvironment in cancers like pancreatic ductal adenocarcinoma and colorectal cancer. We investigate the immunomodulatory mechanisms of the KRASG12D inhibition and its synergy with natural killer (NK) cell therapies. We demonstrate that KRASG12D inhibition with MRTX1133 remodels the immune landscape by reducing myeloid-derived suppressor cell (MDSC) accumulation and facilitating infiltration and activation of NK and CD8+ T cells. Crucially, MRTX1133 reverses systemic immunosuppression, restoring the fitness of adoptively transferred NK cells. Mechanistically, KRASG12D inhibition impairs IFNGR1 palmitoylation and subsequent lysosomal degradation. MRTX1133 stabilizes IFNGR1 by reducing palmitoyltransferase expression and the palmitate pool. This stabilization increases IFN-γ/IFNGR signaling and up-regulates NK cell-activating ligands ICAM1 and ULBP1, thereby sensitizing cancer cells to NK cells. Consequently, combining MRTX1133 with IL-15 or adoptive NK cell therapy yields synergistic antitumor responses and prolonged survival. Our findings provide mechanistic rationale for combining KRASG12D inhibitors with NK cell-based immunotherapies to improve outcomes for patients with KRASG12D-mutant cancers.</w:t>
      </w:r>
    </w:p>
    <w:p>
      <w:pPr>
        <w:spacing w:before="120" w:after="120"/>
      </w:pPr>
      <w:r>
        <w:rPr>
          <w:sz w:val="18"/>
        </w:rPr>
        <w:t>——————————————————————————————————————————————————————————————————————</w:t>
      </w:r>
    </w:p>
    <w:p>
      <w:pPr>
        <w:spacing w:before="160" w:after="40" w:line="240" w:lineRule="auto"/>
      </w:pPr>
      <w:r>
        <w:rPr>
          <w:b/>
        </w:rPr>
        <w:t xml:space="preserve">[804] </w:t>
      </w:r>
      <w:hyperlink r:id="rId2042">
        <w:r>
          <w:rPr>
            <w:color w:val="1155CC"/>
            <w:u w:val="single"/>
          </w:rPr>
          <w:t>Asgard 古菌微管蛋白的类真核微管和动态不稳定性</w:t>
        </w:r>
      </w:hyperlink>
    </w:p>
    <w:p>
      <w:pPr>
        <w:spacing w:before="0" w:after="80"/>
      </w:pPr>
      <w:r>
        <w:rPr>
          <w:i/>
          <w:sz w:val="20"/>
        </w:rPr>
        <w:t>EN: Eukaryotic-like microtubules and dynamic instability of Asgard archaeal tubulins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43">
        <w:r>
          <w:rPr>
            <w:color w:val="1155CC"/>
            <w:u w:val="single"/>
          </w:rPr>
          <w:t>10.1126/sciadv.aeh1082</w:t>
        </w:r>
      </w:hyperlink>
    </w:p>
    <w:p>
      <w:pPr>
        <w:spacing w:before="0" w:after="120"/>
      </w:pPr>
      <w:r>
        <w:rPr>
          <w:b/>
        </w:rPr>
        <w:t xml:space="preserve">Notes: </w:t>
      </w:r>
      <w:r>
        <w:t>abstract_source=crossref</w:t>
      </w:r>
    </w:p>
    <w:p>
      <w:pPr>
        <w:spacing w:before="0" w:after="80" w:lineRule="auto" w:line="276"/>
      </w:pPr>
      <w:r>
        <w:rPr>
          <w:b/>
        </w:rPr>
        <w:t xml:space="preserve">摘要（ZH）: </w:t>
      </w:r>
      <w:r>
        <w:t>真核细胞改变其形状，主动分离其 DNA，并包含膜网络，这是由包含肌动蛋白丝、微管蛋白制成的微管和其他成分的复杂细胞骨架促进的。这些丝具有古老的进化起源，因为肌动蛋白和微管蛋白样蛋白在古细菌和细菌中形成原核细胞骨架。真正的真核 F-肌动蛋白可以追溯到 crenarchaea 和 Asgard 古菌，它们是已知的真核生物最接近的亲戚。最近发现了一种含有 AtubAB 微型微管的 Lokiarchaeon，该微管与真核生物具有相同的结构特征，因此提出了微管可能起源于 Asgard 古菌。通过对宏基因组数据的系统发育分析，我们报告了微管蛋白在 Asgard 古细菌中的广泛存在。生化和结构分析表明，我们之前未鉴定的海姆达尔古菌 AtubAB 微管蛋白对之一形成四原丝微型微管，该微管表现出动态不稳定性并被微管蛋白药物美登素抑制。我们的工作提出了微管结构和动力学在真核发生之前在阿斯加德古细菌中进化的可能性。</w:t>
      </w:r>
    </w:p>
    <w:p>
      <w:pPr>
        <w:spacing w:before="0" w:after="200" w:lineRule="auto" w:line="276"/>
      </w:pPr>
      <w:r>
        <w:rPr>
          <w:b/>
        </w:rPr>
        <w:t xml:space="preserve">Abstract (EN): </w:t>
      </w:r>
      <w:r>
        <w:t>Eukaryotic cells change their shapes, actively segregate their DNA, and contain membrane networks, facilitated by a complex cytoskeleton containing actin filaments, microtubules made from tubulin, and other components. These filaments have ancient evolutionary origins because actin- and tubulin-like proteins form prokaryotic cytoskeletons in archaea and bacteria. Bona fide eukaryotic F-actin can be traced back to crenarchaea and Asgard archaea, which are the closest known relatives of eukaryotes. A possible Asgard archaeal origin of microtubules was suggested recently with the discovery of a lokiarchaeon containing AtubAB mini microtubules that share architectural features with their eukaryotic counterparts. Using phylogenetic analyses of metagenomic data, here we report the broad occurrence of tubulins in Asgard archaea. Biochemical and structural analyses showed that one of our previously unidentified heimdallarchaeial AtubAB tubulin pairs forms four-protofilament mini microtubules that show dynamic instability and are inhibited by the tubulin drug maytansine. Our work raises the possibility that microtubule architecture and dynamics evolved in Asgard archaea prior to eukaryogenesis.</w:t>
      </w:r>
    </w:p>
    <w:p>
      <w:pPr>
        <w:spacing w:before="120" w:after="120"/>
      </w:pPr>
      <w:r>
        <w:rPr>
          <w:sz w:val="18"/>
        </w:rPr>
        <w:t>——————————————————————————————————————————————————————————————————————</w:t>
      </w:r>
    </w:p>
    <w:p>
      <w:pPr>
        <w:spacing w:before="160" w:after="40" w:line="240" w:lineRule="auto"/>
      </w:pPr>
      <w:r>
        <w:rPr>
          <w:b/>
        </w:rPr>
        <w:t xml:space="preserve">[805] </w:t>
      </w:r>
      <w:hyperlink r:id="rId2044">
        <w:r>
          <w:rPr>
            <w:color w:val="1155CC"/>
            <w:u w:val="single"/>
          </w:rPr>
          <w:t>催化不对称合成固有手性三环二氮杂酮：获得 (+)-替仑西平</w:t>
        </w:r>
      </w:hyperlink>
    </w:p>
    <w:p>
      <w:pPr>
        <w:spacing w:before="0" w:after="80"/>
      </w:pPr>
      <w:r>
        <w:rPr>
          <w:i/>
          <w:sz w:val="20"/>
        </w:rPr>
        <w:t>EN: Catalytic asymmetric synthesis of inherently chiral tricyclic diazepinones: Access to (+)-telenzepine</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45">
        <w:r>
          <w:rPr>
            <w:color w:val="1155CC"/>
            <w:u w:val="single"/>
          </w:rPr>
          <w:t>10.1126/sciadv.aeh2073</w:t>
        </w:r>
      </w:hyperlink>
    </w:p>
    <w:p>
      <w:pPr>
        <w:spacing w:before="0" w:after="120"/>
      </w:pPr>
      <w:r>
        <w:rPr>
          <w:b/>
        </w:rPr>
        <w:t xml:space="preserve">Notes: </w:t>
      </w:r>
      <w:r>
        <w:t>abstract_source=crossref</w:t>
      </w:r>
    </w:p>
    <w:p>
      <w:pPr>
        <w:spacing w:before="0" w:after="80" w:lineRule="auto" w:line="276"/>
      </w:pPr>
      <w:r>
        <w:rPr>
          <w:b/>
        </w:rPr>
        <w:t xml:space="preserve">摘要（ZH）: </w:t>
      </w:r>
      <w:r>
        <w:t>具有固有手性的分子源于其整体构象而不是局部立体中心，提出了显着的合成挑战。这对于具有生物活性的鞍形三环二氮杂酮类化合物尤其明显，其构象灵活性阻碍了不对称合成。在此，我们通过后期有机催化不对称 N-H 烷基化策略解决了这个问题。通过策略性 N-H 官能化引入扭转应变，我们锁定了分子手性构象，并能够从前手性前体直接合成各种对映体富集的三环二氮杂酮。这种方法的模块化性质通过外消旋底物的动力学拆分以及据我们所知的药物分子 (+)-替仑西平的首次对映选择性合成和绝对构型确认得到了证明。</w:t>
      </w:r>
    </w:p>
    <w:p>
      <w:pPr>
        <w:spacing w:before="0" w:after="200" w:lineRule="auto" w:line="276"/>
      </w:pPr>
      <w:r>
        <w:rPr>
          <w:b/>
        </w:rPr>
        <w:t xml:space="preserve">Abstract (EN): </w:t>
      </w:r>
      <w:r>
        <w:t>Molecules with inherent chirality, which stems from their overall conformation rather than local stereogenic centers, present a notable synthetic challenge. This is especially evident for bioactive, saddle-shaped tricyclic diazepinones, whose conformational flexibility has hampered asymmetric synthesis. Herein, we address this issue through a late-stage organocatalytic asymmetric N-H alkylation strategy. By introducing torsional strain via strategic N-H functionalization, we lock the molecular chiral conformation and enable direct synthesis of diverse enantioenriched tricyclic diazepinones from prochiral precursors. The modular nature of this approach is demonstrated through the kinetic resolution of racemic substrates, as well as in, to our knowledge, the first enantioselective synthesis and absolute configuration confirmation of the drug molecule (+)-telenzepine.</w:t>
      </w:r>
    </w:p>
    <w:p>
      <w:pPr>
        <w:spacing w:before="120" w:after="120"/>
      </w:pPr>
      <w:r>
        <w:rPr>
          <w:sz w:val="18"/>
        </w:rPr>
        <w:t>——————————————————————————————————————————————————————————————————————</w:t>
      </w:r>
    </w:p>
    <w:p>
      <w:pPr>
        <w:spacing w:before="160" w:after="40" w:line="240" w:lineRule="auto"/>
      </w:pPr>
      <w:r>
        <w:rPr>
          <w:b/>
        </w:rPr>
        <w:t xml:space="preserve">[806] </w:t>
      </w:r>
      <w:hyperlink r:id="rId2046">
        <w:r>
          <w:rPr>
            <w:color w:val="1155CC"/>
            <w:u w:val="single"/>
          </w:rPr>
          <w:t>人类视网膜表观基因组和 3D 染色质结构的单细胞分析</w:t>
        </w:r>
      </w:hyperlink>
    </w:p>
    <w:p>
      <w:pPr>
        <w:spacing w:before="0" w:after="80"/>
      </w:pPr>
      <w:r>
        <w:rPr>
          <w:i/>
          <w:sz w:val="20"/>
        </w:rPr>
        <w:t>EN: Single-cell analysis of the epigenome and 3D chromatin architecture in the human retina</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47">
        <w:r>
          <w:rPr>
            <w:color w:val="1155CC"/>
            <w:u w:val="single"/>
          </w:rPr>
          <w:t>10.1126/sciadv.adv9162</w:t>
        </w:r>
      </w:hyperlink>
    </w:p>
    <w:p>
      <w:pPr>
        <w:spacing w:before="0" w:after="120"/>
      </w:pPr>
      <w:r>
        <w:rPr>
          <w:b/>
        </w:rPr>
        <w:t xml:space="preserve">Notes: </w:t>
      </w:r>
      <w:r>
        <w:t>abstract_source=crossref</w:t>
      </w:r>
    </w:p>
    <w:p>
      <w:pPr>
        <w:spacing w:before="0" w:after="80" w:lineRule="auto" w:line="276"/>
      </w:pPr>
      <w:r>
        <w:rPr>
          <w:b/>
        </w:rPr>
        <w:t xml:space="preserve">摘要（ZH）: </w:t>
      </w:r>
      <w:r>
        <w:t>大多数与眼部疾病相关的遗传风险变异都是非蛋白质编码，可能通过基因表达失调导致疾病；然而，由于视网膜细胞类型转录调控元件的不完整注释，理解它们的机制受到了阻碍。为了解决这个问题，我们进行了单细胞多组学测定，以研究人类视网膜、黄斑和视网膜色素上皮/脉络膜中的基因表达、染色质可及性、DNA甲基化和三维（3D）染色质结构。我们鉴定了 420,824 个独特的候选调控元件，并表征了它们在 23 种视网膜细胞类型中的染色质状态。对人和小鼠视网膜细胞染色质景观的比较分析进一步揭示了进化上保守和不同的视网膜基因调控程序。利用深度学习技术的进步，我们开发了基于序列的预测器来解释视网膜疾病的非编码风险变异。我们的研究建立了全视网膜、单细胞转录组、表观基因组和3D基因组图谱，并为研究人类视网膜和眼部疾病的基因调控程序提供了资源。</w:t>
      </w:r>
    </w:p>
    <w:p>
      <w:pPr>
        <w:spacing w:before="0" w:after="200" w:lineRule="auto" w:line="276"/>
      </w:pPr>
      <w:r>
        <w:rPr>
          <w:b/>
        </w:rPr>
        <w:t xml:space="preserve">Abstract (EN): </w:t>
      </w:r>
      <w:r>
        <w:t>Most genetic risk variants linked to ocular diseases are nonprotein coding and presumably contribute to disease through dysregulation of gene expression; however, understanding their mechanisms has been impeded by incomplete annotation of transcriptional regulatory elements across retinal cell types. To address this, we carried out single-cell multiomics assays to investigate gene expression, chromatin accessibility, DNA methylome, and three-dimensional (3D) chromatin architecture in human retina, macula, and retinal pigment epithelium/choroid. We identified 420,824 unique candidate regulatory elements and characterized their chromatin states in 23 retinal cell types. Comparative analysis of chromatin landscapes between human and mouse retina cells further revealed both evolutionarily conserved and divergent retinal gene-regulatory programs. Leveraging the advancements in deep-learning techniques, we developed sequence-based predictors to interpret noncoding risk variants of retinal diseases. Our study establishes retina-wide, single-cell transcriptome, epigenome, and 3D genome atlases and provides a resource for studying the gene regulatory programs of the human retina and ocular diseases.</w:t>
      </w:r>
    </w:p>
    <w:p>
      <w:pPr>
        <w:spacing w:before="120" w:after="120"/>
      </w:pPr>
      <w:r>
        <w:rPr>
          <w:sz w:val="18"/>
        </w:rPr>
        <w:t>——————————————————————————————————————————————————————————————————————</w:t>
      </w:r>
    </w:p>
    <w:p>
      <w:pPr>
        <w:spacing w:before="160" w:after="40" w:line="240" w:lineRule="auto"/>
      </w:pPr>
      <w:r>
        <w:rPr>
          <w:b/>
        </w:rPr>
        <w:t xml:space="preserve">[807] </w:t>
      </w:r>
      <w:hyperlink r:id="rId2048">
        <w:r>
          <w:rPr>
            <w:color w:val="1155CC"/>
            <w:u w:val="single"/>
          </w:rPr>
          <w:t>植物多样性改变农田、草原和森林的多营养相互作用</w:t>
        </w:r>
      </w:hyperlink>
    </w:p>
    <w:p>
      <w:pPr>
        <w:spacing w:before="0" w:after="80"/>
      </w:pPr>
      <w:r>
        <w:rPr>
          <w:i/>
          <w:sz w:val="20"/>
        </w:rPr>
        <w:t>EN: Plant diversity modifies multi-trophic interactions in croplands, grasslands and forests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49">
        <w:r>
          <w:rPr>
            <w:color w:val="1155CC"/>
            <w:u w:val="single"/>
          </w:rPr>
          <w:t>10.1126/sciadv.aeb8680</w:t>
        </w:r>
      </w:hyperlink>
    </w:p>
    <w:p>
      <w:pPr>
        <w:spacing w:before="0" w:after="120"/>
      </w:pPr>
      <w:r>
        <w:rPr>
          <w:b/>
        </w:rPr>
        <w:t xml:space="preserve">Notes: </w:t>
      </w:r>
      <w:r>
        <w:t>abstract_source=crossref</w:t>
      </w:r>
    </w:p>
    <w:p>
      <w:pPr>
        <w:spacing w:before="0" w:after="80" w:lineRule="auto" w:line="276"/>
      </w:pPr>
      <w:r>
        <w:rPr>
          <w:b/>
        </w:rPr>
        <w:t xml:space="preserve">摘要（ZH）: </w:t>
      </w:r>
      <w:r>
        <w:t>多营养相互作用可以强烈影响生态系统的结构和功能，但植物多样性如何影响农业和自然生态系统多营养相互作用的方向和可预测性仍不清楚。通过对五大洲 149 项实地研究，我们发现，平均而言，增加植物多样性往往会在农田与草地和森林中产生不同的自上而下和自下而上的影响。在植物多样性增加的情况下，有机农田和非有机农田的无脊椎动物天敌与草食动物丰度比分别高出 846% 和 148%，这与自上而下的控制模式一致，即捕食者的增加会导致草食动物的减少，从而提高作物产量。在草原和森林中，植物多样性的增加与自下而上的效应有关，生产力的提高使食草动物和捕食动物的数量增加，草原的天敌与食草动物的比例增加了 4.73%，森林的天敌与食草动物的比例增加了 21.2%。我们的研究结果表明，生物多样性对生产力的影响不仅仅可以通过植物与植物之间的直接相互作用以及由此产生的生物多样性与生产力关系来解释。相反，它们揭示了与自上而下和自下而上效应框架一致的模式，其相对平衡可能因生态系统和管理类型而异。多样化农业对作物害虫影响的严重程度表明，作物多样化可能是预防性管理作物害虫并从而提高农业可持续性的重要途径。</w:t>
      </w:r>
    </w:p>
    <w:p>
      <w:pPr>
        <w:spacing w:before="0" w:after="200" w:lineRule="auto" w:line="276"/>
      </w:pPr>
      <w:r>
        <w:rPr>
          <w:b/>
        </w:rPr>
        <w:t xml:space="preserve">Abstract (EN): </w:t>
      </w:r>
      <w:r>
        <w:t>Multitrophic interactions can strongly influence the structure and functioning of ecosystems, but how plant diversity influences the direction and predictability of multitrophic interactions across agricultural and natural ecosystems remains unclear. Using 149 field studies across five continents, we found that, on average, increasing plant diversity tended to exert differential top-down and bottom-up effects in croplands versus grasslands and forests. Organic and nonorganic croplands exhibited 846 and 148% higher invertebrate natural enemy-to-herbivore abundance ratios under increased plant diversity, consistent with top-down control patterns where predator gains cause herbivore declines, enhancing crop outcomes. In grasslands and forests, increasing plant diversity was associated with bottom-up effects where enhanced productivity increased both herbivore and predator populations, with the enemy-to-herbivore ratio increasing 4.73% for grasslands and 21.2% for forests. Our findings suggest that biodiversity effects on productivity are not solely explained by direct plant-plant interactions and the resulting biodiversity-productivity relationship. Rather, they reveal patterns consistent with the framework of top-down and bottom-up effects, the relative balance of which may vary depending on ecosystem and management type. The magnitude of the effects of diversified farming on crop pests suggests that crop diversification may be an important avenue for managing crop pests preventatively and thereby enhancing agricultural sustainability.</w:t>
      </w:r>
    </w:p>
    <w:p>
      <w:pPr>
        <w:spacing w:before="120" w:after="120"/>
      </w:pPr>
      <w:r>
        <w:rPr>
          <w:sz w:val="18"/>
        </w:rPr>
        <w:t>——————————————————————————————————————————————————————————————————————</w:t>
      </w:r>
    </w:p>
    <w:p>
      <w:pPr>
        <w:spacing w:before="160" w:after="40" w:line="240" w:lineRule="auto"/>
      </w:pPr>
      <w:r>
        <w:rPr>
          <w:b/>
        </w:rPr>
        <w:t xml:space="preserve">[808] </w:t>
      </w:r>
      <w:hyperlink r:id="rId2050">
        <w:r>
          <w:rPr>
            <w:color w:val="1155CC"/>
            <w:u w:val="single"/>
          </w:rPr>
          <w:t>AGO2 适配器 LIMD1 扩展了 microRNA 靶向的功能和进化范围</w:t>
        </w:r>
      </w:hyperlink>
    </w:p>
    <w:p>
      <w:pPr>
        <w:spacing w:before="0" w:after="80"/>
      </w:pPr>
      <w:r>
        <w:rPr>
          <w:i/>
          <w:sz w:val="20"/>
        </w:rPr>
        <w:t>EN: The AGO2 adaptor LIMD1 expands the functional and evolutionary reach of microRNA targeting</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51">
        <w:r>
          <w:rPr>
            <w:color w:val="1155CC"/>
            <w:u w:val="single"/>
          </w:rPr>
          <w:t>10.1126/sciadv.aed6875</w:t>
        </w:r>
      </w:hyperlink>
    </w:p>
    <w:p>
      <w:pPr>
        <w:spacing w:before="0" w:after="120"/>
      </w:pPr>
      <w:r>
        <w:rPr>
          <w:b/>
        </w:rPr>
        <w:t xml:space="preserve">Notes: </w:t>
      </w:r>
      <w:r>
        <w:t>abstract_source=crossref</w:t>
      </w:r>
    </w:p>
    <w:p>
      <w:pPr>
        <w:spacing w:before="0" w:after="80" w:lineRule="auto" w:line="276"/>
      </w:pPr>
      <w:r>
        <w:rPr>
          <w:b/>
        </w:rPr>
        <w:t xml:space="preserve">摘要（ZH）: </w:t>
      </w:r>
      <w:r>
        <w:t>MicroRNA (miRNA) 沉默通常归因于指导 Argonaute 2 (AGO2) 靶向的 RNA 序列规则。使用嵌合 eCLIP 和 CRISPR 编辑的人肺上皮细胞中的互补分析，我们表明有效的 miRNA 靶向还取决于 AGO2 适配器支架 LIMD1。在LIMD1缺陷的细胞中，AGO2结合更多的miRNA，但每个AGO2-miRNA结合较少的转录本和位点，从而减少占用并使靶向的广度和深度减半。 LIMD1 依赖性对于保守性差、种子配对弱但仍形成稳定双链体的位点最为明显。 LIMD1 缺陷会改变 AGO2 足迹并抑制与肺腺癌中 LIMD1 表达呈负相关的致癌靶点。因此，LIMD1 修改了序列定义的相互作用的结果，否则这些相互作用将是不频繁、不稳定或无效的，从而揭示了超出 RNA 序列规则的转录后调控的适配器控制层。</w:t>
      </w:r>
    </w:p>
    <w:p>
      <w:pPr>
        <w:spacing w:before="0" w:after="200" w:lineRule="auto" w:line="276"/>
      </w:pPr>
      <w:r>
        <w:rPr>
          <w:b/>
        </w:rPr>
        <w:t xml:space="preserve">Abstract (EN): </w:t>
      </w:r>
      <w:r>
        <w:t>MicroRNA (miRNA) silencing is classically ascribed to RNA-sequence rules that guide Argonaute 2 (AGO2) targeting. Using chimeric eCLIP and complementary analyses in CRISPR-edited human lung epithelial cells, we show that efficient miRNA targeting also depends on the AGO2 adaptor-scaffold LIMD1. In LIMD1-deficient cells, AGO2 binds more miRNAs, but each AGO2-miRNA engages fewer transcripts and sites, reducing occupancy and halving both the breadth and depth of targeting. LIMD1 dependence is most pronounced for poorly conserved, weakly seed-paired sites that nonetheless form stable duplexes. LIMD1 deficiency alters AGO2 footprints and derepresses oncogenic targets inversely correlated with LIMD1 expression in lung adenocarcinoma. Thus, LIMD1 modifies the outcome of sequence-defined interactions that would otherwise be infrequent, unstable, or unproductive, revealing an adaptor-governed layer of posttranscriptional regulation beyond RNA-sequence rules.</w:t>
      </w:r>
    </w:p>
    <w:p>
      <w:pPr>
        <w:spacing w:before="120" w:after="120"/>
      </w:pPr>
      <w:r>
        <w:rPr>
          <w:sz w:val="18"/>
        </w:rPr>
        <w:t>——————————————————————————————————————————————————————————————————————</w:t>
      </w:r>
    </w:p>
    <w:p>
      <w:pPr>
        <w:spacing w:before="160" w:after="40" w:line="240" w:lineRule="auto"/>
      </w:pPr>
      <w:r>
        <w:rPr>
          <w:b/>
        </w:rPr>
        <w:t xml:space="preserve">[809] </w:t>
      </w:r>
      <w:hyperlink r:id="rId2052">
        <w:r>
          <w:rPr>
            <w:color w:val="1155CC"/>
            <w:u w:val="single"/>
          </w:rPr>
          <w:t>不同的胸腺pDC群体通过互补机制促进肿瘤免疫耐受</w:t>
        </w:r>
      </w:hyperlink>
    </w:p>
    <w:p>
      <w:pPr>
        <w:spacing w:before="0" w:after="80"/>
      </w:pPr>
      <w:r>
        <w:rPr>
          <w:i/>
          <w:sz w:val="20"/>
        </w:rPr>
        <w:t>EN: Distinct thymic pDC populations promote tumor immune tolerance through complementary mechanisms</w:t>
      </w:r>
    </w:p>
    <w:p>
      <w:pPr>
        <w:spacing w:before="0" w:after="120"/>
      </w:pPr>
      <w:r>
        <w:rPr>
          <w:b/>
        </w:rPr>
        <w:t xml:space="preserve">Source: </w:t>
      </w:r>
      <w:r>
        <w:t>AAAS: Science Advances: Table of Contents</w:t>
      </w:r>
      <w:r>
        <w:t xml:space="preserve">    </w:t>
      </w:r>
      <w:r>
        <w:rPr>
          <w:b/>
        </w:rPr>
        <w:t xml:space="preserve">Pub date: </w:t>
      </w:r>
      <w:r>
        <w:t>2026-07-23 07:00:00+00:00</w:t>
      </w:r>
      <w:r>
        <w:t xml:space="preserve">    </w:t>
      </w:r>
      <w:r>
        <w:rPr>
          <w:b/>
        </w:rPr>
        <w:t xml:space="preserve">DOI: </w:t>
      </w:r>
      <w:hyperlink r:id="rId2053">
        <w:r>
          <w:rPr>
            <w:color w:val="1155CC"/>
            <w:u w:val="single"/>
          </w:rPr>
          <w:t>10.1126/sciadv.adx9864</w:t>
        </w:r>
      </w:hyperlink>
    </w:p>
    <w:p>
      <w:pPr>
        <w:spacing w:before="0" w:after="120"/>
      </w:pPr>
      <w:r>
        <w:rPr>
          <w:b/>
        </w:rPr>
        <w:t xml:space="preserve">Notes: </w:t>
      </w:r>
      <w:r>
        <w:t>abstract_source=crossref</w:t>
      </w:r>
    </w:p>
    <w:p>
      <w:pPr>
        <w:spacing w:before="0" w:after="80" w:lineRule="auto" w:line="276"/>
      </w:pPr>
      <w:r>
        <w:rPr>
          <w:b/>
        </w:rPr>
        <w:t xml:space="preserve">摘要（ZH）: </w:t>
      </w:r>
      <w:r>
        <w:t>胸腺中枢耐受对于预防自身免疫至关重要，但其对肿瘤免疫逃避的贡献仍知之甚少。在这里，我们证明胸腺中的浆细胞样树突状细胞（pDC）有两个不同的亚群，在荷瘤小鼠的胸腺中积累，通过克隆删除肿瘤特异性T细胞并减少新生成的T细胞来促进免疫耐受。从机制上讲，常见的树突状细胞祖细胞衍生的 pDC (CDP-pDC) 捕获肿瘤抗原并以 CCR9 依赖性方式迁移到胸腺，在那里它们呈递这些抗原以诱导肿瘤特异性 T 细胞的克隆删除。同时，肿瘤进展通过促进胸腺内共同淋巴祖源性 pDC (CLP-pDC) 的积累来抑制 T 细胞生成，从而进一步产生 I 型干扰素以改变胸腺功能。 CCR9 缺陷可阻止两种 pDC 的胸腺积聚，从而增强抗肿瘤免疫力并减少肿瘤生长。我们的研究结果揭示了一种以前未被认识的机制，通过该机制，肿瘤劫持生理系统以建立针对外周抗原的中枢耐受性，从而促进针对自身的耐受性。</w:t>
      </w:r>
    </w:p>
    <w:p>
      <w:pPr>
        <w:spacing w:before="0" w:after="200" w:lineRule="auto" w:line="276"/>
      </w:pPr>
      <w:r>
        <w:rPr>
          <w:b/>
        </w:rPr>
        <w:t xml:space="preserve">Abstract (EN): </w:t>
      </w:r>
      <w:r>
        <w:t>Thymic central tolerance is crucial for preventing autoimmunity, but its contribution to tumor immune evasion remains poorly understood. Here, we demonstrate that plasmacytoid dendritic cells (pDCs) in the thymus have two distinct subsets, accumulating in the thymus of tumor-bearing mice, contributing to immune tolerance through clonal deletion of tumor-specific T cells and reducing newly generated T cells. Mechanistically, common dendritic cell progenitor-derived pDCs (CDP-pDCs) capture tumor antigens and migrate to the thymus in a CCR9-dependent manner, where they present these antigens to induce clonal deletion of tumor-specific T cells. Concurrently, tumor progression inhibits T cell generation by promoting the accumulation of common lymphoid progenitor–derived pDCs (CLP-pDCs) within the thymus, which further produce type I interferon to alter thymic function. CCR9 deficiency prevents thymic accumulation of both pDCs, enhancing antitumor immunity and reducing tumor growth. Our findings reveal a previously unrecognized mechanism by which tumors hijack the physiological system to establish central tolerance against peripheral antigens, thereby promoting tolerance against themselves.</w:t>
      </w:r>
    </w:p>
    <w:p>
      <w:pPr>
        <w:spacing w:before="120" w:after="120"/>
      </w:pPr>
      <w:r>
        <w:rPr>
          <w:sz w:val="18"/>
        </w:rPr>
        <w:t>——————————————————————————————————————————————————————————————————————</w:t>
      </w:r>
    </w:p>
    <w:p>
      <w:pPr>
        <w:spacing w:before="160" w:after="40" w:line="240" w:lineRule="auto"/>
      </w:pPr>
      <w:r>
        <w:rPr>
          <w:b/>
        </w:rPr>
        <w:t xml:space="preserve">[810] </w:t>
      </w:r>
      <w:hyperlink r:id="rId2054">
        <w:r>
          <w:rPr>
            <w:color w:val="1155CC"/>
            <w:u w:val="single"/>
          </w:rPr>
          <w:t>一种创建高熵 MOF 的非平衡火焰气溶胶工艺</w:t>
        </w:r>
      </w:hyperlink>
    </w:p>
    <w:p>
      <w:pPr>
        <w:spacing w:before="0" w:after="80"/>
      </w:pPr>
      <w:r>
        <w:rPr>
          <w:i/>
          <w:sz w:val="20"/>
        </w:rPr>
        <w:t>EN: A Non‐Equilibrium Flame Aerosol Process to Create High‐Entropy MOFs</w:t>
      </w:r>
    </w:p>
    <w:p>
      <w:pPr>
        <w:spacing w:before="0" w:after="120"/>
      </w:pPr>
      <w:r>
        <w:rPr>
          <w:b/>
        </w:rPr>
        <w:t xml:space="preserve">Source: </w:t>
      </w:r>
      <w:r>
        <w:t>Wiley: Advanced Materials: Table of Contents</w:t>
      </w:r>
      <w:r>
        <w:t xml:space="preserve">    </w:t>
      </w:r>
      <w:r>
        <w:rPr>
          <w:b/>
        </w:rPr>
        <w:t xml:space="preserve">Pub date: </w:t>
      </w:r>
      <w:r>
        <w:t>2026-07-23 07:06:19+00:00</w:t>
      </w:r>
      <w:r>
        <w:t xml:space="preserve">    </w:t>
      </w:r>
      <w:r>
        <w:rPr>
          <w:b/>
        </w:rPr>
        <w:t xml:space="preserve">DOI: </w:t>
      </w:r>
      <w:hyperlink r:id="rId2055">
        <w:r>
          <w:rPr>
            <w:color w:val="1155CC"/>
            <w:u w:val="single"/>
          </w:rPr>
          <w:t>10.1002/adma.74201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过去的十年中，高熵合金和陶瓷已展现出广阔的应用前景。超快加热和冷却可以在动力学上将不混溶元素捕获到固溶体中，扩大组成空间并优化高熵材料的性能。然而，这些非平衡方法所需的极端温度与金属有机框架（MOF）不相容。这项工作提出了一种火焰气溶胶策略，用于合成成分复杂、熵稳定的 MOF，从而实现了此类材料以前无法获得的新性能组合。以科大的结构为原型，该方法被扩展到一系列晶体和非晶态 MOF，然后扩展到包含过渡金属、稀土金属、碱土金属、p 区金属和贵金属的 10 元素 MOF。该策略可以进一步应用于无机配位聚合物。这项研究揭示了动力学和熵共同驱动框架中的结构短程周期性和构型无序，进而影响结晶度、孔隙结构、缺陷密度、均匀性和电化学性能。这项工作扩展了 MOF 的组成设计空间，并为其基础研究和实际应用提供了新的机会。</w:t>
      </w:r>
    </w:p>
    <w:p>
      <w:pPr>
        <w:spacing w:before="0" w:after="200" w:lineRule="auto" w:line="276"/>
      </w:pPr>
      <w:r>
        <w:rPr>
          <w:b/>
        </w:rPr>
        <w:t xml:space="preserve">Abstract (EN): </w:t>
      </w:r>
      <w:r>
        <w:t>High‐entropy alloys and ceramics have demonstrated promising applications in the past decade. Ultrafast heating and cooling can kinetically trap immiscible elements into solid solutions, expanding the compositional space and optimizing the properties of high‐entropy materials. However, the extreme temperatures required by these non‐equilibrium methods are incompatible with metal–organic frameworks (MOFs). This work presents a flame aerosol strategy for synthesizing compositionally complex, entropically stabilized MOFs, enabling new combinations of properties previously inaccessible in this class of materials. Using the HKUST structure as a prototype, this methodology is extended to a wide array of both crystalline and amorphous MOFs, and then to a 10‐element MOF that incorporates transition metals, rare‐earth metals, alkaline‐earth metals, p‐block metals, and noble metals. This strategy can be further applied to inorganic coordination polymers. This study reveals that kinetics and entropy collectively drive structural short‐range periodicity and configurational disorder in the framework, which in turn influence crystallinity, pore architecture, defect density, homogeneity, and electrochemical properties. This work expands the compositional design space for MOFs and offers new opportunities for their fundamental study and practical application.</w:t>
      </w:r>
    </w:p>
    <w:p>
      <w:pPr>
        <w:spacing w:before="120" w:after="120"/>
      </w:pPr>
      <w:r>
        <w:rPr>
          <w:sz w:val="18"/>
        </w:rPr>
        <w:t>——————————————————————————————————————————————————————————————————————</w:t>
      </w:r>
    </w:p>
    <w:p>
      <w:pPr>
        <w:spacing w:before="160" w:after="40" w:line="240" w:lineRule="auto"/>
      </w:pPr>
      <w:r>
        <w:rPr>
          <w:b/>
        </w:rPr>
        <w:t xml:space="preserve">[811] </w:t>
      </w:r>
      <w:hyperlink r:id="rId2056">
        <w:r>
          <w:rPr>
            <w:color w:val="1155CC"/>
            <w:u w:val="single"/>
          </w:rPr>
          <w:t>高能中子发射和短程核子-核子相关性。二.系统规模效应</w:t>
        </w:r>
      </w:hyperlink>
    </w:p>
    <w:p>
      <w:pPr>
        <w:spacing w:before="0" w:after="80"/>
      </w:pPr>
      <w:r>
        <w:rPr>
          <w:i/>
          <w:sz w:val="20"/>
        </w:rPr>
        <w:t>EN: High-energy neutron emission and short-range nucleon-nucleon correlations. II. System-size effect</w:t>
      </w:r>
    </w:p>
    <w:p>
      <w:pPr>
        <w:spacing w:before="0" w:after="120"/>
      </w:pPr>
      <w:r>
        <w:rPr>
          <w:b/>
        </w:rPr>
        <w:t xml:space="preserve">Source: </w:t>
      </w:r>
      <w:r>
        <w:t>Recent Articles in Phys. Rev. C</w:t>
      </w:r>
      <w:r>
        <w:t xml:space="preserve">    </w:t>
      </w:r>
      <w:r>
        <w:rPr>
          <w:b/>
        </w:rPr>
        <w:t xml:space="preserve">Pub date: </w:t>
      </w:r>
      <w:r>
        <w:t>2026-07-23 10:00:00+00:00</w:t>
      </w:r>
      <w:r>
        <w:t xml:space="preserve">    </w:t>
      </w:r>
      <w:r>
        <w:rPr>
          <w:b/>
        </w:rPr>
        <w:t xml:space="preserve">DOI: </w:t>
      </w:r>
      <w:hyperlink r:id="rId2057">
        <w:r>
          <w:rPr>
            <w:color w:val="1155CC"/>
            <w:u w:val="single"/>
          </w:rPr>
          <w:t>10.1103/nqwp-y33m</w:t>
        </w:r>
      </w:hyperlink>
    </w:p>
    <w:p>
      <w:pPr>
        <w:spacing w:before="0" w:after="120"/>
      </w:pPr>
      <w:r>
        <w:rPr>
          <w:b/>
        </w:rPr>
        <w:t xml:space="preserve">Notes: </w:t>
      </w:r>
      <w:r>
        <w:t>abstract_source=rss_description</w:t>
      </w:r>
    </w:p>
    <w:p>
      <w:pPr>
        <w:spacing w:before="0" w:after="80" w:lineRule="auto" w:line="276"/>
      </w:pPr>
      <w:r>
        <w:rPr>
          <w:b/>
        </w:rPr>
        <w:t xml:space="preserve">摘要（ZH）: </w:t>
      </w:r>
      <w:r>
        <w:t>作者：R. Wada 研究了 $^{40}\mathrm{Ar}$ 在 ${E}_{\mathrm{inc}}/A=$ 400 MeV 天然 C、Cu 和 Pb 靶上反应产生的高能中子发射，寻找中子高能、高动量尾部核子-核子短程关联 (SRC) 的可能特征光谱……[物理。 Rev. C 114, 014631] 2026 年 7 月 23 日星期四发布</w:t>
      </w:r>
    </w:p>
    <w:p>
      <w:pPr>
        <w:spacing w:before="0" w:after="200" w:lineRule="auto" w:line="276"/>
      </w:pPr>
      <w:r>
        <w:rPr>
          <w:b/>
        </w:rPr>
        <w:t xml:space="preserve">Abstract (EN): </w:t>
      </w:r>
      <w:r>
        <w:t>Author(s): R. WadaHigh-energy neutron emissions from the reactions of $^{40}\mathrm{Ar}$ on natural C, Cu, and Pb targets at ${E}_{\mathrm{inc}}/A=$ 400 MeV are studied, searching for a possible signature of nucleon-nucleon short-range correlations (SRCs) in the high-energy, high-momentum tails in the neutron spectra…[Phys. Rev. C 114, 014631] Published Thu Jul 23,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s.acs.org/doi/10.1021/acsenergylett.6c00858" TargetMode="External"/><Relationship Id="rId10" Type="http://schemas.openxmlformats.org/officeDocument/2006/relationships/hyperlink" Target="https://doi.org/10.1021/acsenergylett.6c00858" TargetMode="External"/><Relationship Id="rId11" Type="http://schemas.openxmlformats.org/officeDocument/2006/relationships/hyperlink" Target="https://www.sciencedirect.com/science/article/pii/S030626192601113X?dgcid=rss_sd_all" TargetMode="External"/><Relationship Id="rId12" Type="http://schemas.openxmlformats.org/officeDocument/2006/relationships/hyperlink" Target="https://doi.org/10.1016/j.apenergy.2026.128457" TargetMode="External"/><Relationship Id="rId13" Type="http://schemas.openxmlformats.org/officeDocument/2006/relationships/hyperlink" Target="https://pubs.acs.org/doi/10.1021/acsami.6c07759" TargetMode="External"/><Relationship Id="rId14" Type="http://schemas.openxmlformats.org/officeDocument/2006/relationships/hyperlink" Target="https://doi.org/10.1021/acsami.6c07759" TargetMode="External"/><Relationship Id="rId15" Type="http://schemas.openxmlformats.org/officeDocument/2006/relationships/hyperlink" Target="https://www.nature.com/articles/s41467-026-75613-5" TargetMode="External"/><Relationship Id="rId16" Type="http://schemas.openxmlformats.org/officeDocument/2006/relationships/hyperlink" Target="https://onlinelibrary.wiley.com/doi/10.1002/anie.8080769?af=R" TargetMode="External"/><Relationship Id="rId17" Type="http://schemas.openxmlformats.org/officeDocument/2006/relationships/hyperlink" Target="https://doi.org/10.1002/anie.8080769" TargetMode="External"/><Relationship Id="rId18" Type="http://schemas.openxmlformats.org/officeDocument/2006/relationships/hyperlink" Target="https://www.pnas.org/doi/abs/10.1073/pnas.2615650123?mi=eymic2&amp;af=R&amp;access=on&amp;content=articlesChapters&amp;publication=pnas&amp;sortBy=Earliest&amp;target=default" TargetMode="External"/><Relationship Id="rId19" Type="http://schemas.openxmlformats.org/officeDocument/2006/relationships/hyperlink" Target="https://doi.org/10.1073/pnas.2615650123" TargetMode="External"/><Relationship Id="rId20" Type="http://schemas.openxmlformats.org/officeDocument/2006/relationships/hyperlink" Target="https://www.science.org/doi/abs/10.1126/sciadv.aec6434?af=R" TargetMode="External"/><Relationship Id="rId21" Type="http://schemas.openxmlformats.org/officeDocument/2006/relationships/hyperlink" Target="https://doi.org/10.1126/sciadv.aec6434" TargetMode="External"/><Relationship Id="rId22" Type="http://schemas.openxmlformats.org/officeDocument/2006/relationships/hyperlink" Target="https://onlinelibrary.wiley.com/doi/10.1002/anie.4177367?af=R" TargetMode="External"/><Relationship Id="rId23" Type="http://schemas.openxmlformats.org/officeDocument/2006/relationships/hyperlink" Target="https://doi.org/10.1002/anie.4177367" TargetMode="External"/><Relationship Id="rId24" Type="http://schemas.openxmlformats.org/officeDocument/2006/relationships/hyperlink" Target="https://advanced.onlinelibrary.wiley.com/doi/10.1002/adma.74159?af=R" TargetMode="External"/><Relationship Id="rId25" Type="http://schemas.openxmlformats.org/officeDocument/2006/relationships/hyperlink" Target="https://doi.org/10.1002/adma.74159" TargetMode="External"/><Relationship Id="rId26" Type="http://schemas.openxmlformats.org/officeDocument/2006/relationships/hyperlink" Target="http://link.aps.org/doi/10.1103/kbfj-btly" TargetMode="External"/><Relationship Id="rId27" Type="http://schemas.openxmlformats.org/officeDocument/2006/relationships/hyperlink" Target="https://doi.org/10.1103/kbfj-btly" TargetMode="External"/><Relationship Id="rId28" Type="http://schemas.openxmlformats.org/officeDocument/2006/relationships/hyperlink" Target="https://advanced.onlinelibrary.wiley.com/doi/10.1002/adma.74170?af=R" TargetMode="External"/><Relationship Id="rId29" Type="http://schemas.openxmlformats.org/officeDocument/2006/relationships/hyperlink" Target="https://doi.org/10.1002/adma.74170" TargetMode="External"/><Relationship Id="rId30" Type="http://schemas.openxmlformats.org/officeDocument/2006/relationships/hyperlink" Target="https://advanced.onlinelibrary.wiley.com/doi/10.1002/adma.74193?af=R" TargetMode="External"/><Relationship Id="rId31" Type="http://schemas.openxmlformats.org/officeDocument/2006/relationships/hyperlink" Target="https://doi.org/10.1002/adma.74193" TargetMode="External"/><Relationship Id="rId32" Type="http://schemas.openxmlformats.org/officeDocument/2006/relationships/hyperlink" Target="https://pubs.acs.org/doi/10.1021/acsami.6c05768" TargetMode="External"/><Relationship Id="rId33" Type="http://schemas.openxmlformats.org/officeDocument/2006/relationships/hyperlink" Target="https://doi.org/10.1021/acsami.6c05768" TargetMode="External"/><Relationship Id="rId34" Type="http://schemas.openxmlformats.org/officeDocument/2006/relationships/hyperlink" Target="https://pubs.acs.org/doi/10.1021/acsenergylett.6c01661" TargetMode="External"/><Relationship Id="rId35" Type="http://schemas.openxmlformats.org/officeDocument/2006/relationships/hyperlink" Target="https://doi.org/10.1021/acsenergylett.6c01661" TargetMode="External"/><Relationship Id="rId36" Type="http://schemas.openxmlformats.org/officeDocument/2006/relationships/hyperlink" Target="https://www.sciencedirect.com/science/article/pii/S0306261926011207?dgcid=rss_sd_all" TargetMode="External"/><Relationship Id="rId37" Type="http://schemas.openxmlformats.org/officeDocument/2006/relationships/hyperlink" Target="https://www.sciencedirect.com/science/article/pii/S0301421526004477?dgcid=rss_sd_all" TargetMode="External"/><Relationship Id="rId38" Type="http://schemas.openxmlformats.org/officeDocument/2006/relationships/hyperlink" Target="https://doi.org/10.1016/j.enpol.2026.115513" TargetMode="External"/><Relationship Id="rId39" Type="http://schemas.openxmlformats.org/officeDocument/2006/relationships/hyperlink" Target="https://pubs.acs.org/doi/10.1021/jacs.6c06526" TargetMode="External"/><Relationship Id="rId40" Type="http://schemas.openxmlformats.org/officeDocument/2006/relationships/hyperlink" Target="https://doi.org/10.1021/jacs.6c06526" TargetMode="External"/><Relationship Id="rId41" Type="http://schemas.openxmlformats.org/officeDocument/2006/relationships/hyperlink" Target="https://pubs.acs.org/doi/10.1021/acsami.5c21066" TargetMode="External"/><Relationship Id="rId42" Type="http://schemas.openxmlformats.org/officeDocument/2006/relationships/hyperlink" Target="https://doi.org/10.1021/acsami.5c21066" TargetMode="External"/><Relationship Id="rId43" Type="http://schemas.openxmlformats.org/officeDocument/2006/relationships/hyperlink" Target="https://advanced.onlinelibrary.wiley.com/doi/10.1002/aenm.71317?af=R" TargetMode="External"/><Relationship Id="rId44" Type="http://schemas.openxmlformats.org/officeDocument/2006/relationships/hyperlink" Target="https://doi.org/10.1002/aenm.71317" TargetMode="External"/><Relationship Id="rId45" Type="http://schemas.openxmlformats.org/officeDocument/2006/relationships/hyperlink" Target="https://pubs.acs.org/doi/10.1021/acsami.6c11168" TargetMode="External"/><Relationship Id="rId46" Type="http://schemas.openxmlformats.org/officeDocument/2006/relationships/hyperlink" Target="https://doi.org/10.1021/acsami.6c11168" TargetMode="External"/><Relationship Id="rId47" Type="http://schemas.openxmlformats.org/officeDocument/2006/relationships/hyperlink" Target="https://pubs.acs.org/doi/10.1021/jacs.6c08152" TargetMode="External"/><Relationship Id="rId48" Type="http://schemas.openxmlformats.org/officeDocument/2006/relationships/hyperlink" Target="https://doi.org/10.1021/jacs.6c08152" TargetMode="External"/><Relationship Id="rId49" Type="http://schemas.openxmlformats.org/officeDocument/2006/relationships/hyperlink" Target="https://pubs.acs.org/doi/10.1021/jacs.6c06833" TargetMode="External"/><Relationship Id="rId50" Type="http://schemas.openxmlformats.org/officeDocument/2006/relationships/hyperlink" Target="https://doi.org/10.1021/jacs.6c06833" TargetMode="External"/><Relationship Id="rId51" Type="http://schemas.openxmlformats.org/officeDocument/2006/relationships/hyperlink" Target="https://www.nature.com/articles/s41586-026-10919-4" TargetMode="External"/><Relationship Id="rId52" Type="http://schemas.openxmlformats.org/officeDocument/2006/relationships/hyperlink" Target="https://doi.org/10.1038/s41586-026-10919-4" TargetMode="External"/><Relationship Id="rId53" Type="http://schemas.openxmlformats.org/officeDocument/2006/relationships/hyperlink" Target="https://www.cell.com/joule/fulltext/S2542-4351(26)00277-1?rss=yes" TargetMode="External"/><Relationship Id="rId54" Type="http://schemas.openxmlformats.org/officeDocument/2006/relationships/hyperlink" Target="https://doi.org/10.1016/j.joule.2026.102593" TargetMode="External"/><Relationship Id="rId55" Type="http://schemas.openxmlformats.org/officeDocument/2006/relationships/hyperlink" Target="https://www.sciencedirect.com/science/article/pii/S0306261926011165?dgcid=rss_sd_all" TargetMode="External"/><Relationship Id="rId56" Type="http://schemas.openxmlformats.org/officeDocument/2006/relationships/hyperlink" Target="https://doi.org/10.1016/j.apenergy.2026.128460" TargetMode="External"/><Relationship Id="rId57" Type="http://schemas.openxmlformats.org/officeDocument/2006/relationships/hyperlink" Target="https://www.nature.com/articles/s41467-026-75699-x" TargetMode="External"/><Relationship Id="rId58" Type="http://schemas.openxmlformats.org/officeDocument/2006/relationships/hyperlink" Target="https://onlinelibrary.wiley.com/doi/10.1002/anie.1676645?af=R" TargetMode="External"/><Relationship Id="rId59" Type="http://schemas.openxmlformats.org/officeDocument/2006/relationships/hyperlink" Target="https://doi.org/10.1002/anie.1676645" TargetMode="External"/><Relationship Id="rId60" Type="http://schemas.openxmlformats.org/officeDocument/2006/relationships/hyperlink" Target="https://onlinelibrary.wiley.com/doi/10.1002/anie.7854948?af=R" TargetMode="External"/><Relationship Id="rId61" Type="http://schemas.openxmlformats.org/officeDocument/2006/relationships/hyperlink" Target="https://doi.org/10.1002/anie.7854948" TargetMode="External"/><Relationship Id="rId62" Type="http://schemas.openxmlformats.org/officeDocument/2006/relationships/hyperlink" Target="https://advanced.onlinelibrary.wiley.com/doi/10.1002/aenm.71305?af=R" TargetMode="External"/><Relationship Id="rId63" Type="http://schemas.openxmlformats.org/officeDocument/2006/relationships/hyperlink" Target="https://doi.org/10.1002/aenm.71305" TargetMode="External"/><Relationship Id="rId64" Type="http://schemas.openxmlformats.org/officeDocument/2006/relationships/hyperlink" Target="https://advanced.onlinelibrary.wiley.com/doi/10.1002/adma.74247?af=R" TargetMode="External"/><Relationship Id="rId65" Type="http://schemas.openxmlformats.org/officeDocument/2006/relationships/hyperlink" Target="https://doi.org/10.1002/adma.74247" TargetMode="External"/><Relationship Id="rId66" Type="http://schemas.openxmlformats.org/officeDocument/2006/relationships/hyperlink" Target="https://www.cell.com/joule/fulltext/S2542-4351(26)00278-3?rss=yes" TargetMode="External"/><Relationship Id="rId67" Type="http://schemas.openxmlformats.org/officeDocument/2006/relationships/hyperlink" Target="https://doi.org/10.1016/j.joule.2026.102594" TargetMode="External"/><Relationship Id="rId68" Type="http://schemas.openxmlformats.org/officeDocument/2006/relationships/hyperlink" Target="https://pubs.acs.org/doi/10.1021/acsami.6c09922" TargetMode="External"/><Relationship Id="rId69" Type="http://schemas.openxmlformats.org/officeDocument/2006/relationships/hyperlink" Target="https://doi.org/10.1021/acsami.6c09922" TargetMode="External"/><Relationship Id="rId70" Type="http://schemas.openxmlformats.org/officeDocument/2006/relationships/hyperlink" Target="https://pubs.acs.org/doi/10.1021/acsami.6c10251" TargetMode="External"/><Relationship Id="rId71" Type="http://schemas.openxmlformats.org/officeDocument/2006/relationships/hyperlink" Target="https://doi.org/10.1021/acsami.6c10251" TargetMode="External"/><Relationship Id="rId72" Type="http://schemas.openxmlformats.org/officeDocument/2006/relationships/hyperlink" Target="https://onlinelibrary.wiley.com/doi/10.1002/anie.4252910?af=R" TargetMode="External"/><Relationship Id="rId73" Type="http://schemas.openxmlformats.org/officeDocument/2006/relationships/hyperlink" Target="https://doi.org/10.1002/anie.4252910" TargetMode="External"/><Relationship Id="rId74" Type="http://schemas.openxmlformats.org/officeDocument/2006/relationships/hyperlink" Target="https://onlinelibrary.wiley.com/doi/10.1002/anie.4049895?af=R" TargetMode="External"/><Relationship Id="rId75" Type="http://schemas.openxmlformats.org/officeDocument/2006/relationships/hyperlink" Target="https://doi.org/10.1002/anie.4049895" TargetMode="External"/><Relationship Id="rId76" Type="http://schemas.openxmlformats.org/officeDocument/2006/relationships/hyperlink" Target="https://onlinelibrary.wiley.com/doi/10.1002/anie.7062131?af=R" TargetMode="External"/><Relationship Id="rId77" Type="http://schemas.openxmlformats.org/officeDocument/2006/relationships/hyperlink" Target="https://doi.org/10.1002/anie.7062131" TargetMode="External"/><Relationship Id="rId78" Type="http://schemas.openxmlformats.org/officeDocument/2006/relationships/hyperlink" Target="https://www.nature.com/articles/s41467-026-75860-6" TargetMode="External"/><Relationship Id="rId79" Type="http://schemas.openxmlformats.org/officeDocument/2006/relationships/hyperlink" Target="https://advanced.onlinelibrary.wiley.com/doi/10.1002/adma.74195?af=R" TargetMode="External"/><Relationship Id="rId80" Type="http://schemas.openxmlformats.org/officeDocument/2006/relationships/hyperlink" Target="https://doi.org/10.1002/adma.74195" TargetMode="External"/><Relationship Id="rId81" Type="http://schemas.openxmlformats.org/officeDocument/2006/relationships/hyperlink" Target="https://pubs.acs.org/doi/10.1021/acsenergylett.6c01787" TargetMode="External"/><Relationship Id="rId82" Type="http://schemas.openxmlformats.org/officeDocument/2006/relationships/hyperlink" Target="https://doi.org/10.1021/acsenergylett.6c01787" TargetMode="External"/><Relationship Id="rId83" Type="http://schemas.openxmlformats.org/officeDocument/2006/relationships/hyperlink" Target="https://www.cell.com/matter/fulltext/S2590-2385(26)00245-6?rss=yes" TargetMode="External"/><Relationship Id="rId84" Type="http://schemas.openxmlformats.org/officeDocument/2006/relationships/hyperlink" Target="https://doi.org/10.1016/j.matt.2026.102882" TargetMode="External"/><Relationship Id="rId85" Type="http://schemas.openxmlformats.org/officeDocument/2006/relationships/hyperlink" Target="https://www.nature.com/articles/s41467-026-75617-1" TargetMode="External"/><Relationship Id="rId86" Type="http://schemas.openxmlformats.org/officeDocument/2006/relationships/hyperlink" Target="https://advanced.onlinelibrary.wiley.com/doi/10.1002/adma.74208?af=R" TargetMode="External"/><Relationship Id="rId87" Type="http://schemas.openxmlformats.org/officeDocument/2006/relationships/hyperlink" Target="https://doi.org/10.1002/adma.74208" TargetMode="External"/><Relationship Id="rId88" Type="http://schemas.openxmlformats.org/officeDocument/2006/relationships/hyperlink" Target="https://pubs.acs.org/doi/10.1021/acsenergylett.6c01916" TargetMode="External"/><Relationship Id="rId89" Type="http://schemas.openxmlformats.org/officeDocument/2006/relationships/hyperlink" Target="https://doi.org/10.1021/acsenergylett.6c01916" TargetMode="External"/><Relationship Id="rId90" Type="http://schemas.openxmlformats.org/officeDocument/2006/relationships/hyperlink" Target="https://advanced.onlinelibrary.wiley.com/doi/10.1002/adma.73935?af=R" TargetMode="External"/><Relationship Id="rId91" Type="http://schemas.openxmlformats.org/officeDocument/2006/relationships/hyperlink" Target="https://doi.org/10.1002/adma.73935" TargetMode="External"/><Relationship Id="rId92" Type="http://schemas.openxmlformats.org/officeDocument/2006/relationships/hyperlink" Target="https://onlinelibrary.wiley.com/doi/10.1002/anie.7326145?af=R" TargetMode="External"/><Relationship Id="rId93" Type="http://schemas.openxmlformats.org/officeDocument/2006/relationships/hyperlink" Target="https://doi.org/10.1002/anie.7326145" TargetMode="External"/><Relationship Id="rId94" Type="http://schemas.openxmlformats.org/officeDocument/2006/relationships/hyperlink" Target="https://onlinelibrary.wiley.com/doi/10.1002/anie.5057887?af=R" TargetMode="External"/><Relationship Id="rId95" Type="http://schemas.openxmlformats.org/officeDocument/2006/relationships/hyperlink" Target="https://doi.org/10.1002/anie.5057887" TargetMode="External"/><Relationship Id="rId96" Type="http://schemas.openxmlformats.org/officeDocument/2006/relationships/hyperlink" Target="https://onlinelibrary.wiley.com/doi/10.1002/anie.6384515?af=R" TargetMode="External"/><Relationship Id="rId97" Type="http://schemas.openxmlformats.org/officeDocument/2006/relationships/hyperlink" Target="https://doi.org/10.1002/anie.6384515" TargetMode="External"/><Relationship Id="rId98" Type="http://schemas.openxmlformats.org/officeDocument/2006/relationships/hyperlink" Target="https://academic.oup.com/nsr/advance-article/doi/10.1093/nsr/nwag448/8739801?rss=1" TargetMode="External"/><Relationship Id="rId99" Type="http://schemas.openxmlformats.org/officeDocument/2006/relationships/hyperlink" Target="https://doi.org/10.1093/nsr/nwag448" TargetMode="External"/><Relationship Id="rId100" Type="http://schemas.openxmlformats.org/officeDocument/2006/relationships/hyperlink" Target="https://onlinelibrary.wiley.com/doi/10.1002/anie.5322811?af=R" TargetMode="External"/><Relationship Id="rId101" Type="http://schemas.openxmlformats.org/officeDocument/2006/relationships/hyperlink" Target="https://doi.org/10.1002/anie.5322811" TargetMode="External"/><Relationship Id="rId102" Type="http://schemas.openxmlformats.org/officeDocument/2006/relationships/hyperlink" Target="https://advanced.onlinelibrary.wiley.com/doi/10.1002/aenm.71234?af=R" TargetMode="External"/><Relationship Id="rId103" Type="http://schemas.openxmlformats.org/officeDocument/2006/relationships/hyperlink" Target="https://doi.org/10.1002/aenm.71234" TargetMode="External"/><Relationship Id="rId104" Type="http://schemas.openxmlformats.org/officeDocument/2006/relationships/hyperlink" Target="https://advanced.onlinelibrary.wiley.com/doi/10.1002/aenm.71315?af=R" TargetMode="External"/><Relationship Id="rId105" Type="http://schemas.openxmlformats.org/officeDocument/2006/relationships/hyperlink" Target="https://doi.org/10.1002/aenm.71315" TargetMode="External"/><Relationship Id="rId106" Type="http://schemas.openxmlformats.org/officeDocument/2006/relationships/hyperlink" Target="https://www.nature.com/articles/s41565-026-02224-y" TargetMode="External"/><Relationship Id="rId107" Type="http://schemas.openxmlformats.org/officeDocument/2006/relationships/hyperlink" Target="https://doi.org/10.1038/s41565-026-02224-y" TargetMode="External"/><Relationship Id="rId108" Type="http://schemas.openxmlformats.org/officeDocument/2006/relationships/hyperlink" Target="https://www.nature.com/articles/s41565-025-02088-8" TargetMode="External"/><Relationship Id="rId109" Type="http://schemas.openxmlformats.org/officeDocument/2006/relationships/hyperlink" Target="https://doi.org/10.1038/s41565-025-02088-8" TargetMode="External"/><Relationship Id="rId110" Type="http://schemas.openxmlformats.org/officeDocument/2006/relationships/hyperlink" Target="https://www.nature.com/articles/s41467-026-76014-4" TargetMode="External"/><Relationship Id="rId111" Type="http://schemas.openxmlformats.org/officeDocument/2006/relationships/hyperlink" Target="https://advanced.onlinelibrary.wiley.com/doi/10.1002/adma.74219?af=R" TargetMode="External"/><Relationship Id="rId112" Type="http://schemas.openxmlformats.org/officeDocument/2006/relationships/hyperlink" Target="https://doi.org/10.1002/adma.74219" TargetMode="External"/><Relationship Id="rId113" Type="http://schemas.openxmlformats.org/officeDocument/2006/relationships/hyperlink" Target="https://pubs.acs.org/doi/10.1021/acsami.6c03927" TargetMode="External"/><Relationship Id="rId114" Type="http://schemas.openxmlformats.org/officeDocument/2006/relationships/hyperlink" Target="https://doi.org/10.1021/acsami.6c03927" TargetMode="External"/><Relationship Id="rId115" Type="http://schemas.openxmlformats.org/officeDocument/2006/relationships/hyperlink" Target="https://pubs.acs.org/doi/10.1021/acsami.6c07851" TargetMode="External"/><Relationship Id="rId116" Type="http://schemas.openxmlformats.org/officeDocument/2006/relationships/hyperlink" Target="https://doi.org/10.1021/acsami.6c07851" TargetMode="External"/><Relationship Id="rId117" Type="http://schemas.openxmlformats.org/officeDocument/2006/relationships/hyperlink" Target="https://advanced.onlinelibrary.wiley.com/doi/10.1002/adma.74109?af=R" TargetMode="External"/><Relationship Id="rId118" Type="http://schemas.openxmlformats.org/officeDocument/2006/relationships/hyperlink" Target="https://doi.org/10.1002/adma.74109" TargetMode="External"/><Relationship Id="rId119" Type="http://schemas.openxmlformats.org/officeDocument/2006/relationships/hyperlink" Target="https://advanced.onlinelibrary.wiley.com/doi/10.1002/adma.74175?af=R" TargetMode="External"/><Relationship Id="rId120" Type="http://schemas.openxmlformats.org/officeDocument/2006/relationships/hyperlink" Target="https://doi.org/10.1002/adma.74175" TargetMode="External"/><Relationship Id="rId121" Type="http://schemas.openxmlformats.org/officeDocument/2006/relationships/hyperlink" Target="https://pubs.acs.org/doi/10.1021/acsami.6c06949" TargetMode="External"/><Relationship Id="rId122" Type="http://schemas.openxmlformats.org/officeDocument/2006/relationships/hyperlink" Target="https://doi.org/10.1021/acsami.6c06949" TargetMode="External"/><Relationship Id="rId123" Type="http://schemas.openxmlformats.org/officeDocument/2006/relationships/hyperlink" Target="https://advanced.onlinelibrary.wiley.com/doi/10.1002/adma.74188?af=R" TargetMode="External"/><Relationship Id="rId124" Type="http://schemas.openxmlformats.org/officeDocument/2006/relationships/hyperlink" Target="https://doi.org/10.1002/adma.74188" TargetMode="External"/><Relationship Id="rId125" Type="http://schemas.openxmlformats.org/officeDocument/2006/relationships/hyperlink" Target="https://advanced.onlinelibrary.wiley.com/doi/10.1002/aenm.71319?af=R" TargetMode="External"/><Relationship Id="rId126" Type="http://schemas.openxmlformats.org/officeDocument/2006/relationships/hyperlink" Target="https://doi.org/10.1002/aenm.71319" TargetMode="External"/><Relationship Id="rId127" Type="http://schemas.openxmlformats.org/officeDocument/2006/relationships/hyperlink" Target="https://onlinelibrary.wiley.com/doi/10.1002/anie.1775824?af=R" TargetMode="External"/><Relationship Id="rId128" Type="http://schemas.openxmlformats.org/officeDocument/2006/relationships/hyperlink" Target="https://doi.org/10.1002/anie.1775824" TargetMode="External"/><Relationship Id="rId129" Type="http://schemas.openxmlformats.org/officeDocument/2006/relationships/hyperlink" Target="https://advanced.onlinelibrary.wiley.com/doi/10.1002/aenm.71308?af=R" TargetMode="External"/><Relationship Id="rId130" Type="http://schemas.openxmlformats.org/officeDocument/2006/relationships/hyperlink" Target="https://doi.org/10.1002/aenm.71308" TargetMode="External"/><Relationship Id="rId131" Type="http://schemas.openxmlformats.org/officeDocument/2006/relationships/hyperlink" Target="https://advanced.onlinelibrary.wiley.com/doi/10.1002/adma.74180?af=R" TargetMode="External"/><Relationship Id="rId132" Type="http://schemas.openxmlformats.org/officeDocument/2006/relationships/hyperlink" Target="https://doi.org/10.1002/adma.74180" TargetMode="External"/><Relationship Id="rId133" Type="http://schemas.openxmlformats.org/officeDocument/2006/relationships/hyperlink" Target="https://advanced.onlinelibrary.wiley.com/doi/10.1002/adma.74179?af=R" TargetMode="External"/><Relationship Id="rId134" Type="http://schemas.openxmlformats.org/officeDocument/2006/relationships/hyperlink" Target="https://doi.org/10.1002/adma.74179" TargetMode="External"/><Relationship Id="rId135" Type="http://schemas.openxmlformats.org/officeDocument/2006/relationships/hyperlink" Target="https://pubs.acs.org/doi/10.1021/acsenergylett.6c01097" TargetMode="External"/><Relationship Id="rId136" Type="http://schemas.openxmlformats.org/officeDocument/2006/relationships/hyperlink" Target="https://doi.org/10.1021/acsenergylett.6c01097" TargetMode="External"/><Relationship Id="rId137" Type="http://schemas.openxmlformats.org/officeDocument/2006/relationships/hyperlink" Target="https://onlinelibrary.wiley.com/doi/10.1002/anie.4295699?af=R" TargetMode="External"/><Relationship Id="rId138" Type="http://schemas.openxmlformats.org/officeDocument/2006/relationships/hyperlink" Target="https://doi.org/10.1002/anie.4295699" TargetMode="External"/><Relationship Id="rId139" Type="http://schemas.openxmlformats.org/officeDocument/2006/relationships/hyperlink" Target="https://pubs.acs.org/doi/10.1021/acsenergylett.6c01456" TargetMode="External"/><Relationship Id="rId140" Type="http://schemas.openxmlformats.org/officeDocument/2006/relationships/hyperlink" Target="https://doi.org/10.1021/acsenergylett.6c01456" TargetMode="External"/><Relationship Id="rId141" Type="http://schemas.openxmlformats.org/officeDocument/2006/relationships/hyperlink" Target="https://www.nature.com/articles/s41467-026-75258-4" TargetMode="External"/><Relationship Id="rId142" Type="http://schemas.openxmlformats.org/officeDocument/2006/relationships/hyperlink" Target="https://www.nature.com/articles/s41467-026-75417-7" TargetMode="External"/><Relationship Id="rId143" Type="http://schemas.openxmlformats.org/officeDocument/2006/relationships/hyperlink" Target="https://advanced.onlinelibrary.wiley.com/doi/10.1002/adma.74194?af=R" TargetMode="External"/><Relationship Id="rId144" Type="http://schemas.openxmlformats.org/officeDocument/2006/relationships/hyperlink" Target="https://doi.org/10.1002/adma.74194" TargetMode="External"/><Relationship Id="rId145" Type="http://schemas.openxmlformats.org/officeDocument/2006/relationships/hyperlink" Target="https://pubs.acs.org/doi/10.1021/acsami.6c11345" TargetMode="External"/><Relationship Id="rId146" Type="http://schemas.openxmlformats.org/officeDocument/2006/relationships/hyperlink" Target="https://doi.org/10.1021/acsami.6c11345" TargetMode="External"/><Relationship Id="rId147" Type="http://schemas.openxmlformats.org/officeDocument/2006/relationships/hyperlink" Target="https://advanced.onlinelibrary.wiley.com/doi/10.1002/adma.74227?af=R" TargetMode="External"/><Relationship Id="rId148" Type="http://schemas.openxmlformats.org/officeDocument/2006/relationships/hyperlink" Target="https://doi.org/10.1002/adma.74227" TargetMode="External"/><Relationship Id="rId149" Type="http://schemas.openxmlformats.org/officeDocument/2006/relationships/hyperlink" Target="https://advanced.onlinelibrary.wiley.com/doi/10.1002/adma.202523567?af=R" TargetMode="External"/><Relationship Id="rId150" Type="http://schemas.openxmlformats.org/officeDocument/2006/relationships/hyperlink" Target="https://doi.org/10.1002/adma.202523567" TargetMode="External"/><Relationship Id="rId151" Type="http://schemas.openxmlformats.org/officeDocument/2006/relationships/hyperlink" Target="https://pubs.acs.org/doi/10.1021/jacs.6c13273" TargetMode="External"/><Relationship Id="rId152" Type="http://schemas.openxmlformats.org/officeDocument/2006/relationships/hyperlink" Target="https://doi.org/10.1021/jacs.6c13273" TargetMode="External"/><Relationship Id="rId153" Type="http://schemas.openxmlformats.org/officeDocument/2006/relationships/hyperlink" Target="https://pubs.acs.org/doi/10.1021/acsami.6c08538" TargetMode="External"/><Relationship Id="rId154" Type="http://schemas.openxmlformats.org/officeDocument/2006/relationships/hyperlink" Target="https://doi.org/10.1021/acsami.6c08538" TargetMode="External"/><Relationship Id="rId155" Type="http://schemas.openxmlformats.org/officeDocument/2006/relationships/hyperlink" Target="https://advanced.onlinelibrary.wiley.com/doi/10.1002/aenm.71323?af=R" TargetMode="External"/><Relationship Id="rId156" Type="http://schemas.openxmlformats.org/officeDocument/2006/relationships/hyperlink" Target="https://doi.org/10.1002/aenm.71323" TargetMode="External"/><Relationship Id="rId157" Type="http://schemas.openxmlformats.org/officeDocument/2006/relationships/hyperlink" Target="https://advanced.onlinelibrary.wiley.com/doi/10.1002/adma.74266?af=R" TargetMode="External"/><Relationship Id="rId158" Type="http://schemas.openxmlformats.org/officeDocument/2006/relationships/hyperlink" Target="https://doi.org/10.1002/adma.74266" TargetMode="External"/><Relationship Id="rId159" Type="http://schemas.openxmlformats.org/officeDocument/2006/relationships/hyperlink" Target="https://pubs.acs.org/doi/10.1021/jacs.6c05453" TargetMode="External"/><Relationship Id="rId160" Type="http://schemas.openxmlformats.org/officeDocument/2006/relationships/hyperlink" Target="https://doi.org/10.1021/jacs.6c05453" TargetMode="External"/><Relationship Id="rId161" Type="http://schemas.openxmlformats.org/officeDocument/2006/relationships/hyperlink" Target="https://www.nature.com/articles/s41560-026-02115-5" TargetMode="External"/><Relationship Id="rId162" Type="http://schemas.openxmlformats.org/officeDocument/2006/relationships/hyperlink" Target="https://doi.org/10.1038/s41560-026-02115-5" TargetMode="External"/><Relationship Id="rId163" Type="http://schemas.openxmlformats.org/officeDocument/2006/relationships/hyperlink" Target="https://www.science.org/doi/abs/10.1126/sciadv.aeg9860?af=R" TargetMode="External"/><Relationship Id="rId164" Type="http://schemas.openxmlformats.org/officeDocument/2006/relationships/hyperlink" Target="https://doi.org/10.1126/sciadv.aeg9860" TargetMode="External"/><Relationship Id="rId165" Type="http://schemas.openxmlformats.org/officeDocument/2006/relationships/hyperlink" Target="https://pubs.acs.org/doi/10.1021/jacs.5c18131" TargetMode="External"/><Relationship Id="rId166" Type="http://schemas.openxmlformats.org/officeDocument/2006/relationships/hyperlink" Target="https://doi.org/10.1021/jacs.5c18131" TargetMode="External"/><Relationship Id="rId167" Type="http://schemas.openxmlformats.org/officeDocument/2006/relationships/hyperlink" Target="https://www.sciencedirect.com/science/article/pii/S0306261926010111?dgcid=rss_sd_all" TargetMode="External"/><Relationship Id="rId168" Type="http://schemas.openxmlformats.org/officeDocument/2006/relationships/hyperlink" Target="https://doi.org/10.1016/j.apenergy.2026.128357" TargetMode="External"/><Relationship Id="rId169" Type="http://schemas.openxmlformats.org/officeDocument/2006/relationships/hyperlink" Target="https://www.nature.com/articles/s41560-026-02092-9" TargetMode="External"/><Relationship Id="rId170" Type="http://schemas.openxmlformats.org/officeDocument/2006/relationships/hyperlink" Target="https://doi.org/10.1038/s41560-026-02092-9" TargetMode="External"/><Relationship Id="rId171" Type="http://schemas.openxmlformats.org/officeDocument/2006/relationships/hyperlink" Target="https://advanced.onlinelibrary.wiley.com/doi/10.1002/aenm.71302?af=R" TargetMode="External"/><Relationship Id="rId172" Type="http://schemas.openxmlformats.org/officeDocument/2006/relationships/hyperlink" Target="https://doi.org/10.1002/aenm.71302" TargetMode="External"/><Relationship Id="rId173" Type="http://schemas.openxmlformats.org/officeDocument/2006/relationships/hyperlink" Target="https://advanced.onlinelibrary.wiley.com/doi/10.1002/aenm.71288?af=R" TargetMode="External"/><Relationship Id="rId174" Type="http://schemas.openxmlformats.org/officeDocument/2006/relationships/hyperlink" Target="https://doi.org/10.1002/aenm.71288" TargetMode="External"/><Relationship Id="rId175" Type="http://schemas.openxmlformats.org/officeDocument/2006/relationships/hyperlink" Target="https://www.sciencedirect.com/science/article/pii/S0306261926011098?dgcid=rss_sd_all" TargetMode="External"/><Relationship Id="rId176" Type="http://schemas.openxmlformats.org/officeDocument/2006/relationships/hyperlink" Target="https://www.sciencedirect.com/science/article/pii/S0306261926011530?dgcid=rss_sd_all" TargetMode="External"/><Relationship Id="rId177" Type="http://schemas.openxmlformats.org/officeDocument/2006/relationships/hyperlink" Target="https://doi.org/10.1016/j.apenergy.2026.128497" TargetMode="External"/><Relationship Id="rId178" Type="http://schemas.openxmlformats.org/officeDocument/2006/relationships/hyperlink" Target="https://pubs.acs.org/doi/10.1021/jacs.6c08156" TargetMode="External"/><Relationship Id="rId179" Type="http://schemas.openxmlformats.org/officeDocument/2006/relationships/hyperlink" Target="https://doi.org/10.1021/jacs.6c08156" TargetMode="External"/><Relationship Id="rId180" Type="http://schemas.openxmlformats.org/officeDocument/2006/relationships/hyperlink" Target="https://pubs.acs.org/doi/10.1021/jacs.6c04301" TargetMode="External"/><Relationship Id="rId181" Type="http://schemas.openxmlformats.org/officeDocument/2006/relationships/hyperlink" Target="https://doi.org/10.1021/jacs.6c04301" TargetMode="External"/><Relationship Id="rId182" Type="http://schemas.openxmlformats.org/officeDocument/2006/relationships/hyperlink" Target="https://advanced.onlinelibrary.wiley.com/doi/10.1002/aenm.71338?af=R" TargetMode="External"/><Relationship Id="rId183" Type="http://schemas.openxmlformats.org/officeDocument/2006/relationships/hyperlink" Target="https://doi.org/10.1002/aenm.71338" TargetMode="External"/><Relationship Id="rId184" Type="http://schemas.openxmlformats.org/officeDocument/2006/relationships/hyperlink" Target="https://www.sciencedirect.com/science/article/pii/S0306261926011529?dgcid=rss_sd_all" TargetMode="External"/><Relationship Id="rId185" Type="http://schemas.openxmlformats.org/officeDocument/2006/relationships/hyperlink" Target="https://pubs.acs.org/doi/10.1021/acsenergylett.6c01251" TargetMode="External"/><Relationship Id="rId186" Type="http://schemas.openxmlformats.org/officeDocument/2006/relationships/hyperlink" Target="https://doi.org/10.1021/acsenergylett.6c01251" TargetMode="External"/><Relationship Id="rId187" Type="http://schemas.openxmlformats.org/officeDocument/2006/relationships/hyperlink" Target="https://pubs.acs.org/doi/10.1021/acsami.6c08906" TargetMode="External"/><Relationship Id="rId188" Type="http://schemas.openxmlformats.org/officeDocument/2006/relationships/hyperlink" Target="https://doi.org/10.1021/acsami.6c08906" TargetMode="External"/><Relationship Id="rId189" Type="http://schemas.openxmlformats.org/officeDocument/2006/relationships/hyperlink" Target="https://www.nature.com/articles/s41563-026-02679-3" TargetMode="External"/><Relationship Id="rId190" Type="http://schemas.openxmlformats.org/officeDocument/2006/relationships/hyperlink" Target="https://doi.org/10.1038/s41563-026-02679-3" TargetMode="External"/><Relationship Id="rId191" Type="http://schemas.openxmlformats.org/officeDocument/2006/relationships/hyperlink" Target="https://www.nature.com/articles/s41467-026-75156-9" TargetMode="External"/><Relationship Id="rId192" Type="http://schemas.openxmlformats.org/officeDocument/2006/relationships/hyperlink" Target="https://advanced.onlinelibrary.wiley.com/doi/10.1002/adma.74164?af=R" TargetMode="External"/><Relationship Id="rId193" Type="http://schemas.openxmlformats.org/officeDocument/2006/relationships/hyperlink" Target="https://doi.org/10.1002/adma.74164" TargetMode="External"/><Relationship Id="rId194" Type="http://schemas.openxmlformats.org/officeDocument/2006/relationships/hyperlink" Target="https://onlinelibrary.wiley.com/doi/10.1002/anie.4071427?af=R" TargetMode="External"/><Relationship Id="rId195" Type="http://schemas.openxmlformats.org/officeDocument/2006/relationships/hyperlink" Target="https://doi.org/10.1002/anie.4071427" TargetMode="External"/><Relationship Id="rId196" Type="http://schemas.openxmlformats.org/officeDocument/2006/relationships/hyperlink" Target="https://advanced.onlinelibrary.wiley.com/doi/10.1002/aenm.71309?af=R" TargetMode="External"/><Relationship Id="rId197" Type="http://schemas.openxmlformats.org/officeDocument/2006/relationships/hyperlink" Target="https://doi.org/10.1002/aenm.71309" TargetMode="External"/><Relationship Id="rId198" Type="http://schemas.openxmlformats.org/officeDocument/2006/relationships/hyperlink" Target="https://advanced.onlinelibrary.wiley.com/doi/10.1002/adma.74155?af=R" TargetMode="External"/><Relationship Id="rId199" Type="http://schemas.openxmlformats.org/officeDocument/2006/relationships/hyperlink" Target="https://doi.org/10.1002/adma.74155" TargetMode="External"/><Relationship Id="rId200" Type="http://schemas.openxmlformats.org/officeDocument/2006/relationships/hyperlink" Target="https://pubs.acs.org/doi/10.1021/acsami.6c05589" TargetMode="External"/><Relationship Id="rId201" Type="http://schemas.openxmlformats.org/officeDocument/2006/relationships/hyperlink" Target="https://doi.org/10.1021/acsami.6c05589" TargetMode="External"/><Relationship Id="rId202" Type="http://schemas.openxmlformats.org/officeDocument/2006/relationships/hyperlink" Target="https://www.sciencedirect.com/science/article/pii/S0306261926010986?dgcid=rss_sd_all" TargetMode="External"/><Relationship Id="rId203" Type="http://schemas.openxmlformats.org/officeDocument/2006/relationships/hyperlink" Target="https://doi.org/10.1016/j.apenergy.2026.128444" TargetMode="External"/><Relationship Id="rId204" Type="http://schemas.openxmlformats.org/officeDocument/2006/relationships/hyperlink" Target="https://www.cell.com/chem/fulltext/S2451-9294(26)00221-4?rss=yes" TargetMode="External"/><Relationship Id="rId205" Type="http://schemas.openxmlformats.org/officeDocument/2006/relationships/hyperlink" Target="https://doi.org/10.1016/j.chempr.2026.103155" TargetMode="External"/><Relationship Id="rId206" Type="http://schemas.openxmlformats.org/officeDocument/2006/relationships/hyperlink" Target="https://academic.oup.com/nsr/advance-article/doi/10.1093/nsr/nwag423/8738136?rss=1" TargetMode="External"/><Relationship Id="rId207" Type="http://schemas.openxmlformats.org/officeDocument/2006/relationships/hyperlink" Target="https://doi.org/10.1093/nsr/nwag423" TargetMode="External"/><Relationship Id="rId208" Type="http://schemas.openxmlformats.org/officeDocument/2006/relationships/hyperlink" Target="https://academic.oup.com/nsr/advance-article/doi/10.1093/nsr/nwag437/8738130?rss=1" TargetMode="External"/><Relationship Id="rId209" Type="http://schemas.openxmlformats.org/officeDocument/2006/relationships/hyperlink" Target="https://doi.org/10.1093/nsr/nwag437" TargetMode="External"/><Relationship Id="rId210" Type="http://schemas.openxmlformats.org/officeDocument/2006/relationships/hyperlink" Target="https://www.nature.com/articles/s41467-026-75838-4" TargetMode="External"/><Relationship Id="rId211" Type="http://schemas.openxmlformats.org/officeDocument/2006/relationships/hyperlink" Target="https://www.nature.com/articles/s41467-026-75708-z" TargetMode="External"/><Relationship Id="rId212" Type="http://schemas.openxmlformats.org/officeDocument/2006/relationships/hyperlink" Target="https://www.nature.com/articles/s41928-026-01673-6" TargetMode="External"/><Relationship Id="rId213" Type="http://schemas.openxmlformats.org/officeDocument/2006/relationships/hyperlink" Target="https://doi.org/10.1038/s41928-026-01673-6" TargetMode="External"/><Relationship Id="rId214" Type="http://schemas.openxmlformats.org/officeDocument/2006/relationships/hyperlink" Target="https://onlinelibrary.wiley.com/doi/10.1002/anie.3742186?af=R" TargetMode="External"/><Relationship Id="rId215" Type="http://schemas.openxmlformats.org/officeDocument/2006/relationships/hyperlink" Target="https://doi.org/10.1002/anie.3742186" TargetMode="External"/><Relationship Id="rId216" Type="http://schemas.openxmlformats.org/officeDocument/2006/relationships/hyperlink" Target="https://onlinelibrary.wiley.com/doi/10.1002/anie.5210125?af=R" TargetMode="External"/><Relationship Id="rId217" Type="http://schemas.openxmlformats.org/officeDocument/2006/relationships/hyperlink" Target="https://doi.org/10.1002/anie.5210125" TargetMode="External"/><Relationship Id="rId218" Type="http://schemas.openxmlformats.org/officeDocument/2006/relationships/hyperlink" Target="https://onlinelibrary.wiley.com/doi/10.1002/anie.8824225?af=R" TargetMode="External"/><Relationship Id="rId219" Type="http://schemas.openxmlformats.org/officeDocument/2006/relationships/hyperlink" Target="https://doi.org/10.1002/anie.8824225" TargetMode="External"/><Relationship Id="rId220" Type="http://schemas.openxmlformats.org/officeDocument/2006/relationships/hyperlink" Target="https://www.nmlett.org/index.php/nml/article/view/2597" TargetMode="External"/><Relationship Id="rId221" Type="http://schemas.openxmlformats.org/officeDocument/2006/relationships/hyperlink" Target="https://doi.org/10.1007/s40820-026-02310-9" TargetMode="External"/><Relationship Id="rId222" Type="http://schemas.openxmlformats.org/officeDocument/2006/relationships/hyperlink" Target="https://www.nature.com/articles/s41467-026-75866-0" TargetMode="External"/><Relationship Id="rId223" Type="http://schemas.openxmlformats.org/officeDocument/2006/relationships/hyperlink" Target="https://advanced.onlinelibrary.wiley.com/doi/10.1002/aenm.71321?af=R" TargetMode="External"/><Relationship Id="rId224" Type="http://schemas.openxmlformats.org/officeDocument/2006/relationships/hyperlink" Target="https://doi.org/10.1002/aenm.71321" TargetMode="External"/><Relationship Id="rId225" Type="http://schemas.openxmlformats.org/officeDocument/2006/relationships/hyperlink" Target="https://www.nature.com/articles/s41467-026-73375-8" TargetMode="External"/><Relationship Id="rId226" Type="http://schemas.openxmlformats.org/officeDocument/2006/relationships/hyperlink" Target="https://www.nature.com/articles/s41467-026-75056-y" TargetMode="External"/><Relationship Id="rId227" Type="http://schemas.openxmlformats.org/officeDocument/2006/relationships/hyperlink" Target="https://www.nature.com/articles/s41467-026-75980-z" TargetMode="External"/><Relationship Id="rId228" Type="http://schemas.openxmlformats.org/officeDocument/2006/relationships/hyperlink" Target="https://pubs.acs.org/doi/10.1021/acsami.6c06663" TargetMode="External"/><Relationship Id="rId229" Type="http://schemas.openxmlformats.org/officeDocument/2006/relationships/hyperlink" Target="https://doi.org/10.1021/acsami.6c06663" TargetMode="External"/><Relationship Id="rId230" Type="http://schemas.openxmlformats.org/officeDocument/2006/relationships/hyperlink" Target="https://www.sciencedirect.com/science/article/pii/S0306261926011086?dgcid=rss_sd_all" TargetMode="External"/><Relationship Id="rId231" Type="http://schemas.openxmlformats.org/officeDocument/2006/relationships/hyperlink" Target="https://doi.org/10.1016/j.apenergy.2026.128452" TargetMode="External"/><Relationship Id="rId232" Type="http://schemas.openxmlformats.org/officeDocument/2006/relationships/hyperlink" Target="https://pubs.acs.org/doi/10.1021/acsami.6c08078" TargetMode="External"/><Relationship Id="rId233" Type="http://schemas.openxmlformats.org/officeDocument/2006/relationships/hyperlink" Target="https://doi.org/10.1021/acsami.6c08078" TargetMode="External"/><Relationship Id="rId234" Type="http://schemas.openxmlformats.org/officeDocument/2006/relationships/hyperlink" Target="https://pubs.acs.org/doi/10.1021/acsami.6c06248" TargetMode="External"/><Relationship Id="rId235" Type="http://schemas.openxmlformats.org/officeDocument/2006/relationships/hyperlink" Target="https://doi.org/10.1021/acsami.6c06248" TargetMode="External"/><Relationship Id="rId236" Type="http://schemas.openxmlformats.org/officeDocument/2006/relationships/hyperlink" Target="https://advanced.onlinelibrary.wiley.com/doi/10.1002/adma.74055?af=R" TargetMode="External"/><Relationship Id="rId237" Type="http://schemas.openxmlformats.org/officeDocument/2006/relationships/hyperlink" Target="https://doi.org/10.1002/adma.74055" TargetMode="External"/><Relationship Id="rId238" Type="http://schemas.openxmlformats.org/officeDocument/2006/relationships/hyperlink" Target="https://advanced.onlinelibrary.wiley.com/doi/10.1002/aenm.71318?af=R" TargetMode="External"/><Relationship Id="rId239" Type="http://schemas.openxmlformats.org/officeDocument/2006/relationships/hyperlink" Target="https://doi.org/10.1002/aenm.71318" TargetMode="External"/><Relationship Id="rId240" Type="http://schemas.openxmlformats.org/officeDocument/2006/relationships/hyperlink" Target="https://advanced.onlinelibrary.wiley.com/doi/10.1002/aenm.71304?af=R" TargetMode="External"/><Relationship Id="rId241" Type="http://schemas.openxmlformats.org/officeDocument/2006/relationships/hyperlink" Target="https://doi.org/10.1002/aenm.71304" TargetMode="External"/><Relationship Id="rId242" Type="http://schemas.openxmlformats.org/officeDocument/2006/relationships/hyperlink" Target="https://www.sciencedirect.com/science/article/pii/S0306261926010640?dgcid=rss_sd_all" TargetMode="External"/><Relationship Id="rId243" Type="http://schemas.openxmlformats.org/officeDocument/2006/relationships/hyperlink" Target="https://doi.org/10.1016/j.apenergy.2026.128410" TargetMode="External"/><Relationship Id="rId244" Type="http://schemas.openxmlformats.org/officeDocument/2006/relationships/hyperlink" Target="https://www.nature.com/articles/s41467-026-75865-1" TargetMode="External"/><Relationship Id="rId245" Type="http://schemas.openxmlformats.org/officeDocument/2006/relationships/hyperlink" Target="https://www.sciencedirect.com/science/article/pii/S030626192601069X?dgcid=rss_sd_all" TargetMode="External"/><Relationship Id="rId246" Type="http://schemas.openxmlformats.org/officeDocument/2006/relationships/hyperlink" Target="https://doi.org/10.1016/j.apenergy.2026.128415" TargetMode="External"/><Relationship Id="rId247" Type="http://schemas.openxmlformats.org/officeDocument/2006/relationships/hyperlink" Target="https://www.sciencedirect.com/science/article/pii/S0306261926011256?dgcid=rss_sd_all" TargetMode="External"/><Relationship Id="rId248" Type="http://schemas.openxmlformats.org/officeDocument/2006/relationships/hyperlink" Target="https://www.sciencedirect.com/science/article/pii/S0306261926011475?dgcid=rss_sd_all" TargetMode="External"/><Relationship Id="rId249" Type="http://schemas.openxmlformats.org/officeDocument/2006/relationships/hyperlink" Target="https://doi.org/10.1016/j.apenergy.2026.128491" TargetMode="External"/><Relationship Id="rId250" Type="http://schemas.openxmlformats.org/officeDocument/2006/relationships/hyperlink" Target="https://www.sciencedirect.com/science/article/pii/S0306261926011281?dgcid=rss_sd_all" TargetMode="External"/><Relationship Id="rId251" Type="http://schemas.openxmlformats.org/officeDocument/2006/relationships/hyperlink" Target="https://doi.org/10.1016/j.apenergy.2026.128472" TargetMode="External"/><Relationship Id="rId252" Type="http://schemas.openxmlformats.org/officeDocument/2006/relationships/hyperlink" Target="https://www.nature.com/articles/s41467-026-75847-3" TargetMode="External"/><Relationship Id="rId253" Type="http://schemas.openxmlformats.org/officeDocument/2006/relationships/hyperlink" Target="https://pubs.acs.org/doi/10.1021/acsami.6c06268" TargetMode="External"/><Relationship Id="rId254" Type="http://schemas.openxmlformats.org/officeDocument/2006/relationships/hyperlink" Target="https://doi.org/10.1021/acsami.6c06268" TargetMode="External"/><Relationship Id="rId255" Type="http://schemas.openxmlformats.org/officeDocument/2006/relationships/hyperlink" Target="https://www.nature.com/articles/s41467-026-75761-8" TargetMode="External"/><Relationship Id="rId256" Type="http://schemas.openxmlformats.org/officeDocument/2006/relationships/hyperlink" Target="https://pubs.acs.org/doi/10.1021/acsami.6c10003" TargetMode="External"/><Relationship Id="rId257" Type="http://schemas.openxmlformats.org/officeDocument/2006/relationships/hyperlink" Target="https://doi.org/10.1021/acsami.6c10003" TargetMode="External"/><Relationship Id="rId258" Type="http://schemas.openxmlformats.org/officeDocument/2006/relationships/hyperlink" Target="https://advanced.onlinelibrary.wiley.com/doi/10.1002/adma.74171?af=R" TargetMode="External"/><Relationship Id="rId259" Type="http://schemas.openxmlformats.org/officeDocument/2006/relationships/hyperlink" Target="https://doi.org/10.1002/adma.74171" TargetMode="External"/><Relationship Id="rId260" Type="http://schemas.openxmlformats.org/officeDocument/2006/relationships/hyperlink" Target="https://pubs.acs.org/doi/10.1021/acsami.6c04801" TargetMode="External"/><Relationship Id="rId261" Type="http://schemas.openxmlformats.org/officeDocument/2006/relationships/hyperlink" Target="https://doi.org/10.1021/acsami.6c04801" TargetMode="External"/><Relationship Id="rId262" Type="http://schemas.openxmlformats.org/officeDocument/2006/relationships/hyperlink" Target="https://advanced.onlinelibrary.wiley.com/doi/10.1002/adma.74197?af=R" TargetMode="External"/><Relationship Id="rId263" Type="http://schemas.openxmlformats.org/officeDocument/2006/relationships/hyperlink" Target="https://doi.org/10.1002/adma.74197" TargetMode="External"/><Relationship Id="rId264" Type="http://schemas.openxmlformats.org/officeDocument/2006/relationships/hyperlink" Target="https://www.nature.com/articles/d41586-026-02273-2" TargetMode="External"/><Relationship Id="rId265" Type="http://schemas.openxmlformats.org/officeDocument/2006/relationships/hyperlink" Target="https://doi.org/10.1038/d41586-026-02273-2" TargetMode="External"/><Relationship Id="rId266" Type="http://schemas.openxmlformats.org/officeDocument/2006/relationships/hyperlink" Target="https://www.nature.com/articles/s41467-026-75913-w" TargetMode="External"/><Relationship Id="rId267" Type="http://schemas.openxmlformats.org/officeDocument/2006/relationships/hyperlink" Target="https://advanced.onlinelibrary.wiley.com/doi/10.1002/adma.74134?af=R" TargetMode="External"/><Relationship Id="rId268" Type="http://schemas.openxmlformats.org/officeDocument/2006/relationships/hyperlink" Target="https://doi.org/10.1002/adma.74134" TargetMode="External"/><Relationship Id="rId269" Type="http://schemas.openxmlformats.org/officeDocument/2006/relationships/hyperlink" Target="https://advanced.onlinelibrary.wiley.com/doi/10.1002/adma.74239?af=R" TargetMode="External"/><Relationship Id="rId270" Type="http://schemas.openxmlformats.org/officeDocument/2006/relationships/hyperlink" Target="https://doi.org/10.1002/adma.74239" TargetMode="External"/><Relationship Id="rId271" Type="http://schemas.openxmlformats.org/officeDocument/2006/relationships/hyperlink" Target="https://pubs.acs.org/doi/10.1021/acsami.6c07881" TargetMode="External"/><Relationship Id="rId272" Type="http://schemas.openxmlformats.org/officeDocument/2006/relationships/hyperlink" Target="https://doi.org/10.1021/acsami.6c07881" TargetMode="External"/><Relationship Id="rId273" Type="http://schemas.openxmlformats.org/officeDocument/2006/relationships/hyperlink" Target="https://www.nature.com/articles/s41467-026-75800-4" TargetMode="External"/><Relationship Id="rId274" Type="http://schemas.openxmlformats.org/officeDocument/2006/relationships/hyperlink" Target="https://pubs.acs.org/doi/10.1021/acsami.6c08353" TargetMode="External"/><Relationship Id="rId275" Type="http://schemas.openxmlformats.org/officeDocument/2006/relationships/hyperlink" Target="https://doi.org/10.1021/acsami.6c08353" TargetMode="External"/><Relationship Id="rId276" Type="http://schemas.openxmlformats.org/officeDocument/2006/relationships/hyperlink" Target="https://www.science.org/doi/abs/10.1126/sciadv.aee9953?af=R" TargetMode="External"/><Relationship Id="rId277" Type="http://schemas.openxmlformats.org/officeDocument/2006/relationships/hyperlink" Target="https://doi.org/10.1126/sciadv.aee9953" TargetMode="External"/><Relationship Id="rId278" Type="http://schemas.openxmlformats.org/officeDocument/2006/relationships/hyperlink" Target="https://advanced.onlinelibrary.wiley.com/doi/10.1002/adma.74098?af=R" TargetMode="External"/><Relationship Id="rId279" Type="http://schemas.openxmlformats.org/officeDocument/2006/relationships/hyperlink" Target="https://doi.org/10.1002/adma.74098" TargetMode="External"/><Relationship Id="rId280" Type="http://schemas.openxmlformats.org/officeDocument/2006/relationships/hyperlink" Target="https://www.nature.com/articles/s41467-026-74421-1" TargetMode="External"/><Relationship Id="rId281" Type="http://schemas.openxmlformats.org/officeDocument/2006/relationships/hyperlink" Target="https://iopscience.iop.org/article/10.1088/1741-4326/ae827f" TargetMode="External"/><Relationship Id="rId282" Type="http://schemas.openxmlformats.org/officeDocument/2006/relationships/hyperlink" Target="https://doi.org/10.1088/1741-4326/ae827f" TargetMode="External"/><Relationship Id="rId283" Type="http://schemas.openxmlformats.org/officeDocument/2006/relationships/hyperlink" Target="https://iopscience.iop.org/article/10.1088/1741-4326/ae8606" TargetMode="External"/><Relationship Id="rId284" Type="http://schemas.openxmlformats.org/officeDocument/2006/relationships/hyperlink" Target="https://doi.org/10.1088/1741-4326/ae8606" TargetMode="External"/><Relationship Id="rId285" Type="http://schemas.openxmlformats.org/officeDocument/2006/relationships/hyperlink" Target="http://link.aps.org/doi/10.1103/qx28-3tkb" TargetMode="External"/><Relationship Id="rId286" Type="http://schemas.openxmlformats.org/officeDocument/2006/relationships/hyperlink" Target="https://doi.org/10.1103/qx28-3tkb" TargetMode="External"/><Relationship Id="rId287" Type="http://schemas.openxmlformats.org/officeDocument/2006/relationships/hyperlink" Target="http://link.aps.org/doi/10.1103/1d8y-2cmz" TargetMode="External"/><Relationship Id="rId288" Type="http://schemas.openxmlformats.org/officeDocument/2006/relationships/hyperlink" Target="https://doi.org/10.1103/1d8y-2cmz" TargetMode="External"/><Relationship Id="rId289" Type="http://schemas.openxmlformats.org/officeDocument/2006/relationships/hyperlink" Target="http://link.aps.org/doi/10.1103/ggc8-mn83" TargetMode="External"/><Relationship Id="rId290" Type="http://schemas.openxmlformats.org/officeDocument/2006/relationships/hyperlink" Target="https://doi.org/10.1103/ggc8-mn83" TargetMode="External"/><Relationship Id="rId291" Type="http://schemas.openxmlformats.org/officeDocument/2006/relationships/hyperlink" Target="https://iopscience.iop.org/article/10.1088/1741-4326/ae7e07" TargetMode="External"/><Relationship Id="rId292" Type="http://schemas.openxmlformats.org/officeDocument/2006/relationships/hyperlink" Target="https://doi.org/10.1088/1741-4326/ae7e07" TargetMode="External"/><Relationship Id="rId293" Type="http://schemas.openxmlformats.org/officeDocument/2006/relationships/hyperlink" Target="https://iopscience.iop.org/article/10.1088/1741-4326/ae845c" TargetMode="External"/><Relationship Id="rId294" Type="http://schemas.openxmlformats.org/officeDocument/2006/relationships/hyperlink" Target="https://doi.org/10.1088/1741-4326/ae845c" TargetMode="External"/><Relationship Id="rId295" Type="http://schemas.openxmlformats.org/officeDocument/2006/relationships/hyperlink" Target="https://iopscience.iop.org/article/10.1088/1741-4326/ae81c5" TargetMode="External"/><Relationship Id="rId296" Type="http://schemas.openxmlformats.org/officeDocument/2006/relationships/hyperlink" Target="https://doi.org/10.1088/1741-4326/ae81c5" TargetMode="External"/><Relationship Id="rId297" Type="http://schemas.openxmlformats.org/officeDocument/2006/relationships/hyperlink" Target="https://iopscience.iop.org/article/10.1088/1741-4326/ae8283" TargetMode="External"/><Relationship Id="rId298" Type="http://schemas.openxmlformats.org/officeDocument/2006/relationships/hyperlink" Target="https://doi.org/10.1088/1741-4326/ae8283" TargetMode="External"/><Relationship Id="rId299" Type="http://schemas.openxmlformats.org/officeDocument/2006/relationships/hyperlink" Target="https://iopscience.iop.org/article/10.1088/1741-4326/ae8869" TargetMode="External"/><Relationship Id="rId300" Type="http://schemas.openxmlformats.org/officeDocument/2006/relationships/hyperlink" Target="https://doi.org/10.1088/1741-4326/ae8869" TargetMode="External"/><Relationship Id="rId301" Type="http://schemas.openxmlformats.org/officeDocument/2006/relationships/hyperlink" Target="https://iopscience.iop.org/article/10.1088/1741-4326/ae8679" TargetMode="External"/><Relationship Id="rId302" Type="http://schemas.openxmlformats.org/officeDocument/2006/relationships/hyperlink" Target="https://doi.org/10.1088/1741-4326/ae8679" TargetMode="External"/><Relationship Id="rId303" Type="http://schemas.openxmlformats.org/officeDocument/2006/relationships/hyperlink" Target="https://iopscience.iop.org/article/10.1088/1741-4326/ae7a8d" TargetMode="External"/><Relationship Id="rId304" Type="http://schemas.openxmlformats.org/officeDocument/2006/relationships/hyperlink" Target="https://doi.org/10.1088/1741-4326/ae7a8d" TargetMode="External"/><Relationship Id="rId305" Type="http://schemas.openxmlformats.org/officeDocument/2006/relationships/hyperlink" Target="https://iopscience.iop.org/article/10.1088/1741-4326/ae88e1" TargetMode="External"/><Relationship Id="rId306" Type="http://schemas.openxmlformats.org/officeDocument/2006/relationships/hyperlink" Target="https://doi.org/10.1088/1741-4326/ae88e1" TargetMode="External"/><Relationship Id="rId307" Type="http://schemas.openxmlformats.org/officeDocument/2006/relationships/hyperlink" Target="https://iopscience.iop.org/article/10.1088/1741-4326/ae870b" TargetMode="External"/><Relationship Id="rId308" Type="http://schemas.openxmlformats.org/officeDocument/2006/relationships/hyperlink" Target="https://doi.org/10.1088/1741-4326/ae870b" TargetMode="External"/><Relationship Id="rId309" Type="http://schemas.openxmlformats.org/officeDocument/2006/relationships/hyperlink" Target="http://link.aps.org/doi/10.1103/hh65-rgwv" TargetMode="External"/><Relationship Id="rId310" Type="http://schemas.openxmlformats.org/officeDocument/2006/relationships/hyperlink" Target="https://doi.org/10.1103/hh65-rgwv" TargetMode="External"/><Relationship Id="rId311" Type="http://schemas.openxmlformats.org/officeDocument/2006/relationships/hyperlink" Target="http://link.aps.org/doi/10.1103/1kyk-k6n5" TargetMode="External"/><Relationship Id="rId312" Type="http://schemas.openxmlformats.org/officeDocument/2006/relationships/hyperlink" Target="https://doi.org/10.1103/1kyk-k6n5" TargetMode="External"/><Relationship Id="rId313" Type="http://schemas.openxmlformats.org/officeDocument/2006/relationships/hyperlink" Target="https://iopscience.iop.org/article/10.1088/1741-4326/ae8314" TargetMode="External"/><Relationship Id="rId314" Type="http://schemas.openxmlformats.org/officeDocument/2006/relationships/hyperlink" Target="https://doi.org/10.1088/1741-4326/ae8314" TargetMode="External"/><Relationship Id="rId315" Type="http://schemas.openxmlformats.org/officeDocument/2006/relationships/hyperlink" Target="https://iopscience.iop.org/article/10.1088/1741-4326/ae7984" TargetMode="External"/><Relationship Id="rId316" Type="http://schemas.openxmlformats.org/officeDocument/2006/relationships/hyperlink" Target="https://doi.org/10.1088/1741-4326/ae7984" TargetMode="External"/><Relationship Id="rId317" Type="http://schemas.openxmlformats.org/officeDocument/2006/relationships/hyperlink" Target="https://iopscience.iop.org/article/10.1088/1741-4326/ae89ca" TargetMode="External"/><Relationship Id="rId318" Type="http://schemas.openxmlformats.org/officeDocument/2006/relationships/hyperlink" Target="https://doi.org/10.1088/1741-4326/ae89ca" TargetMode="External"/><Relationship Id="rId319" Type="http://schemas.openxmlformats.org/officeDocument/2006/relationships/hyperlink" Target="https://www.sciencedirect.com/science/article/pii/S0306261926011219?dgcid=rss_sd_all" TargetMode="External"/><Relationship Id="rId320" Type="http://schemas.openxmlformats.org/officeDocument/2006/relationships/hyperlink" Target="https://doi.org/10.1016/j.apenergy.2026.128465" TargetMode="External"/><Relationship Id="rId321" Type="http://schemas.openxmlformats.org/officeDocument/2006/relationships/hyperlink" Target="https://pubs.acs.org/doi/10.1021/jacs.6c05147" TargetMode="External"/><Relationship Id="rId322" Type="http://schemas.openxmlformats.org/officeDocument/2006/relationships/hyperlink" Target="https://doi.org/10.1021/jacs.6c05147" TargetMode="External"/><Relationship Id="rId323" Type="http://schemas.openxmlformats.org/officeDocument/2006/relationships/hyperlink" Target="https://www.sciencedirect.com/science/article/pii/S030142152600426X?dgcid=rss_sd_all" TargetMode="External"/><Relationship Id="rId324" Type="http://schemas.openxmlformats.org/officeDocument/2006/relationships/hyperlink" Target="https://doi.org/10.1016/j.enpol.2026.115492" TargetMode="External"/><Relationship Id="rId325" Type="http://schemas.openxmlformats.org/officeDocument/2006/relationships/hyperlink" Target="https://pubs.acs.org/doi/10.1021/jacs.6c09107" TargetMode="External"/><Relationship Id="rId326" Type="http://schemas.openxmlformats.org/officeDocument/2006/relationships/hyperlink" Target="https://doi.org/10.1021/jacs.6c09107" TargetMode="External"/><Relationship Id="rId327" Type="http://schemas.openxmlformats.org/officeDocument/2006/relationships/hyperlink" Target="https://www.sciencedirect.com/science/article/pii/S0306261926010779?dgcid=rss_sd_all" TargetMode="External"/><Relationship Id="rId328" Type="http://schemas.openxmlformats.org/officeDocument/2006/relationships/hyperlink" Target="https://www.nature.com/articles/s44359-026-00196-9" TargetMode="External"/><Relationship Id="rId329" Type="http://schemas.openxmlformats.org/officeDocument/2006/relationships/hyperlink" Target="https://doi.org/10.1038/s44359-026-00196-9" TargetMode="External"/><Relationship Id="rId330" Type="http://schemas.openxmlformats.org/officeDocument/2006/relationships/hyperlink" Target="https://pubs.acs.org/doi/10.1021/acsami.6c09661" TargetMode="External"/><Relationship Id="rId331" Type="http://schemas.openxmlformats.org/officeDocument/2006/relationships/hyperlink" Target="https://doi.org/10.1021/acsami.6c09661" TargetMode="External"/><Relationship Id="rId332" Type="http://schemas.openxmlformats.org/officeDocument/2006/relationships/hyperlink" Target="https://academic.oup.com/nsr/advance-article/doi/10.1093/nsr/nwag442/8736522?rss=1" TargetMode="External"/><Relationship Id="rId333" Type="http://schemas.openxmlformats.org/officeDocument/2006/relationships/hyperlink" Target="https://doi.org/10.1093/nsr/nwag442" TargetMode="External"/><Relationship Id="rId334" Type="http://schemas.openxmlformats.org/officeDocument/2006/relationships/hyperlink" Target="https://onlinelibrary.wiley.com/doi/10.1002/anie.6104492?af=R" TargetMode="External"/><Relationship Id="rId335" Type="http://schemas.openxmlformats.org/officeDocument/2006/relationships/hyperlink" Target="https://doi.org/10.1002/anie.6104492" TargetMode="External"/><Relationship Id="rId336" Type="http://schemas.openxmlformats.org/officeDocument/2006/relationships/hyperlink" Target="https://onlinelibrary.wiley.com/doi/10.1002/anie.7897749?af=R" TargetMode="External"/><Relationship Id="rId337" Type="http://schemas.openxmlformats.org/officeDocument/2006/relationships/hyperlink" Target="https://doi.org/10.1002/anie.7897749" TargetMode="External"/><Relationship Id="rId338" Type="http://schemas.openxmlformats.org/officeDocument/2006/relationships/hyperlink" Target="https://onlinelibrary.wiley.com/doi/10.1002/anie.8042334?af=R" TargetMode="External"/><Relationship Id="rId339" Type="http://schemas.openxmlformats.org/officeDocument/2006/relationships/hyperlink" Target="https://doi.org/10.1002/anie.8042334" TargetMode="External"/><Relationship Id="rId340" Type="http://schemas.openxmlformats.org/officeDocument/2006/relationships/hyperlink" Target="https://onlinelibrary.wiley.com/doi/10.1002/anie.3661635?af=R" TargetMode="External"/><Relationship Id="rId341" Type="http://schemas.openxmlformats.org/officeDocument/2006/relationships/hyperlink" Target="https://doi.org/10.1002/anie.3661635" TargetMode="External"/><Relationship Id="rId342" Type="http://schemas.openxmlformats.org/officeDocument/2006/relationships/hyperlink" Target="https://onlinelibrary.wiley.com/doi/10.1002/anie.7083269?af=R" TargetMode="External"/><Relationship Id="rId343" Type="http://schemas.openxmlformats.org/officeDocument/2006/relationships/hyperlink" Target="https://doi.org/10.1002/anie.7083269" TargetMode="External"/><Relationship Id="rId344" Type="http://schemas.openxmlformats.org/officeDocument/2006/relationships/hyperlink" Target="https://advanced.onlinelibrary.wiley.com/doi/10.1002/aenm.71310?af=R" TargetMode="External"/><Relationship Id="rId345" Type="http://schemas.openxmlformats.org/officeDocument/2006/relationships/hyperlink" Target="https://doi.org/10.1002/aenm.71310" TargetMode="External"/><Relationship Id="rId346" Type="http://schemas.openxmlformats.org/officeDocument/2006/relationships/hyperlink" Target="https://advanced.onlinelibrary.wiley.com/doi/10.1002/adma.74205?af=R" TargetMode="External"/><Relationship Id="rId347" Type="http://schemas.openxmlformats.org/officeDocument/2006/relationships/hyperlink" Target="https://doi.org/10.1002/adma.74205" TargetMode="External"/><Relationship Id="rId348" Type="http://schemas.openxmlformats.org/officeDocument/2006/relationships/hyperlink" Target="https://advanced.onlinelibrary.wiley.com/doi/10.1002/adma.74182?af=R" TargetMode="External"/><Relationship Id="rId349" Type="http://schemas.openxmlformats.org/officeDocument/2006/relationships/hyperlink" Target="https://doi.org/10.1002/adma.74182" TargetMode="External"/><Relationship Id="rId350" Type="http://schemas.openxmlformats.org/officeDocument/2006/relationships/hyperlink" Target="https://www.nature.com/articles/s41467-026-75664-8" TargetMode="External"/><Relationship Id="rId351" Type="http://schemas.openxmlformats.org/officeDocument/2006/relationships/hyperlink" Target="https://www.sciencedirect.com/science/article/pii/S0306261926011244?dgcid=rss_sd_all" TargetMode="External"/><Relationship Id="rId352" Type="http://schemas.openxmlformats.org/officeDocument/2006/relationships/hyperlink" Target="https://doi.org/10.1016/j.apenergy.2026.128468" TargetMode="External"/><Relationship Id="rId353" Type="http://schemas.openxmlformats.org/officeDocument/2006/relationships/hyperlink" Target="https://www.sciencedirect.com/science/article/pii/S0306261926010767?dgcid=rss_sd_all" TargetMode="External"/><Relationship Id="rId354" Type="http://schemas.openxmlformats.org/officeDocument/2006/relationships/hyperlink" Target="https://doi.org/10.1016/j.apenergy.2026.128422" TargetMode="External"/><Relationship Id="rId355" Type="http://schemas.openxmlformats.org/officeDocument/2006/relationships/hyperlink" Target="https://www.sciencedirect.com/science/article/pii/S030626192601127X?dgcid=rss_sd_all" TargetMode="External"/><Relationship Id="rId356" Type="http://schemas.openxmlformats.org/officeDocument/2006/relationships/hyperlink" Target="https://doi.org/10.1016/j.apenergy.2026.128471" TargetMode="External"/><Relationship Id="rId357" Type="http://schemas.openxmlformats.org/officeDocument/2006/relationships/hyperlink" Target="https://www.sciencedirect.com/science/article/pii/S0306261926010548?dgcid=rss_sd_all" TargetMode="External"/><Relationship Id="rId358" Type="http://schemas.openxmlformats.org/officeDocument/2006/relationships/hyperlink" Target="https://www.sciencedirect.com/science/article/pii/S0306261926011141?dgcid=rss_sd_all" TargetMode="External"/><Relationship Id="rId359" Type="http://schemas.openxmlformats.org/officeDocument/2006/relationships/hyperlink" Target="https://advanced.onlinelibrary.wiley.com/doi/10.1002/adma.74103?af=R" TargetMode="External"/><Relationship Id="rId360" Type="http://schemas.openxmlformats.org/officeDocument/2006/relationships/hyperlink" Target="https://doi.org/10.1002/adma.74103" TargetMode="External"/><Relationship Id="rId361" Type="http://schemas.openxmlformats.org/officeDocument/2006/relationships/hyperlink" Target="https://www.sciencedirect.com/science/article/pii/S0306261926010937?dgcid=rss_sd_all" TargetMode="External"/><Relationship Id="rId362" Type="http://schemas.openxmlformats.org/officeDocument/2006/relationships/hyperlink" Target="https://doi.org/10.1016/j.apenergy.2026.128439" TargetMode="External"/><Relationship Id="rId363" Type="http://schemas.openxmlformats.org/officeDocument/2006/relationships/hyperlink" Target="https://www.sciencedirect.com/science/article/pii/S0306261926011293?dgcid=rss_sd_all" TargetMode="External"/><Relationship Id="rId364" Type="http://schemas.openxmlformats.org/officeDocument/2006/relationships/hyperlink" Target="https://doi.org/10.1016/j.apenergy.2026.128473" TargetMode="External"/><Relationship Id="rId365" Type="http://schemas.openxmlformats.org/officeDocument/2006/relationships/hyperlink" Target="https://www.sciencedirect.com/science/article/pii/S0306261926011360?dgcid=rss_sd_all" TargetMode="External"/><Relationship Id="rId366" Type="http://schemas.openxmlformats.org/officeDocument/2006/relationships/hyperlink" Target="https://doi.org/10.1016/j.apenergy.2026.128480" TargetMode="External"/><Relationship Id="rId367" Type="http://schemas.openxmlformats.org/officeDocument/2006/relationships/hyperlink" Target="https://onlinelibrary.wiley.com/doi/10.1002/anie.2800335?af=R" TargetMode="External"/><Relationship Id="rId368" Type="http://schemas.openxmlformats.org/officeDocument/2006/relationships/hyperlink" Target="https://doi.org/10.1002/anie.2800335" TargetMode="External"/><Relationship Id="rId369" Type="http://schemas.openxmlformats.org/officeDocument/2006/relationships/hyperlink" Target="https://pubs.acs.org/doi/10.1021/jacs.6c03282" TargetMode="External"/><Relationship Id="rId370" Type="http://schemas.openxmlformats.org/officeDocument/2006/relationships/hyperlink" Target="https://doi.org/10.1021/jacs.6c03282" TargetMode="External"/><Relationship Id="rId371" Type="http://schemas.openxmlformats.org/officeDocument/2006/relationships/hyperlink" Target="https://pubs.acs.org/doi/10.1021/jacs.6c09904" TargetMode="External"/><Relationship Id="rId372" Type="http://schemas.openxmlformats.org/officeDocument/2006/relationships/hyperlink" Target="https://doi.org/10.1021/jacs.6c09904" TargetMode="External"/><Relationship Id="rId373" Type="http://schemas.openxmlformats.org/officeDocument/2006/relationships/hyperlink" Target="https://www.sciencedirect.com/science/article/pii/S0306261926011116?dgcid=rss_sd_all" TargetMode="External"/><Relationship Id="rId374" Type="http://schemas.openxmlformats.org/officeDocument/2006/relationships/hyperlink" Target="https://doi.org/10.1016/j.apenergy.2026.128455" TargetMode="External"/><Relationship Id="rId375" Type="http://schemas.openxmlformats.org/officeDocument/2006/relationships/hyperlink" Target="https://pubs.acs.org/doi/10.1021/acsami.6c02820" TargetMode="External"/><Relationship Id="rId376" Type="http://schemas.openxmlformats.org/officeDocument/2006/relationships/hyperlink" Target="https://doi.org/10.1021/acsami.6c02820" TargetMode="External"/><Relationship Id="rId377" Type="http://schemas.openxmlformats.org/officeDocument/2006/relationships/hyperlink" Target="https://advanced.onlinelibrary.wiley.com/doi/10.1002/adma.74030?af=R" TargetMode="External"/><Relationship Id="rId378" Type="http://schemas.openxmlformats.org/officeDocument/2006/relationships/hyperlink" Target="https://doi.org/10.1002/adma.74030" TargetMode="External"/><Relationship Id="rId379" Type="http://schemas.openxmlformats.org/officeDocument/2006/relationships/hyperlink" Target="https://advanced.onlinelibrary.wiley.com/doi/10.1002/adma.74229?af=R" TargetMode="External"/><Relationship Id="rId380" Type="http://schemas.openxmlformats.org/officeDocument/2006/relationships/hyperlink" Target="https://doi.org/10.1002/adma.74229" TargetMode="External"/><Relationship Id="rId381" Type="http://schemas.openxmlformats.org/officeDocument/2006/relationships/hyperlink" Target="https://www.sciencedirect.com/science/article/pii/S0306261926011323?dgcid=rss_sd_all" TargetMode="External"/><Relationship Id="rId382" Type="http://schemas.openxmlformats.org/officeDocument/2006/relationships/hyperlink" Target="https://doi.org/10.1016/j.apenergy.2026.128476" TargetMode="External"/><Relationship Id="rId383" Type="http://schemas.openxmlformats.org/officeDocument/2006/relationships/hyperlink" Target="https://pubs.acs.org/doi/10.1021/acsami.6c07254" TargetMode="External"/><Relationship Id="rId384" Type="http://schemas.openxmlformats.org/officeDocument/2006/relationships/hyperlink" Target="https://doi.org/10.1021/acsami.6c07254" TargetMode="External"/><Relationship Id="rId385" Type="http://schemas.openxmlformats.org/officeDocument/2006/relationships/hyperlink" Target="https://www.sciencedirect.com/science/article/pii/S0306261926010950?dgcid=rss_sd_all" TargetMode="External"/><Relationship Id="rId386" Type="http://schemas.openxmlformats.org/officeDocument/2006/relationships/hyperlink" Target="https://pubs.acs.org/doi/10.1021/acsami.6c05576" TargetMode="External"/><Relationship Id="rId387" Type="http://schemas.openxmlformats.org/officeDocument/2006/relationships/hyperlink" Target="https://doi.org/10.1021/acsami.6c05576" TargetMode="External"/><Relationship Id="rId388" Type="http://schemas.openxmlformats.org/officeDocument/2006/relationships/hyperlink" Target="https://pubs.acs.org/doi/10.1021/acsami.6c05938" TargetMode="External"/><Relationship Id="rId389" Type="http://schemas.openxmlformats.org/officeDocument/2006/relationships/hyperlink" Target="https://doi.org/10.1021/acsami.6c05938" TargetMode="External"/><Relationship Id="rId390" Type="http://schemas.openxmlformats.org/officeDocument/2006/relationships/hyperlink" Target="https://pubs.acs.org/doi/10.1021/acsami.6c07146" TargetMode="External"/><Relationship Id="rId391" Type="http://schemas.openxmlformats.org/officeDocument/2006/relationships/hyperlink" Target="https://doi.org/10.1021/acsami.6c07146" TargetMode="External"/><Relationship Id="rId392" Type="http://schemas.openxmlformats.org/officeDocument/2006/relationships/hyperlink" Target="https://pubs.acs.org/doi/10.1021/acs.chemrev.6c00021" TargetMode="External"/><Relationship Id="rId393" Type="http://schemas.openxmlformats.org/officeDocument/2006/relationships/hyperlink" Target="https://doi.org/10.1021/acs.chemrev.6c00021" TargetMode="External"/><Relationship Id="rId394" Type="http://schemas.openxmlformats.org/officeDocument/2006/relationships/hyperlink" Target="https://www.sciencedirect.com/science/article/pii/S0306261926011505?dgcid=rss_sd_all" TargetMode="External"/><Relationship Id="rId395" Type="http://schemas.openxmlformats.org/officeDocument/2006/relationships/hyperlink" Target="https://doi.org/10.1016/j.apenergy.2026.128494" TargetMode="External"/><Relationship Id="rId396" Type="http://schemas.openxmlformats.org/officeDocument/2006/relationships/hyperlink" Target="https://www.nature.com/articles/s41467-026-75880-2" TargetMode="External"/><Relationship Id="rId397" Type="http://schemas.openxmlformats.org/officeDocument/2006/relationships/hyperlink" Target="https://pubs.acs.org/doi/10.1021/jacs.6c09735" TargetMode="External"/><Relationship Id="rId398" Type="http://schemas.openxmlformats.org/officeDocument/2006/relationships/hyperlink" Target="https://doi.org/10.1021/jacs.6c09735" TargetMode="External"/><Relationship Id="rId399" Type="http://schemas.openxmlformats.org/officeDocument/2006/relationships/hyperlink" Target="https://pubs.acs.org/doi/10.1021/jacs.6c11181" TargetMode="External"/><Relationship Id="rId400" Type="http://schemas.openxmlformats.org/officeDocument/2006/relationships/hyperlink" Target="https://doi.org/10.1021/jacs.6c11181" TargetMode="External"/><Relationship Id="rId401" Type="http://schemas.openxmlformats.org/officeDocument/2006/relationships/hyperlink" Target="https://advanced.onlinelibrary.wiley.com/doi/10.1002/adma.74085?af=R" TargetMode="External"/><Relationship Id="rId402" Type="http://schemas.openxmlformats.org/officeDocument/2006/relationships/hyperlink" Target="https://doi.org/10.1002/adma.74085" TargetMode="External"/><Relationship Id="rId403" Type="http://schemas.openxmlformats.org/officeDocument/2006/relationships/hyperlink" Target="https://onlinelibrary.wiley.com/doi/10.1002/anie.3440356?af=R" TargetMode="External"/><Relationship Id="rId404" Type="http://schemas.openxmlformats.org/officeDocument/2006/relationships/hyperlink" Target="https://doi.org/10.1002/anie.3440356" TargetMode="External"/><Relationship Id="rId405" Type="http://schemas.openxmlformats.org/officeDocument/2006/relationships/hyperlink" Target="https://onlinelibrary.wiley.com/doi/10.1002/anie.6078601?af=R" TargetMode="External"/><Relationship Id="rId406" Type="http://schemas.openxmlformats.org/officeDocument/2006/relationships/hyperlink" Target="https://doi.org/10.1002/anie.6078601" TargetMode="External"/><Relationship Id="rId407" Type="http://schemas.openxmlformats.org/officeDocument/2006/relationships/hyperlink" Target="https://onlinelibrary.wiley.com/doi/10.1002/anie.6255291?af=R" TargetMode="External"/><Relationship Id="rId408" Type="http://schemas.openxmlformats.org/officeDocument/2006/relationships/hyperlink" Target="https://doi.org/10.1002/anie.6255291" TargetMode="External"/><Relationship Id="rId409" Type="http://schemas.openxmlformats.org/officeDocument/2006/relationships/hyperlink" Target="https://advanced.onlinelibrary.wiley.com/doi/10.1002/adma.74212?af=R" TargetMode="External"/><Relationship Id="rId410" Type="http://schemas.openxmlformats.org/officeDocument/2006/relationships/hyperlink" Target="https://doi.org/10.1002/adma.74212" TargetMode="External"/><Relationship Id="rId411" Type="http://schemas.openxmlformats.org/officeDocument/2006/relationships/hyperlink" Target="https://onlinelibrary.wiley.com/doi/10.1002/anie.4973178?af=R" TargetMode="External"/><Relationship Id="rId412" Type="http://schemas.openxmlformats.org/officeDocument/2006/relationships/hyperlink" Target="https://doi.org/10.1002/anie.4973178" TargetMode="External"/><Relationship Id="rId413" Type="http://schemas.openxmlformats.org/officeDocument/2006/relationships/hyperlink" Target="https://onlinelibrary.wiley.com/doi/10.1002/anie.6163429?af=R" TargetMode="External"/><Relationship Id="rId414" Type="http://schemas.openxmlformats.org/officeDocument/2006/relationships/hyperlink" Target="https://doi.org/10.1002/anie.6163429" TargetMode="External"/><Relationship Id="rId415" Type="http://schemas.openxmlformats.org/officeDocument/2006/relationships/hyperlink" Target="https://pubs.acs.org/doi/10.1021/acsami.6c06626" TargetMode="External"/><Relationship Id="rId416" Type="http://schemas.openxmlformats.org/officeDocument/2006/relationships/hyperlink" Target="https://doi.org/10.1021/acsami.6c06626" TargetMode="External"/><Relationship Id="rId417" Type="http://schemas.openxmlformats.org/officeDocument/2006/relationships/hyperlink" Target="https://www.nature.com/articles/s41467-026-75927-4" TargetMode="External"/><Relationship Id="rId418" Type="http://schemas.openxmlformats.org/officeDocument/2006/relationships/hyperlink" Target="https://www.sciencedirect.com/science/article/pii/S0306261926010639?dgcid=rss_sd_all" TargetMode="External"/><Relationship Id="rId419" Type="http://schemas.openxmlformats.org/officeDocument/2006/relationships/hyperlink" Target="https://doi.org/10.1016/j.apenergy.2026.128409" TargetMode="External"/><Relationship Id="rId420" Type="http://schemas.openxmlformats.org/officeDocument/2006/relationships/hyperlink" Target="https://www.sciencedirect.com/science/article/pii/S0306261926010998?dgcid=rss_sd_all" TargetMode="External"/><Relationship Id="rId421" Type="http://schemas.openxmlformats.org/officeDocument/2006/relationships/hyperlink" Target="https://doi.org/10.1016/j.apenergy.2026.128445" TargetMode="External"/><Relationship Id="rId422" Type="http://schemas.openxmlformats.org/officeDocument/2006/relationships/hyperlink" Target="https://www.sciencedirect.com/science/article/pii/S0306261926010792?dgcid=rss_sd_all" TargetMode="External"/><Relationship Id="rId423" Type="http://schemas.openxmlformats.org/officeDocument/2006/relationships/hyperlink" Target="https://doi.org/10.1016/j.apenergy.2026.128425" TargetMode="External"/><Relationship Id="rId424" Type="http://schemas.openxmlformats.org/officeDocument/2006/relationships/hyperlink" Target="https://www.sciencedirect.com/science/article/pii/S0306261926011189?dgcid=rss_sd_all" TargetMode="External"/><Relationship Id="rId425" Type="http://schemas.openxmlformats.org/officeDocument/2006/relationships/hyperlink" Target="https://doi.org/10.1016/j.apenergy.2026.128462" TargetMode="External"/><Relationship Id="rId426" Type="http://schemas.openxmlformats.org/officeDocument/2006/relationships/hyperlink" Target="https://onlinelibrary.wiley.com/doi/10.1002/anie.5283794?af=R" TargetMode="External"/><Relationship Id="rId427" Type="http://schemas.openxmlformats.org/officeDocument/2006/relationships/hyperlink" Target="https://doi.org/10.1002/anie.5283794" TargetMode="External"/><Relationship Id="rId428" Type="http://schemas.openxmlformats.org/officeDocument/2006/relationships/hyperlink" Target="https://onlinelibrary.wiley.com/doi/10.1002/anie.5877382?af=R" TargetMode="External"/><Relationship Id="rId429" Type="http://schemas.openxmlformats.org/officeDocument/2006/relationships/hyperlink" Target="https://doi.org/10.1002/anie.5877382" TargetMode="External"/><Relationship Id="rId430" Type="http://schemas.openxmlformats.org/officeDocument/2006/relationships/hyperlink" Target="https://advanced.onlinelibrary.wiley.com/doi/10.1002/aenm.71311?af=R" TargetMode="External"/><Relationship Id="rId431" Type="http://schemas.openxmlformats.org/officeDocument/2006/relationships/hyperlink" Target="https://doi.org/10.1002/aenm.71311" TargetMode="External"/><Relationship Id="rId432" Type="http://schemas.openxmlformats.org/officeDocument/2006/relationships/hyperlink" Target="https://advanced.onlinelibrary.wiley.com/doi/10.1002/aenm.71340?af=R" TargetMode="External"/><Relationship Id="rId433" Type="http://schemas.openxmlformats.org/officeDocument/2006/relationships/hyperlink" Target="https://doi.org/10.1002/aenm.71340" TargetMode="External"/><Relationship Id="rId434" Type="http://schemas.openxmlformats.org/officeDocument/2006/relationships/hyperlink" Target="https://advanced.onlinelibrary.wiley.com/doi/10.1002/adma.74217?af=R" TargetMode="External"/><Relationship Id="rId435" Type="http://schemas.openxmlformats.org/officeDocument/2006/relationships/hyperlink" Target="https://doi.org/10.1002/adma.74217" TargetMode="External"/><Relationship Id="rId436" Type="http://schemas.openxmlformats.org/officeDocument/2006/relationships/hyperlink" Target="https://advanced.onlinelibrary.wiley.com/doi/10.1002/adma.74223?af=R" TargetMode="External"/><Relationship Id="rId437" Type="http://schemas.openxmlformats.org/officeDocument/2006/relationships/hyperlink" Target="https://doi.org/10.1002/adma.74223" TargetMode="External"/><Relationship Id="rId438" Type="http://schemas.openxmlformats.org/officeDocument/2006/relationships/hyperlink" Target="https://pubs.acs.org/doi/10.1021/jacs.6c03609" TargetMode="External"/><Relationship Id="rId439" Type="http://schemas.openxmlformats.org/officeDocument/2006/relationships/hyperlink" Target="https://doi.org/10.1021/jacs.6c03609" TargetMode="External"/><Relationship Id="rId440" Type="http://schemas.openxmlformats.org/officeDocument/2006/relationships/hyperlink" Target="https://pubs.acs.org/doi/10.1021/acsenergylett.6c01411" TargetMode="External"/><Relationship Id="rId441" Type="http://schemas.openxmlformats.org/officeDocument/2006/relationships/hyperlink" Target="https://doi.org/10.1021/acsenergylett.6c01411" TargetMode="External"/><Relationship Id="rId442" Type="http://schemas.openxmlformats.org/officeDocument/2006/relationships/hyperlink" Target="https://pubs.acs.org/doi/10.1021/jacs.6c06774" TargetMode="External"/><Relationship Id="rId443" Type="http://schemas.openxmlformats.org/officeDocument/2006/relationships/hyperlink" Target="https://doi.org/10.1021/jacs.6c06774" TargetMode="External"/><Relationship Id="rId444" Type="http://schemas.openxmlformats.org/officeDocument/2006/relationships/hyperlink" Target="https://pubs.acs.org/doi/10.1021/jacs.5c22746" TargetMode="External"/><Relationship Id="rId445" Type="http://schemas.openxmlformats.org/officeDocument/2006/relationships/hyperlink" Target="https://doi.org/10.1021/jacs.5c22746" TargetMode="External"/><Relationship Id="rId446" Type="http://schemas.openxmlformats.org/officeDocument/2006/relationships/hyperlink" Target="https://www.sciencedirect.com/science/article/pii/S0306261926010652?dgcid=rss_sd_all" TargetMode="External"/><Relationship Id="rId447" Type="http://schemas.openxmlformats.org/officeDocument/2006/relationships/hyperlink" Target="https://doi.org/10.1016/j.apenergy.2026.128411" TargetMode="External"/><Relationship Id="rId448" Type="http://schemas.openxmlformats.org/officeDocument/2006/relationships/hyperlink" Target="https://www.sciencedirect.com/science/article/pii/S0306261926010731?dgcid=rss_sd_all" TargetMode="External"/><Relationship Id="rId449" Type="http://schemas.openxmlformats.org/officeDocument/2006/relationships/hyperlink" Target="https://doi.org/10.1016/j.apenergy.2026.128419" TargetMode="External"/><Relationship Id="rId450" Type="http://schemas.openxmlformats.org/officeDocument/2006/relationships/hyperlink" Target="https://www.sciencedirect.com/science/article/pii/S0306261926010603?dgcid=rss_sd_all" TargetMode="External"/><Relationship Id="rId451" Type="http://schemas.openxmlformats.org/officeDocument/2006/relationships/hyperlink" Target="https://doi.org/10.1016/j.apenergy.2026.128406" TargetMode="External"/><Relationship Id="rId452" Type="http://schemas.openxmlformats.org/officeDocument/2006/relationships/hyperlink" Target="https://www.sciencedirect.com/science/article/pii/S0306261926010688?dgcid=rss_sd_all" TargetMode="External"/><Relationship Id="rId453" Type="http://schemas.openxmlformats.org/officeDocument/2006/relationships/hyperlink" Target="https://doi.org/10.1016/j.apenergy.2026.128414" TargetMode="External"/><Relationship Id="rId454" Type="http://schemas.openxmlformats.org/officeDocument/2006/relationships/hyperlink" Target="https://www.sciencedirect.com/science/article/pii/S030626192601072X?dgcid=rss_sd_all" TargetMode="External"/><Relationship Id="rId455" Type="http://schemas.openxmlformats.org/officeDocument/2006/relationships/hyperlink" Target="https://doi.org/10.1016/j.apenergy.2026.128418" TargetMode="External"/><Relationship Id="rId456" Type="http://schemas.openxmlformats.org/officeDocument/2006/relationships/hyperlink" Target="https://www.sciencedirect.com/science/article/pii/S0306261926011001?dgcid=rss_sd_all" TargetMode="External"/><Relationship Id="rId457" Type="http://schemas.openxmlformats.org/officeDocument/2006/relationships/hyperlink" Target="https://www.sciencedirect.com/science/article/pii/S0301421526004465?dgcid=rss_sd_all" TargetMode="External"/><Relationship Id="rId458" Type="http://schemas.openxmlformats.org/officeDocument/2006/relationships/hyperlink" Target="https://doi.org/10.1016/j.enpol.2026.115512" TargetMode="External"/><Relationship Id="rId459" Type="http://schemas.openxmlformats.org/officeDocument/2006/relationships/hyperlink" Target="https://www.sciencedirect.com/science/article/pii/S0301421526004179?dgcid=rss_sd_all" TargetMode="External"/><Relationship Id="rId460" Type="http://schemas.openxmlformats.org/officeDocument/2006/relationships/hyperlink" Target="https://www.cell.com/joule/fulltext/S2542-4351(26)00270-9?rss=yes" TargetMode="External"/><Relationship Id="rId461" Type="http://schemas.openxmlformats.org/officeDocument/2006/relationships/hyperlink" Target="https://doi.org/10.1016/j.joule.2026.102586" TargetMode="External"/><Relationship Id="rId462" Type="http://schemas.openxmlformats.org/officeDocument/2006/relationships/hyperlink" Target="https://www.science.org/doi/abs/10.1126/sciadv.aef5759?af=R" TargetMode="External"/><Relationship Id="rId463" Type="http://schemas.openxmlformats.org/officeDocument/2006/relationships/hyperlink" Target="https://doi.org/10.1126/sciadv.aef5759" TargetMode="External"/><Relationship Id="rId464" Type="http://schemas.openxmlformats.org/officeDocument/2006/relationships/hyperlink" Target="https://onlinelibrary.wiley.com/doi/10.1002/anie.2880918?af=R" TargetMode="External"/><Relationship Id="rId465" Type="http://schemas.openxmlformats.org/officeDocument/2006/relationships/hyperlink" Target="https://doi.org/10.1002/anie.2880918" TargetMode="External"/><Relationship Id="rId466" Type="http://schemas.openxmlformats.org/officeDocument/2006/relationships/hyperlink" Target="https://onlinelibrary.wiley.com/doi/10.1002/anie.3089595?af=R" TargetMode="External"/><Relationship Id="rId467" Type="http://schemas.openxmlformats.org/officeDocument/2006/relationships/hyperlink" Target="https://doi.org/10.1002/anie.3089595" TargetMode="External"/><Relationship Id="rId468" Type="http://schemas.openxmlformats.org/officeDocument/2006/relationships/hyperlink" Target="https://www.sciencedirect.com/science/article/pii/S0306261926011190?dgcid=rss_sd_all" TargetMode="External"/><Relationship Id="rId469" Type="http://schemas.openxmlformats.org/officeDocument/2006/relationships/hyperlink" Target="https://doi.org/10.1016/j.apenergy.2026.128463" TargetMode="External"/><Relationship Id="rId470" Type="http://schemas.openxmlformats.org/officeDocument/2006/relationships/hyperlink" Target="https://www.sciencedirect.com/science/article/pii/S0306261926011049?dgcid=rss_sd_all" TargetMode="External"/><Relationship Id="rId471" Type="http://schemas.openxmlformats.org/officeDocument/2006/relationships/hyperlink" Target="https://doi.org/10.1016/j.apenergy.2026.128448" TargetMode="External"/><Relationship Id="rId472" Type="http://schemas.openxmlformats.org/officeDocument/2006/relationships/hyperlink" Target="https://www.sciencedirect.com/science/article/pii/S0301421526004246?dgcid=rss_sd_all" TargetMode="External"/><Relationship Id="rId473" Type="http://schemas.openxmlformats.org/officeDocument/2006/relationships/hyperlink" Target="https://doi.org/10.1016/j.enpol.2026.115490" TargetMode="External"/><Relationship Id="rId474" Type="http://schemas.openxmlformats.org/officeDocument/2006/relationships/hyperlink" Target="https://www.sciencedirect.com/science/article/pii/S0306261926011384?dgcid=rss_sd_all" TargetMode="External"/><Relationship Id="rId475" Type="http://schemas.openxmlformats.org/officeDocument/2006/relationships/hyperlink" Target="https://doi.org/10.1016/j.apenergy.2026.128482" TargetMode="External"/><Relationship Id="rId476" Type="http://schemas.openxmlformats.org/officeDocument/2006/relationships/hyperlink" Target="https://www.sciencedirect.com/science/article/pii/S0306261926011402?dgcid=rss_sd_all" TargetMode="External"/><Relationship Id="rId477" Type="http://schemas.openxmlformats.org/officeDocument/2006/relationships/hyperlink" Target="https://doi.org/10.1016/j.apenergy.2026.128484" TargetMode="External"/><Relationship Id="rId478" Type="http://schemas.openxmlformats.org/officeDocument/2006/relationships/hyperlink" Target="https://www.sciencedirect.com/science/article/pii/S0306261926011426?dgcid=rss_sd_all" TargetMode="External"/><Relationship Id="rId479" Type="http://schemas.openxmlformats.org/officeDocument/2006/relationships/hyperlink" Target="https://doi.org/10.1016/j.apenergy.2026.128486" TargetMode="External"/><Relationship Id="rId480" Type="http://schemas.openxmlformats.org/officeDocument/2006/relationships/hyperlink" Target="https://www.nature.com/articles/s41578-026-00943-1" TargetMode="External"/><Relationship Id="rId481" Type="http://schemas.openxmlformats.org/officeDocument/2006/relationships/hyperlink" Target="https://doi.org/10.1038/s41578-026-00943-1" TargetMode="External"/><Relationship Id="rId482" Type="http://schemas.openxmlformats.org/officeDocument/2006/relationships/hyperlink" Target="https://pubs.acs.org/doi/10.1021/jacs.6c04924" TargetMode="External"/><Relationship Id="rId483" Type="http://schemas.openxmlformats.org/officeDocument/2006/relationships/hyperlink" Target="https://doi.org/10.1021/jacs.6c04924" TargetMode="External"/><Relationship Id="rId484" Type="http://schemas.openxmlformats.org/officeDocument/2006/relationships/hyperlink" Target="https://www.nature.com/articles/s41467-026-75747-6" TargetMode="External"/><Relationship Id="rId485" Type="http://schemas.openxmlformats.org/officeDocument/2006/relationships/hyperlink" Target="https://pubs.acs.org/doi/10.1021/jacs.6c09745" TargetMode="External"/><Relationship Id="rId486" Type="http://schemas.openxmlformats.org/officeDocument/2006/relationships/hyperlink" Target="https://doi.org/10.1021/jacs.6c09745" TargetMode="External"/><Relationship Id="rId487" Type="http://schemas.openxmlformats.org/officeDocument/2006/relationships/hyperlink" Target="https://pubs.acs.org/doi/10.1021/acsami.6c06797" TargetMode="External"/><Relationship Id="rId488" Type="http://schemas.openxmlformats.org/officeDocument/2006/relationships/hyperlink" Target="https://doi.org/10.1021/acsami.6c06797" TargetMode="External"/><Relationship Id="rId489" Type="http://schemas.openxmlformats.org/officeDocument/2006/relationships/hyperlink" Target="https://advanced.onlinelibrary.wiley.com/doi/10.1002/adma.74225?af=R" TargetMode="External"/><Relationship Id="rId490" Type="http://schemas.openxmlformats.org/officeDocument/2006/relationships/hyperlink" Target="https://doi.org/10.1002/adma.74225" TargetMode="External"/><Relationship Id="rId491" Type="http://schemas.openxmlformats.org/officeDocument/2006/relationships/hyperlink" Target="https://www.sciencedirect.com/science/article/pii/S0306261926011517?dgcid=rss_sd_all" TargetMode="External"/><Relationship Id="rId492" Type="http://schemas.openxmlformats.org/officeDocument/2006/relationships/hyperlink" Target="https://doi.org/10.1016/j.apenergy.2026.128495" TargetMode="External"/><Relationship Id="rId493" Type="http://schemas.openxmlformats.org/officeDocument/2006/relationships/hyperlink" Target="https://www.nature.com/articles/s41893-026-01910-y" TargetMode="External"/><Relationship Id="rId494" Type="http://schemas.openxmlformats.org/officeDocument/2006/relationships/hyperlink" Target="https://doi.org/10.1038/s41893-026-01910-y" TargetMode="External"/><Relationship Id="rId495" Type="http://schemas.openxmlformats.org/officeDocument/2006/relationships/hyperlink" Target="https://onlinelibrary.wiley.com/doi/10.1002/anie.6309493?af=R" TargetMode="External"/><Relationship Id="rId496" Type="http://schemas.openxmlformats.org/officeDocument/2006/relationships/hyperlink" Target="https://doi.org/10.1002/anie.6309493" TargetMode="External"/><Relationship Id="rId497" Type="http://schemas.openxmlformats.org/officeDocument/2006/relationships/hyperlink" Target="https://onlinelibrary.wiley.com/doi/10.1002/anie.2285238?af=R" TargetMode="External"/><Relationship Id="rId498" Type="http://schemas.openxmlformats.org/officeDocument/2006/relationships/hyperlink" Target="https://doi.org/10.1002/anie.2285238" TargetMode="External"/><Relationship Id="rId499" Type="http://schemas.openxmlformats.org/officeDocument/2006/relationships/hyperlink" Target="https://pubs.acs.org/doi/10.1021/jacs.6c10886" TargetMode="External"/><Relationship Id="rId500" Type="http://schemas.openxmlformats.org/officeDocument/2006/relationships/hyperlink" Target="https://doi.org/10.1021/jacs.6c10886" TargetMode="External"/><Relationship Id="rId501" Type="http://schemas.openxmlformats.org/officeDocument/2006/relationships/hyperlink" Target="https://www.nature.com/articles/s41467-026-75928-3" TargetMode="External"/><Relationship Id="rId502" Type="http://schemas.openxmlformats.org/officeDocument/2006/relationships/hyperlink" Target="https://www.sciencedirect.com/science/article/pii/S0306261926011463?dgcid=rss_sd_all" TargetMode="External"/><Relationship Id="rId503" Type="http://schemas.openxmlformats.org/officeDocument/2006/relationships/hyperlink" Target="https://doi.org/10.1016/j.apenergy.2026.128490" TargetMode="External"/><Relationship Id="rId504" Type="http://schemas.openxmlformats.org/officeDocument/2006/relationships/hyperlink" Target="https://www.sciencedirect.com/science/article/pii/S0306261926011487?dgcid=rss_sd_all" TargetMode="External"/><Relationship Id="rId505" Type="http://schemas.openxmlformats.org/officeDocument/2006/relationships/hyperlink" Target="https://doi.org/10.1016/j.apenergy.2026.128492" TargetMode="External"/><Relationship Id="rId506" Type="http://schemas.openxmlformats.org/officeDocument/2006/relationships/hyperlink" Target="https://www.sciencedirect.com/science/article/pii/S0306261926011104?dgcid=rss_sd_all" TargetMode="External"/><Relationship Id="rId507" Type="http://schemas.openxmlformats.org/officeDocument/2006/relationships/hyperlink" Target="https://doi.org/10.1016/j.apenergy.2026.128454" TargetMode="External"/><Relationship Id="rId508" Type="http://schemas.openxmlformats.org/officeDocument/2006/relationships/hyperlink" Target="https://www.sciencedirect.com/science/article/pii/S0306261926010962?dgcid=rss_sd_all" TargetMode="External"/><Relationship Id="rId509" Type="http://schemas.openxmlformats.org/officeDocument/2006/relationships/hyperlink" Target="https://doi.org/10.1016/j.apenergy.2026.128442" TargetMode="External"/><Relationship Id="rId510" Type="http://schemas.openxmlformats.org/officeDocument/2006/relationships/hyperlink" Target="https://www.nature.com/articles/s41467-026-75691-5" TargetMode="External"/><Relationship Id="rId511" Type="http://schemas.openxmlformats.org/officeDocument/2006/relationships/hyperlink" Target="https://www.nature.com/articles/s41558-026-02718-6" TargetMode="External"/><Relationship Id="rId512" Type="http://schemas.openxmlformats.org/officeDocument/2006/relationships/hyperlink" Target="https://doi.org/10.1038/s41558-026-02718-6" TargetMode="External"/><Relationship Id="rId513" Type="http://schemas.openxmlformats.org/officeDocument/2006/relationships/hyperlink" Target="https://www.sciencedirect.com/science/article/pii/S0306261926011499?dgcid=rss_sd_all" TargetMode="External"/><Relationship Id="rId514" Type="http://schemas.openxmlformats.org/officeDocument/2006/relationships/hyperlink" Target="https://pubs.acs.org/doi/10.1021/jacs.6c13582" TargetMode="External"/><Relationship Id="rId515" Type="http://schemas.openxmlformats.org/officeDocument/2006/relationships/hyperlink" Target="https://doi.org/10.1021/jacs.6c13582" TargetMode="External"/><Relationship Id="rId516" Type="http://schemas.openxmlformats.org/officeDocument/2006/relationships/hyperlink" Target="https://www.sciencedirect.com/science/article/pii/S0306261926011438?dgcid=rss_sd_all" TargetMode="External"/><Relationship Id="rId517" Type="http://schemas.openxmlformats.org/officeDocument/2006/relationships/hyperlink" Target="https://www.sciencedirect.com/science/article/pii/S0306261926011177?dgcid=rss_sd_all" TargetMode="External"/><Relationship Id="rId518" Type="http://schemas.openxmlformats.org/officeDocument/2006/relationships/hyperlink" Target="https://www.sciencedirect.com/science/article/pii/S0301421526004428?dgcid=rss_sd_all" TargetMode="External"/><Relationship Id="rId519" Type="http://schemas.openxmlformats.org/officeDocument/2006/relationships/hyperlink" Target="https://www.sciencedirect.com/science/article/pii/S0306261926010846?dgcid=rss_sd_all" TargetMode="External"/><Relationship Id="rId520" Type="http://schemas.openxmlformats.org/officeDocument/2006/relationships/hyperlink" Target="https://doi.org/10.1016/j.apenergy.2026.128430" TargetMode="External"/><Relationship Id="rId521" Type="http://schemas.openxmlformats.org/officeDocument/2006/relationships/hyperlink" Target="https://www.nature.com/articles/s41467-026-75518-3" TargetMode="External"/><Relationship Id="rId522" Type="http://schemas.openxmlformats.org/officeDocument/2006/relationships/hyperlink" Target="https://onlinelibrary.wiley.com/doi/10.1002/anie.1906096?af=R" TargetMode="External"/><Relationship Id="rId523" Type="http://schemas.openxmlformats.org/officeDocument/2006/relationships/hyperlink" Target="https://doi.org/10.1002/anie.1906096" TargetMode="External"/><Relationship Id="rId524" Type="http://schemas.openxmlformats.org/officeDocument/2006/relationships/hyperlink" Target="https://www.science.org/doi/abs/10.1126/sciadv.aef9017?af=R" TargetMode="External"/><Relationship Id="rId525" Type="http://schemas.openxmlformats.org/officeDocument/2006/relationships/hyperlink" Target="https://doi.org/10.1126/sciadv.aef9017" TargetMode="External"/><Relationship Id="rId526" Type="http://schemas.openxmlformats.org/officeDocument/2006/relationships/hyperlink" Target="https://www.nature.com/articles/s41467-026-75580-x" TargetMode="External"/><Relationship Id="rId527" Type="http://schemas.openxmlformats.org/officeDocument/2006/relationships/hyperlink" Target="https://pubs.acs.org/doi/10.1021/jacs.6c09864" TargetMode="External"/><Relationship Id="rId528" Type="http://schemas.openxmlformats.org/officeDocument/2006/relationships/hyperlink" Target="https://doi.org/10.1021/jacs.6c09864" TargetMode="External"/><Relationship Id="rId529" Type="http://schemas.openxmlformats.org/officeDocument/2006/relationships/hyperlink" Target="https://pubs.acs.org/doi/10.1021/jacs.6c09048" TargetMode="External"/><Relationship Id="rId530" Type="http://schemas.openxmlformats.org/officeDocument/2006/relationships/hyperlink" Target="https://doi.org/10.1021/jacs.6c09048" TargetMode="External"/><Relationship Id="rId531" Type="http://schemas.openxmlformats.org/officeDocument/2006/relationships/hyperlink" Target="https://pubs.acs.org/doi/10.1021/jacs.5c22137" TargetMode="External"/><Relationship Id="rId532" Type="http://schemas.openxmlformats.org/officeDocument/2006/relationships/hyperlink" Target="https://doi.org/10.1021/jacs.5c22137" TargetMode="External"/><Relationship Id="rId533" Type="http://schemas.openxmlformats.org/officeDocument/2006/relationships/hyperlink" Target="https://pubs.acs.org/doi/10.1021/jacs.6c11129" TargetMode="External"/><Relationship Id="rId534" Type="http://schemas.openxmlformats.org/officeDocument/2006/relationships/hyperlink" Target="https://doi.org/10.1021/jacs.6c11129" TargetMode="External"/><Relationship Id="rId535" Type="http://schemas.openxmlformats.org/officeDocument/2006/relationships/hyperlink" Target="https://pubs.acs.org/doi/10.1021/jacs.6c08293" TargetMode="External"/><Relationship Id="rId536" Type="http://schemas.openxmlformats.org/officeDocument/2006/relationships/hyperlink" Target="https://doi.org/10.1021/jacs.6c08293" TargetMode="External"/><Relationship Id="rId537" Type="http://schemas.openxmlformats.org/officeDocument/2006/relationships/hyperlink" Target="https://www.nature.com/articles/s41467-026-75764-5" TargetMode="External"/><Relationship Id="rId538" Type="http://schemas.openxmlformats.org/officeDocument/2006/relationships/hyperlink" Target="https://pubs.acs.org/doi/10.1021/acsami.6c08640" TargetMode="External"/><Relationship Id="rId539" Type="http://schemas.openxmlformats.org/officeDocument/2006/relationships/hyperlink" Target="https://doi.org/10.1021/acsami.6c08640" TargetMode="External"/><Relationship Id="rId540" Type="http://schemas.openxmlformats.org/officeDocument/2006/relationships/hyperlink" Target="https://www.nature.com/articles/s41467-026-75916-7" TargetMode="External"/><Relationship Id="rId541" Type="http://schemas.openxmlformats.org/officeDocument/2006/relationships/hyperlink" Target="https://pubs.acs.org/doi/10.1021/acsami.6c08711" TargetMode="External"/><Relationship Id="rId542" Type="http://schemas.openxmlformats.org/officeDocument/2006/relationships/hyperlink" Target="https://doi.org/10.1021/acsami.6c08711" TargetMode="External"/><Relationship Id="rId543" Type="http://schemas.openxmlformats.org/officeDocument/2006/relationships/hyperlink" Target="https://www.cell.com/joule/fulltext/S2542-4351(26)00271-0?rss=yes" TargetMode="External"/><Relationship Id="rId544" Type="http://schemas.openxmlformats.org/officeDocument/2006/relationships/hyperlink" Target="https://doi.org/10.1016/j.joule.2026.102587" TargetMode="External"/><Relationship Id="rId545" Type="http://schemas.openxmlformats.org/officeDocument/2006/relationships/hyperlink" Target="https://pubs.acs.org/doi/10.1021/jacs.6c12314" TargetMode="External"/><Relationship Id="rId546" Type="http://schemas.openxmlformats.org/officeDocument/2006/relationships/hyperlink" Target="https://doi.org/10.1021/jacs.6c12314" TargetMode="External"/><Relationship Id="rId547" Type="http://schemas.openxmlformats.org/officeDocument/2006/relationships/hyperlink" Target="https://advanced.onlinelibrary.wiley.com/doi/10.1002/aenm.71272?af=R" TargetMode="External"/><Relationship Id="rId548" Type="http://schemas.openxmlformats.org/officeDocument/2006/relationships/hyperlink" Target="https://doi.org/10.1002/aenm.71272" TargetMode="External"/><Relationship Id="rId549" Type="http://schemas.openxmlformats.org/officeDocument/2006/relationships/hyperlink" Target="https://www.pnas.org/doi/abs/10.1073/pnas.2600786123?mi=eymic2&amp;af=R&amp;access=on&amp;content=articlesChapters&amp;publication=pnas&amp;sortBy=Earliest&amp;target=default" TargetMode="External"/><Relationship Id="rId550" Type="http://schemas.openxmlformats.org/officeDocument/2006/relationships/hyperlink" Target="https://doi.org/10.1073/pnas.2600786123" TargetMode="External"/><Relationship Id="rId551" Type="http://schemas.openxmlformats.org/officeDocument/2006/relationships/hyperlink" Target="https://www.nature.com/articles/s41467-026-75766-3" TargetMode="External"/><Relationship Id="rId552" Type="http://schemas.openxmlformats.org/officeDocument/2006/relationships/hyperlink" Target="https://advanced.onlinelibrary.wiley.com/doi/10.1002/adma.74284?af=R" TargetMode="External"/><Relationship Id="rId553" Type="http://schemas.openxmlformats.org/officeDocument/2006/relationships/hyperlink" Target="https://doi.org/10.1002/adma.74284" TargetMode="External"/><Relationship Id="rId554" Type="http://schemas.openxmlformats.org/officeDocument/2006/relationships/hyperlink" Target="https://pubs.acs.org/doi/10.1021/jacs.6c10715" TargetMode="External"/><Relationship Id="rId555" Type="http://schemas.openxmlformats.org/officeDocument/2006/relationships/hyperlink" Target="https://doi.org/10.1021/jacs.6c10715" TargetMode="External"/><Relationship Id="rId556" Type="http://schemas.openxmlformats.org/officeDocument/2006/relationships/hyperlink" Target="https://pubs.acs.org/doi/10.1021/jacs.6c12430" TargetMode="External"/><Relationship Id="rId557" Type="http://schemas.openxmlformats.org/officeDocument/2006/relationships/hyperlink" Target="https://doi.org/10.1021/jacs.6c12430" TargetMode="External"/><Relationship Id="rId558" Type="http://schemas.openxmlformats.org/officeDocument/2006/relationships/hyperlink" Target="https://www.nature.com/articles/s41467-026-75937-2" TargetMode="External"/><Relationship Id="rId559" Type="http://schemas.openxmlformats.org/officeDocument/2006/relationships/hyperlink" Target="https://pubs.acs.org/doi/10.1021/jacs.6c07158" TargetMode="External"/><Relationship Id="rId560" Type="http://schemas.openxmlformats.org/officeDocument/2006/relationships/hyperlink" Target="https://doi.org/10.1021/jacs.6c07158" TargetMode="External"/><Relationship Id="rId561" Type="http://schemas.openxmlformats.org/officeDocument/2006/relationships/hyperlink" Target="https://www.science.org/doi/abs/10.1126/sciadv.aed4780?af=R" TargetMode="External"/><Relationship Id="rId562" Type="http://schemas.openxmlformats.org/officeDocument/2006/relationships/hyperlink" Target="https://doi.org/10.1126/sciadv.aed4780" TargetMode="External"/><Relationship Id="rId563" Type="http://schemas.openxmlformats.org/officeDocument/2006/relationships/hyperlink" Target="https://advanced.onlinelibrary.wiley.com/doi/10.1002/adma.74158?af=R" TargetMode="External"/><Relationship Id="rId564" Type="http://schemas.openxmlformats.org/officeDocument/2006/relationships/hyperlink" Target="https://doi.org/10.1002/adma.74158" TargetMode="External"/><Relationship Id="rId565" Type="http://schemas.openxmlformats.org/officeDocument/2006/relationships/hyperlink" Target="https://www.nature.com/articles/s41467-026-75809-9" TargetMode="External"/><Relationship Id="rId566" Type="http://schemas.openxmlformats.org/officeDocument/2006/relationships/hyperlink" Target="https://academic.oup.com/nsr/advance-article/doi/10.1093/nsr/nwag452/8739807?rss=1" TargetMode="External"/><Relationship Id="rId567" Type="http://schemas.openxmlformats.org/officeDocument/2006/relationships/hyperlink" Target="https://doi.org/10.1093/nsr/nwag452" TargetMode="External"/><Relationship Id="rId568" Type="http://schemas.openxmlformats.org/officeDocument/2006/relationships/hyperlink" Target="https://www.nature.com/articles/s41563-026-02665-9" TargetMode="External"/><Relationship Id="rId569" Type="http://schemas.openxmlformats.org/officeDocument/2006/relationships/hyperlink" Target="https://doi.org/10.1038/s41563-026-02665-9" TargetMode="External"/><Relationship Id="rId570" Type="http://schemas.openxmlformats.org/officeDocument/2006/relationships/hyperlink" Target="https://advanced.onlinelibrary.wiley.com/doi/10.1002/adma.74298?af=R" TargetMode="External"/><Relationship Id="rId571" Type="http://schemas.openxmlformats.org/officeDocument/2006/relationships/hyperlink" Target="https://doi.org/10.1002/adma.74298" TargetMode="External"/><Relationship Id="rId572" Type="http://schemas.openxmlformats.org/officeDocument/2006/relationships/hyperlink" Target="https://www.nature.com/articles/s41893-026-01903-x" TargetMode="External"/><Relationship Id="rId573" Type="http://schemas.openxmlformats.org/officeDocument/2006/relationships/hyperlink" Target="https://doi.org/10.1038/s41893-026-01903-x" TargetMode="External"/><Relationship Id="rId574" Type="http://schemas.openxmlformats.org/officeDocument/2006/relationships/hyperlink" Target="https://www.science.org/doi/abs/10.1126/sciadv.aeh0456?af=R" TargetMode="External"/><Relationship Id="rId575" Type="http://schemas.openxmlformats.org/officeDocument/2006/relationships/hyperlink" Target="https://doi.org/10.1126/sciadv.aeh0456" TargetMode="External"/><Relationship Id="rId576" Type="http://schemas.openxmlformats.org/officeDocument/2006/relationships/hyperlink" Target="https://www.nature.com/articles/s41467-026-75662-w" TargetMode="External"/><Relationship Id="rId577" Type="http://schemas.openxmlformats.org/officeDocument/2006/relationships/hyperlink" Target="https://pubs.acs.org/doi/10.1021/jacs.6c12367" TargetMode="External"/><Relationship Id="rId578" Type="http://schemas.openxmlformats.org/officeDocument/2006/relationships/hyperlink" Target="https://doi.org/10.1021/jacs.6c12367" TargetMode="External"/><Relationship Id="rId579" Type="http://schemas.openxmlformats.org/officeDocument/2006/relationships/hyperlink" Target="https://pubs.acs.org/doi/10.1021/jacs.6c10392" TargetMode="External"/><Relationship Id="rId580" Type="http://schemas.openxmlformats.org/officeDocument/2006/relationships/hyperlink" Target="https://doi.org/10.1021/jacs.6c10392" TargetMode="External"/><Relationship Id="rId581" Type="http://schemas.openxmlformats.org/officeDocument/2006/relationships/hyperlink" Target="https://www.sciencedirect.com/science/article/pii/S0306261926011372?dgcid=rss_sd_all" TargetMode="External"/><Relationship Id="rId582" Type="http://schemas.openxmlformats.org/officeDocument/2006/relationships/hyperlink" Target="https://doi.org/10.1016/j.apenergy.2026.128481" TargetMode="External"/><Relationship Id="rId583" Type="http://schemas.openxmlformats.org/officeDocument/2006/relationships/hyperlink" Target="https://www.sciencedirect.com/science/article/pii/S0301421526004258?dgcid=rss_sd_all" TargetMode="External"/><Relationship Id="rId584" Type="http://schemas.openxmlformats.org/officeDocument/2006/relationships/hyperlink" Target="https://doi.org/10.1016/j.enpol.2026.115491" TargetMode="External"/><Relationship Id="rId585" Type="http://schemas.openxmlformats.org/officeDocument/2006/relationships/hyperlink" Target="https://www.nature.com/articles/d41586-026-02264-3" TargetMode="External"/><Relationship Id="rId586" Type="http://schemas.openxmlformats.org/officeDocument/2006/relationships/hyperlink" Target="https://doi.org/10.1038/d41586-026-02264-3" TargetMode="External"/><Relationship Id="rId587" Type="http://schemas.openxmlformats.org/officeDocument/2006/relationships/hyperlink" Target="https://pubs.acs.org/doi/10.1021/jacs.6c06319" TargetMode="External"/><Relationship Id="rId588" Type="http://schemas.openxmlformats.org/officeDocument/2006/relationships/hyperlink" Target="https://doi.org/10.1021/jacs.6c06319" TargetMode="External"/><Relationship Id="rId589" Type="http://schemas.openxmlformats.org/officeDocument/2006/relationships/hyperlink" Target="https://pubs.acs.org/doi/10.1021/acsenergylett.6c01514" TargetMode="External"/><Relationship Id="rId590" Type="http://schemas.openxmlformats.org/officeDocument/2006/relationships/hyperlink" Target="https://doi.org/10.1021/acsenergylett.6c01514" TargetMode="External"/><Relationship Id="rId591" Type="http://schemas.openxmlformats.org/officeDocument/2006/relationships/hyperlink" Target="https://pubs.acs.org/doi/10.1021/acsami.6c06781" TargetMode="External"/><Relationship Id="rId592" Type="http://schemas.openxmlformats.org/officeDocument/2006/relationships/hyperlink" Target="https://doi.org/10.1021/acsami.6c06781" TargetMode="External"/><Relationship Id="rId593" Type="http://schemas.openxmlformats.org/officeDocument/2006/relationships/hyperlink" Target="https://www.nature.com/articles/s41928-026-01670-9" TargetMode="External"/><Relationship Id="rId594" Type="http://schemas.openxmlformats.org/officeDocument/2006/relationships/hyperlink" Target="https://doi.org/10.1038/s41928-026-01670-9" TargetMode="External"/><Relationship Id="rId595" Type="http://schemas.openxmlformats.org/officeDocument/2006/relationships/hyperlink" Target="https://www.nature.com/articles/s41893-026-01911-x" TargetMode="External"/><Relationship Id="rId596" Type="http://schemas.openxmlformats.org/officeDocument/2006/relationships/hyperlink" Target="https://doi.org/10.1038/s41893-026-01911-x" TargetMode="External"/><Relationship Id="rId597" Type="http://schemas.openxmlformats.org/officeDocument/2006/relationships/hyperlink" Target="https://pubs.acs.org/doi/10.1021/jacs.6c08163" TargetMode="External"/><Relationship Id="rId598" Type="http://schemas.openxmlformats.org/officeDocument/2006/relationships/hyperlink" Target="https://doi.org/10.1021/jacs.6c08163" TargetMode="External"/><Relationship Id="rId599" Type="http://schemas.openxmlformats.org/officeDocument/2006/relationships/hyperlink" Target="https://pubs.acs.org/doi/10.1021/jacs.6c02914" TargetMode="External"/><Relationship Id="rId600" Type="http://schemas.openxmlformats.org/officeDocument/2006/relationships/hyperlink" Target="https://doi.org/10.1021/jacs.6c02914" TargetMode="External"/><Relationship Id="rId601" Type="http://schemas.openxmlformats.org/officeDocument/2006/relationships/hyperlink" Target="https://pubs.acs.org/doi/10.1021/jacs.6c06323" TargetMode="External"/><Relationship Id="rId602" Type="http://schemas.openxmlformats.org/officeDocument/2006/relationships/hyperlink" Target="https://doi.org/10.1021/jacs.6c06323" TargetMode="External"/><Relationship Id="rId603" Type="http://schemas.openxmlformats.org/officeDocument/2006/relationships/hyperlink" Target="https://pubs.acs.org/doi/10.1021/jacs.6c07621" TargetMode="External"/><Relationship Id="rId604" Type="http://schemas.openxmlformats.org/officeDocument/2006/relationships/hyperlink" Target="https://doi.org/10.1021/jacs.6c07621" TargetMode="External"/><Relationship Id="rId605" Type="http://schemas.openxmlformats.org/officeDocument/2006/relationships/hyperlink" Target="https://pubs.acs.org/doi/10.1021/jacs.6c10046" TargetMode="External"/><Relationship Id="rId606" Type="http://schemas.openxmlformats.org/officeDocument/2006/relationships/hyperlink" Target="https://doi.org/10.1021/jacs.6c10046" TargetMode="External"/><Relationship Id="rId607" Type="http://schemas.openxmlformats.org/officeDocument/2006/relationships/hyperlink" Target="https://pubs.acs.org/doi/10.1021/jacs.6c11571" TargetMode="External"/><Relationship Id="rId608" Type="http://schemas.openxmlformats.org/officeDocument/2006/relationships/hyperlink" Target="https://doi.org/10.1021/jacs.6c11571" TargetMode="External"/><Relationship Id="rId609" Type="http://schemas.openxmlformats.org/officeDocument/2006/relationships/hyperlink" Target="https://www.nature.com/articles/s41467-026-75576-7" TargetMode="External"/><Relationship Id="rId610" Type="http://schemas.openxmlformats.org/officeDocument/2006/relationships/hyperlink" Target="https://www.nature.com/articles/s41467-026-75583-8" TargetMode="External"/><Relationship Id="rId611" Type="http://schemas.openxmlformats.org/officeDocument/2006/relationships/hyperlink" Target="https://www.nature.com/articles/s41467-026-75140-3" TargetMode="External"/><Relationship Id="rId612" Type="http://schemas.openxmlformats.org/officeDocument/2006/relationships/hyperlink" Target="https://www.nature.com/articles/s41467-026-75726-x" TargetMode="External"/><Relationship Id="rId613" Type="http://schemas.openxmlformats.org/officeDocument/2006/relationships/hyperlink" Target="https://www.nature.com/articles/s41467-026-74743-0" TargetMode="External"/><Relationship Id="rId614" Type="http://schemas.openxmlformats.org/officeDocument/2006/relationships/hyperlink" Target="https://www.nature.com/articles/s41467-026-75510-x" TargetMode="External"/><Relationship Id="rId615" Type="http://schemas.openxmlformats.org/officeDocument/2006/relationships/hyperlink" Target="https://www.nature.com/articles/s41467-026-75663-9" TargetMode="External"/><Relationship Id="rId616" Type="http://schemas.openxmlformats.org/officeDocument/2006/relationships/hyperlink" Target="https://www.nature.com/articles/s41467-026-75670-w" TargetMode="External"/><Relationship Id="rId617" Type="http://schemas.openxmlformats.org/officeDocument/2006/relationships/hyperlink" Target="https://www.nature.com/articles/s41467-026-75206-2" TargetMode="External"/><Relationship Id="rId618" Type="http://schemas.openxmlformats.org/officeDocument/2006/relationships/hyperlink" Target="https://www.nature.com/articles/s41467-026-75517-4" TargetMode="External"/><Relationship Id="rId619" Type="http://schemas.openxmlformats.org/officeDocument/2006/relationships/hyperlink" Target="https://pubs.acs.org/doi/10.1021/acsami.6c06984" TargetMode="External"/><Relationship Id="rId620" Type="http://schemas.openxmlformats.org/officeDocument/2006/relationships/hyperlink" Target="https://doi.org/10.1021/acsami.6c06984" TargetMode="External"/><Relationship Id="rId621" Type="http://schemas.openxmlformats.org/officeDocument/2006/relationships/hyperlink" Target="https://pubs.acs.org/doi/10.1021/jacs.6c04267" TargetMode="External"/><Relationship Id="rId622" Type="http://schemas.openxmlformats.org/officeDocument/2006/relationships/hyperlink" Target="https://doi.org/10.1021/jacs.6c04267" TargetMode="External"/><Relationship Id="rId623" Type="http://schemas.openxmlformats.org/officeDocument/2006/relationships/hyperlink" Target="https://www.nature.com/articles/d41586-026-02200-5" TargetMode="External"/><Relationship Id="rId624" Type="http://schemas.openxmlformats.org/officeDocument/2006/relationships/hyperlink" Target="https://doi.org/10.1038/d41586-026-02200-5" TargetMode="External"/><Relationship Id="rId625" Type="http://schemas.openxmlformats.org/officeDocument/2006/relationships/hyperlink" Target="https://www.nature.com/articles/d41586-026-02218-9" TargetMode="External"/><Relationship Id="rId626" Type="http://schemas.openxmlformats.org/officeDocument/2006/relationships/hyperlink" Target="https://doi.org/10.1038/d41586-026-02218-9" TargetMode="External"/><Relationship Id="rId627" Type="http://schemas.openxmlformats.org/officeDocument/2006/relationships/hyperlink" Target="https://www.nature.com/articles/s41467-026-75327-8" TargetMode="External"/><Relationship Id="rId628" Type="http://schemas.openxmlformats.org/officeDocument/2006/relationships/hyperlink" Target="https://www.nature.com/articles/s41467-026-75740-z" TargetMode="External"/><Relationship Id="rId629" Type="http://schemas.openxmlformats.org/officeDocument/2006/relationships/hyperlink" Target="https://www.nature.com/articles/s41467-026-75686-2" TargetMode="External"/><Relationship Id="rId630" Type="http://schemas.openxmlformats.org/officeDocument/2006/relationships/hyperlink" Target="https://academic.oup.com/nsr/advance-article/doi/10.1093/nsr/nwag441/8736513?rss=1" TargetMode="External"/><Relationship Id="rId631" Type="http://schemas.openxmlformats.org/officeDocument/2006/relationships/hyperlink" Target="https://doi.org/10.1093/nsr/nwag441" TargetMode="External"/><Relationship Id="rId632" Type="http://schemas.openxmlformats.org/officeDocument/2006/relationships/hyperlink" Target="https://pubs.acs.org/doi/10.1021/acsami.6c08677" TargetMode="External"/><Relationship Id="rId633" Type="http://schemas.openxmlformats.org/officeDocument/2006/relationships/hyperlink" Target="https://doi.org/10.1021/acsami.6c08677" TargetMode="External"/><Relationship Id="rId634" Type="http://schemas.openxmlformats.org/officeDocument/2006/relationships/hyperlink" Target="https://pubs.acs.org/doi/10.1021/acsami.6c10355" TargetMode="External"/><Relationship Id="rId635" Type="http://schemas.openxmlformats.org/officeDocument/2006/relationships/hyperlink" Target="https://doi.org/10.1021/acsami.6c10355" TargetMode="External"/><Relationship Id="rId636" Type="http://schemas.openxmlformats.org/officeDocument/2006/relationships/hyperlink" Target="https://www.nature.com/articles/s41467-026-75283-3" TargetMode="External"/><Relationship Id="rId637" Type="http://schemas.openxmlformats.org/officeDocument/2006/relationships/hyperlink" Target="https://www.nature.com/articles/s41467-026-75377-y" TargetMode="External"/><Relationship Id="rId638" Type="http://schemas.openxmlformats.org/officeDocument/2006/relationships/hyperlink" Target="https://www.nature.com/articles/s41467-026-75843-7" TargetMode="External"/><Relationship Id="rId639" Type="http://schemas.openxmlformats.org/officeDocument/2006/relationships/hyperlink" Target="https://www.nature.com/articles/s41467-026-75754-7" TargetMode="External"/><Relationship Id="rId640" Type="http://schemas.openxmlformats.org/officeDocument/2006/relationships/hyperlink" Target="https://www.nature.com/articles/s41467-026-75682-6" TargetMode="External"/><Relationship Id="rId641" Type="http://schemas.openxmlformats.org/officeDocument/2006/relationships/hyperlink" Target="https://www.nature.com/articles/s41467-026-75575-8" TargetMode="External"/><Relationship Id="rId642" Type="http://schemas.openxmlformats.org/officeDocument/2006/relationships/hyperlink" Target="https://www.nature.com/articles/d41586-026-02193-1" TargetMode="External"/><Relationship Id="rId643" Type="http://schemas.openxmlformats.org/officeDocument/2006/relationships/hyperlink" Target="https://doi.org/10.1038/d41586-026-02193-1" TargetMode="External"/><Relationship Id="rId644" Type="http://schemas.openxmlformats.org/officeDocument/2006/relationships/hyperlink" Target="https://academic.oup.com/nsr/advance-article/doi/10.1093/nsr/nwag443/8736517?rss=1" TargetMode="External"/><Relationship Id="rId645" Type="http://schemas.openxmlformats.org/officeDocument/2006/relationships/hyperlink" Target="https://doi.org/10.1093/nsr/nwag443" TargetMode="External"/><Relationship Id="rId646" Type="http://schemas.openxmlformats.org/officeDocument/2006/relationships/hyperlink" Target="https://www.nature.com/articles/s41467-026-75650-0" TargetMode="External"/><Relationship Id="rId647" Type="http://schemas.openxmlformats.org/officeDocument/2006/relationships/hyperlink" Target="https://www.nature.com/articles/s41467-026-74944-7" TargetMode="External"/><Relationship Id="rId648" Type="http://schemas.openxmlformats.org/officeDocument/2006/relationships/hyperlink" Target="https://www.nature.com/articles/s41467-026-75267-3" TargetMode="External"/><Relationship Id="rId649" Type="http://schemas.openxmlformats.org/officeDocument/2006/relationships/hyperlink" Target="https://www.nature.com/articles/s41467-026-75424-8" TargetMode="External"/><Relationship Id="rId650" Type="http://schemas.openxmlformats.org/officeDocument/2006/relationships/hyperlink" Target="https://www.nature.com/articles/d41586-026-02191-3" TargetMode="External"/><Relationship Id="rId651" Type="http://schemas.openxmlformats.org/officeDocument/2006/relationships/hyperlink" Target="https://doi.org/10.1038/d41586-026-02191-3" TargetMode="External"/><Relationship Id="rId652" Type="http://schemas.openxmlformats.org/officeDocument/2006/relationships/hyperlink" Target="https://www.nature.com/articles/d41586-026-02263-4" TargetMode="External"/><Relationship Id="rId653" Type="http://schemas.openxmlformats.org/officeDocument/2006/relationships/hyperlink" Target="https://doi.org/10.1038/d41586-026-02263-4" TargetMode="External"/><Relationship Id="rId654" Type="http://schemas.openxmlformats.org/officeDocument/2006/relationships/hyperlink" Target="https://www.nature.com/articles/s41467-026-75696-0" TargetMode="External"/><Relationship Id="rId655" Type="http://schemas.openxmlformats.org/officeDocument/2006/relationships/hyperlink" Target="https://www.nature.com/articles/s41467-026-75523-6" TargetMode="External"/><Relationship Id="rId656" Type="http://schemas.openxmlformats.org/officeDocument/2006/relationships/hyperlink" Target="https://www.nature.com/articles/s41467-026-74116-7" TargetMode="External"/><Relationship Id="rId657" Type="http://schemas.openxmlformats.org/officeDocument/2006/relationships/hyperlink" Target="https://www.nature.com/articles/s41467-026-75555-y" TargetMode="External"/><Relationship Id="rId658" Type="http://schemas.openxmlformats.org/officeDocument/2006/relationships/hyperlink" Target="https://pubs.acs.org/doi/10.1021/acsami.6c07865" TargetMode="External"/><Relationship Id="rId659" Type="http://schemas.openxmlformats.org/officeDocument/2006/relationships/hyperlink" Target="https://doi.org/10.1021/acsami.6c07865" TargetMode="External"/><Relationship Id="rId660" Type="http://schemas.openxmlformats.org/officeDocument/2006/relationships/hyperlink" Target="https://www.nature.com/articles/s41467-026-75633-1" TargetMode="External"/><Relationship Id="rId661" Type="http://schemas.openxmlformats.org/officeDocument/2006/relationships/hyperlink" Target="https://www.nature.com/articles/s41467-026-75737-8" TargetMode="External"/><Relationship Id="rId662" Type="http://schemas.openxmlformats.org/officeDocument/2006/relationships/hyperlink" Target="https://www.nature.com/articles/s41467-026-75721-2" TargetMode="External"/><Relationship Id="rId663" Type="http://schemas.openxmlformats.org/officeDocument/2006/relationships/hyperlink" Target="https://www.nature.com/articles/s41467-026-75756-5" TargetMode="External"/><Relationship Id="rId664" Type="http://schemas.openxmlformats.org/officeDocument/2006/relationships/hyperlink" Target="https://www.nature.com/articles/s41467-026-75654-w" TargetMode="External"/><Relationship Id="rId665" Type="http://schemas.openxmlformats.org/officeDocument/2006/relationships/hyperlink" Target="https://www.nature.com/articles/s41467-026-75121-6" TargetMode="External"/><Relationship Id="rId666" Type="http://schemas.openxmlformats.org/officeDocument/2006/relationships/hyperlink" Target="https://www.nature.com/articles/s41467-026-75528-1" TargetMode="External"/><Relationship Id="rId667" Type="http://schemas.openxmlformats.org/officeDocument/2006/relationships/hyperlink" Target="https://www.nature.com/articles/s41467-026-75301-4" TargetMode="External"/><Relationship Id="rId668" Type="http://schemas.openxmlformats.org/officeDocument/2006/relationships/hyperlink" Target="https://www.nature.com/articles/s41467-026-75433-7" TargetMode="External"/><Relationship Id="rId669" Type="http://schemas.openxmlformats.org/officeDocument/2006/relationships/hyperlink" Target="https://www.nature.com/articles/s41467-026-75642-0" TargetMode="External"/><Relationship Id="rId670" Type="http://schemas.openxmlformats.org/officeDocument/2006/relationships/hyperlink" Target="https://www.nature.com/articles/s41467-026-75175-6" TargetMode="External"/><Relationship Id="rId671" Type="http://schemas.openxmlformats.org/officeDocument/2006/relationships/hyperlink" Target="https://www.nature.com/articles/s41467-026-75669-3" TargetMode="External"/><Relationship Id="rId672" Type="http://schemas.openxmlformats.org/officeDocument/2006/relationships/hyperlink" Target="https://www.nature.com/articles/s41467-026-75732-z" TargetMode="External"/><Relationship Id="rId673" Type="http://schemas.openxmlformats.org/officeDocument/2006/relationships/hyperlink" Target="https://www.nature.com/articles/s41467-026-75469-9" TargetMode="External"/><Relationship Id="rId674" Type="http://schemas.openxmlformats.org/officeDocument/2006/relationships/hyperlink" Target="https://www.nature.com/articles/s41467-026-75598-1" TargetMode="External"/><Relationship Id="rId675" Type="http://schemas.openxmlformats.org/officeDocument/2006/relationships/hyperlink" Target="https://www.nature.com/articles/s41467-026-74096-8" TargetMode="External"/><Relationship Id="rId676" Type="http://schemas.openxmlformats.org/officeDocument/2006/relationships/hyperlink" Target="https://onlinelibrary.wiley.com/doi/10.1002/anie.5596109?af=R" TargetMode="External"/><Relationship Id="rId677" Type="http://schemas.openxmlformats.org/officeDocument/2006/relationships/hyperlink" Target="https://doi.org/10.1002/anie.5596109" TargetMode="External"/><Relationship Id="rId678" Type="http://schemas.openxmlformats.org/officeDocument/2006/relationships/hyperlink" Target="https://onlinelibrary.wiley.com/doi/10.1002/anie.2204400?af=R" TargetMode="External"/><Relationship Id="rId679" Type="http://schemas.openxmlformats.org/officeDocument/2006/relationships/hyperlink" Target="https://doi.org/10.1002/anie.2204400" TargetMode="External"/><Relationship Id="rId680" Type="http://schemas.openxmlformats.org/officeDocument/2006/relationships/hyperlink" Target="https://onlinelibrary.wiley.com/doi/10.1002/anie.5104870?af=R" TargetMode="External"/><Relationship Id="rId681" Type="http://schemas.openxmlformats.org/officeDocument/2006/relationships/hyperlink" Target="https://doi.org/10.1002/anie.5104870" TargetMode="External"/><Relationship Id="rId682" Type="http://schemas.openxmlformats.org/officeDocument/2006/relationships/hyperlink" Target="https://onlinelibrary.wiley.com/doi/10.1002/anie.9299244?af=R" TargetMode="External"/><Relationship Id="rId683" Type="http://schemas.openxmlformats.org/officeDocument/2006/relationships/hyperlink" Target="https://doi.org/10.1002/anie.9299244" TargetMode="External"/><Relationship Id="rId684" Type="http://schemas.openxmlformats.org/officeDocument/2006/relationships/hyperlink" Target="https://onlinelibrary.wiley.com/doi/10.1002/anie.1888676?af=R" TargetMode="External"/><Relationship Id="rId685" Type="http://schemas.openxmlformats.org/officeDocument/2006/relationships/hyperlink" Target="https://doi.org/10.1002/anie.1888676" TargetMode="External"/><Relationship Id="rId686" Type="http://schemas.openxmlformats.org/officeDocument/2006/relationships/hyperlink" Target="https://onlinelibrary.wiley.com/doi/10.1002/anie.1585472?af=R" TargetMode="External"/><Relationship Id="rId687" Type="http://schemas.openxmlformats.org/officeDocument/2006/relationships/hyperlink" Target="https://doi.org/10.1002/anie.1585472" TargetMode="External"/><Relationship Id="rId688" Type="http://schemas.openxmlformats.org/officeDocument/2006/relationships/hyperlink" Target="https://onlinelibrary.wiley.com/doi/10.1002/anie.2359022?af=R" TargetMode="External"/><Relationship Id="rId689" Type="http://schemas.openxmlformats.org/officeDocument/2006/relationships/hyperlink" Target="https://doi.org/10.1002/anie.2359022" TargetMode="External"/><Relationship Id="rId690" Type="http://schemas.openxmlformats.org/officeDocument/2006/relationships/hyperlink" Target="https://onlinelibrary.wiley.com/doi/10.1002/anie.1044664?af=R" TargetMode="External"/><Relationship Id="rId691" Type="http://schemas.openxmlformats.org/officeDocument/2006/relationships/hyperlink" Target="https://doi.org/10.1002/anie.1044664" TargetMode="External"/><Relationship Id="rId692" Type="http://schemas.openxmlformats.org/officeDocument/2006/relationships/hyperlink" Target="https://www.pnas.org/doi/abs/10.1073/pnas.2532158123?mi=eymic2&amp;af=R&amp;access=on&amp;content=articlesChapters&amp;publication=pnas&amp;sortBy=Earliest&amp;target=default" TargetMode="External"/><Relationship Id="rId693" Type="http://schemas.openxmlformats.org/officeDocument/2006/relationships/hyperlink" Target="https://doi.org/10.1073/pnas.2532158123" TargetMode="External"/><Relationship Id="rId694" Type="http://schemas.openxmlformats.org/officeDocument/2006/relationships/hyperlink" Target="https://www.science.org/doi/abs/10.1126/sciadv.aed0607?af=R" TargetMode="External"/><Relationship Id="rId695" Type="http://schemas.openxmlformats.org/officeDocument/2006/relationships/hyperlink" Target="https://doi.org/10.1126/sciadv.aed0607" TargetMode="External"/><Relationship Id="rId696" Type="http://schemas.openxmlformats.org/officeDocument/2006/relationships/hyperlink" Target="https://www.science.org/doi/abs/10.1126/sciadv.aef4858?af=R" TargetMode="External"/><Relationship Id="rId697" Type="http://schemas.openxmlformats.org/officeDocument/2006/relationships/hyperlink" Target="https://doi.org/10.1126/sciadv.aef4858" TargetMode="External"/><Relationship Id="rId698" Type="http://schemas.openxmlformats.org/officeDocument/2006/relationships/hyperlink" Target="https://www.science.org/doi/abs/10.1126/sciadv.aed1646?af=R" TargetMode="External"/><Relationship Id="rId699" Type="http://schemas.openxmlformats.org/officeDocument/2006/relationships/hyperlink" Target="https://doi.org/10.1126/sciadv.aed1646" TargetMode="External"/><Relationship Id="rId700" Type="http://schemas.openxmlformats.org/officeDocument/2006/relationships/hyperlink" Target="https://www.science.org/doi/abs/10.1126/sciadv.aed2430?af=R" TargetMode="External"/><Relationship Id="rId701" Type="http://schemas.openxmlformats.org/officeDocument/2006/relationships/hyperlink" Target="https://doi.org/10.1126/sciadv.aed2430" TargetMode="External"/><Relationship Id="rId702" Type="http://schemas.openxmlformats.org/officeDocument/2006/relationships/hyperlink" Target="https://www.science.org/doi/abs/10.1126/sciadv.adt3721?af=R" TargetMode="External"/><Relationship Id="rId703" Type="http://schemas.openxmlformats.org/officeDocument/2006/relationships/hyperlink" Target="https://doi.org/10.1126/sciadv.adt3721" TargetMode="External"/><Relationship Id="rId704" Type="http://schemas.openxmlformats.org/officeDocument/2006/relationships/hyperlink" Target="https://www.science.org/doi/abs/10.1126/sciadv.aee4052?af=R" TargetMode="External"/><Relationship Id="rId705" Type="http://schemas.openxmlformats.org/officeDocument/2006/relationships/hyperlink" Target="https://doi.org/10.1126/sciadv.aee4052" TargetMode="External"/><Relationship Id="rId706" Type="http://schemas.openxmlformats.org/officeDocument/2006/relationships/hyperlink" Target="https://www.science.org/doi/abs/10.1126/sciadv.aee1278?af=R" TargetMode="External"/><Relationship Id="rId707" Type="http://schemas.openxmlformats.org/officeDocument/2006/relationships/hyperlink" Target="https://doi.org/10.1126/sciadv.aee1278" TargetMode="External"/><Relationship Id="rId708" Type="http://schemas.openxmlformats.org/officeDocument/2006/relationships/hyperlink" Target="https://www.science.org/doi/abs/10.1126/sciadv.aed9833?af=R" TargetMode="External"/><Relationship Id="rId709" Type="http://schemas.openxmlformats.org/officeDocument/2006/relationships/hyperlink" Target="https://doi.org/10.1126/sciadv.aed9833" TargetMode="External"/><Relationship Id="rId710" Type="http://schemas.openxmlformats.org/officeDocument/2006/relationships/hyperlink" Target="https://www.science.org/doi/abs/10.1126/sciadv.aed6825?af=R" TargetMode="External"/><Relationship Id="rId711" Type="http://schemas.openxmlformats.org/officeDocument/2006/relationships/hyperlink" Target="https://doi.org/10.1126/sciadv.aed6825" TargetMode="External"/><Relationship Id="rId712" Type="http://schemas.openxmlformats.org/officeDocument/2006/relationships/hyperlink" Target="https://www.science.org/doi/abs/10.1126/sciadv.aed3221?af=R" TargetMode="External"/><Relationship Id="rId713" Type="http://schemas.openxmlformats.org/officeDocument/2006/relationships/hyperlink" Target="https://doi.org/10.1126/sciadv.aed3221" TargetMode="External"/><Relationship Id="rId714" Type="http://schemas.openxmlformats.org/officeDocument/2006/relationships/hyperlink" Target="https://www.science.org/doi/abs/10.1126/sciadv.aec9227?af=R" TargetMode="External"/><Relationship Id="rId715" Type="http://schemas.openxmlformats.org/officeDocument/2006/relationships/hyperlink" Target="https://doi.org/10.1126/sciadv.aec9227" TargetMode="External"/><Relationship Id="rId716" Type="http://schemas.openxmlformats.org/officeDocument/2006/relationships/hyperlink" Target="https://www.pnas.org/doi/abs/10.1073/pnas.2622617123?mi=eymic2&amp;af=R&amp;access=on&amp;content=articlesChapters&amp;publication=pnas&amp;sortBy=Earliest&amp;target=default" TargetMode="External"/><Relationship Id="rId717" Type="http://schemas.openxmlformats.org/officeDocument/2006/relationships/hyperlink" Target="https://doi.org/10.1073/pnas.2622617123" TargetMode="External"/><Relationship Id="rId718" Type="http://schemas.openxmlformats.org/officeDocument/2006/relationships/hyperlink" Target="https://www.pnas.org/doi/abs/10.1073/pnas.2622455123?mi=eymic2&amp;af=R&amp;access=on&amp;content=articlesChapters&amp;publication=pnas&amp;sortBy=Earliest&amp;target=default" TargetMode="External"/><Relationship Id="rId719" Type="http://schemas.openxmlformats.org/officeDocument/2006/relationships/hyperlink" Target="https://doi.org/10.1073/pnas.2622455123" TargetMode="External"/><Relationship Id="rId720" Type="http://schemas.openxmlformats.org/officeDocument/2006/relationships/hyperlink" Target="https://www.pnas.org/doi/abs/10.1073/pnas.2617956123?mi=eymic2&amp;af=R&amp;access=on&amp;content=articlesChapters&amp;publication=pnas&amp;sortBy=Earliest&amp;target=default" TargetMode="External"/><Relationship Id="rId721" Type="http://schemas.openxmlformats.org/officeDocument/2006/relationships/hyperlink" Target="https://doi.org/10.1073/pnas.2617956123" TargetMode="External"/><Relationship Id="rId722" Type="http://schemas.openxmlformats.org/officeDocument/2006/relationships/hyperlink" Target="https://www.pnas.org/doi/abs/10.1073/pnas.2617811123?mi=eymic2&amp;af=R&amp;access=on&amp;content=articlesChapters&amp;publication=pnas&amp;sortBy=Earliest&amp;target=default" TargetMode="External"/><Relationship Id="rId723" Type="http://schemas.openxmlformats.org/officeDocument/2006/relationships/hyperlink" Target="https://doi.org/10.1073/pnas.2617811123" TargetMode="External"/><Relationship Id="rId724" Type="http://schemas.openxmlformats.org/officeDocument/2006/relationships/hyperlink" Target="https://www.pnas.org/doi/abs/10.1073/pnas.2616250123?mi=eymic2&amp;af=R&amp;access=on&amp;content=articlesChapters&amp;publication=pnas&amp;sortBy=Earliest&amp;target=default" TargetMode="External"/><Relationship Id="rId725" Type="http://schemas.openxmlformats.org/officeDocument/2006/relationships/hyperlink" Target="https://doi.org/10.1073/pnas.2616250123" TargetMode="External"/><Relationship Id="rId726" Type="http://schemas.openxmlformats.org/officeDocument/2006/relationships/hyperlink" Target="https://www.pnas.org/doi/abs/10.1073/pnas.2615892123?mi=eymic2&amp;af=R&amp;access=on&amp;content=articlesChapters&amp;publication=pnas&amp;sortBy=Earliest&amp;target=default" TargetMode="External"/><Relationship Id="rId727" Type="http://schemas.openxmlformats.org/officeDocument/2006/relationships/hyperlink" Target="https://doi.org/10.1073/pnas.2615892123" TargetMode="External"/><Relationship Id="rId728" Type="http://schemas.openxmlformats.org/officeDocument/2006/relationships/hyperlink" Target="https://www.pnas.org/doi/abs/10.1073/pnas.2612367123?mi=eymic2&amp;af=R&amp;access=on&amp;content=articlesChapters&amp;publication=pnas&amp;sortBy=Earliest&amp;target=default" TargetMode="External"/><Relationship Id="rId729" Type="http://schemas.openxmlformats.org/officeDocument/2006/relationships/hyperlink" Target="https://doi.org/10.1073/pnas.2612367123" TargetMode="External"/><Relationship Id="rId730" Type="http://schemas.openxmlformats.org/officeDocument/2006/relationships/hyperlink" Target="https://www.pnas.org/doi/abs/10.1073/pnas.2609610123?mi=eymic2&amp;af=R&amp;access=on&amp;content=articlesChapters&amp;publication=pnas&amp;sortBy=Earliest&amp;target=default" TargetMode="External"/><Relationship Id="rId731" Type="http://schemas.openxmlformats.org/officeDocument/2006/relationships/hyperlink" Target="https://doi.org/10.1073/pnas.2609610123" TargetMode="External"/><Relationship Id="rId732" Type="http://schemas.openxmlformats.org/officeDocument/2006/relationships/hyperlink" Target="https://www.pnas.org/doi/abs/10.1073/pnas.2536898123?mi=eymic2&amp;af=R&amp;access=on&amp;content=articlesChapters&amp;publication=pnas&amp;sortBy=Earliest&amp;target=default" TargetMode="External"/><Relationship Id="rId733" Type="http://schemas.openxmlformats.org/officeDocument/2006/relationships/hyperlink" Target="https://doi.org/10.1073/pnas.2536898123" TargetMode="External"/><Relationship Id="rId734" Type="http://schemas.openxmlformats.org/officeDocument/2006/relationships/hyperlink" Target="https://advanced.onlinelibrary.wiley.com/doi/10.1002/adma.74088?af=R" TargetMode="External"/><Relationship Id="rId735" Type="http://schemas.openxmlformats.org/officeDocument/2006/relationships/hyperlink" Target="https://doi.org/10.1002/adma.74088" TargetMode="External"/><Relationship Id="rId736" Type="http://schemas.openxmlformats.org/officeDocument/2006/relationships/hyperlink" Target="https://www.science.org/doi/abs/10.1126/sciadv.aee5738?af=R" TargetMode="External"/><Relationship Id="rId737" Type="http://schemas.openxmlformats.org/officeDocument/2006/relationships/hyperlink" Target="https://doi.org/10.1126/sciadv.aee5738" TargetMode="External"/><Relationship Id="rId738" Type="http://schemas.openxmlformats.org/officeDocument/2006/relationships/hyperlink" Target="https://www.science.org/doi/abs/10.1126/sciadv.aed1645?af=R" TargetMode="External"/><Relationship Id="rId739" Type="http://schemas.openxmlformats.org/officeDocument/2006/relationships/hyperlink" Target="https://doi.org/10.1126/sciadv.aed1645" TargetMode="External"/><Relationship Id="rId740" Type="http://schemas.openxmlformats.org/officeDocument/2006/relationships/hyperlink" Target="https://www.science.org/doi/abs/10.1126/sciadv.ady8204?af=R" TargetMode="External"/><Relationship Id="rId741" Type="http://schemas.openxmlformats.org/officeDocument/2006/relationships/hyperlink" Target="https://doi.org/10.1126/sciadv.ady8204" TargetMode="External"/><Relationship Id="rId742" Type="http://schemas.openxmlformats.org/officeDocument/2006/relationships/hyperlink" Target="https://www.science.org/doi/abs/10.1126/sciadv.aec7827?af=R" TargetMode="External"/><Relationship Id="rId743" Type="http://schemas.openxmlformats.org/officeDocument/2006/relationships/hyperlink" Target="https://doi.org/10.1126/sciadv.aec7827" TargetMode="External"/><Relationship Id="rId744" Type="http://schemas.openxmlformats.org/officeDocument/2006/relationships/hyperlink" Target="https://www.science.org/doi/abs/10.1126/sciadv.aeg2635?af=R" TargetMode="External"/><Relationship Id="rId745" Type="http://schemas.openxmlformats.org/officeDocument/2006/relationships/hyperlink" Target="https://doi.org/10.1126/sciadv.aeg2635" TargetMode="External"/><Relationship Id="rId746" Type="http://schemas.openxmlformats.org/officeDocument/2006/relationships/hyperlink" Target="https://www.science.org/doi/abs/10.1126/sciadv.aeg0999?af=R" TargetMode="External"/><Relationship Id="rId747" Type="http://schemas.openxmlformats.org/officeDocument/2006/relationships/hyperlink" Target="https://doi.org/10.1126/sciadv.aeg0999" TargetMode="External"/><Relationship Id="rId748" Type="http://schemas.openxmlformats.org/officeDocument/2006/relationships/hyperlink" Target="https://www.science.org/doi/abs/10.1126/sciadv.aec6749?af=R" TargetMode="External"/><Relationship Id="rId749" Type="http://schemas.openxmlformats.org/officeDocument/2006/relationships/hyperlink" Target="https://doi.org/10.1126/sciadv.aec6749" TargetMode="External"/><Relationship Id="rId750" Type="http://schemas.openxmlformats.org/officeDocument/2006/relationships/hyperlink" Target="https://www.science.org/doi/abs/10.1126/sciadv.adz8681?af=R" TargetMode="External"/><Relationship Id="rId751" Type="http://schemas.openxmlformats.org/officeDocument/2006/relationships/hyperlink" Target="https://doi.org/10.1126/sciadv.adz8681" TargetMode="External"/><Relationship Id="rId752" Type="http://schemas.openxmlformats.org/officeDocument/2006/relationships/hyperlink" Target="https://www.science.org/doi/abs/10.1126/sciadv.adu4196?af=R" TargetMode="External"/><Relationship Id="rId753" Type="http://schemas.openxmlformats.org/officeDocument/2006/relationships/hyperlink" Target="https://doi.org/10.1126/sciadv.adu4196" TargetMode="External"/><Relationship Id="rId754" Type="http://schemas.openxmlformats.org/officeDocument/2006/relationships/hyperlink" Target="https://www.science.org/doi/abs/10.1126/sciadv.aea4124?af=R" TargetMode="External"/><Relationship Id="rId755" Type="http://schemas.openxmlformats.org/officeDocument/2006/relationships/hyperlink" Target="https://doi.org/10.1126/sciadv.aea4124" TargetMode="External"/><Relationship Id="rId756" Type="http://schemas.openxmlformats.org/officeDocument/2006/relationships/hyperlink" Target="https://www.science.org/doi/abs/10.1126/sciadv.aea1094?af=R" TargetMode="External"/><Relationship Id="rId757" Type="http://schemas.openxmlformats.org/officeDocument/2006/relationships/hyperlink" Target="https://doi.org/10.1126/sciadv.aea1094" TargetMode="External"/><Relationship Id="rId758" Type="http://schemas.openxmlformats.org/officeDocument/2006/relationships/hyperlink" Target="https://www.science.org/doi/abs/10.1126/sciadv.aec3961?af=R" TargetMode="External"/><Relationship Id="rId759" Type="http://schemas.openxmlformats.org/officeDocument/2006/relationships/hyperlink" Target="https://doi.org/10.1126/sciadv.aec3961" TargetMode="External"/><Relationship Id="rId760" Type="http://schemas.openxmlformats.org/officeDocument/2006/relationships/hyperlink" Target="https://www.science.org/doi/abs/10.1126/sciadv.aeb8250?af=R" TargetMode="External"/><Relationship Id="rId761" Type="http://schemas.openxmlformats.org/officeDocument/2006/relationships/hyperlink" Target="https://doi.org/10.1126/sciadv.aeb8250" TargetMode="External"/><Relationship Id="rId762" Type="http://schemas.openxmlformats.org/officeDocument/2006/relationships/hyperlink" Target="https://www.science.org/doi/abs/10.1126/sciadv.aeb7575?af=R" TargetMode="External"/><Relationship Id="rId763" Type="http://schemas.openxmlformats.org/officeDocument/2006/relationships/hyperlink" Target="https://doi.org/10.1126/sciadv.aeb7575" TargetMode="External"/><Relationship Id="rId764" Type="http://schemas.openxmlformats.org/officeDocument/2006/relationships/hyperlink" Target="https://www.science.org/doi/abs/10.1126/sciadv.aeb4417?af=R" TargetMode="External"/><Relationship Id="rId765" Type="http://schemas.openxmlformats.org/officeDocument/2006/relationships/hyperlink" Target="https://doi.org/10.1126/sciadv.aeb4417" TargetMode="External"/><Relationship Id="rId766" Type="http://schemas.openxmlformats.org/officeDocument/2006/relationships/hyperlink" Target="https://www.science.org/doi/abs/10.1126/sciadv.aee9999?af=R" TargetMode="External"/><Relationship Id="rId767" Type="http://schemas.openxmlformats.org/officeDocument/2006/relationships/hyperlink" Target="https://doi.org/10.1126/sciadv.aee9999" TargetMode="External"/><Relationship Id="rId768" Type="http://schemas.openxmlformats.org/officeDocument/2006/relationships/hyperlink" Target="https://www.science.org/doi/abs/10.1126/sciadv.aed9436?af=R" TargetMode="External"/><Relationship Id="rId769" Type="http://schemas.openxmlformats.org/officeDocument/2006/relationships/hyperlink" Target="https://doi.org/10.1126/sciadv.aed9436" TargetMode="External"/><Relationship Id="rId770" Type="http://schemas.openxmlformats.org/officeDocument/2006/relationships/hyperlink" Target="https://www.science.org/doi/abs/10.1126/sciadv.adu6821?af=R" TargetMode="External"/><Relationship Id="rId771" Type="http://schemas.openxmlformats.org/officeDocument/2006/relationships/hyperlink" Target="https://doi.org/10.1126/sciadv.adu6821" TargetMode="External"/><Relationship Id="rId772" Type="http://schemas.openxmlformats.org/officeDocument/2006/relationships/hyperlink" Target="https://www.science.org/doi/abs/10.1126/sciadv.ady7216?af=R" TargetMode="External"/><Relationship Id="rId773" Type="http://schemas.openxmlformats.org/officeDocument/2006/relationships/hyperlink" Target="https://doi.org/10.1126/sciadv.ady7216" TargetMode="External"/><Relationship Id="rId774" Type="http://schemas.openxmlformats.org/officeDocument/2006/relationships/hyperlink" Target="https://www.science.org/doi/abs/10.1126/sciadv.aef5186?af=R" TargetMode="External"/><Relationship Id="rId775" Type="http://schemas.openxmlformats.org/officeDocument/2006/relationships/hyperlink" Target="https://doi.org/10.1126/sciadv.aef5186" TargetMode="External"/><Relationship Id="rId776" Type="http://schemas.openxmlformats.org/officeDocument/2006/relationships/hyperlink" Target="https://www.science.org/doi/abs/10.1126/sciadv.aeb7304?af=R" TargetMode="External"/><Relationship Id="rId777" Type="http://schemas.openxmlformats.org/officeDocument/2006/relationships/hyperlink" Target="https://doi.org/10.1126/sciadv.aeb7304" TargetMode="External"/><Relationship Id="rId778" Type="http://schemas.openxmlformats.org/officeDocument/2006/relationships/hyperlink" Target="https://www.science.org/doi/abs/10.1126/sciadv.aee9547?af=R" TargetMode="External"/><Relationship Id="rId779" Type="http://schemas.openxmlformats.org/officeDocument/2006/relationships/hyperlink" Target="https://doi.org/10.1126/sciadv.aee9547" TargetMode="External"/><Relationship Id="rId780" Type="http://schemas.openxmlformats.org/officeDocument/2006/relationships/hyperlink" Target="https://www.science.org/doi/abs/10.1126/sciadv.aed4944?af=R" TargetMode="External"/><Relationship Id="rId781" Type="http://schemas.openxmlformats.org/officeDocument/2006/relationships/hyperlink" Target="https://doi.org/10.1126/sciadv.aed4944" TargetMode="External"/><Relationship Id="rId782" Type="http://schemas.openxmlformats.org/officeDocument/2006/relationships/hyperlink" Target="https://www.science.org/doi/abs/10.1126/sciadv.adx2011?af=R" TargetMode="External"/><Relationship Id="rId783" Type="http://schemas.openxmlformats.org/officeDocument/2006/relationships/hyperlink" Target="https://doi.org/10.1126/sciadv.adx2011" TargetMode="External"/><Relationship Id="rId784" Type="http://schemas.openxmlformats.org/officeDocument/2006/relationships/hyperlink" Target="https://www.science.org/doi/abs/10.1126/sciadv.aef6613?af=R" TargetMode="External"/><Relationship Id="rId785" Type="http://schemas.openxmlformats.org/officeDocument/2006/relationships/hyperlink" Target="https://doi.org/10.1126/sciadv.aef6613" TargetMode="External"/><Relationship Id="rId786" Type="http://schemas.openxmlformats.org/officeDocument/2006/relationships/hyperlink" Target="https://www.science.org/doi/abs/10.1126/sciadv.aed5708?af=R" TargetMode="External"/><Relationship Id="rId787" Type="http://schemas.openxmlformats.org/officeDocument/2006/relationships/hyperlink" Target="https://doi.org/10.1126/sciadv.aed5708" TargetMode="External"/><Relationship Id="rId788" Type="http://schemas.openxmlformats.org/officeDocument/2006/relationships/hyperlink" Target="https://www.science.org/doi/abs/10.1126/sciadv.aec6144?af=R" TargetMode="External"/><Relationship Id="rId789" Type="http://schemas.openxmlformats.org/officeDocument/2006/relationships/hyperlink" Target="https://doi.org/10.1126/sciadv.aec6144" TargetMode="External"/><Relationship Id="rId790" Type="http://schemas.openxmlformats.org/officeDocument/2006/relationships/hyperlink" Target="https://advanced.onlinelibrary.wiley.com/doi/10.1002/adma.74102?af=R" TargetMode="External"/><Relationship Id="rId791" Type="http://schemas.openxmlformats.org/officeDocument/2006/relationships/hyperlink" Target="https://doi.org/10.1002/adma.74102" TargetMode="External"/><Relationship Id="rId792" Type="http://schemas.openxmlformats.org/officeDocument/2006/relationships/hyperlink" Target="https://advanced.onlinelibrary.wiley.com/doi/10.1002/adma.74146?af=R" TargetMode="External"/><Relationship Id="rId793" Type="http://schemas.openxmlformats.org/officeDocument/2006/relationships/hyperlink" Target="https://doi.org/10.1002/adma.74146" TargetMode="External"/><Relationship Id="rId794" Type="http://schemas.openxmlformats.org/officeDocument/2006/relationships/hyperlink" Target="https://onlinelibrary.wiley.com/doi/10.1002/anie.3064564?af=R" TargetMode="External"/><Relationship Id="rId795" Type="http://schemas.openxmlformats.org/officeDocument/2006/relationships/hyperlink" Target="https://doi.org/10.1002/anie.3064564" TargetMode="External"/><Relationship Id="rId796" Type="http://schemas.openxmlformats.org/officeDocument/2006/relationships/hyperlink" Target="https://onlinelibrary.wiley.com/doi/10.1002/anie.3086835?af=R" TargetMode="External"/><Relationship Id="rId797" Type="http://schemas.openxmlformats.org/officeDocument/2006/relationships/hyperlink" Target="https://doi.org/10.1002/anie.3086835" TargetMode="External"/><Relationship Id="rId798" Type="http://schemas.openxmlformats.org/officeDocument/2006/relationships/hyperlink" Target="https://onlinelibrary.wiley.com/doi/10.1002/anie.6683110?af=R" TargetMode="External"/><Relationship Id="rId799" Type="http://schemas.openxmlformats.org/officeDocument/2006/relationships/hyperlink" Target="https://doi.org/10.1002/anie.6683110" TargetMode="External"/><Relationship Id="rId800" Type="http://schemas.openxmlformats.org/officeDocument/2006/relationships/hyperlink" Target="https://onlinelibrary.wiley.com/doi/10.1002/anie.3029493?af=R" TargetMode="External"/><Relationship Id="rId801" Type="http://schemas.openxmlformats.org/officeDocument/2006/relationships/hyperlink" Target="https://doi.org/10.1002/anie.3029493" TargetMode="External"/><Relationship Id="rId802" Type="http://schemas.openxmlformats.org/officeDocument/2006/relationships/hyperlink" Target="https://onlinelibrary.wiley.com/doi/10.1002/anie.8835235?af=R" TargetMode="External"/><Relationship Id="rId803" Type="http://schemas.openxmlformats.org/officeDocument/2006/relationships/hyperlink" Target="https://doi.org/10.1002/anie.8835235" TargetMode="External"/><Relationship Id="rId804" Type="http://schemas.openxmlformats.org/officeDocument/2006/relationships/hyperlink" Target="https://advanced.onlinelibrary.wiley.com/doi/10.1002/adma.74145?af=R" TargetMode="External"/><Relationship Id="rId805" Type="http://schemas.openxmlformats.org/officeDocument/2006/relationships/hyperlink" Target="https://doi.org/10.1002/adma.74145" TargetMode="External"/><Relationship Id="rId806" Type="http://schemas.openxmlformats.org/officeDocument/2006/relationships/hyperlink" Target="https://advanced.onlinelibrary.wiley.com/doi/10.1002/adma.74143?af=R" TargetMode="External"/><Relationship Id="rId807" Type="http://schemas.openxmlformats.org/officeDocument/2006/relationships/hyperlink" Target="https://doi.org/10.1002/adma.74143" TargetMode="External"/><Relationship Id="rId808" Type="http://schemas.openxmlformats.org/officeDocument/2006/relationships/hyperlink" Target="https://advanced.onlinelibrary.wiley.com/doi/10.1002/adma.74061?af=R" TargetMode="External"/><Relationship Id="rId809" Type="http://schemas.openxmlformats.org/officeDocument/2006/relationships/hyperlink" Target="https://doi.org/10.1002/adma.74061" TargetMode="External"/><Relationship Id="rId810" Type="http://schemas.openxmlformats.org/officeDocument/2006/relationships/hyperlink" Target="http://link.aps.org/doi/10.1103/ksxq-1l4q" TargetMode="External"/><Relationship Id="rId811" Type="http://schemas.openxmlformats.org/officeDocument/2006/relationships/hyperlink" Target="https://doi.org/10.1103/ksxq-1l4q" TargetMode="External"/><Relationship Id="rId812" Type="http://schemas.openxmlformats.org/officeDocument/2006/relationships/hyperlink" Target="http://link.aps.org/doi/10.1103/6w3p-8ym2" TargetMode="External"/><Relationship Id="rId813" Type="http://schemas.openxmlformats.org/officeDocument/2006/relationships/hyperlink" Target="https://doi.org/10.1103/6w3p-8ym2" TargetMode="External"/><Relationship Id="rId814" Type="http://schemas.openxmlformats.org/officeDocument/2006/relationships/hyperlink" Target="http://link.aps.org/doi/10.1103/lxhy-wtr3" TargetMode="External"/><Relationship Id="rId815" Type="http://schemas.openxmlformats.org/officeDocument/2006/relationships/hyperlink" Target="https://doi.org/10.1103/lxhy-wtr3" TargetMode="External"/><Relationship Id="rId816" Type="http://schemas.openxmlformats.org/officeDocument/2006/relationships/hyperlink" Target="http://link.aps.org/doi/10.1103/hjpy-sx8w" TargetMode="External"/><Relationship Id="rId817" Type="http://schemas.openxmlformats.org/officeDocument/2006/relationships/hyperlink" Target="https://doi.org/10.1103/hjpy-sx8w" TargetMode="External"/><Relationship Id="rId818" Type="http://schemas.openxmlformats.org/officeDocument/2006/relationships/hyperlink" Target="http://link.aps.org/doi/10.1103/fm3n-sy3f" TargetMode="External"/><Relationship Id="rId819" Type="http://schemas.openxmlformats.org/officeDocument/2006/relationships/hyperlink" Target="https://doi.org/10.1103/fm3n-sy3f" TargetMode="External"/><Relationship Id="rId820" Type="http://schemas.openxmlformats.org/officeDocument/2006/relationships/hyperlink" Target="http://link.aps.org/doi/10.1103/xxxk-y6yp" TargetMode="External"/><Relationship Id="rId821" Type="http://schemas.openxmlformats.org/officeDocument/2006/relationships/hyperlink" Target="https://doi.org/10.1103/xxxk-y6yp" TargetMode="External"/><Relationship Id="rId822" Type="http://schemas.openxmlformats.org/officeDocument/2006/relationships/hyperlink" Target="http://link.aps.org/doi/10.1103/85cd-6gzn" TargetMode="External"/><Relationship Id="rId823" Type="http://schemas.openxmlformats.org/officeDocument/2006/relationships/hyperlink" Target="https://doi.org/10.1103/85cd-6gzn" TargetMode="External"/><Relationship Id="rId824" Type="http://schemas.openxmlformats.org/officeDocument/2006/relationships/hyperlink" Target="http://link.aps.org/doi/10.1103/n715-5r2y" TargetMode="External"/><Relationship Id="rId825" Type="http://schemas.openxmlformats.org/officeDocument/2006/relationships/hyperlink" Target="https://doi.org/10.1103/n715-5r2y" TargetMode="External"/><Relationship Id="rId826" Type="http://schemas.openxmlformats.org/officeDocument/2006/relationships/hyperlink" Target="http://link.aps.org/doi/10.1103/q1gx-c2dz" TargetMode="External"/><Relationship Id="rId827" Type="http://schemas.openxmlformats.org/officeDocument/2006/relationships/hyperlink" Target="https://doi.org/10.1103/q1gx-c2dz" TargetMode="External"/><Relationship Id="rId828" Type="http://schemas.openxmlformats.org/officeDocument/2006/relationships/hyperlink" Target="http://link.aps.org/doi/10.1103/vf43-sxwq" TargetMode="External"/><Relationship Id="rId829" Type="http://schemas.openxmlformats.org/officeDocument/2006/relationships/hyperlink" Target="https://doi.org/10.1103/vf43-sxwq" TargetMode="External"/><Relationship Id="rId830" Type="http://schemas.openxmlformats.org/officeDocument/2006/relationships/hyperlink" Target="http://link.aps.org/doi/10.1103/knwn-47kl" TargetMode="External"/><Relationship Id="rId831" Type="http://schemas.openxmlformats.org/officeDocument/2006/relationships/hyperlink" Target="https://doi.org/10.1103/knwn-47kl" TargetMode="External"/><Relationship Id="rId832" Type="http://schemas.openxmlformats.org/officeDocument/2006/relationships/hyperlink" Target="http://link.aps.org/doi/10.1103/nfgm-wmg2" TargetMode="External"/><Relationship Id="rId833" Type="http://schemas.openxmlformats.org/officeDocument/2006/relationships/hyperlink" Target="https://doi.org/10.1103/nfgm-wmg2" TargetMode="External"/><Relationship Id="rId834" Type="http://schemas.openxmlformats.org/officeDocument/2006/relationships/hyperlink" Target="http://link.aps.org/doi/10.1103/yvhp-1sm6" TargetMode="External"/><Relationship Id="rId835" Type="http://schemas.openxmlformats.org/officeDocument/2006/relationships/hyperlink" Target="https://doi.org/10.1103/yvhp-1sm6" TargetMode="External"/><Relationship Id="rId836" Type="http://schemas.openxmlformats.org/officeDocument/2006/relationships/hyperlink" Target="http://link.aps.org/doi/10.1103/245v-mgsb" TargetMode="External"/><Relationship Id="rId837" Type="http://schemas.openxmlformats.org/officeDocument/2006/relationships/hyperlink" Target="https://doi.org/10.1103/245v-mgsb" TargetMode="External"/><Relationship Id="rId838" Type="http://schemas.openxmlformats.org/officeDocument/2006/relationships/hyperlink" Target="http://link.aps.org/doi/10.1103/jkn8-h939" TargetMode="External"/><Relationship Id="rId839" Type="http://schemas.openxmlformats.org/officeDocument/2006/relationships/hyperlink" Target="https://doi.org/10.1103/jkn8-h939" TargetMode="External"/><Relationship Id="rId840" Type="http://schemas.openxmlformats.org/officeDocument/2006/relationships/hyperlink" Target="http://link.aps.org/doi/10.1103/h48q-1s1c" TargetMode="External"/><Relationship Id="rId841" Type="http://schemas.openxmlformats.org/officeDocument/2006/relationships/hyperlink" Target="https://doi.org/10.1103/h48q-1s1c" TargetMode="External"/><Relationship Id="rId842" Type="http://schemas.openxmlformats.org/officeDocument/2006/relationships/hyperlink" Target="http://link.aps.org/doi/10.1103/ktz2-7yd5" TargetMode="External"/><Relationship Id="rId843" Type="http://schemas.openxmlformats.org/officeDocument/2006/relationships/hyperlink" Target="https://doi.org/10.1103/ktz2-7yd5" TargetMode="External"/><Relationship Id="rId844" Type="http://schemas.openxmlformats.org/officeDocument/2006/relationships/hyperlink" Target="https://advanced.onlinelibrary.wiley.com/doi/10.1002/adma.74160?af=R" TargetMode="External"/><Relationship Id="rId845" Type="http://schemas.openxmlformats.org/officeDocument/2006/relationships/hyperlink" Target="https://doi.org/10.1002/adma.74160" TargetMode="External"/><Relationship Id="rId846" Type="http://schemas.openxmlformats.org/officeDocument/2006/relationships/hyperlink" Target="https://advanced.onlinelibrary.wiley.com/doi/10.1002/adma.74147?af=R" TargetMode="External"/><Relationship Id="rId847" Type="http://schemas.openxmlformats.org/officeDocument/2006/relationships/hyperlink" Target="https://doi.org/10.1002/adma.74147" TargetMode="External"/><Relationship Id="rId848" Type="http://schemas.openxmlformats.org/officeDocument/2006/relationships/hyperlink" Target="https://advanced.onlinelibrary.wiley.com/doi/10.1002/adma.73899?af=R" TargetMode="External"/><Relationship Id="rId849" Type="http://schemas.openxmlformats.org/officeDocument/2006/relationships/hyperlink" Target="https://doi.org/10.1002/adma.73899" TargetMode="External"/><Relationship Id="rId850" Type="http://schemas.openxmlformats.org/officeDocument/2006/relationships/hyperlink" Target="https://advanced.onlinelibrary.wiley.com/doi/10.1002/adma.74168?af=R" TargetMode="External"/><Relationship Id="rId851" Type="http://schemas.openxmlformats.org/officeDocument/2006/relationships/hyperlink" Target="https://doi.org/10.1002/adma.74168" TargetMode="External"/><Relationship Id="rId852" Type="http://schemas.openxmlformats.org/officeDocument/2006/relationships/hyperlink" Target="https://advanced.onlinelibrary.wiley.com/doi/10.1002/adma.74163?af=R" TargetMode="External"/><Relationship Id="rId853" Type="http://schemas.openxmlformats.org/officeDocument/2006/relationships/hyperlink" Target="https://doi.org/10.1002/adma.74163" TargetMode="External"/><Relationship Id="rId854" Type="http://schemas.openxmlformats.org/officeDocument/2006/relationships/hyperlink" Target="https://onlinelibrary.wiley.com/doi/10.1002/anie.7973657?af=R" TargetMode="External"/><Relationship Id="rId855" Type="http://schemas.openxmlformats.org/officeDocument/2006/relationships/hyperlink" Target="https://doi.org/10.1002/anie.7973657" TargetMode="External"/><Relationship Id="rId856" Type="http://schemas.openxmlformats.org/officeDocument/2006/relationships/hyperlink" Target="https://onlinelibrary.wiley.com/doi/10.1002/anie.1978756?af=R" TargetMode="External"/><Relationship Id="rId857" Type="http://schemas.openxmlformats.org/officeDocument/2006/relationships/hyperlink" Target="https://doi.org/10.1002/anie.1978756" TargetMode="External"/><Relationship Id="rId858" Type="http://schemas.openxmlformats.org/officeDocument/2006/relationships/hyperlink" Target="https://onlinelibrary.wiley.com/doi/10.1002/anie.5439859?af=R" TargetMode="External"/><Relationship Id="rId859" Type="http://schemas.openxmlformats.org/officeDocument/2006/relationships/hyperlink" Target="https://doi.org/10.1002/anie.5439859" TargetMode="External"/><Relationship Id="rId860" Type="http://schemas.openxmlformats.org/officeDocument/2006/relationships/hyperlink" Target="https://onlinelibrary.wiley.com/doi/10.1002/anie.4214875?af=R" TargetMode="External"/><Relationship Id="rId861" Type="http://schemas.openxmlformats.org/officeDocument/2006/relationships/hyperlink" Target="https://doi.org/10.1002/anie.4214875" TargetMode="External"/><Relationship Id="rId862" Type="http://schemas.openxmlformats.org/officeDocument/2006/relationships/hyperlink" Target="https://onlinelibrary.wiley.com/doi/10.1002/anie.6798392?af=R" TargetMode="External"/><Relationship Id="rId863" Type="http://schemas.openxmlformats.org/officeDocument/2006/relationships/hyperlink" Target="https://doi.org/10.1002/anie.6798392" TargetMode="External"/><Relationship Id="rId864" Type="http://schemas.openxmlformats.org/officeDocument/2006/relationships/hyperlink" Target="https://onlinelibrary.wiley.com/doi/10.1002/anie.4893359?af=R" TargetMode="External"/><Relationship Id="rId865" Type="http://schemas.openxmlformats.org/officeDocument/2006/relationships/hyperlink" Target="https://doi.org/10.1002/anie.4893359" TargetMode="External"/><Relationship Id="rId866" Type="http://schemas.openxmlformats.org/officeDocument/2006/relationships/hyperlink" Target="https://onlinelibrary.wiley.com/doi/10.1002/anie.5510018?af=R" TargetMode="External"/><Relationship Id="rId867" Type="http://schemas.openxmlformats.org/officeDocument/2006/relationships/hyperlink" Target="https://doi.org/10.1002/anie.5510018" TargetMode="External"/><Relationship Id="rId868" Type="http://schemas.openxmlformats.org/officeDocument/2006/relationships/hyperlink" Target="https://advanced.onlinelibrary.wiley.com/doi/10.1002/adma.74021?af=R" TargetMode="External"/><Relationship Id="rId869" Type="http://schemas.openxmlformats.org/officeDocument/2006/relationships/hyperlink" Target="https://doi.org/10.1002/adma.74021" TargetMode="External"/><Relationship Id="rId870" Type="http://schemas.openxmlformats.org/officeDocument/2006/relationships/hyperlink" Target="https://advanced.onlinelibrary.wiley.com/doi/10.1002/adma.74114?af=R" TargetMode="External"/><Relationship Id="rId871" Type="http://schemas.openxmlformats.org/officeDocument/2006/relationships/hyperlink" Target="https://doi.org/10.1002/adma.74114" TargetMode="External"/><Relationship Id="rId872" Type="http://schemas.openxmlformats.org/officeDocument/2006/relationships/hyperlink" Target="https://advanced.onlinelibrary.wiley.com/doi/10.1002/adma.74099?af=R" TargetMode="External"/><Relationship Id="rId873" Type="http://schemas.openxmlformats.org/officeDocument/2006/relationships/hyperlink" Target="https://doi.org/10.1002/adma.74099" TargetMode="External"/><Relationship Id="rId874" Type="http://schemas.openxmlformats.org/officeDocument/2006/relationships/hyperlink" Target="https://advanced.onlinelibrary.wiley.com/doi/10.1002/adma.74101?af=R" TargetMode="External"/><Relationship Id="rId875" Type="http://schemas.openxmlformats.org/officeDocument/2006/relationships/hyperlink" Target="https://doi.org/10.1002/adma.74101" TargetMode="External"/><Relationship Id="rId876" Type="http://schemas.openxmlformats.org/officeDocument/2006/relationships/hyperlink" Target="https://advanced.onlinelibrary.wiley.com/doi/10.1002/adma.74097?af=R" TargetMode="External"/><Relationship Id="rId877" Type="http://schemas.openxmlformats.org/officeDocument/2006/relationships/hyperlink" Target="https://doi.org/10.1002/adma.74097" TargetMode="External"/><Relationship Id="rId878" Type="http://schemas.openxmlformats.org/officeDocument/2006/relationships/hyperlink" Target="https://advanced.onlinelibrary.wiley.com/doi/10.1002/adma.74096?af=R" TargetMode="External"/><Relationship Id="rId879" Type="http://schemas.openxmlformats.org/officeDocument/2006/relationships/hyperlink" Target="https://doi.org/10.1002/adma.74096" TargetMode="External"/><Relationship Id="rId880" Type="http://schemas.openxmlformats.org/officeDocument/2006/relationships/hyperlink" Target="https://www.nature.com/articles/s41467-026-75640-2" TargetMode="External"/><Relationship Id="rId881" Type="http://schemas.openxmlformats.org/officeDocument/2006/relationships/hyperlink" Target="https://www.sciencedirect.com/science/article/pii/S0306261926010482?dgcid=rss_sd_all" TargetMode="External"/><Relationship Id="rId882" Type="http://schemas.openxmlformats.org/officeDocument/2006/relationships/hyperlink" Target="https://doi.org/10.1016/j.apenergy.2026.128394" TargetMode="External"/><Relationship Id="rId883" Type="http://schemas.openxmlformats.org/officeDocument/2006/relationships/hyperlink" Target="https://www.nature.com/articles/s41467-026-75777-0" TargetMode="External"/><Relationship Id="rId884" Type="http://schemas.openxmlformats.org/officeDocument/2006/relationships/hyperlink" Target="https://www.nature.com/articles/s41467-026-73868-6" TargetMode="External"/><Relationship Id="rId885" Type="http://schemas.openxmlformats.org/officeDocument/2006/relationships/hyperlink" Target="https://pubs.acs.org/doi/10.1021/acsami.6c03227" TargetMode="External"/><Relationship Id="rId886" Type="http://schemas.openxmlformats.org/officeDocument/2006/relationships/hyperlink" Target="https://doi.org/10.1021/acsami.6c03227" TargetMode="External"/><Relationship Id="rId887" Type="http://schemas.openxmlformats.org/officeDocument/2006/relationships/hyperlink" Target="https://www.nature.com/articles/s41467-026-75750-x" TargetMode="External"/><Relationship Id="rId888" Type="http://schemas.openxmlformats.org/officeDocument/2006/relationships/hyperlink" Target="https://www.nature.com/articles/s41467-026-75719-w" TargetMode="External"/><Relationship Id="rId889" Type="http://schemas.openxmlformats.org/officeDocument/2006/relationships/hyperlink" Target="https://www.nature.com/articles/s41467-026-75808-w" TargetMode="External"/><Relationship Id="rId890" Type="http://schemas.openxmlformats.org/officeDocument/2006/relationships/hyperlink" Target="https://www.nature.com/articles/s41467-026-75676-4" TargetMode="External"/><Relationship Id="rId891" Type="http://schemas.openxmlformats.org/officeDocument/2006/relationships/hyperlink" Target="https://www.nature.com/articles/s41467-026-75586-5" TargetMode="External"/><Relationship Id="rId892" Type="http://schemas.openxmlformats.org/officeDocument/2006/relationships/hyperlink" Target="https://www.nature.com/articles/s41467-026-75739-6" TargetMode="External"/><Relationship Id="rId893" Type="http://schemas.openxmlformats.org/officeDocument/2006/relationships/hyperlink" Target="https://www.nature.com/articles/s41467-026-75545-0" TargetMode="External"/><Relationship Id="rId894" Type="http://schemas.openxmlformats.org/officeDocument/2006/relationships/hyperlink" Target="https://www.nature.com/articles/s41467-026-75615-3" TargetMode="External"/><Relationship Id="rId895" Type="http://schemas.openxmlformats.org/officeDocument/2006/relationships/hyperlink" Target="https://www.nature.com/articles/s41467-026-75567-8" TargetMode="External"/><Relationship Id="rId896" Type="http://schemas.openxmlformats.org/officeDocument/2006/relationships/hyperlink" Target="https://www.nature.com/articles/s41467-026-75772-5" TargetMode="External"/><Relationship Id="rId897" Type="http://schemas.openxmlformats.org/officeDocument/2006/relationships/hyperlink" Target="https://www.nature.com/articles/s41467-026-74428-8" TargetMode="External"/><Relationship Id="rId898" Type="http://schemas.openxmlformats.org/officeDocument/2006/relationships/hyperlink" Target="https://www.nature.com/articles/s41467-026-74684-8" TargetMode="External"/><Relationship Id="rId899" Type="http://schemas.openxmlformats.org/officeDocument/2006/relationships/hyperlink" Target="https://www.nature.com/articles/s41467-026-75551-2" TargetMode="External"/><Relationship Id="rId900" Type="http://schemas.openxmlformats.org/officeDocument/2006/relationships/hyperlink" Target="https://pubs.acs.org/doi/10.1021/jacs.6c10562" TargetMode="External"/><Relationship Id="rId901" Type="http://schemas.openxmlformats.org/officeDocument/2006/relationships/hyperlink" Target="https://doi.org/10.1021/jacs.6c10562" TargetMode="External"/><Relationship Id="rId902" Type="http://schemas.openxmlformats.org/officeDocument/2006/relationships/hyperlink" Target="https://www.sciencedirect.com/science/article/pii/S0306261926011050?dgcid=rss_sd_all" TargetMode="External"/><Relationship Id="rId903" Type="http://schemas.openxmlformats.org/officeDocument/2006/relationships/hyperlink" Target="https://doi.org/10.1016/j.apenergy.2026.128449" TargetMode="External"/><Relationship Id="rId904" Type="http://schemas.openxmlformats.org/officeDocument/2006/relationships/hyperlink" Target="https://www.nature.com/articles/s41467-026-75588-3" TargetMode="External"/><Relationship Id="rId905" Type="http://schemas.openxmlformats.org/officeDocument/2006/relationships/hyperlink" Target="https://www.sciencedirect.com/science/article/pii/S0306261926010287?dgcid=rss_sd_all" TargetMode="External"/><Relationship Id="rId906" Type="http://schemas.openxmlformats.org/officeDocument/2006/relationships/hyperlink" Target="https://doi.org/10.1016/j.apenergy.2026.128374" TargetMode="External"/><Relationship Id="rId907" Type="http://schemas.openxmlformats.org/officeDocument/2006/relationships/hyperlink" Target="https://pubs.acs.org/doi/10.1021/jacs.6c07688" TargetMode="External"/><Relationship Id="rId908" Type="http://schemas.openxmlformats.org/officeDocument/2006/relationships/hyperlink" Target="https://doi.org/10.1021/jacs.6c07688" TargetMode="External"/><Relationship Id="rId909" Type="http://schemas.openxmlformats.org/officeDocument/2006/relationships/hyperlink" Target="https://www.sciencedirect.com/science/article/pii/S0306261926010470?dgcid=rss_sd_all" TargetMode="External"/><Relationship Id="rId910" Type="http://schemas.openxmlformats.org/officeDocument/2006/relationships/hyperlink" Target="https://www.sciencedirect.com/science/article/pii/S0306261926010871?dgcid=rss_sd_all" TargetMode="External"/><Relationship Id="rId911" Type="http://schemas.openxmlformats.org/officeDocument/2006/relationships/hyperlink" Target="https://www.sciencedirect.com/science/article/pii/S0306261926010366?dgcid=rss_sd_all" TargetMode="External"/><Relationship Id="rId912" Type="http://schemas.openxmlformats.org/officeDocument/2006/relationships/hyperlink" Target="https://www.sciencedirect.com/science/article/pii/S0301421526004088?dgcid=rss_sd_all" TargetMode="External"/><Relationship Id="rId913" Type="http://schemas.openxmlformats.org/officeDocument/2006/relationships/hyperlink" Target="https://doi.org/10.1016/j.enpol.2026.115474" TargetMode="External"/><Relationship Id="rId914" Type="http://schemas.openxmlformats.org/officeDocument/2006/relationships/hyperlink" Target="https://www.sciencedirect.com/science/article/pii/S0301421526004222?dgcid=rss_sd_all" TargetMode="External"/><Relationship Id="rId915" Type="http://schemas.openxmlformats.org/officeDocument/2006/relationships/hyperlink" Target="https://doi.org/10.1016/j.enpol.2026.115488" TargetMode="External"/><Relationship Id="rId916" Type="http://schemas.openxmlformats.org/officeDocument/2006/relationships/hyperlink" Target="https://www.nature.com/articles/s41467-026-75697-z" TargetMode="External"/><Relationship Id="rId917" Type="http://schemas.openxmlformats.org/officeDocument/2006/relationships/hyperlink" Target="https://www.sciencedirect.com/science/article/pii/S0306261926010597?dgcid=rss_sd_all" TargetMode="External"/><Relationship Id="rId918" Type="http://schemas.openxmlformats.org/officeDocument/2006/relationships/hyperlink" Target="https://advanced.onlinelibrary.wiley.com/doi/10.1002/adma.74210?af=R" TargetMode="External"/><Relationship Id="rId919" Type="http://schemas.openxmlformats.org/officeDocument/2006/relationships/hyperlink" Target="https://doi.org/10.1002/adma.74210" TargetMode="External"/><Relationship Id="rId920" Type="http://schemas.openxmlformats.org/officeDocument/2006/relationships/hyperlink" Target="https://advanced.onlinelibrary.wiley.com/doi/10.1002/adma.74092?af=R" TargetMode="External"/><Relationship Id="rId921" Type="http://schemas.openxmlformats.org/officeDocument/2006/relationships/hyperlink" Target="https://doi.org/10.1002/adma.74092" TargetMode="External"/><Relationship Id="rId922" Type="http://schemas.openxmlformats.org/officeDocument/2006/relationships/hyperlink" Target="https://advanced.onlinelibrary.wiley.com/doi/10.1002/adma.74150?af=R" TargetMode="External"/><Relationship Id="rId923" Type="http://schemas.openxmlformats.org/officeDocument/2006/relationships/hyperlink" Target="https://doi.org/10.1002/adma.74150" TargetMode="External"/><Relationship Id="rId924" Type="http://schemas.openxmlformats.org/officeDocument/2006/relationships/hyperlink" Target="https://advanced.onlinelibrary.wiley.com/doi/10.1002/adma.74215?af=R" TargetMode="External"/><Relationship Id="rId925" Type="http://schemas.openxmlformats.org/officeDocument/2006/relationships/hyperlink" Target="https://doi.org/10.1002/adma.74215" TargetMode="External"/><Relationship Id="rId926" Type="http://schemas.openxmlformats.org/officeDocument/2006/relationships/hyperlink" Target="https://advanced.onlinelibrary.wiley.com/doi/10.1002/adma.74204?af=R" TargetMode="External"/><Relationship Id="rId927" Type="http://schemas.openxmlformats.org/officeDocument/2006/relationships/hyperlink" Target="https://doi.org/10.1002/adma.74204" TargetMode="External"/><Relationship Id="rId928" Type="http://schemas.openxmlformats.org/officeDocument/2006/relationships/hyperlink" Target="https://advanced.onlinelibrary.wiley.com/doi/10.1002/adma.74140?af=R" TargetMode="External"/><Relationship Id="rId929" Type="http://schemas.openxmlformats.org/officeDocument/2006/relationships/hyperlink" Target="https://doi.org/10.1002/adma.74140" TargetMode="External"/><Relationship Id="rId930" Type="http://schemas.openxmlformats.org/officeDocument/2006/relationships/hyperlink" Target="https://advanced.onlinelibrary.wiley.com/doi/10.1002/adma.74148?af=R" TargetMode="External"/><Relationship Id="rId931" Type="http://schemas.openxmlformats.org/officeDocument/2006/relationships/hyperlink" Target="https://doi.org/10.1002/adma.74148" TargetMode="External"/><Relationship Id="rId932" Type="http://schemas.openxmlformats.org/officeDocument/2006/relationships/hyperlink" Target="https://advanced.onlinelibrary.wiley.com/doi/10.1002/adma.74130?af=R" TargetMode="External"/><Relationship Id="rId933" Type="http://schemas.openxmlformats.org/officeDocument/2006/relationships/hyperlink" Target="https://doi.org/10.1002/adma.74130" TargetMode="External"/><Relationship Id="rId934" Type="http://schemas.openxmlformats.org/officeDocument/2006/relationships/hyperlink" Target="https://advanced.onlinelibrary.wiley.com/doi/10.1002/adma.73967?af=R" TargetMode="External"/><Relationship Id="rId935" Type="http://schemas.openxmlformats.org/officeDocument/2006/relationships/hyperlink" Target="https://doi.org/10.1002/adma.73967" TargetMode="External"/><Relationship Id="rId936" Type="http://schemas.openxmlformats.org/officeDocument/2006/relationships/hyperlink" Target="https://advanced.onlinelibrary.wiley.com/doi/10.1002/adma.74222?af=R" TargetMode="External"/><Relationship Id="rId937" Type="http://schemas.openxmlformats.org/officeDocument/2006/relationships/hyperlink" Target="https://doi.org/10.1002/adma.74222" TargetMode="External"/><Relationship Id="rId938" Type="http://schemas.openxmlformats.org/officeDocument/2006/relationships/hyperlink" Target="https://advanced.onlinelibrary.wiley.com/doi/10.1002/adma.74211?af=R" TargetMode="External"/><Relationship Id="rId939" Type="http://schemas.openxmlformats.org/officeDocument/2006/relationships/hyperlink" Target="https://doi.org/10.1002/adma.74211" TargetMode="External"/><Relationship Id="rId940" Type="http://schemas.openxmlformats.org/officeDocument/2006/relationships/hyperlink" Target="https://advanced.onlinelibrary.wiley.com/doi/10.1002/adma.74118?af=R" TargetMode="External"/><Relationship Id="rId941" Type="http://schemas.openxmlformats.org/officeDocument/2006/relationships/hyperlink" Target="https://doi.org/10.1002/adma.74118" TargetMode="External"/><Relationship Id="rId942" Type="http://schemas.openxmlformats.org/officeDocument/2006/relationships/hyperlink" Target="https://advanced.onlinelibrary.wiley.com/doi/10.1002/adma.74178?af=R" TargetMode="External"/><Relationship Id="rId943" Type="http://schemas.openxmlformats.org/officeDocument/2006/relationships/hyperlink" Target="https://doi.org/10.1002/adma.74178" TargetMode="External"/><Relationship Id="rId944" Type="http://schemas.openxmlformats.org/officeDocument/2006/relationships/hyperlink" Target="https://advanced.onlinelibrary.wiley.com/doi/10.1002/adma.74029?af=R" TargetMode="External"/><Relationship Id="rId945" Type="http://schemas.openxmlformats.org/officeDocument/2006/relationships/hyperlink" Target="https://doi.org/10.1002/adma.74029" TargetMode="External"/><Relationship Id="rId946" Type="http://schemas.openxmlformats.org/officeDocument/2006/relationships/hyperlink" Target="https://advanced.onlinelibrary.wiley.com/doi/10.1002/adma.74131?af=R" TargetMode="External"/><Relationship Id="rId947" Type="http://schemas.openxmlformats.org/officeDocument/2006/relationships/hyperlink" Target="https://doi.org/10.1002/adma.74131" TargetMode="External"/><Relationship Id="rId948" Type="http://schemas.openxmlformats.org/officeDocument/2006/relationships/hyperlink" Target="https://advanced.onlinelibrary.wiley.com/doi/10.1002/adma.74141?af=R" TargetMode="External"/><Relationship Id="rId949" Type="http://schemas.openxmlformats.org/officeDocument/2006/relationships/hyperlink" Target="https://doi.org/10.1002/adma.74141" TargetMode="External"/><Relationship Id="rId950" Type="http://schemas.openxmlformats.org/officeDocument/2006/relationships/hyperlink" Target="https://pubs.acs.org/doi/10.1021/jacs.6c07700" TargetMode="External"/><Relationship Id="rId951" Type="http://schemas.openxmlformats.org/officeDocument/2006/relationships/hyperlink" Target="https://doi.org/10.1021/jacs.6c07700" TargetMode="External"/><Relationship Id="rId952" Type="http://schemas.openxmlformats.org/officeDocument/2006/relationships/hyperlink" Target="https://pubs.acs.org/doi/10.1021/jacs.6c12181" TargetMode="External"/><Relationship Id="rId953" Type="http://schemas.openxmlformats.org/officeDocument/2006/relationships/hyperlink" Target="https://doi.org/10.1021/jacs.6c12181" TargetMode="External"/><Relationship Id="rId954" Type="http://schemas.openxmlformats.org/officeDocument/2006/relationships/hyperlink" Target="https://pubs.acs.org/doi/10.1021/jacs.6c06555" TargetMode="External"/><Relationship Id="rId955" Type="http://schemas.openxmlformats.org/officeDocument/2006/relationships/hyperlink" Target="https://doi.org/10.1021/jacs.6c06555" TargetMode="External"/><Relationship Id="rId956" Type="http://schemas.openxmlformats.org/officeDocument/2006/relationships/hyperlink" Target="https://pubs.acs.org/doi/10.1021/jacs.6c08853" TargetMode="External"/><Relationship Id="rId957" Type="http://schemas.openxmlformats.org/officeDocument/2006/relationships/hyperlink" Target="https://doi.org/10.1021/jacs.6c08853" TargetMode="External"/><Relationship Id="rId958" Type="http://schemas.openxmlformats.org/officeDocument/2006/relationships/hyperlink" Target="https://pubs.acs.org/doi/10.1021/acsami.6c03660" TargetMode="External"/><Relationship Id="rId959" Type="http://schemas.openxmlformats.org/officeDocument/2006/relationships/hyperlink" Target="https://doi.org/10.1021/acsami.6c03660" TargetMode="External"/><Relationship Id="rId960" Type="http://schemas.openxmlformats.org/officeDocument/2006/relationships/hyperlink" Target="https://www.sciencedirect.com/science/article/pii/S0306261926011220?dgcid=rss_sd_all" TargetMode="External"/><Relationship Id="rId961" Type="http://schemas.openxmlformats.org/officeDocument/2006/relationships/hyperlink" Target="https://doi.org/10.1016/j.apenergy.2026.128466" TargetMode="External"/><Relationship Id="rId962" Type="http://schemas.openxmlformats.org/officeDocument/2006/relationships/hyperlink" Target="https://pubs.acs.org/doi/10.1021/jacs.6c09349" TargetMode="External"/><Relationship Id="rId963" Type="http://schemas.openxmlformats.org/officeDocument/2006/relationships/hyperlink" Target="https://doi.org/10.1021/jacs.6c09349" TargetMode="External"/><Relationship Id="rId964" Type="http://schemas.openxmlformats.org/officeDocument/2006/relationships/hyperlink" Target="https://pubs.acs.org/doi/10.1021/acsami.6c07788" TargetMode="External"/><Relationship Id="rId965" Type="http://schemas.openxmlformats.org/officeDocument/2006/relationships/hyperlink" Target="https://doi.org/10.1021/acsami.6c07788" TargetMode="External"/><Relationship Id="rId966" Type="http://schemas.openxmlformats.org/officeDocument/2006/relationships/hyperlink" Target="https://onlinelibrary.wiley.com/doi/10.1002/anie.2536622?af=R" TargetMode="External"/><Relationship Id="rId967" Type="http://schemas.openxmlformats.org/officeDocument/2006/relationships/hyperlink" Target="https://doi.org/10.1002/anie.2536622" TargetMode="External"/><Relationship Id="rId968" Type="http://schemas.openxmlformats.org/officeDocument/2006/relationships/hyperlink" Target="https://www.nature.com/articles/s41893-026-01892-x" TargetMode="External"/><Relationship Id="rId969" Type="http://schemas.openxmlformats.org/officeDocument/2006/relationships/hyperlink" Target="https://doi.org/10.1038/s41893-026-01892-x" TargetMode="External"/><Relationship Id="rId970" Type="http://schemas.openxmlformats.org/officeDocument/2006/relationships/hyperlink" Target="https://www.nature.com/articles/s44286-026-00421-z" TargetMode="External"/><Relationship Id="rId971" Type="http://schemas.openxmlformats.org/officeDocument/2006/relationships/hyperlink" Target="https://doi.org/10.1038/s44286-026-00421-z" TargetMode="External"/><Relationship Id="rId972" Type="http://schemas.openxmlformats.org/officeDocument/2006/relationships/hyperlink" Target="https://www.nature.com/articles/s44286-026-00422-y" TargetMode="External"/><Relationship Id="rId973" Type="http://schemas.openxmlformats.org/officeDocument/2006/relationships/hyperlink" Target="https://doi.org/10.1038/s44286-026-00422-y" TargetMode="External"/><Relationship Id="rId974" Type="http://schemas.openxmlformats.org/officeDocument/2006/relationships/hyperlink" Target="https://www.nature.com/articles/d41586-026-02211-2" TargetMode="External"/><Relationship Id="rId975" Type="http://schemas.openxmlformats.org/officeDocument/2006/relationships/hyperlink" Target="https://doi.org/10.1038/d41586-026-02211-2" TargetMode="External"/><Relationship Id="rId976" Type="http://schemas.openxmlformats.org/officeDocument/2006/relationships/hyperlink" Target="https://www.nature.com/articles/d41586-026-01995-7" TargetMode="External"/><Relationship Id="rId977" Type="http://schemas.openxmlformats.org/officeDocument/2006/relationships/hyperlink" Target="https://doi.org/10.1038/d41586-026-01995-7" TargetMode="External"/><Relationship Id="rId978" Type="http://schemas.openxmlformats.org/officeDocument/2006/relationships/hyperlink" Target="https://www.nature.com/articles/d41586-026-02231-y" TargetMode="External"/><Relationship Id="rId979" Type="http://schemas.openxmlformats.org/officeDocument/2006/relationships/hyperlink" Target="https://doi.org/10.1038/d41586-026-02231-y" TargetMode="External"/><Relationship Id="rId980" Type="http://schemas.openxmlformats.org/officeDocument/2006/relationships/hyperlink" Target="https://www.nature.com/articles/d41586-026-02220-1" TargetMode="External"/><Relationship Id="rId981" Type="http://schemas.openxmlformats.org/officeDocument/2006/relationships/hyperlink" Target="https://doi.org/10.1038/d41586-026-02220-1" TargetMode="External"/><Relationship Id="rId982" Type="http://schemas.openxmlformats.org/officeDocument/2006/relationships/hyperlink" Target="https://www.nature.com/articles/d41586-026-02234-9" TargetMode="External"/><Relationship Id="rId983" Type="http://schemas.openxmlformats.org/officeDocument/2006/relationships/hyperlink" Target="https://doi.org/10.1038/d41586-026-02234-9" TargetMode="External"/><Relationship Id="rId984" Type="http://schemas.openxmlformats.org/officeDocument/2006/relationships/hyperlink" Target="https://academic.oup.com/nsr/advance-article/doi/10.1093/nsr/nwag445/8738144?rss=1" TargetMode="External"/><Relationship Id="rId985" Type="http://schemas.openxmlformats.org/officeDocument/2006/relationships/hyperlink" Target="https://doi.org/10.1093/nsr/nwag445" TargetMode="External"/><Relationship Id="rId986" Type="http://schemas.openxmlformats.org/officeDocument/2006/relationships/hyperlink" Target="https://academic.oup.com/nsr/advance-article/doi/10.1093/nsr/nwag446/8738142?rss=1" TargetMode="External"/><Relationship Id="rId987" Type="http://schemas.openxmlformats.org/officeDocument/2006/relationships/hyperlink" Target="https://doi.org/10.1093/nsr/nwag446" TargetMode="External"/><Relationship Id="rId988" Type="http://schemas.openxmlformats.org/officeDocument/2006/relationships/hyperlink" Target="https://pubs.acs.org/doi/10.1021/acs.chemrev.5c00990" TargetMode="External"/><Relationship Id="rId989" Type="http://schemas.openxmlformats.org/officeDocument/2006/relationships/hyperlink" Target="https://doi.org/10.1021/acs.chemrev.5c00990" TargetMode="External"/><Relationship Id="rId990" Type="http://schemas.openxmlformats.org/officeDocument/2006/relationships/hyperlink" Target="https://pubs.acs.org/doi/10.1021/jacs.6c03759" TargetMode="External"/><Relationship Id="rId991" Type="http://schemas.openxmlformats.org/officeDocument/2006/relationships/hyperlink" Target="https://doi.org/10.1021/jacs.6c03759" TargetMode="External"/><Relationship Id="rId992" Type="http://schemas.openxmlformats.org/officeDocument/2006/relationships/hyperlink" Target="https://pubs.acs.org/doi/10.1021/acs.chemrev.5c01041" TargetMode="External"/><Relationship Id="rId993" Type="http://schemas.openxmlformats.org/officeDocument/2006/relationships/hyperlink" Target="https://doi.org/10.1021/acs.chemrev.5c01041" TargetMode="External"/><Relationship Id="rId994" Type="http://schemas.openxmlformats.org/officeDocument/2006/relationships/hyperlink" Target="https://pubs.acs.org/doi/10.1021/acsami.6c08499" TargetMode="External"/><Relationship Id="rId995" Type="http://schemas.openxmlformats.org/officeDocument/2006/relationships/hyperlink" Target="https://doi.org/10.1021/acsami.6c08499" TargetMode="External"/><Relationship Id="rId996" Type="http://schemas.openxmlformats.org/officeDocument/2006/relationships/hyperlink" Target="https://pubs.acs.org/doi/10.1021/jacs.6c06316" TargetMode="External"/><Relationship Id="rId997" Type="http://schemas.openxmlformats.org/officeDocument/2006/relationships/hyperlink" Target="https://doi.org/10.1021/jacs.6c06316" TargetMode="External"/><Relationship Id="rId998" Type="http://schemas.openxmlformats.org/officeDocument/2006/relationships/hyperlink" Target="https://pubs.acs.org/doi/10.1021/jacs.6c05797" TargetMode="External"/><Relationship Id="rId999" Type="http://schemas.openxmlformats.org/officeDocument/2006/relationships/hyperlink" Target="https://doi.org/10.1021/jacs.6c05797" TargetMode="External"/><Relationship Id="rId1000" Type="http://schemas.openxmlformats.org/officeDocument/2006/relationships/hyperlink" Target="https://www.nature.com/articles/s41557-026-02207-5" TargetMode="External"/><Relationship Id="rId1001" Type="http://schemas.openxmlformats.org/officeDocument/2006/relationships/hyperlink" Target="https://doi.org/10.1038/s41557-026-02207-5" TargetMode="External"/><Relationship Id="rId1002" Type="http://schemas.openxmlformats.org/officeDocument/2006/relationships/hyperlink" Target="https://www.nature.com/articles/d41586-026-02285-y" TargetMode="External"/><Relationship Id="rId1003" Type="http://schemas.openxmlformats.org/officeDocument/2006/relationships/hyperlink" Target="https://doi.org/10.1038/d41586-026-02285-y" TargetMode="External"/><Relationship Id="rId1004" Type="http://schemas.openxmlformats.org/officeDocument/2006/relationships/hyperlink" Target="https://pubs.acs.org/doi/10.1021/jacs.6c07617" TargetMode="External"/><Relationship Id="rId1005" Type="http://schemas.openxmlformats.org/officeDocument/2006/relationships/hyperlink" Target="https://doi.org/10.1021/jacs.6c07617" TargetMode="External"/><Relationship Id="rId1006" Type="http://schemas.openxmlformats.org/officeDocument/2006/relationships/hyperlink" Target="https://www.cell.com/matter/fulltext/S2590-2385(26)00286-9?rss=yes" TargetMode="External"/><Relationship Id="rId1007" Type="http://schemas.openxmlformats.org/officeDocument/2006/relationships/hyperlink" Target="https://doi.org/10.1016/j.matt.2026.102923" TargetMode="External"/><Relationship Id="rId1008" Type="http://schemas.openxmlformats.org/officeDocument/2006/relationships/hyperlink" Target="https://pubs.acs.org/doi/10.1021/jacs.6c07224" TargetMode="External"/><Relationship Id="rId1009" Type="http://schemas.openxmlformats.org/officeDocument/2006/relationships/hyperlink" Target="https://doi.org/10.1021/jacs.6c07224" TargetMode="External"/><Relationship Id="rId1010" Type="http://schemas.openxmlformats.org/officeDocument/2006/relationships/hyperlink" Target="https://pubs.acs.org/doi/10.1021/jacs.6c02173" TargetMode="External"/><Relationship Id="rId1011" Type="http://schemas.openxmlformats.org/officeDocument/2006/relationships/hyperlink" Target="https://doi.org/10.1021/jacs.6c02173" TargetMode="External"/><Relationship Id="rId1012" Type="http://schemas.openxmlformats.org/officeDocument/2006/relationships/hyperlink" Target="https://www.nature.com/articles/s41928-026-01677-2" TargetMode="External"/><Relationship Id="rId1013" Type="http://schemas.openxmlformats.org/officeDocument/2006/relationships/hyperlink" Target="https://doi.org/10.1038/s41928-026-01677-2" TargetMode="External"/><Relationship Id="rId1014" Type="http://schemas.openxmlformats.org/officeDocument/2006/relationships/hyperlink" Target="https://www.nature.com/articles/s41928-026-01675-4" TargetMode="External"/><Relationship Id="rId1015" Type="http://schemas.openxmlformats.org/officeDocument/2006/relationships/hyperlink" Target="https://doi.org/10.1038/s41928-026-01675-4" TargetMode="External"/><Relationship Id="rId1016" Type="http://schemas.openxmlformats.org/officeDocument/2006/relationships/hyperlink" Target="https://pubs.acs.org/doi/10.1021/jacs.6c02487" TargetMode="External"/><Relationship Id="rId1017" Type="http://schemas.openxmlformats.org/officeDocument/2006/relationships/hyperlink" Target="https://doi.org/10.1021/jacs.6c02487" TargetMode="External"/><Relationship Id="rId1018" Type="http://schemas.openxmlformats.org/officeDocument/2006/relationships/hyperlink" Target="https://pubs.acs.org/doi/10.1021/jacs.6c11520" TargetMode="External"/><Relationship Id="rId1019" Type="http://schemas.openxmlformats.org/officeDocument/2006/relationships/hyperlink" Target="https://doi.org/10.1021/jacs.6c11520" TargetMode="External"/><Relationship Id="rId1020" Type="http://schemas.openxmlformats.org/officeDocument/2006/relationships/hyperlink" Target="https://pubs.acs.org/doi/10.1021/jacs.6c07191" TargetMode="External"/><Relationship Id="rId1021" Type="http://schemas.openxmlformats.org/officeDocument/2006/relationships/hyperlink" Target="https://doi.org/10.1021/jacs.6c07191" TargetMode="External"/><Relationship Id="rId1022" Type="http://schemas.openxmlformats.org/officeDocument/2006/relationships/hyperlink" Target="https://pubs.acs.org/doi/10.1021/jacs.6c05911" TargetMode="External"/><Relationship Id="rId1023" Type="http://schemas.openxmlformats.org/officeDocument/2006/relationships/hyperlink" Target="https://doi.org/10.1021/jacs.6c05911" TargetMode="External"/><Relationship Id="rId1024" Type="http://schemas.openxmlformats.org/officeDocument/2006/relationships/hyperlink" Target="https://www.nature.com/articles/s41557-026-02211-9" TargetMode="External"/><Relationship Id="rId1025" Type="http://schemas.openxmlformats.org/officeDocument/2006/relationships/hyperlink" Target="https://doi.org/10.1038/s41557-026-02211-9" TargetMode="External"/><Relationship Id="rId1026" Type="http://schemas.openxmlformats.org/officeDocument/2006/relationships/hyperlink" Target="https://pubs.acs.org/doi/10.1021/jacs.6c05694" TargetMode="External"/><Relationship Id="rId1027" Type="http://schemas.openxmlformats.org/officeDocument/2006/relationships/hyperlink" Target="https://doi.org/10.1021/jacs.6c05694" TargetMode="External"/><Relationship Id="rId1028" Type="http://schemas.openxmlformats.org/officeDocument/2006/relationships/hyperlink" Target="https://pubs.acs.org/doi/10.1021/jacs.6c08353" TargetMode="External"/><Relationship Id="rId1029" Type="http://schemas.openxmlformats.org/officeDocument/2006/relationships/hyperlink" Target="https://doi.org/10.1021/jacs.6c08353" TargetMode="External"/><Relationship Id="rId1030" Type="http://schemas.openxmlformats.org/officeDocument/2006/relationships/hyperlink" Target="https://pubs.acs.org/doi/10.1021/jacs.6c08950" TargetMode="External"/><Relationship Id="rId1031" Type="http://schemas.openxmlformats.org/officeDocument/2006/relationships/hyperlink" Target="https://doi.org/10.1021/jacs.6c08950" TargetMode="External"/><Relationship Id="rId1032" Type="http://schemas.openxmlformats.org/officeDocument/2006/relationships/hyperlink" Target="https://www.nature.com/articles/s41467-026-75244-w" TargetMode="External"/><Relationship Id="rId1033" Type="http://schemas.openxmlformats.org/officeDocument/2006/relationships/hyperlink" Target="https://www.nature.com/articles/s41467-026-74676-8" TargetMode="External"/><Relationship Id="rId1034" Type="http://schemas.openxmlformats.org/officeDocument/2006/relationships/hyperlink" Target="https://www.nature.com/articles/s41467-026-75940-7" TargetMode="External"/><Relationship Id="rId1035" Type="http://schemas.openxmlformats.org/officeDocument/2006/relationships/hyperlink" Target="https://www.nature.com/articles/s41467-026-75824-w" TargetMode="External"/><Relationship Id="rId1036" Type="http://schemas.openxmlformats.org/officeDocument/2006/relationships/hyperlink" Target="https://www.nature.com/articles/s41467-026-75767-2" TargetMode="External"/><Relationship Id="rId1037" Type="http://schemas.openxmlformats.org/officeDocument/2006/relationships/hyperlink" Target="https://www.nature.com/articles/s41467-026-75788-x" TargetMode="External"/><Relationship Id="rId1038" Type="http://schemas.openxmlformats.org/officeDocument/2006/relationships/hyperlink" Target="https://www.nature.com/articles/s41467-026-75705-2" TargetMode="External"/><Relationship Id="rId1039" Type="http://schemas.openxmlformats.org/officeDocument/2006/relationships/hyperlink" Target="https://www.nature.com/articles/s41467-026-75912-x" TargetMode="External"/><Relationship Id="rId1040" Type="http://schemas.openxmlformats.org/officeDocument/2006/relationships/hyperlink" Target="https://www.nature.com/articles/s41467-026-75310-3" TargetMode="External"/><Relationship Id="rId1041" Type="http://schemas.openxmlformats.org/officeDocument/2006/relationships/hyperlink" Target="https://www.nature.com/articles/s41467-026-75889-7" TargetMode="External"/><Relationship Id="rId1042" Type="http://schemas.openxmlformats.org/officeDocument/2006/relationships/hyperlink" Target="https://www.nature.com/articles/s41467-026-75796-x" TargetMode="External"/><Relationship Id="rId1043" Type="http://schemas.openxmlformats.org/officeDocument/2006/relationships/hyperlink" Target="https://www.nature.com/articles/s41467-026-75273-5" TargetMode="External"/><Relationship Id="rId1044" Type="http://schemas.openxmlformats.org/officeDocument/2006/relationships/hyperlink" Target="https://pubs.acs.org/doi/10.1021/acsami.6c10454" TargetMode="External"/><Relationship Id="rId1045" Type="http://schemas.openxmlformats.org/officeDocument/2006/relationships/hyperlink" Target="https://doi.org/10.1021/acsami.6c10454" TargetMode="External"/><Relationship Id="rId1046" Type="http://schemas.openxmlformats.org/officeDocument/2006/relationships/hyperlink" Target="https://pubs.acs.org/doi/10.1021/acsami.6c02729" TargetMode="External"/><Relationship Id="rId1047" Type="http://schemas.openxmlformats.org/officeDocument/2006/relationships/hyperlink" Target="https://doi.org/10.1021/acsami.6c02729" TargetMode="External"/><Relationship Id="rId1048" Type="http://schemas.openxmlformats.org/officeDocument/2006/relationships/hyperlink" Target="https://pubs.acs.org/doi/10.1021/acsami.6c11575" TargetMode="External"/><Relationship Id="rId1049" Type="http://schemas.openxmlformats.org/officeDocument/2006/relationships/hyperlink" Target="https://doi.org/10.1021/acsami.6c11575" TargetMode="External"/><Relationship Id="rId1050" Type="http://schemas.openxmlformats.org/officeDocument/2006/relationships/hyperlink" Target="https://pubs.acs.org/doi/10.1021/acsami.6c07065" TargetMode="External"/><Relationship Id="rId1051" Type="http://schemas.openxmlformats.org/officeDocument/2006/relationships/hyperlink" Target="https://doi.org/10.1021/acsami.6c07065" TargetMode="External"/><Relationship Id="rId1052" Type="http://schemas.openxmlformats.org/officeDocument/2006/relationships/hyperlink" Target="https://pubs.acs.org/doi/10.1021/acsami.6c06201" TargetMode="External"/><Relationship Id="rId1053" Type="http://schemas.openxmlformats.org/officeDocument/2006/relationships/hyperlink" Target="https://doi.org/10.1021/acsami.6c06201" TargetMode="External"/><Relationship Id="rId1054" Type="http://schemas.openxmlformats.org/officeDocument/2006/relationships/hyperlink" Target="https://pubs.acs.org/doi/10.1021/acsami.6c06534" TargetMode="External"/><Relationship Id="rId1055" Type="http://schemas.openxmlformats.org/officeDocument/2006/relationships/hyperlink" Target="https://doi.org/10.1021/acsami.6c06534" TargetMode="External"/><Relationship Id="rId1056" Type="http://schemas.openxmlformats.org/officeDocument/2006/relationships/hyperlink" Target="https://pubs.acs.org/doi/10.1021/acsami.6c11703" TargetMode="External"/><Relationship Id="rId1057" Type="http://schemas.openxmlformats.org/officeDocument/2006/relationships/hyperlink" Target="https://doi.org/10.1021/acsami.6c11703" TargetMode="External"/><Relationship Id="rId1058" Type="http://schemas.openxmlformats.org/officeDocument/2006/relationships/hyperlink" Target="https://www.nature.com/articles/s41467-026-75608-2" TargetMode="External"/><Relationship Id="rId1059" Type="http://schemas.openxmlformats.org/officeDocument/2006/relationships/hyperlink" Target="https://www.sciencedirect.com/science/article/pii/S0301421526004234?dgcid=rss_sd_all" TargetMode="External"/><Relationship Id="rId1060" Type="http://schemas.openxmlformats.org/officeDocument/2006/relationships/hyperlink" Target="https://doi.org/10.1016/j.enpol.2026.115489" TargetMode="External"/><Relationship Id="rId1061" Type="http://schemas.openxmlformats.org/officeDocument/2006/relationships/hyperlink" Target="https://www.nature.com/articles/s41467-026-74823-1" TargetMode="External"/><Relationship Id="rId1062" Type="http://schemas.openxmlformats.org/officeDocument/2006/relationships/hyperlink" Target="https://pubs.acs.org/doi/10.1021/acsami.6c07805" TargetMode="External"/><Relationship Id="rId1063" Type="http://schemas.openxmlformats.org/officeDocument/2006/relationships/hyperlink" Target="https://doi.org/10.1021/acsami.6c07805" TargetMode="External"/><Relationship Id="rId1064" Type="http://schemas.openxmlformats.org/officeDocument/2006/relationships/hyperlink" Target="https://www.nature.com/articles/s41467-026-74810-6" TargetMode="External"/><Relationship Id="rId1065" Type="http://schemas.openxmlformats.org/officeDocument/2006/relationships/hyperlink" Target="https://www.nature.com/articles/s41467-026-75690-6" TargetMode="External"/><Relationship Id="rId1066" Type="http://schemas.openxmlformats.org/officeDocument/2006/relationships/hyperlink" Target="https://www.nature.com/articles/s41467-026-75634-0" TargetMode="External"/><Relationship Id="rId1067" Type="http://schemas.openxmlformats.org/officeDocument/2006/relationships/hyperlink" Target="https://www.nature.com/articles/s41467-026-75743-w" TargetMode="External"/><Relationship Id="rId1068" Type="http://schemas.openxmlformats.org/officeDocument/2006/relationships/hyperlink" Target="https://www.nature.com/articles/s41467-026-75693-3" TargetMode="External"/><Relationship Id="rId1069" Type="http://schemas.openxmlformats.org/officeDocument/2006/relationships/hyperlink" Target="https://www.nature.com/articles/s41467-026-75768-1" TargetMode="External"/><Relationship Id="rId1070" Type="http://schemas.openxmlformats.org/officeDocument/2006/relationships/hyperlink" Target="https://www.nature.com/articles/s41467-026-75769-0" TargetMode="External"/><Relationship Id="rId1071" Type="http://schemas.openxmlformats.org/officeDocument/2006/relationships/hyperlink" Target="https://www.nature.com/articles/s41467-026-75919-4" TargetMode="External"/><Relationship Id="rId1072" Type="http://schemas.openxmlformats.org/officeDocument/2006/relationships/hyperlink" Target="https://pubs.acs.org/doi/10.1021/acsami.6c10610" TargetMode="External"/><Relationship Id="rId1073" Type="http://schemas.openxmlformats.org/officeDocument/2006/relationships/hyperlink" Target="https://doi.org/10.1021/acsami.6c10610" TargetMode="External"/><Relationship Id="rId1074" Type="http://schemas.openxmlformats.org/officeDocument/2006/relationships/hyperlink" Target="https://pubs.acs.org/doi/10.1021/acsami.6c06120" TargetMode="External"/><Relationship Id="rId1075" Type="http://schemas.openxmlformats.org/officeDocument/2006/relationships/hyperlink" Target="https://doi.org/10.1021/acsami.6c06120" TargetMode="External"/><Relationship Id="rId1076" Type="http://schemas.openxmlformats.org/officeDocument/2006/relationships/hyperlink" Target="https://pubs.acs.org/doi/10.1021/acsami.6c13798" TargetMode="External"/><Relationship Id="rId1077" Type="http://schemas.openxmlformats.org/officeDocument/2006/relationships/hyperlink" Target="https://doi.org/10.1021/acsami.6c13798" TargetMode="External"/><Relationship Id="rId1078" Type="http://schemas.openxmlformats.org/officeDocument/2006/relationships/hyperlink" Target="https://www.nature.com/articles/s41467-026-74809-z" TargetMode="External"/><Relationship Id="rId1079" Type="http://schemas.openxmlformats.org/officeDocument/2006/relationships/hyperlink" Target="https://www.nature.com/articles/s41467-026-75345-6" TargetMode="External"/><Relationship Id="rId1080" Type="http://schemas.openxmlformats.org/officeDocument/2006/relationships/hyperlink" Target="https://www.nature.com/articles/s41467-026-75581-w" TargetMode="External"/><Relationship Id="rId1081" Type="http://schemas.openxmlformats.org/officeDocument/2006/relationships/hyperlink" Target="https://www.nature.com/articles/s41467-026-75771-6" TargetMode="External"/><Relationship Id="rId1082" Type="http://schemas.openxmlformats.org/officeDocument/2006/relationships/hyperlink" Target="https://www.nature.com/articles/s41467-026-75818-8" TargetMode="External"/><Relationship Id="rId1083" Type="http://schemas.openxmlformats.org/officeDocument/2006/relationships/hyperlink" Target="https://pubs.acs.org/doi/10.1021/acsami.6c08329" TargetMode="External"/><Relationship Id="rId1084" Type="http://schemas.openxmlformats.org/officeDocument/2006/relationships/hyperlink" Target="https://doi.org/10.1021/acsami.6c08329" TargetMode="External"/><Relationship Id="rId1085" Type="http://schemas.openxmlformats.org/officeDocument/2006/relationships/hyperlink" Target="https://www.nature.com/articles/s41467-026-75451-5" TargetMode="External"/><Relationship Id="rId1086" Type="http://schemas.openxmlformats.org/officeDocument/2006/relationships/hyperlink" Target="https://www.nature.com/articles/s41467-026-75729-8" TargetMode="External"/><Relationship Id="rId1087" Type="http://schemas.openxmlformats.org/officeDocument/2006/relationships/hyperlink" Target="https://www.pnas.org/doi/abs/10.1073/pnas.2614134123?mi=eymic2&amp;af=R&amp;access=on&amp;content=articlesChapters&amp;publication=pnas&amp;sortBy=Earliest&amp;target=default" TargetMode="External"/><Relationship Id="rId1088" Type="http://schemas.openxmlformats.org/officeDocument/2006/relationships/hyperlink" Target="https://doi.org/10.1073/pnas.2614134123" TargetMode="External"/><Relationship Id="rId1089" Type="http://schemas.openxmlformats.org/officeDocument/2006/relationships/hyperlink" Target="https://www.pnas.org/doi/abs/10.1073/pnas.2602753123?mi=eymic2&amp;af=R&amp;access=on&amp;content=articlesChapters&amp;publication=pnas&amp;sortBy=Earliest&amp;target=default" TargetMode="External"/><Relationship Id="rId1090" Type="http://schemas.openxmlformats.org/officeDocument/2006/relationships/hyperlink" Target="https://doi.org/10.1073/pnas.2602753123" TargetMode="External"/><Relationship Id="rId1091" Type="http://schemas.openxmlformats.org/officeDocument/2006/relationships/hyperlink" Target="https://www.pnas.org/doi/abs/10.1073/pnas.2619021123?mi=eymic2&amp;af=R&amp;access=on&amp;content=articlesChapters&amp;publication=pnas&amp;sortBy=Earliest&amp;target=default" TargetMode="External"/><Relationship Id="rId1092" Type="http://schemas.openxmlformats.org/officeDocument/2006/relationships/hyperlink" Target="https://doi.org/10.1073/pnas.2619021123" TargetMode="External"/><Relationship Id="rId1093" Type="http://schemas.openxmlformats.org/officeDocument/2006/relationships/hyperlink" Target="https://www.pnas.org/doi/abs/10.1073/pnas.2619020123?mi=eymic2&amp;af=R&amp;access=on&amp;content=articlesChapters&amp;publication=pnas&amp;sortBy=Earliest&amp;target=default" TargetMode="External"/><Relationship Id="rId1094" Type="http://schemas.openxmlformats.org/officeDocument/2006/relationships/hyperlink" Target="https://doi.org/10.1073/pnas.2619020123" TargetMode="External"/><Relationship Id="rId1095" Type="http://schemas.openxmlformats.org/officeDocument/2006/relationships/hyperlink" Target="https://www.pnas.org/doi/abs/10.1073/pnas.2617209123?mi=eymic2&amp;af=R&amp;access=on&amp;content=articlesChapters&amp;publication=pnas&amp;sortBy=Earliest&amp;target=default" TargetMode="External"/><Relationship Id="rId1096" Type="http://schemas.openxmlformats.org/officeDocument/2006/relationships/hyperlink" Target="https://doi.org/10.1073/pnas.2617209123" TargetMode="External"/><Relationship Id="rId1097" Type="http://schemas.openxmlformats.org/officeDocument/2006/relationships/hyperlink" Target="https://www.pnas.org/doi/abs/10.1073/pnas.2617208123?mi=eymic2&amp;af=R&amp;access=on&amp;content=articlesChapters&amp;publication=pnas&amp;sortBy=Earliest&amp;target=default" TargetMode="External"/><Relationship Id="rId1098" Type="http://schemas.openxmlformats.org/officeDocument/2006/relationships/hyperlink" Target="https://doi.org/10.1073/pnas.2617208123" TargetMode="External"/><Relationship Id="rId1099" Type="http://schemas.openxmlformats.org/officeDocument/2006/relationships/hyperlink" Target="https://www.pnas.org/doi/abs/10.1073/pnas.2617170123?mi=eymic2&amp;af=R&amp;access=on&amp;content=articlesChapters&amp;publication=pnas&amp;sortBy=Earliest&amp;target=default" TargetMode="External"/><Relationship Id="rId1100" Type="http://schemas.openxmlformats.org/officeDocument/2006/relationships/hyperlink" Target="https://doi.org/10.1073/pnas.2617170123" TargetMode="External"/><Relationship Id="rId1101" Type="http://schemas.openxmlformats.org/officeDocument/2006/relationships/hyperlink" Target="https://www.pnas.org/doi/abs/10.1073/pnas.2614867123?mi=eymic2&amp;af=R&amp;access=on&amp;content=articlesChapters&amp;publication=pnas&amp;sortBy=Earliest&amp;target=default" TargetMode="External"/><Relationship Id="rId1102" Type="http://schemas.openxmlformats.org/officeDocument/2006/relationships/hyperlink" Target="https://doi.org/10.1073/pnas.2614867123" TargetMode="External"/><Relationship Id="rId1103" Type="http://schemas.openxmlformats.org/officeDocument/2006/relationships/hyperlink" Target="https://www.pnas.org/doi/abs/10.1073/pnas.2608203123?mi=eymic2&amp;af=R&amp;access=on&amp;content=articlesChapters&amp;publication=pnas&amp;sortBy=Earliest&amp;target=default" TargetMode="External"/><Relationship Id="rId1104" Type="http://schemas.openxmlformats.org/officeDocument/2006/relationships/hyperlink" Target="https://doi.org/10.1073/pnas.2608203123" TargetMode="External"/><Relationship Id="rId1105" Type="http://schemas.openxmlformats.org/officeDocument/2006/relationships/hyperlink" Target="https://www.pnas.org/doi/abs/10.1073/pnas.2612082123?mi=eymic2&amp;af=R&amp;access=on&amp;content=articlesChapters&amp;publication=pnas&amp;sortBy=Earliest&amp;target=default" TargetMode="External"/><Relationship Id="rId1106" Type="http://schemas.openxmlformats.org/officeDocument/2006/relationships/hyperlink" Target="https://doi.org/10.1073/pnas.2612082123" TargetMode="External"/><Relationship Id="rId1107" Type="http://schemas.openxmlformats.org/officeDocument/2006/relationships/hyperlink" Target="https://www.pnas.org/doi/abs/10.1073/pnas.2609513123?mi=eymic2&amp;af=R&amp;access=on&amp;content=articlesChapters&amp;publication=pnas&amp;sortBy=Earliest&amp;target=default" TargetMode="External"/><Relationship Id="rId1108" Type="http://schemas.openxmlformats.org/officeDocument/2006/relationships/hyperlink" Target="https://doi.org/10.1073/pnas.2609513123" TargetMode="External"/><Relationship Id="rId1109" Type="http://schemas.openxmlformats.org/officeDocument/2006/relationships/hyperlink" Target="https://www.pnas.org/doi/abs/10.1073/pnas.2619944123?mi=eymic2&amp;af=R&amp;access=on&amp;content=articlesChapters&amp;publication=pnas&amp;sortBy=Earliest&amp;target=default" TargetMode="External"/><Relationship Id="rId1110" Type="http://schemas.openxmlformats.org/officeDocument/2006/relationships/hyperlink" Target="https://doi.org/10.1073/pnas.2619944123" TargetMode="External"/><Relationship Id="rId1111" Type="http://schemas.openxmlformats.org/officeDocument/2006/relationships/hyperlink" Target="https://www.pnas.org/doi/abs/10.1073/pnas.2623204123?mi=eymic2&amp;af=R&amp;access=on&amp;content=articlesChapters&amp;publication=pnas&amp;sortBy=Earliest&amp;target=default" TargetMode="External"/><Relationship Id="rId1112" Type="http://schemas.openxmlformats.org/officeDocument/2006/relationships/hyperlink" Target="https://doi.org/10.1073/pnas.2623204123" TargetMode="External"/><Relationship Id="rId1113" Type="http://schemas.openxmlformats.org/officeDocument/2006/relationships/hyperlink" Target="https://www.pnas.org/doi/abs/10.1073/pnas.2606704123?mi=eymic2&amp;af=R&amp;access=on&amp;content=articlesChapters&amp;publication=pnas&amp;sortBy=Earliest&amp;target=default" TargetMode="External"/><Relationship Id="rId1114" Type="http://schemas.openxmlformats.org/officeDocument/2006/relationships/hyperlink" Target="https://doi.org/10.1073/pnas.2606704123" TargetMode="External"/><Relationship Id="rId1115" Type="http://schemas.openxmlformats.org/officeDocument/2006/relationships/hyperlink" Target="https://www.pnas.org/doi/abs/10.1073/pnas.2605701123?mi=eymic2&amp;af=R&amp;access=on&amp;content=articlesChapters&amp;publication=pnas&amp;sortBy=Earliest&amp;target=default" TargetMode="External"/><Relationship Id="rId1116" Type="http://schemas.openxmlformats.org/officeDocument/2006/relationships/hyperlink" Target="https://doi.org/10.1073/pnas.2605701123" TargetMode="External"/><Relationship Id="rId1117" Type="http://schemas.openxmlformats.org/officeDocument/2006/relationships/hyperlink" Target="https://www.pnas.org/doi/abs/10.1073/pnas.2603653123?mi=eymic2&amp;af=R&amp;access=on&amp;content=articlesChapters&amp;publication=pnas&amp;sortBy=Earliest&amp;target=default" TargetMode="External"/><Relationship Id="rId1118" Type="http://schemas.openxmlformats.org/officeDocument/2006/relationships/hyperlink" Target="https://doi.org/10.1073/pnas.2603653123" TargetMode="External"/><Relationship Id="rId1119" Type="http://schemas.openxmlformats.org/officeDocument/2006/relationships/hyperlink" Target="https://www.pnas.org/doi/abs/10.1073/pnas.2608771123?mi=eymic2&amp;af=R&amp;access=on&amp;content=articlesChapters&amp;publication=pnas&amp;sortBy=Earliest&amp;target=default" TargetMode="External"/><Relationship Id="rId1120" Type="http://schemas.openxmlformats.org/officeDocument/2006/relationships/hyperlink" Target="https://doi.org/10.1073/pnas.2608771123" TargetMode="External"/><Relationship Id="rId1121" Type="http://schemas.openxmlformats.org/officeDocument/2006/relationships/hyperlink" Target="https://www.pnas.org/doi/abs/10.1073/pnas.2604812123?mi=eymic2&amp;af=R&amp;access=on&amp;content=articlesChapters&amp;publication=pnas&amp;sortBy=Earliest&amp;target=default" TargetMode="External"/><Relationship Id="rId1122" Type="http://schemas.openxmlformats.org/officeDocument/2006/relationships/hyperlink" Target="https://doi.org/10.1073/pnas.2604812123" TargetMode="External"/><Relationship Id="rId1123" Type="http://schemas.openxmlformats.org/officeDocument/2006/relationships/hyperlink" Target="https://www.pnas.org/doi/abs/10.1073/pnas.2612961123?mi=eymic2&amp;af=R&amp;access=on&amp;content=articlesChapters&amp;publication=pnas&amp;sortBy=Earliest&amp;target=default" TargetMode="External"/><Relationship Id="rId1124" Type="http://schemas.openxmlformats.org/officeDocument/2006/relationships/hyperlink" Target="https://doi.org/10.1073/pnas.2612961123" TargetMode="External"/><Relationship Id="rId1125" Type="http://schemas.openxmlformats.org/officeDocument/2006/relationships/hyperlink" Target="https://www.pnas.org/doi/abs/10.1073/pnas.2623376123?mi=eymic2&amp;af=R&amp;access=on&amp;content=articlesChapters&amp;publication=pnas&amp;sortBy=Earliest&amp;target=default" TargetMode="External"/><Relationship Id="rId1126" Type="http://schemas.openxmlformats.org/officeDocument/2006/relationships/hyperlink" Target="https://doi.org/10.1073/pnas.2623376123" TargetMode="External"/><Relationship Id="rId1127" Type="http://schemas.openxmlformats.org/officeDocument/2006/relationships/hyperlink" Target="https://www.pnas.org/doi/abs/10.1073/pnas.2529071123?mi=eymic2&amp;af=R&amp;access=on&amp;content=articlesChapters&amp;publication=pnas&amp;sortBy=Earliest&amp;target=default" TargetMode="External"/><Relationship Id="rId1128" Type="http://schemas.openxmlformats.org/officeDocument/2006/relationships/hyperlink" Target="https://doi.org/10.1073/pnas.2529071123" TargetMode="External"/><Relationship Id="rId1129" Type="http://schemas.openxmlformats.org/officeDocument/2006/relationships/hyperlink" Target="https://www.pnas.org/doi/abs/10.1073/pnas.2602947123?mi=eymic2&amp;af=R&amp;access=on&amp;content=articlesChapters&amp;publication=pnas&amp;sortBy=Earliest&amp;target=default" TargetMode="External"/><Relationship Id="rId1130" Type="http://schemas.openxmlformats.org/officeDocument/2006/relationships/hyperlink" Target="https://doi.org/10.1073/pnas.2602947123" TargetMode="External"/><Relationship Id="rId1131" Type="http://schemas.openxmlformats.org/officeDocument/2006/relationships/hyperlink" Target="https://www.pnas.org/doi/abs/10.1073/pnas.2530704123?mi=eymic2&amp;af=R&amp;access=on&amp;content=articlesChapters&amp;publication=pnas&amp;sortBy=Earliest&amp;target=default" TargetMode="External"/><Relationship Id="rId1132" Type="http://schemas.openxmlformats.org/officeDocument/2006/relationships/hyperlink" Target="https://doi.org/10.1073/pnas.2530704123" TargetMode="External"/><Relationship Id="rId1133" Type="http://schemas.openxmlformats.org/officeDocument/2006/relationships/hyperlink" Target="https://www.pnas.org/doi/abs/10.1073/pnas.2601182123?mi=eymic2&amp;af=R&amp;access=on&amp;content=articlesChapters&amp;publication=pnas&amp;sortBy=Earliest&amp;target=default" TargetMode="External"/><Relationship Id="rId1134" Type="http://schemas.openxmlformats.org/officeDocument/2006/relationships/hyperlink" Target="https://doi.org/10.1073/pnas.2601182123" TargetMode="External"/><Relationship Id="rId1135" Type="http://schemas.openxmlformats.org/officeDocument/2006/relationships/hyperlink" Target="https://www.pnas.org/doi/abs/10.1073/pnas.2534729123?mi=eymic2&amp;af=R&amp;access=on&amp;content=articlesChapters&amp;publication=pnas&amp;sortBy=Earliest&amp;target=default" TargetMode="External"/><Relationship Id="rId1136" Type="http://schemas.openxmlformats.org/officeDocument/2006/relationships/hyperlink" Target="https://doi.org/10.1073/pnas.2534729123" TargetMode="External"/><Relationship Id="rId1137" Type="http://schemas.openxmlformats.org/officeDocument/2006/relationships/hyperlink" Target="https://www.pnas.org/doi/abs/10.1073/pnas.2533427123?mi=eymic2&amp;af=R&amp;access=on&amp;content=articlesChapters&amp;publication=pnas&amp;sortBy=Earliest&amp;target=default" TargetMode="External"/><Relationship Id="rId1138" Type="http://schemas.openxmlformats.org/officeDocument/2006/relationships/hyperlink" Target="https://doi.org/10.1073/pnas.2533427123" TargetMode="External"/><Relationship Id="rId1139" Type="http://schemas.openxmlformats.org/officeDocument/2006/relationships/hyperlink" Target="https://www.pnas.org/doi/abs/10.1073/pnas.2533309123?mi=eymic2&amp;af=R&amp;access=on&amp;content=articlesChapters&amp;publication=pnas&amp;sortBy=Earliest&amp;target=default" TargetMode="External"/><Relationship Id="rId1140" Type="http://schemas.openxmlformats.org/officeDocument/2006/relationships/hyperlink" Target="https://doi.org/10.1073/pnas.2533309123" TargetMode="External"/><Relationship Id="rId1141" Type="http://schemas.openxmlformats.org/officeDocument/2006/relationships/hyperlink" Target="https://www.pnas.org/doi/abs/10.1073/pnas.2532934123?mi=eymic2&amp;af=R&amp;access=on&amp;content=articlesChapters&amp;publication=pnas&amp;sortBy=Earliest&amp;target=default" TargetMode="External"/><Relationship Id="rId1142" Type="http://schemas.openxmlformats.org/officeDocument/2006/relationships/hyperlink" Target="https://doi.org/10.1073/pnas.2532934123" TargetMode="External"/><Relationship Id="rId1143" Type="http://schemas.openxmlformats.org/officeDocument/2006/relationships/hyperlink" Target="https://www.pnas.org/doi/abs/10.1073/pnas.2532642123?mi=eymic2&amp;af=R&amp;access=on&amp;content=articlesChapters&amp;publication=pnas&amp;sortBy=Earliest&amp;target=default" TargetMode="External"/><Relationship Id="rId1144" Type="http://schemas.openxmlformats.org/officeDocument/2006/relationships/hyperlink" Target="https://doi.org/10.1073/pnas.2532642123" TargetMode="External"/><Relationship Id="rId1145" Type="http://schemas.openxmlformats.org/officeDocument/2006/relationships/hyperlink" Target="https://www.pnas.org/doi/abs/10.1073/pnas.2530028123?mi=eymic2&amp;af=R&amp;access=on&amp;content=articlesChapters&amp;publication=pnas&amp;sortBy=Earliest&amp;target=default" TargetMode="External"/><Relationship Id="rId1146" Type="http://schemas.openxmlformats.org/officeDocument/2006/relationships/hyperlink" Target="https://doi.org/10.1073/pnas.2530028123" TargetMode="External"/><Relationship Id="rId1147" Type="http://schemas.openxmlformats.org/officeDocument/2006/relationships/hyperlink" Target="https://www.pnas.org/doi/abs/10.1073/pnas.2509742123?mi=eymic2&amp;af=R&amp;access=on&amp;content=articlesChapters&amp;publication=pnas&amp;sortBy=Earliest&amp;target=default" TargetMode="External"/><Relationship Id="rId1148" Type="http://schemas.openxmlformats.org/officeDocument/2006/relationships/hyperlink" Target="https://doi.org/10.1073/pnas.2509742123" TargetMode="External"/><Relationship Id="rId1149" Type="http://schemas.openxmlformats.org/officeDocument/2006/relationships/hyperlink" Target="https://www.pnas.org/doi/abs/10.1073/pnas.2623377123?mi=eymic2&amp;af=R&amp;access=on&amp;content=articlesChapters&amp;publication=pnas&amp;sortBy=Earliest&amp;target=default" TargetMode="External"/><Relationship Id="rId1150" Type="http://schemas.openxmlformats.org/officeDocument/2006/relationships/hyperlink" Target="https://doi.org/10.1073/pnas.2623377123" TargetMode="External"/><Relationship Id="rId1151" Type="http://schemas.openxmlformats.org/officeDocument/2006/relationships/hyperlink" Target="https://www.pnas.org/doi/abs/10.1073/pnas.2524119123?mi=eymic2&amp;af=R&amp;access=on&amp;content=articlesChapters&amp;publication=pnas&amp;sortBy=Earliest&amp;target=default" TargetMode="External"/><Relationship Id="rId1152" Type="http://schemas.openxmlformats.org/officeDocument/2006/relationships/hyperlink" Target="https://doi.org/10.1073/pnas.2524119123" TargetMode="External"/><Relationship Id="rId1153" Type="http://schemas.openxmlformats.org/officeDocument/2006/relationships/hyperlink" Target="https://www.pnas.org/doi/abs/10.1073/pnas.2509769122?mi=eymic2&amp;af=R&amp;access=on&amp;content=articlesChapters&amp;publication=pnas&amp;sortBy=Earliest&amp;target=default" TargetMode="External"/><Relationship Id="rId1154" Type="http://schemas.openxmlformats.org/officeDocument/2006/relationships/hyperlink" Target="https://doi.org/10.1073/pnas.2509769122" TargetMode="External"/><Relationship Id="rId1155" Type="http://schemas.openxmlformats.org/officeDocument/2006/relationships/hyperlink" Target="https://www.pnas.org/doi/abs/10.1073/pnas.2509766123?mi=eymic2&amp;af=R&amp;access=on&amp;content=articlesChapters&amp;publication=pnas&amp;sortBy=Earliest&amp;target=default" TargetMode="External"/><Relationship Id="rId1156" Type="http://schemas.openxmlformats.org/officeDocument/2006/relationships/hyperlink" Target="https://doi.org/10.1073/pnas.2509766123" TargetMode="External"/><Relationship Id="rId1157" Type="http://schemas.openxmlformats.org/officeDocument/2006/relationships/hyperlink" Target="https://www.pnas.org/doi/abs/10.1073/pnas.2509765122?mi=eymic2&amp;af=R&amp;access=on&amp;content=articlesChapters&amp;publication=pnas&amp;sortBy=Earliest&amp;target=default" TargetMode="External"/><Relationship Id="rId1158" Type="http://schemas.openxmlformats.org/officeDocument/2006/relationships/hyperlink" Target="https://doi.org/10.1073/pnas.2509765122" TargetMode="External"/><Relationship Id="rId1159" Type="http://schemas.openxmlformats.org/officeDocument/2006/relationships/hyperlink" Target="https://www.pnas.org/doi/abs/10.1073/pnas.2509764123?mi=eymic2&amp;af=R&amp;access=on&amp;content=articlesChapters&amp;publication=pnas&amp;sortBy=Earliest&amp;target=default" TargetMode="External"/><Relationship Id="rId1160" Type="http://schemas.openxmlformats.org/officeDocument/2006/relationships/hyperlink" Target="https://doi.org/10.1073/pnas.2509764123" TargetMode="External"/><Relationship Id="rId1161" Type="http://schemas.openxmlformats.org/officeDocument/2006/relationships/hyperlink" Target="https://www.pnas.org/doi/abs/10.1073/pnas.2509763123?mi=eymic2&amp;af=R&amp;access=on&amp;content=articlesChapters&amp;publication=pnas&amp;sortBy=Earliest&amp;target=default" TargetMode="External"/><Relationship Id="rId1162" Type="http://schemas.openxmlformats.org/officeDocument/2006/relationships/hyperlink" Target="https://doi.org/10.1073/pnas.2509763123" TargetMode="External"/><Relationship Id="rId1163" Type="http://schemas.openxmlformats.org/officeDocument/2006/relationships/hyperlink" Target="https://www.pnas.org/doi/abs/10.1073/pnas.2509757122?mi=eymic2&amp;af=R&amp;access=on&amp;content=articlesChapters&amp;publication=pnas&amp;sortBy=Earliest&amp;target=default" TargetMode="External"/><Relationship Id="rId1164" Type="http://schemas.openxmlformats.org/officeDocument/2006/relationships/hyperlink" Target="https://doi.org/10.1073/pnas.2509757122" TargetMode="External"/><Relationship Id="rId1165" Type="http://schemas.openxmlformats.org/officeDocument/2006/relationships/hyperlink" Target="https://www.pnas.org/doi/abs/10.1073/pnas.2602436123?mi=eymic2&amp;af=R&amp;access=on&amp;content=articlesChapters&amp;publication=pnas&amp;sortBy=Earliest&amp;target=default" TargetMode="External"/><Relationship Id="rId1166" Type="http://schemas.openxmlformats.org/officeDocument/2006/relationships/hyperlink" Target="https://doi.org/10.1073/pnas.2602436123" TargetMode="External"/><Relationship Id="rId1167" Type="http://schemas.openxmlformats.org/officeDocument/2006/relationships/hyperlink" Target="https://www.pnas.org/doi/abs/10.1073/pnas.2602740123?mi=eymic2&amp;af=R&amp;access=on&amp;content=articlesChapters&amp;publication=pnas&amp;sortBy=Earliest&amp;target=default" TargetMode="External"/><Relationship Id="rId1168" Type="http://schemas.openxmlformats.org/officeDocument/2006/relationships/hyperlink" Target="https://doi.org/10.1073/pnas.2602740123" TargetMode="External"/><Relationship Id="rId1169" Type="http://schemas.openxmlformats.org/officeDocument/2006/relationships/hyperlink" Target="https://www.pnas.org/doi/abs/10.1073/pnas.2610028123?mi=eymic2&amp;af=R&amp;access=on&amp;content=articlesChapters&amp;publication=pnas&amp;sortBy=Earliest&amp;target=default" TargetMode="External"/><Relationship Id="rId1170" Type="http://schemas.openxmlformats.org/officeDocument/2006/relationships/hyperlink" Target="https://doi.org/10.1073/pnas.2610028123" TargetMode="External"/><Relationship Id="rId1171" Type="http://schemas.openxmlformats.org/officeDocument/2006/relationships/hyperlink" Target="https://www.pnas.org/doi/abs/10.1073/pnas.2521973123?mi=eymic2&amp;af=R&amp;access=on&amp;content=articlesChapters&amp;publication=pnas&amp;sortBy=Earliest&amp;target=default" TargetMode="External"/><Relationship Id="rId1172" Type="http://schemas.openxmlformats.org/officeDocument/2006/relationships/hyperlink" Target="https://doi.org/10.1073/pnas.2521973123" TargetMode="External"/><Relationship Id="rId1173" Type="http://schemas.openxmlformats.org/officeDocument/2006/relationships/hyperlink" Target="https://www.pnas.org/doi/abs/10.1073/pnas.2509768123?mi=eymic2&amp;af=R&amp;access=on&amp;content=articlesChapters&amp;publication=pnas&amp;sortBy=Earliest&amp;target=default" TargetMode="External"/><Relationship Id="rId1174" Type="http://schemas.openxmlformats.org/officeDocument/2006/relationships/hyperlink" Target="https://doi.org/10.1073/pnas.2509768123" TargetMode="External"/><Relationship Id="rId1175" Type="http://schemas.openxmlformats.org/officeDocument/2006/relationships/hyperlink" Target="https://advanced.onlinelibrary.wiley.com/doi/10.1002/adma.74198?af=R" TargetMode="External"/><Relationship Id="rId1176" Type="http://schemas.openxmlformats.org/officeDocument/2006/relationships/hyperlink" Target="https://doi.org/10.1002/adma.74198" TargetMode="External"/><Relationship Id="rId1177" Type="http://schemas.openxmlformats.org/officeDocument/2006/relationships/hyperlink" Target="https://advanced.onlinelibrary.wiley.com/doi/10.1002/adma.74226?af=R" TargetMode="External"/><Relationship Id="rId1178" Type="http://schemas.openxmlformats.org/officeDocument/2006/relationships/hyperlink" Target="https://doi.org/10.1002/adma.74226" TargetMode="External"/><Relationship Id="rId1179" Type="http://schemas.openxmlformats.org/officeDocument/2006/relationships/hyperlink" Target="https://advanced.onlinelibrary.wiley.com/doi/10.1002/adma.74192?af=R" TargetMode="External"/><Relationship Id="rId1180" Type="http://schemas.openxmlformats.org/officeDocument/2006/relationships/hyperlink" Target="https://doi.org/10.1002/adma.74192" TargetMode="External"/><Relationship Id="rId1181" Type="http://schemas.openxmlformats.org/officeDocument/2006/relationships/hyperlink" Target="https://advanced.onlinelibrary.wiley.com/doi/10.1002/adma.74161?af=R" TargetMode="External"/><Relationship Id="rId1182" Type="http://schemas.openxmlformats.org/officeDocument/2006/relationships/hyperlink" Target="https://doi.org/10.1002/adma.74161" TargetMode="External"/><Relationship Id="rId1183" Type="http://schemas.openxmlformats.org/officeDocument/2006/relationships/hyperlink" Target="https://advanced.onlinelibrary.wiley.com/doi/10.1002/adma.74133?af=R" TargetMode="External"/><Relationship Id="rId1184" Type="http://schemas.openxmlformats.org/officeDocument/2006/relationships/hyperlink" Target="https://doi.org/10.1002/adma.74133" TargetMode="External"/><Relationship Id="rId1185" Type="http://schemas.openxmlformats.org/officeDocument/2006/relationships/hyperlink" Target="https://advanced.onlinelibrary.wiley.com/doi/10.1002/adma.74187?af=R" TargetMode="External"/><Relationship Id="rId1186" Type="http://schemas.openxmlformats.org/officeDocument/2006/relationships/hyperlink" Target="https://doi.org/10.1002/adma.74187" TargetMode="External"/><Relationship Id="rId1187" Type="http://schemas.openxmlformats.org/officeDocument/2006/relationships/hyperlink" Target="https://advanced.onlinelibrary.wiley.com/doi/10.1002/adma.74196?af=R" TargetMode="External"/><Relationship Id="rId1188" Type="http://schemas.openxmlformats.org/officeDocument/2006/relationships/hyperlink" Target="https://doi.org/10.1002/adma.74196" TargetMode="External"/><Relationship Id="rId1189" Type="http://schemas.openxmlformats.org/officeDocument/2006/relationships/hyperlink" Target="http://link.aps.org/doi/10.1103/z5pg-7hwx" TargetMode="External"/><Relationship Id="rId1190" Type="http://schemas.openxmlformats.org/officeDocument/2006/relationships/hyperlink" Target="https://doi.org/10.1103/z5pg-7hwx" TargetMode="External"/><Relationship Id="rId1191" Type="http://schemas.openxmlformats.org/officeDocument/2006/relationships/hyperlink" Target="http://link.aps.org/doi/10.1103/hgmj-2s35" TargetMode="External"/><Relationship Id="rId1192" Type="http://schemas.openxmlformats.org/officeDocument/2006/relationships/hyperlink" Target="https://doi.org/10.1103/hgmj-2s35" TargetMode="External"/><Relationship Id="rId1193" Type="http://schemas.openxmlformats.org/officeDocument/2006/relationships/hyperlink" Target="http://link.aps.org/doi/10.1103/dymm-dvr9" TargetMode="External"/><Relationship Id="rId1194" Type="http://schemas.openxmlformats.org/officeDocument/2006/relationships/hyperlink" Target="https://doi.org/10.1103/dymm-dvr9" TargetMode="External"/><Relationship Id="rId1195" Type="http://schemas.openxmlformats.org/officeDocument/2006/relationships/hyperlink" Target="http://link.aps.org/doi/10.1103/1vjx-4jfv" TargetMode="External"/><Relationship Id="rId1196" Type="http://schemas.openxmlformats.org/officeDocument/2006/relationships/hyperlink" Target="https://doi.org/10.1103/1vjx-4jfv" TargetMode="External"/><Relationship Id="rId1197" Type="http://schemas.openxmlformats.org/officeDocument/2006/relationships/hyperlink" Target="http://link.aps.org/doi/10.1103/r8fh-vtps" TargetMode="External"/><Relationship Id="rId1198" Type="http://schemas.openxmlformats.org/officeDocument/2006/relationships/hyperlink" Target="https://doi.org/10.1103/r8fh-vtps" TargetMode="External"/><Relationship Id="rId1199" Type="http://schemas.openxmlformats.org/officeDocument/2006/relationships/hyperlink" Target="http://link.aps.org/doi/10.1103/y3jy-nqcd" TargetMode="External"/><Relationship Id="rId1200" Type="http://schemas.openxmlformats.org/officeDocument/2006/relationships/hyperlink" Target="https://doi.org/10.1103/y3jy-nqcd" TargetMode="External"/><Relationship Id="rId1201" Type="http://schemas.openxmlformats.org/officeDocument/2006/relationships/hyperlink" Target="http://link.aps.org/doi/10.1103/n36d-45zl" TargetMode="External"/><Relationship Id="rId1202" Type="http://schemas.openxmlformats.org/officeDocument/2006/relationships/hyperlink" Target="https://doi.org/10.1103/n36d-45zl" TargetMode="External"/><Relationship Id="rId1203" Type="http://schemas.openxmlformats.org/officeDocument/2006/relationships/hyperlink" Target="http://link.aps.org/doi/10.1103/mt2v-yqtb" TargetMode="External"/><Relationship Id="rId1204" Type="http://schemas.openxmlformats.org/officeDocument/2006/relationships/hyperlink" Target="https://doi.org/10.1103/mt2v-yqtb" TargetMode="External"/><Relationship Id="rId1205" Type="http://schemas.openxmlformats.org/officeDocument/2006/relationships/hyperlink" Target="http://link.aps.org/doi/10.1103/xxsj-fs9j" TargetMode="External"/><Relationship Id="rId1206" Type="http://schemas.openxmlformats.org/officeDocument/2006/relationships/hyperlink" Target="https://doi.org/10.1103/xxsj-fs9j" TargetMode="External"/><Relationship Id="rId1207" Type="http://schemas.openxmlformats.org/officeDocument/2006/relationships/hyperlink" Target="http://link.aps.org/doi/10.1103/1jqp-sg2g" TargetMode="External"/><Relationship Id="rId1208" Type="http://schemas.openxmlformats.org/officeDocument/2006/relationships/hyperlink" Target="https://doi.org/10.1103/1jqp-sg2g" TargetMode="External"/><Relationship Id="rId1209" Type="http://schemas.openxmlformats.org/officeDocument/2006/relationships/hyperlink" Target="http://link.aps.org/doi/10.1103/f2zp-rb6f" TargetMode="External"/><Relationship Id="rId1210" Type="http://schemas.openxmlformats.org/officeDocument/2006/relationships/hyperlink" Target="https://doi.org/10.1103/f2zp-rb6f" TargetMode="External"/><Relationship Id="rId1211" Type="http://schemas.openxmlformats.org/officeDocument/2006/relationships/hyperlink" Target="http://link.aps.org/doi/10.1103/jyz5-pkg4" TargetMode="External"/><Relationship Id="rId1212" Type="http://schemas.openxmlformats.org/officeDocument/2006/relationships/hyperlink" Target="https://doi.org/10.1103/jyz5-pkg4" TargetMode="External"/><Relationship Id="rId1213" Type="http://schemas.openxmlformats.org/officeDocument/2006/relationships/hyperlink" Target="http://link.aps.org/doi/10.1103/49c3-4rp4" TargetMode="External"/><Relationship Id="rId1214" Type="http://schemas.openxmlformats.org/officeDocument/2006/relationships/hyperlink" Target="https://doi.org/10.1103/49c3-4rp4" TargetMode="External"/><Relationship Id="rId1215" Type="http://schemas.openxmlformats.org/officeDocument/2006/relationships/hyperlink" Target="http://link.aps.org/doi/10.1103/6399-gw3k" TargetMode="External"/><Relationship Id="rId1216" Type="http://schemas.openxmlformats.org/officeDocument/2006/relationships/hyperlink" Target="https://doi.org/10.1103/6399-gw3k" TargetMode="External"/><Relationship Id="rId1217" Type="http://schemas.openxmlformats.org/officeDocument/2006/relationships/hyperlink" Target="http://link.aps.org/doi/10.1103/8p6x-w737" TargetMode="External"/><Relationship Id="rId1218" Type="http://schemas.openxmlformats.org/officeDocument/2006/relationships/hyperlink" Target="https://doi.org/10.1103/8p6x-w737" TargetMode="External"/><Relationship Id="rId1219" Type="http://schemas.openxmlformats.org/officeDocument/2006/relationships/hyperlink" Target="http://link.aps.org/doi/10.1103/kxrh-dmyy" TargetMode="External"/><Relationship Id="rId1220" Type="http://schemas.openxmlformats.org/officeDocument/2006/relationships/hyperlink" Target="https://doi.org/10.1103/kxrh-dmyy" TargetMode="External"/><Relationship Id="rId1221" Type="http://schemas.openxmlformats.org/officeDocument/2006/relationships/hyperlink" Target="http://link.aps.org/doi/10.1103/zzks-vkl2" TargetMode="External"/><Relationship Id="rId1222" Type="http://schemas.openxmlformats.org/officeDocument/2006/relationships/hyperlink" Target="https://doi.org/10.1103/zzks-vkl2" TargetMode="External"/><Relationship Id="rId1223" Type="http://schemas.openxmlformats.org/officeDocument/2006/relationships/hyperlink" Target="http://link.aps.org/doi/10.1103/mbhs-vlby" TargetMode="External"/><Relationship Id="rId1224" Type="http://schemas.openxmlformats.org/officeDocument/2006/relationships/hyperlink" Target="https://doi.org/10.1103/mbhs-vlby" TargetMode="External"/><Relationship Id="rId1225" Type="http://schemas.openxmlformats.org/officeDocument/2006/relationships/hyperlink" Target="http://link.aps.org/doi/10.1103/b834-zjgf" TargetMode="External"/><Relationship Id="rId1226" Type="http://schemas.openxmlformats.org/officeDocument/2006/relationships/hyperlink" Target="https://doi.org/10.1103/b834-zjgf" TargetMode="External"/><Relationship Id="rId1227" Type="http://schemas.openxmlformats.org/officeDocument/2006/relationships/hyperlink" Target="http://link.aps.org/doi/10.1103/d766-sns5" TargetMode="External"/><Relationship Id="rId1228" Type="http://schemas.openxmlformats.org/officeDocument/2006/relationships/hyperlink" Target="https://doi.org/10.1103/d766-sns5" TargetMode="External"/><Relationship Id="rId1229" Type="http://schemas.openxmlformats.org/officeDocument/2006/relationships/hyperlink" Target="http://link.aps.org/doi/10.1103/c9dr-bpn4" TargetMode="External"/><Relationship Id="rId1230" Type="http://schemas.openxmlformats.org/officeDocument/2006/relationships/hyperlink" Target="https://doi.org/10.1103/c9dr-bpn4" TargetMode="External"/><Relationship Id="rId1231" Type="http://schemas.openxmlformats.org/officeDocument/2006/relationships/hyperlink" Target="http://link.aps.org/doi/10.1103/nkm7-wycf" TargetMode="External"/><Relationship Id="rId1232" Type="http://schemas.openxmlformats.org/officeDocument/2006/relationships/hyperlink" Target="https://doi.org/10.1103/nkm7-wycf" TargetMode="External"/><Relationship Id="rId1233" Type="http://schemas.openxmlformats.org/officeDocument/2006/relationships/hyperlink" Target="http://link.aps.org/doi/10.1103/fy4t-6bh8" TargetMode="External"/><Relationship Id="rId1234" Type="http://schemas.openxmlformats.org/officeDocument/2006/relationships/hyperlink" Target="https://doi.org/10.1103/fy4t-6bh8" TargetMode="External"/><Relationship Id="rId1235" Type="http://schemas.openxmlformats.org/officeDocument/2006/relationships/hyperlink" Target="http://link.aps.org/doi/10.1103/n1x2-mzzx" TargetMode="External"/><Relationship Id="rId1236" Type="http://schemas.openxmlformats.org/officeDocument/2006/relationships/hyperlink" Target="https://doi.org/10.1103/n1x2-mzzx" TargetMode="External"/><Relationship Id="rId1237" Type="http://schemas.openxmlformats.org/officeDocument/2006/relationships/hyperlink" Target="http://link.aps.org/doi/10.1103/2cst-5qdr" TargetMode="External"/><Relationship Id="rId1238" Type="http://schemas.openxmlformats.org/officeDocument/2006/relationships/hyperlink" Target="https://doi.org/10.1103/2cst-5qdr" TargetMode="External"/><Relationship Id="rId1239" Type="http://schemas.openxmlformats.org/officeDocument/2006/relationships/hyperlink" Target="https://advanced.onlinelibrary.wiley.com/doi/10.1002/adma.74214?af=R" TargetMode="External"/><Relationship Id="rId1240" Type="http://schemas.openxmlformats.org/officeDocument/2006/relationships/hyperlink" Target="https://doi.org/10.1002/adma.74214" TargetMode="External"/><Relationship Id="rId1241" Type="http://schemas.openxmlformats.org/officeDocument/2006/relationships/hyperlink" Target="https://advanced.onlinelibrary.wiley.com/doi/10.1002/adma.74094?af=R" TargetMode="External"/><Relationship Id="rId1242" Type="http://schemas.openxmlformats.org/officeDocument/2006/relationships/hyperlink" Target="https://doi.org/10.1002/adma.74094" TargetMode="External"/><Relationship Id="rId1243" Type="http://schemas.openxmlformats.org/officeDocument/2006/relationships/hyperlink" Target="https://advanced.onlinelibrary.wiley.com/doi/10.1002/adma.202600025?af=R" TargetMode="External"/><Relationship Id="rId1244" Type="http://schemas.openxmlformats.org/officeDocument/2006/relationships/hyperlink" Target="https://doi.org/10.1002/adma.202600025" TargetMode="External"/><Relationship Id="rId1245" Type="http://schemas.openxmlformats.org/officeDocument/2006/relationships/hyperlink" Target="https://advanced.onlinelibrary.wiley.com/doi/10.1002/adma.202521231?af=R" TargetMode="External"/><Relationship Id="rId1246" Type="http://schemas.openxmlformats.org/officeDocument/2006/relationships/hyperlink" Target="https://doi.org/10.1002/adma.202521231" TargetMode="External"/><Relationship Id="rId1247" Type="http://schemas.openxmlformats.org/officeDocument/2006/relationships/hyperlink" Target="https://pubs.acs.org/doi/10.1021/jacs.6c08575" TargetMode="External"/><Relationship Id="rId1248" Type="http://schemas.openxmlformats.org/officeDocument/2006/relationships/hyperlink" Target="https://doi.org/10.1021/jacs.6c08575" TargetMode="External"/><Relationship Id="rId1249" Type="http://schemas.openxmlformats.org/officeDocument/2006/relationships/hyperlink" Target="https://www.sciencedirect.com/science/article/pii/S0306261926011414?dgcid=rss_sd_all" TargetMode="External"/><Relationship Id="rId1250" Type="http://schemas.openxmlformats.org/officeDocument/2006/relationships/hyperlink" Target="https://www.nature.com/articles/s41928-026-01676-3" TargetMode="External"/><Relationship Id="rId1251" Type="http://schemas.openxmlformats.org/officeDocument/2006/relationships/hyperlink" Target="https://doi.org/10.1038/s41928-026-01676-3" TargetMode="External"/><Relationship Id="rId1252" Type="http://schemas.openxmlformats.org/officeDocument/2006/relationships/hyperlink" Target="https://pubs.acs.org/doi/10.1021/acsami.6c08998" TargetMode="External"/><Relationship Id="rId1253" Type="http://schemas.openxmlformats.org/officeDocument/2006/relationships/hyperlink" Target="https://doi.org/10.1021/acsami.6c08998" TargetMode="External"/><Relationship Id="rId1254" Type="http://schemas.openxmlformats.org/officeDocument/2006/relationships/hyperlink" Target="https://www.nature.com/articles/s41557-026-02152-3" TargetMode="External"/><Relationship Id="rId1255" Type="http://schemas.openxmlformats.org/officeDocument/2006/relationships/hyperlink" Target="https://doi.org/10.1038/s41557-026-02152-3" TargetMode="External"/><Relationship Id="rId1256" Type="http://schemas.openxmlformats.org/officeDocument/2006/relationships/hyperlink" Target="https://pubs.acs.org/doi/10.1021/acsami.6c08792" TargetMode="External"/><Relationship Id="rId1257" Type="http://schemas.openxmlformats.org/officeDocument/2006/relationships/hyperlink" Target="https://doi.org/10.1021/acsami.6c08792" TargetMode="External"/><Relationship Id="rId1258" Type="http://schemas.openxmlformats.org/officeDocument/2006/relationships/hyperlink" Target="https://www.nature.com/articles/d41586-026-02210-3" TargetMode="External"/><Relationship Id="rId1259" Type="http://schemas.openxmlformats.org/officeDocument/2006/relationships/hyperlink" Target="https://doi.org/10.1038/d41586-026-02210-3" TargetMode="External"/><Relationship Id="rId1260" Type="http://schemas.openxmlformats.org/officeDocument/2006/relationships/hyperlink" Target="https://pubs.acs.org/doi/10.1021/jacs.6c03953" TargetMode="External"/><Relationship Id="rId1261" Type="http://schemas.openxmlformats.org/officeDocument/2006/relationships/hyperlink" Target="https://doi.org/10.1021/jacs.6c03953" TargetMode="External"/><Relationship Id="rId1262" Type="http://schemas.openxmlformats.org/officeDocument/2006/relationships/hyperlink" Target="https://pubs.acs.org/doi/10.1021/jacs.6c07245" TargetMode="External"/><Relationship Id="rId1263" Type="http://schemas.openxmlformats.org/officeDocument/2006/relationships/hyperlink" Target="https://doi.org/10.1021/jacs.6c07245" TargetMode="External"/><Relationship Id="rId1264" Type="http://schemas.openxmlformats.org/officeDocument/2006/relationships/hyperlink" Target="https://pubs.acs.org/doi/10.1021/jacs.6c09368" TargetMode="External"/><Relationship Id="rId1265" Type="http://schemas.openxmlformats.org/officeDocument/2006/relationships/hyperlink" Target="https://doi.org/10.1021/jacs.6c09368" TargetMode="External"/><Relationship Id="rId1266" Type="http://schemas.openxmlformats.org/officeDocument/2006/relationships/hyperlink" Target="https://pubs.acs.org/doi/10.1021/jacs.6c07828" TargetMode="External"/><Relationship Id="rId1267" Type="http://schemas.openxmlformats.org/officeDocument/2006/relationships/hyperlink" Target="https://doi.org/10.1021/jacs.6c07828" TargetMode="External"/><Relationship Id="rId1268" Type="http://schemas.openxmlformats.org/officeDocument/2006/relationships/hyperlink" Target="https://pubs.acs.org/doi/10.1021/acsami.6c09285" TargetMode="External"/><Relationship Id="rId1269" Type="http://schemas.openxmlformats.org/officeDocument/2006/relationships/hyperlink" Target="https://doi.org/10.1021/acsami.6c09285" TargetMode="External"/><Relationship Id="rId1270" Type="http://schemas.openxmlformats.org/officeDocument/2006/relationships/hyperlink" Target="https://www.nature.com/articles/d41586-026-02213-0" TargetMode="External"/><Relationship Id="rId1271" Type="http://schemas.openxmlformats.org/officeDocument/2006/relationships/hyperlink" Target="https://doi.org/10.1038/d41586-026-02213-0" TargetMode="External"/><Relationship Id="rId1272" Type="http://schemas.openxmlformats.org/officeDocument/2006/relationships/hyperlink" Target="https://pubs.acs.org/doi/10.1021/jacs.6c08865" TargetMode="External"/><Relationship Id="rId1273" Type="http://schemas.openxmlformats.org/officeDocument/2006/relationships/hyperlink" Target="https://doi.org/10.1021/jacs.6c08865" TargetMode="External"/><Relationship Id="rId1274" Type="http://schemas.openxmlformats.org/officeDocument/2006/relationships/hyperlink" Target="https://pubs.acs.org/doi/10.1021/jacs.6c11244" TargetMode="External"/><Relationship Id="rId1275" Type="http://schemas.openxmlformats.org/officeDocument/2006/relationships/hyperlink" Target="https://doi.org/10.1021/jacs.6c11244" TargetMode="External"/><Relationship Id="rId1276" Type="http://schemas.openxmlformats.org/officeDocument/2006/relationships/hyperlink" Target="https://pubs.acs.org/doi/10.1021/acsami.6c02910" TargetMode="External"/><Relationship Id="rId1277" Type="http://schemas.openxmlformats.org/officeDocument/2006/relationships/hyperlink" Target="https://doi.org/10.1021/acsami.6c02910" TargetMode="External"/><Relationship Id="rId1278" Type="http://schemas.openxmlformats.org/officeDocument/2006/relationships/hyperlink" Target="https://pubs.acs.org/doi/10.1021/acsami.6c11606" TargetMode="External"/><Relationship Id="rId1279" Type="http://schemas.openxmlformats.org/officeDocument/2006/relationships/hyperlink" Target="https://doi.org/10.1021/acsami.6c11606" TargetMode="External"/><Relationship Id="rId1280" Type="http://schemas.openxmlformats.org/officeDocument/2006/relationships/hyperlink" Target="https://pubs.acs.org/doi/10.1021/acsami.6c07312" TargetMode="External"/><Relationship Id="rId1281" Type="http://schemas.openxmlformats.org/officeDocument/2006/relationships/hyperlink" Target="https://doi.org/10.1021/acsami.6c07312" TargetMode="External"/><Relationship Id="rId1282" Type="http://schemas.openxmlformats.org/officeDocument/2006/relationships/hyperlink" Target="https://pubs.acs.org/doi/10.1021/acsami.6c11946" TargetMode="External"/><Relationship Id="rId1283" Type="http://schemas.openxmlformats.org/officeDocument/2006/relationships/hyperlink" Target="https://doi.org/10.1021/acsami.6c11946" TargetMode="External"/><Relationship Id="rId1284" Type="http://schemas.openxmlformats.org/officeDocument/2006/relationships/hyperlink" Target="https://pubs.acs.org/doi/10.1021/acsami.6c09671" TargetMode="External"/><Relationship Id="rId1285" Type="http://schemas.openxmlformats.org/officeDocument/2006/relationships/hyperlink" Target="https://doi.org/10.1021/acsami.6c09671" TargetMode="External"/><Relationship Id="rId1286" Type="http://schemas.openxmlformats.org/officeDocument/2006/relationships/hyperlink" Target="https://pubs.acs.org/doi/10.1021/acsami.6c07557" TargetMode="External"/><Relationship Id="rId1287" Type="http://schemas.openxmlformats.org/officeDocument/2006/relationships/hyperlink" Target="https://doi.org/10.1021/acsami.6c07557" TargetMode="External"/><Relationship Id="rId1288" Type="http://schemas.openxmlformats.org/officeDocument/2006/relationships/hyperlink" Target="https://www.nature.com/articles/d41586-026-02281-2" TargetMode="External"/><Relationship Id="rId1289" Type="http://schemas.openxmlformats.org/officeDocument/2006/relationships/hyperlink" Target="https://doi.org/10.1038/d41586-026-02281-2" TargetMode="External"/><Relationship Id="rId1290" Type="http://schemas.openxmlformats.org/officeDocument/2006/relationships/hyperlink" Target="https://www.nature.com/articles/s41467-026-74982-1" TargetMode="External"/><Relationship Id="rId1291" Type="http://schemas.openxmlformats.org/officeDocument/2006/relationships/hyperlink" Target="https://www.nature.com/articles/d41586-026-02212-1" TargetMode="External"/><Relationship Id="rId1292" Type="http://schemas.openxmlformats.org/officeDocument/2006/relationships/hyperlink" Target="https://doi.org/10.1038/d41586-026-02212-1" TargetMode="External"/><Relationship Id="rId1293" Type="http://schemas.openxmlformats.org/officeDocument/2006/relationships/hyperlink" Target="https://pubs.acs.org/doi/10.1021/jacs.6c03350" TargetMode="External"/><Relationship Id="rId1294" Type="http://schemas.openxmlformats.org/officeDocument/2006/relationships/hyperlink" Target="https://doi.org/10.1021/jacs.6c03350" TargetMode="External"/><Relationship Id="rId1295" Type="http://schemas.openxmlformats.org/officeDocument/2006/relationships/hyperlink" Target="https://academic.oup.com/nsr/advance-article/doi/10.1093/nsr/nwag444/8739107?rss=1" TargetMode="External"/><Relationship Id="rId1296" Type="http://schemas.openxmlformats.org/officeDocument/2006/relationships/hyperlink" Target="https://doi.org/10.1093/nsr/nwag444" TargetMode="External"/><Relationship Id="rId1297" Type="http://schemas.openxmlformats.org/officeDocument/2006/relationships/hyperlink" Target="https://academic.oup.com/nsr/advance-article/doi/10.1093/nsr/nwag447/8739103?rss=1" TargetMode="External"/><Relationship Id="rId1298" Type="http://schemas.openxmlformats.org/officeDocument/2006/relationships/hyperlink" Target="https://doi.org/10.1093/nsr/nwag447" TargetMode="External"/><Relationship Id="rId1299" Type="http://schemas.openxmlformats.org/officeDocument/2006/relationships/hyperlink" Target="https://pubs.acs.org/doi/10.1021/jacs.6c07991" TargetMode="External"/><Relationship Id="rId1300" Type="http://schemas.openxmlformats.org/officeDocument/2006/relationships/hyperlink" Target="https://doi.org/10.1021/jacs.6c07991" TargetMode="External"/><Relationship Id="rId1301" Type="http://schemas.openxmlformats.org/officeDocument/2006/relationships/hyperlink" Target="https://pubs.acs.org/doi/10.1021/jacs.6c09763" TargetMode="External"/><Relationship Id="rId1302" Type="http://schemas.openxmlformats.org/officeDocument/2006/relationships/hyperlink" Target="https://doi.org/10.1021/jacs.6c09763" TargetMode="External"/><Relationship Id="rId1303" Type="http://schemas.openxmlformats.org/officeDocument/2006/relationships/hyperlink" Target="https://www.nature.com/articles/s41557-026-02216-4" TargetMode="External"/><Relationship Id="rId1304" Type="http://schemas.openxmlformats.org/officeDocument/2006/relationships/hyperlink" Target="https://doi.org/10.1038/s41557-026-02216-4" TargetMode="External"/><Relationship Id="rId1305" Type="http://schemas.openxmlformats.org/officeDocument/2006/relationships/hyperlink" Target="https://www.nature.com/articles/d41586-026-02215-y" TargetMode="External"/><Relationship Id="rId1306" Type="http://schemas.openxmlformats.org/officeDocument/2006/relationships/hyperlink" Target="https://doi.org/10.1038/d41586-026-02215-y" TargetMode="External"/><Relationship Id="rId1307" Type="http://schemas.openxmlformats.org/officeDocument/2006/relationships/hyperlink" Target="https://pubs.acs.org/doi/10.1021/jacs.6c11250" TargetMode="External"/><Relationship Id="rId1308" Type="http://schemas.openxmlformats.org/officeDocument/2006/relationships/hyperlink" Target="https://doi.org/10.1021/jacs.6c11250" TargetMode="External"/><Relationship Id="rId1309" Type="http://schemas.openxmlformats.org/officeDocument/2006/relationships/hyperlink" Target="https://pubs.acs.org/doi/10.1021/jacs.6c11412" TargetMode="External"/><Relationship Id="rId1310" Type="http://schemas.openxmlformats.org/officeDocument/2006/relationships/hyperlink" Target="https://doi.org/10.1021/jacs.6c11412" TargetMode="External"/><Relationship Id="rId1311" Type="http://schemas.openxmlformats.org/officeDocument/2006/relationships/hyperlink" Target="https://www.nature.com/articles/s41467-026-75609-1" TargetMode="External"/><Relationship Id="rId1312" Type="http://schemas.openxmlformats.org/officeDocument/2006/relationships/hyperlink" Target="https://pubs.acs.org/doi/10.1021/jacs.6c03785" TargetMode="External"/><Relationship Id="rId1313" Type="http://schemas.openxmlformats.org/officeDocument/2006/relationships/hyperlink" Target="https://doi.org/10.1021/jacs.6c03785" TargetMode="External"/><Relationship Id="rId1314" Type="http://schemas.openxmlformats.org/officeDocument/2006/relationships/hyperlink" Target="https://pubs.acs.org/doi/10.1021/jacs.6c08146" TargetMode="External"/><Relationship Id="rId1315" Type="http://schemas.openxmlformats.org/officeDocument/2006/relationships/hyperlink" Target="https://doi.org/10.1021/jacs.6c08146" TargetMode="External"/><Relationship Id="rId1316" Type="http://schemas.openxmlformats.org/officeDocument/2006/relationships/hyperlink" Target="https://www.nature.com/articles/s41565-026-02230-0" TargetMode="External"/><Relationship Id="rId1317" Type="http://schemas.openxmlformats.org/officeDocument/2006/relationships/hyperlink" Target="https://doi.org/10.1038/s41565-026-02230-0" TargetMode="External"/><Relationship Id="rId1318" Type="http://schemas.openxmlformats.org/officeDocument/2006/relationships/hyperlink" Target="https://www.nature.com/articles/d41586-026-02228-7" TargetMode="External"/><Relationship Id="rId1319" Type="http://schemas.openxmlformats.org/officeDocument/2006/relationships/hyperlink" Target="https://doi.org/10.1038/d41586-026-02228-7" TargetMode="External"/><Relationship Id="rId1320" Type="http://schemas.openxmlformats.org/officeDocument/2006/relationships/hyperlink" Target="https://www.nature.com/articles/d41586-026-02232-x" TargetMode="External"/><Relationship Id="rId1321" Type="http://schemas.openxmlformats.org/officeDocument/2006/relationships/hyperlink" Target="https://doi.org/10.1038/d41586-026-02232-x" TargetMode="External"/><Relationship Id="rId1322" Type="http://schemas.openxmlformats.org/officeDocument/2006/relationships/hyperlink" Target="https://pubs.acs.org/doi/10.1021/jacs.6c09504" TargetMode="External"/><Relationship Id="rId1323" Type="http://schemas.openxmlformats.org/officeDocument/2006/relationships/hyperlink" Target="https://doi.org/10.1021/jacs.6c09504" TargetMode="External"/><Relationship Id="rId1324" Type="http://schemas.openxmlformats.org/officeDocument/2006/relationships/hyperlink" Target="https://www.nature.com/articles/d41586-026-02258-1" TargetMode="External"/><Relationship Id="rId1325" Type="http://schemas.openxmlformats.org/officeDocument/2006/relationships/hyperlink" Target="https://doi.org/10.1038/d41586-026-02258-1" TargetMode="External"/><Relationship Id="rId1326" Type="http://schemas.openxmlformats.org/officeDocument/2006/relationships/hyperlink" Target="https://www.nature.com/articles/s41565-026-02225-x" TargetMode="External"/><Relationship Id="rId1327" Type="http://schemas.openxmlformats.org/officeDocument/2006/relationships/hyperlink" Target="https://doi.org/10.1038/s41565-026-02225-x" TargetMode="External"/><Relationship Id="rId1328" Type="http://schemas.openxmlformats.org/officeDocument/2006/relationships/hyperlink" Target="https://academic.oup.com/nsr/advance-article/doi/10.1093/nsr/nwag449/8739108?rss=1" TargetMode="External"/><Relationship Id="rId1329" Type="http://schemas.openxmlformats.org/officeDocument/2006/relationships/hyperlink" Target="https://doi.org/10.1093/nsr/nwag449" TargetMode="External"/><Relationship Id="rId1330" Type="http://schemas.openxmlformats.org/officeDocument/2006/relationships/hyperlink" Target="https://pubs.acs.org/doi/10.1021/jacs.6c11668" TargetMode="External"/><Relationship Id="rId1331" Type="http://schemas.openxmlformats.org/officeDocument/2006/relationships/hyperlink" Target="https://doi.org/10.1021/jacs.6c11668" TargetMode="External"/><Relationship Id="rId1332" Type="http://schemas.openxmlformats.org/officeDocument/2006/relationships/hyperlink" Target="https://www.nature.com/articles/s41558-026-02723-9" TargetMode="External"/><Relationship Id="rId1333" Type="http://schemas.openxmlformats.org/officeDocument/2006/relationships/hyperlink" Target="https://doi.org/10.1038/s41558-026-02723-9" TargetMode="External"/><Relationship Id="rId1334" Type="http://schemas.openxmlformats.org/officeDocument/2006/relationships/hyperlink" Target="https://www.nature.com/articles/d41586-026-02103-5" TargetMode="External"/><Relationship Id="rId1335" Type="http://schemas.openxmlformats.org/officeDocument/2006/relationships/hyperlink" Target="https://doi.org/10.1038/d41586-026-02103-5" TargetMode="External"/><Relationship Id="rId1336" Type="http://schemas.openxmlformats.org/officeDocument/2006/relationships/hyperlink" Target="https://pubs.acs.org/doi/10.1021/jacs.6c02964" TargetMode="External"/><Relationship Id="rId1337" Type="http://schemas.openxmlformats.org/officeDocument/2006/relationships/hyperlink" Target="https://doi.org/10.1021/jacs.6c02964" TargetMode="External"/><Relationship Id="rId1338" Type="http://schemas.openxmlformats.org/officeDocument/2006/relationships/hyperlink" Target="https://www.nature.com/articles/s41560-026-02110-w" TargetMode="External"/><Relationship Id="rId1339" Type="http://schemas.openxmlformats.org/officeDocument/2006/relationships/hyperlink" Target="https://doi.org/10.1038/s41560-026-02110-w" TargetMode="External"/><Relationship Id="rId1340" Type="http://schemas.openxmlformats.org/officeDocument/2006/relationships/hyperlink" Target="https://www.nature.com/articles/s41558-026-02716-8" TargetMode="External"/><Relationship Id="rId1341" Type="http://schemas.openxmlformats.org/officeDocument/2006/relationships/hyperlink" Target="https://doi.org/10.1038/s41558-026-02716-8" TargetMode="External"/><Relationship Id="rId1342" Type="http://schemas.openxmlformats.org/officeDocument/2006/relationships/hyperlink" Target="https://pubs.acs.org/doi/10.1021/jacs.6c07069" TargetMode="External"/><Relationship Id="rId1343" Type="http://schemas.openxmlformats.org/officeDocument/2006/relationships/hyperlink" Target="https://doi.org/10.1021/jacs.6c07069" TargetMode="External"/><Relationship Id="rId1344" Type="http://schemas.openxmlformats.org/officeDocument/2006/relationships/hyperlink" Target="https://www.nature.com/articles/s41893-026-01895-8" TargetMode="External"/><Relationship Id="rId1345" Type="http://schemas.openxmlformats.org/officeDocument/2006/relationships/hyperlink" Target="https://doi.org/10.1038/s41893-026-01895-8" TargetMode="External"/><Relationship Id="rId1346" Type="http://schemas.openxmlformats.org/officeDocument/2006/relationships/hyperlink" Target="https://pubs.acs.org/doi/10.1021/jacs.6c09674" TargetMode="External"/><Relationship Id="rId1347" Type="http://schemas.openxmlformats.org/officeDocument/2006/relationships/hyperlink" Target="https://doi.org/10.1021/jacs.6c09674" TargetMode="External"/><Relationship Id="rId1348" Type="http://schemas.openxmlformats.org/officeDocument/2006/relationships/hyperlink" Target="https://www.pnas.org/doi/abs/10.1073/pnas.2622604123?mi=eymic2&amp;af=R&amp;access=on&amp;content=articlesChapters&amp;publication=pnas&amp;sortBy=Earliest&amp;target=default" TargetMode="External"/><Relationship Id="rId1349" Type="http://schemas.openxmlformats.org/officeDocument/2006/relationships/hyperlink" Target="https://doi.org/10.1073/pnas.2622604123" TargetMode="External"/><Relationship Id="rId1350" Type="http://schemas.openxmlformats.org/officeDocument/2006/relationships/hyperlink" Target="https://www.pnas.org/doi/abs/10.1073/pnas.2602413123?mi=eymic2&amp;af=R&amp;access=on&amp;content=articlesChapters&amp;publication=pnas&amp;sortBy=Earliest&amp;target=default" TargetMode="External"/><Relationship Id="rId1351" Type="http://schemas.openxmlformats.org/officeDocument/2006/relationships/hyperlink" Target="https://doi.org/10.1073/pnas.2602413123" TargetMode="External"/><Relationship Id="rId1352" Type="http://schemas.openxmlformats.org/officeDocument/2006/relationships/hyperlink" Target="https://www.pnas.org/doi/abs/10.1073/pnas.2601895123?mi=eymic2&amp;af=R&amp;access=on&amp;content=articlesChapters&amp;publication=pnas&amp;sortBy=Earliest&amp;target=default" TargetMode="External"/><Relationship Id="rId1353" Type="http://schemas.openxmlformats.org/officeDocument/2006/relationships/hyperlink" Target="https://doi.org/10.1073/pnas.2601895123" TargetMode="External"/><Relationship Id="rId1354" Type="http://schemas.openxmlformats.org/officeDocument/2006/relationships/hyperlink" Target="https://www.pnas.org/doi/abs/10.1073/pnas.2601488123?mi=eymic2&amp;af=R&amp;access=on&amp;content=articlesChapters&amp;publication=pnas&amp;sortBy=Earliest&amp;target=default" TargetMode="External"/><Relationship Id="rId1355" Type="http://schemas.openxmlformats.org/officeDocument/2006/relationships/hyperlink" Target="https://doi.org/10.1073/pnas.2601488123" TargetMode="External"/><Relationship Id="rId1356" Type="http://schemas.openxmlformats.org/officeDocument/2006/relationships/hyperlink" Target="https://www.pnas.org/doi/abs/10.1073/pnas.2600323123?mi=eymic2&amp;af=R&amp;access=on&amp;content=articlesChapters&amp;publication=pnas&amp;sortBy=Earliest&amp;target=default" TargetMode="External"/><Relationship Id="rId1357" Type="http://schemas.openxmlformats.org/officeDocument/2006/relationships/hyperlink" Target="https://doi.org/10.1073/pnas.2600323123" TargetMode="External"/><Relationship Id="rId1358" Type="http://schemas.openxmlformats.org/officeDocument/2006/relationships/hyperlink" Target="https://www.pnas.org/doi/abs/10.1073/pnas.2612021123?mi=eymic2&amp;af=R&amp;access=on&amp;content=articlesChapters&amp;publication=pnas&amp;sortBy=Earliest&amp;target=default" TargetMode="External"/><Relationship Id="rId1359" Type="http://schemas.openxmlformats.org/officeDocument/2006/relationships/hyperlink" Target="https://doi.org/10.1073/pnas.2612021123" TargetMode="External"/><Relationship Id="rId1360" Type="http://schemas.openxmlformats.org/officeDocument/2006/relationships/hyperlink" Target="https://www.pnas.org/doi/abs/10.1073/pnas.2622740123?mi=eymic2&amp;af=R&amp;access=on&amp;content=articlesChapters&amp;publication=pnas&amp;sortBy=Earliest&amp;target=default" TargetMode="External"/><Relationship Id="rId1361" Type="http://schemas.openxmlformats.org/officeDocument/2006/relationships/hyperlink" Target="https://doi.org/10.1073/pnas.2622740123" TargetMode="External"/><Relationship Id="rId1362" Type="http://schemas.openxmlformats.org/officeDocument/2006/relationships/hyperlink" Target="https://www.pnas.org/doi/abs/10.1073/pnas.2537217123?mi=eymic2&amp;af=R&amp;access=on&amp;content=articlesChapters&amp;publication=pnas&amp;sortBy=Earliest&amp;target=default" TargetMode="External"/><Relationship Id="rId1363" Type="http://schemas.openxmlformats.org/officeDocument/2006/relationships/hyperlink" Target="https://doi.org/10.1073/pnas.2537217123" TargetMode="External"/><Relationship Id="rId1364" Type="http://schemas.openxmlformats.org/officeDocument/2006/relationships/hyperlink" Target="https://www.pnas.org/doi/abs/10.1073/pnas.2608150123?mi=eymic2&amp;af=R&amp;access=on&amp;content=articlesChapters&amp;publication=pnas&amp;sortBy=Earliest&amp;target=default" TargetMode="External"/><Relationship Id="rId1365" Type="http://schemas.openxmlformats.org/officeDocument/2006/relationships/hyperlink" Target="https://doi.org/10.1073/pnas.2608150123" TargetMode="External"/><Relationship Id="rId1366" Type="http://schemas.openxmlformats.org/officeDocument/2006/relationships/hyperlink" Target="https://www.pnas.org/doi/abs/10.1073/pnas.2605662123?mi=eymic2&amp;af=R&amp;access=on&amp;content=articlesChapters&amp;publication=pnas&amp;sortBy=Earliest&amp;target=default" TargetMode="External"/><Relationship Id="rId1367" Type="http://schemas.openxmlformats.org/officeDocument/2006/relationships/hyperlink" Target="https://doi.org/10.1073/pnas.2605662123" TargetMode="External"/><Relationship Id="rId1368" Type="http://schemas.openxmlformats.org/officeDocument/2006/relationships/hyperlink" Target="https://www.pnas.org/doi/abs/10.1073/pnas.2536672123?mi=eymic2&amp;af=R&amp;access=on&amp;content=articlesChapters&amp;publication=pnas&amp;sortBy=Earliest&amp;target=default" TargetMode="External"/><Relationship Id="rId1369" Type="http://schemas.openxmlformats.org/officeDocument/2006/relationships/hyperlink" Target="https://doi.org/10.1073/pnas.2536672123" TargetMode="External"/><Relationship Id="rId1370" Type="http://schemas.openxmlformats.org/officeDocument/2006/relationships/hyperlink" Target="https://www.pnas.org/doi/abs/10.1073/pnas.2605750123?mi=eymic2&amp;af=R&amp;access=on&amp;content=articlesChapters&amp;publication=pnas&amp;sortBy=Earliest&amp;target=default" TargetMode="External"/><Relationship Id="rId1371" Type="http://schemas.openxmlformats.org/officeDocument/2006/relationships/hyperlink" Target="https://doi.org/10.1073/pnas.2605750123" TargetMode="External"/><Relationship Id="rId1372" Type="http://schemas.openxmlformats.org/officeDocument/2006/relationships/hyperlink" Target="https://www.pnas.org/doi/abs/10.1073/iti2926123?mi=eymic2&amp;af=R&amp;access=on&amp;content=articlesChapters&amp;publication=pnas&amp;sortBy=Earliest&amp;target=default" TargetMode="External"/><Relationship Id="rId1373" Type="http://schemas.openxmlformats.org/officeDocument/2006/relationships/hyperlink" Target="https://doi.org/10.1073/iti2926123" TargetMode="External"/><Relationship Id="rId1374" Type="http://schemas.openxmlformats.org/officeDocument/2006/relationships/hyperlink" Target="https://www.pnas.org/doi/abs/10.1073/pnas.2528979123?mi=eymic2&amp;af=R&amp;access=on&amp;content=articlesChapters&amp;publication=pnas&amp;sortBy=Earliest&amp;target=default" TargetMode="External"/><Relationship Id="rId1375" Type="http://schemas.openxmlformats.org/officeDocument/2006/relationships/hyperlink" Target="https://doi.org/10.1073/pnas.2528979123" TargetMode="External"/><Relationship Id="rId1376" Type="http://schemas.openxmlformats.org/officeDocument/2006/relationships/hyperlink" Target="https://www.pnas.org/doi/abs/10.1073/pnas.2530661123?mi=eymic2&amp;af=R&amp;access=on&amp;content=articlesChapters&amp;publication=pnas&amp;sortBy=Earliest&amp;target=default" TargetMode="External"/><Relationship Id="rId1377" Type="http://schemas.openxmlformats.org/officeDocument/2006/relationships/hyperlink" Target="https://doi.org/10.1073/pnas.2530661123" TargetMode="External"/><Relationship Id="rId1378" Type="http://schemas.openxmlformats.org/officeDocument/2006/relationships/hyperlink" Target="https://www.pnas.org/doi/abs/10.1073/pnas.2609365123?mi=eymic2&amp;af=R&amp;access=on&amp;content=articlesChapters&amp;publication=pnas&amp;sortBy=Earliest&amp;target=default" TargetMode="External"/><Relationship Id="rId1379" Type="http://schemas.openxmlformats.org/officeDocument/2006/relationships/hyperlink" Target="https://doi.org/10.1073/pnas.2609365123" TargetMode="External"/><Relationship Id="rId1380" Type="http://schemas.openxmlformats.org/officeDocument/2006/relationships/hyperlink" Target="https://www.pnas.org/doi/abs/10.1073/pnas.2603231123?mi=eymic2&amp;af=R&amp;access=on&amp;content=articlesChapters&amp;publication=pnas&amp;sortBy=Earliest&amp;target=default" TargetMode="External"/><Relationship Id="rId1381" Type="http://schemas.openxmlformats.org/officeDocument/2006/relationships/hyperlink" Target="https://doi.org/10.1073/pnas.2603231123" TargetMode="External"/><Relationship Id="rId1382" Type="http://schemas.openxmlformats.org/officeDocument/2006/relationships/hyperlink" Target="https://www.pnas.org/doi/abs/10.1073/pnas.2611767123?mi=eymic2&amp;af=R&amp;access=on&amp;content=articlesChapters&amp;publication=pnas&amp;sortBy=Earliest&amp;target=default" TargetMode="External"/><Relationship Id="rId1383" Type="http://schemas.openxmlformats.org/officeDocument/2006/relationships/hyperlink" Target="https://doi.org/10.1073/pnas.2611767123" TargetMode="External"/><Relationship Id="rId1384" Type="http://schemas.openxmlformats.org/officeDocument/2006/relationships/hyperlink" Target="https://www.pnas.org/doi/abs/10.1073/pnas.2606668123?mi=eymic2&amp;af=R&amp;access=on&amp;content=articlesChapters&amp;publication=pnas&amp;sortBy=Earliest&amp;target=default" TargetMode="External"/><Relationship Id="rId1385" Type="http://schemas.openxmlformats.org/officeDocument/2006/relationships/hyperlink" Target="https://doi.org/10.1073/pnas.2606668123" TargetMode="External"/><Relationship Id="rId1386" Type="http://schemas.openxmlformats.org/officeDocument/2006/relationships/hyperlink" Target="https://www.pnas.org/doi/abs/10.1073/pnas.2604621123?mi=eymic2&amp;af=R&amp;access=on&amp;content=articlesChapters&amp;publication=pnas&amp;sortBy=Earliest&amp;target=default" TargetMode="External"/><Relationship Id="rId1387" Type="http://schemas.openxmlformats.org/officeDocument/2006/relationships/hyperlink" Target="https://doi.org/10.1073/pnas.2604621123" TargetMode="External"/><Relationship Id="rId1388" Type="http://schemas.openxmlformats.org/officeDocument/2006/relationships/hyperlink" Target="https://advanced.onlinelibrary.wiley.com/doi/10.1002/adma.74038?af=R" TargetMode="External"/><Relationship Id="rId1389" Type="http://schemas.openxmlformats.org/officeDocument/2006/relationships/hyperlink" Target="https://doi.org/10.1002/adma.74038" TargetMode="External"/><Relationship Id="rId1390" Type="http://schemas.openxmlformats.org/officeDocument/2006/relationships/hyperlink" Target="https://advanced.onlinelibrary.wiley.com/doi/10.1002/adma.73984?af=R" TargetMode="External"/><Relationship Id="rId1391" Type="http://schemas.openxmlformats.org/officeDocument/2006/relationships/hyperlink" Target="https://doi.org/10.1002/adma.73984" TargetMode="External"/><Relationship Id="rId1392" Type="http://schemas.openxmlformats.org/officeDocument/2006/relationships/hyperlink" Target="https://advanced.onlinelibrary.wiley.com/doi/10.1002/adma.74174?af=R" TargetMode="External"/><Relationship Id="rId1393" Type="http://schemas.openxmlformats.org/officeDocument/2006/relationships/hyperlink" Target="https://doi.org/10.1002/adma.74174" TargetMode="External"/><Relationship Id="rId1394" Type="http://schemas.openxmlformats.org/officeDocument/2006/relationships/hyperlink" Target="https://advanced.onlinelibrary.wiley.com/doi/10.1002/adma.74213?af=R" TargetMode="External"/><Relationship Id="rId1395" Type="http://schemas.openxmlformats.org/officeDocument/2006/relationships/hyperlink" Target="https://doi.org/10.1002/adma.74213" TargetMode="External"/><Relationship Id="rId1396" Type="http://schemas.openxmlformats.org/officeDocument/2006/relationships/hyperlink" Target="https://advanced.onlinelibrary.wiley.com/doi/10.1002/adma.74149?af=R" TargetMode="External"/><Relationship Id="rId1397" Type="http://schemas.openxmlformats.org/officeDocument/2006/relationships/hyperlink" Target="https://doi.org/10.1002/adma.74149" TargetMode="External"/><Relationship Id="rId1398" Type="http://schemas.openxmlformats.org/officeDocument/2006/relationships/hyperlink" Target="https://advanced.onlinelibrary.wiley.com/doi/10.1002/adma.74218?af=R" TargetMode="External"/><Relationship Id="rId1399" Type="http://schemas.openxmlformats.org/officeDocument/2006/relationships/hyperlink" Target="https://doi.org/10.1002/adma.74218" TargetMode="External"/><Relationship Id="rId1400" Type="http://schemas.openxmlformats.org/officeDocument/2006/relationships/hyperlink" Target="http://link.aps.org/doi/10.1103/tsbw-r6tj" TargetMode="External"/><Relationship Id="rId1401" Type="http://schemas.openxmlformats.org/officeDocument/2006/relationships/hyperlink" Target="https://doi.org/10.1103/tsbw-r6tj" TargetMode="External"/><Relationship Id="rId1402" Type="http://schemas.openxmlformats.org/officeDocument/2006/relationships/hyperlink" Target="http://link.aps.org/doi/10.1103/1thz-h7zt" TargetMode="External"/><Relationship Id="rId1403" Type="http://schemas.openxmlformats.org/officeDocument/2006/relationships/hyperlink" Target="https://doi.org/10.1103/1thz-h7zt" TargetMode="External"/><Relationship Id="rId1404" Type="http://schemas.openxmlformats.org/officeDocument/2006/relationships/hyperlink" Target="http://link.aps.org/doi/10.1103/b1dd-gzf3" TargetMode="External"/><Relationship Id="rId1405" Type="http://schemas.openxmlformats.org/officeDocument/2006/relationships/hyperlink" Target="https://doi.org/10.1103/b1dd-gzf3" TargetMode="External"/><Relationship Id="rId1406" Type="http://schemas.openxmlformats.org/officeDocument/2006/relationships/hyperlink" Target="http://link.aps.org/doi/10.1103/4ts4-qj74" TargetMode="External"/><Relationship Id="rId1407" Type="http://schemas.openxmlformats.org/officeDocument/2006/relationships/hyperlink" Target="https://doi.org/10.1103/4ts4-qj74" TargetMode="External"/><Relationship Id="rId1408" Type="http://schemas.openxmlformats.org/officeDocument/2006/relationships/hyperlink" Target="http://link.aps.org/doi/10.1103/x68w-lwvv" TargetMode="External"/><Relationship Id="rId1409" Type="http://schemas.openxmlformats.org/officeDocument/2006/relationships/hyperlink" Target="https://doi.org/10.1103/x68w-lwvv" TargetMode="External"/><Relationship Id="rId1410" Type="http://schemas.openxmlformats.org/officeDocument/2006/relationships/hyperlink" Target="http://link.aps.org/doi/10.1103/9th9-qc51" TargetMode="External"/><Relationship Id="rId1411" Type="http://schemas.openxmlformats.org/officeDocument/2006/relationships/hyperlink" Target="https://doi.org/10.1103/9th9-qc51" TargetMode="External"/><Relationship Id="rId1412" Type="http://schemas.openxmlformats.org/officeDocument/2006/relationships/hyperlink" Target="http://link.aps.org/doi/10.1103/xkcg-v2pp" TargetMode="External"/><Relationship Id="rId1413" Type="http://schemas.openxmlformats.org/officeDocument/2006/relationships/hyperlink" Target="https://doi.org/10.1103/xkcg-v2pp" TargetMode="External"/><Relationship Id="rId1414" Type="http://schemas.openxmlformats.org/officeDocument/2006/relationships/hyperlink" Target="http://link.aps.org/doi/10.1103/h9rb-5vdm" TargetMode="External"/><Relationship Id="rId1415" Type="http://schemas.openxmlformats.org/officeDocument/2006/relationships/hyperlink" Target="https://doi.org/10.1103/h9rb-5vdm" TargetMode="External"/><Relationship Id="rId1416" Type="http://schemas.openxmlformats.org/officeDocument/2006/relationships/hyperlink" Target="http://link.aps.org/doi/10.1103/cw7h-ds58" TargetMode="External"/><Relationship Id="rId1417" Type="http://schemas.openxmlformats.org/officeDocument/2006/relationships/hyperlink" Target="https://doi.org/10.1103/cw7h-ds58" TargetMode="External"/><Relationship Id="rId1418" Type="http://schemas.openxmlformats.org/officeDocument/2006/relationships/hyperlink" Target="http://link.aps.org/doi/10.1103/49dm-cfgp" TargetMode="External"/><Relationship Id="rId1419" Type="http://schemas.openxmlformats.org/officeDocument/2006/relationships/hyperlink" Target="https://doi.org/10.1103/49dm-cfgp" TargetMode="External"/><Relationship Id="rId1420" Type="http://schemas.openxmlformats.org/officeDocument/2006/relationships/hyperlink" Target="http://link.aps.org/doi/10.1103/r8zs-qvj3" TargetMode="External"/><Relationship Id="rId1421" Type="http://schemas.openxmlformats.org/officeDocument/2006/relationships/hyperlink" Target="https://doi.org/10.1103/r8zs-qvj3" TargetMode="External"/><Relationship Id="rId1422" Type="http://schemas.openxmlformats.org/officeDocument/2006/relationships/hyperlink" Target="http://link.aps.org/doi/10.1103/k6yg-qt32" TargetMode="External"/><Relationship Id="rId1423" Type="http://schemas.openxmlformats.org/officeDocument/2006/relationships/hyperlink" Target="https://doi.org/10.1103/k6yg-qt32" TargetMode="External"/><Relationship Id="rId1424" Type="http://schemas.openxmlformats.org/officeDocument/2006/relationships/hyperlink" Target="http://link.aps.org/doi/10.1103/ny87-mj11" TargetMode="External"/><Relationship Id="rId1425" Type="http://schemas.openxmlformats.org/officeDocument/2006/relationships/hyperlink" Target="https://doi.org/10.1103/ny87-mj11" TargetMode="External"/><Relationship Id="rId1426" Type="http://schemas.openxmlformats.org/officeDocument/2006/relationships/hyperlink" Target="http://link.aps.org/doi/10.1103/8qlf-2qb4" TargetMode="External"/><Relationship Id="rId1427" Type="http://schemas.openxmlformats.org/officeDocument/2006/relationships/hyperlink" Target="https://doi.org/10.1103/8qlf-2qb4" TargetMode="External"/><Relationship Id="rId1428" Type="http://schemas.openxmlformats.org/officeDocument/2006/relationships/hyperlink" Target="http://link.aps.org/doi/10.1103/p9y9-xxjf" TargetMode="External"/><Relationship Id="rId1429" Type="http://schemas.openxmlformats.org/officeDocument/2006/relationships/hyperlink" Target="https://doi.org/10.1103/p9y9-xxjf" TargetMode="External"/><Relationship Id="rId1430" Type="http://schemas.openxmlformats.org/officeDocument/2006/relationships/hyperlink" Target="http://link.aps.org/doi/10.1103/jvzh-lwbh" TargetMode="External"/><Relationship Id="rId1431" Type="http://schemas.openxmlformats.org/officeDocument/2006/relationships/hyperlink" Target="https://doi.org/10.1103/jvzh-lwbh" TargetMode="External"/><Relationship Id="rId1432" Type="http://schemas.openxmlformats.org/officeDocument/2006/relationships/hyperlink" Target="http://link.aps.org/doi/10.1103/j5rj-f4w4" TargetMode="External"/><Relationship Id="rId1433" Type="http://schemas.openxmlformats.org/officeDocument/2006/relationships/hyperlink" Target="https://doi.org/10.1103/j5rj-f4w4" TargetMode="External"/><Relationship Id="rId1434" Type="http://schemas.openxmlformats.org/officeDocument/2006/relationships/hyperlink" Target="http://link.aps.org/doi/10.1103/l9wb-4cr3" TargetMode="External"/><Relationship Id="rId1435" Type="http://schemas.openxmlformats.org/officeDocument/2006/relationships/hyperlink" Target="https://doi.org/10.1103/l9wb-4cr3" TargetMode="External"/><Relationship Id="rId1436" Type="http://schemas.openxmlformats.org/officeDocument/2006/relationships/hyperlink" Target="https://onlinelibrary.wiley.com/doi/10.1002/anie.6909891?af=R" TargetMode="External"/><Relationship Id="rId1437" Type="http://schemas.openxmlformats.org/officeDocument/2006/relationships/hyperlink" Target="https://doi.org/10.1002/anie.6909891" TargetMode="External"/><Relationship Id="rId1438" Type="http://schemas.openxmlformats.org/officeDocument/2006/relationships/hyperlink" Target="https://onlinelibrary.wiley.com/doi/10.1002/anie.1245058?af=R" TargetMode="External"/><Relationship Id="rId1439" Type="http://schemas.openxmlformats.org/officeDocument/2006/relationships/hyperlink" Target="https://doi.org/10.1002/anie.1245058" TargetMode="External"/><Relationship Id="rId1440" Type="http://schemas.openxmlformats.org/officeDocument/2006/relationships/hyperlink" Target="https://onlinelibrary.wiley.com/doi/10.1002/anie.9233187?af=R" TargetMode="External"/><Relationship Id="rId1441" Type="http://schemas.openxmlformats.org/officeDocument/2006/relationships/hyperlink" Target="https://doi.org/10.1002/anie.9233187" TargetMode="External"/><Relationship Id="rId1442" Type="http://schemas.openxmlformats.org/officeDocument/2006/relationships/hyperlink" Target="https://onlinelibrary.wiley.com/doi/10.1002/anie.6746848?af=R" TargetMode="External"/><Relationship Id="rId1443" Type="http://schemas.openxmlformats.org/officeDocument/2006/relationships/hyperlink" Target="https://doi.org/10.1002/anie.6746848" TargetMode="External"/><Relationship Id="rId1444" Type="http://schemas.openxmlformats.org/officeDocument/2006/relationships/hyperlink" Target="https://onlinelibrary.wiley.com/doi/10.1002/anie.8909985?af=R" TargetMode="External"/><Relationship Id="rId1445" Type="http://schemas.openxmlformats.org/officeDocument/2006/relationships/hyperlink" Target="https://doi.org/10.1002/anie.8909985" TargetMode="External"/><Relationship Id="rId1446" Type="http://schemas.openxmlformats.org/officeDocument/2006/relationships/hyperlink" Target="https://onlinelibrary.wiley.com/doi/10.1002/anie.7248763?af=R" TargetMode="External"/><Relationship Id="rId1447" Type="http://schemas.openxmlformats.org/officeDocument/2006/relationships/hyperlink" Target="https://doi.org/10.1002/anie.7248763" TargetMode="External"/><Relationship Id="rId1448" Type="http://schemas.openxmlformats.org/officeDocument/2006/relationships/hyperlink" Target="https://onlinelibrary.wiley.com/doi/10.1002/anie.3047401?af=R" TargetMode="External"/><Relationship Id="rId1449" Type="http://schemas.openxmlformats.org/officeDocument/2006/relationships/hyperlink" Target="https://doi.org/10.1002/anie.3047401" TargetMode="External"/><Relationship Id="rId1450" Type="http://schemas.openxmlformats.org/officeDocument/2006/relationships/hyperlink" Target="https://onlinelibrary.wiley.com/doi/10.1002/anie.5449800?af=R" TargetMode="External"/><Relationship Id="rId1451" Type="http://schemas.openxmlformats.org/officeDocument/2006/relationships/hyperlink" Target="https://doi.org/10.1002/anie.5449800" TargetMode="External"/><Relationship Id="rId1452" Type="http://schemas.openxmlformats.org/officeDocument/2006/relationships/hyperlink" Target="https://onlinelibrary.wiley.com/doi/10.1002/anie.1367818?af=R" TargetMode="External"/><Relationship Id="rId1453" Type="http://schemas.openxmlformats.org/officeDocument/2006/relationships/hyperlink" Target="https://doi.org/10.1002/anie.1367818" TargetMode="External"/><Relationship Id="rId1454" Type="http://schemas.openxmlformats.org/officeDocument/2006/relationships/hyperlink" Target="https://onlinelibrary.wiley.com/doi/10.1002/anie.5487708?af=R" TargetMode="External"/><Relationship Id="rId1455" Type="http://schemas.openxmlformats.org/officeDocument/2006/relationships/hyperlink" Target="https://doi.org/10.1002/anie.5487708" TargetMode="External"/><Relationship Id="rId1456" Type="http://schemas.openxmlformats.org/officeDocument/2006/relationships/hyperlink" Target="https://advanced.onlinelibrary.wiley.com/doi/10.1002/adma.74087?af=R" TargetMode="External"/><Relationship Id="rId1457" Type="http://schemas.openxmlformats.org/officeDocument/2006/relationships/hyperlink" Target="https://doi.org/10.1002/adma.74087" TargetMode="External"/><Relationship Id="rId1458" Type="http://schemas.openxmlformats.org/officeDocument/2006/relationships/hyperlink" Target="https://advanced.onlinelibrary.wiley.com/doi/10.1002/adma.74202?af=R" TargetMode="External"/><Relationship Id="rId1459" Type="http://schemas.openxmlformats.org/officeDocument/2006/relationships/hyperlink" Target="https://doi.org/10.1002/adma.74202" TargetMode="External"/><Relationship Id="rId1460" Type="http://schemas.openxmlformats.org/officeDocument/2006/relationships/hyperlink" Target="https://onlinelibrary.wiley.com/doi/10.1002/anie.6579940?af=R" TargetMode="External"/><Relationship Id="rId1461" Type="http://schemas.openxmlformats.org/officeDocument/2006/relationships/hyperlink" Target="https://doi.org/10.1002/anie.6579940" TargetMode="External"/><Relationship Id="rId1462" Type="http://schemas.openxmlformats.org/officeDocument/2006/relationships/hyperlink" Target="https://onlinelibrary.wiley.com/doi/10.1002/anie.3521141?af=R" TargetMode="External"/><Relationship Id="rId1463" Type="http://schemas.openxmlformats.org/officeDocument/2006/relationships/hyperlink" Target="https://doi.org/10.1002/anie.3521141" TargetMode="External"/><Relationship Id="rId1464" Type="http://schemas.openxmlformats.org/officeDocument/2006/relationships/hyperlink" Target="https://onlinelibrary.wiley.com/doi/10.1002/anie.4608575?af=R" TargetMode="External"/><Relationship Id="rId1465" Type="http://schemas.openxmlformats.org/officeDocument/2006/relationships/hyperlink" Target="https://doi.org/10.1002/anie.4608575" TargetMode="External"/><Relationship Id="rId1466" Type="http://schemas.openxmlformats.org/officeDocument/2006/relationships/hyperlink" Target="https://onlinelibrary.wiley.com/doi/10.1002/anie.9652753?af=R" TargetMode="External"/><Relationship Id="rId1467" Type="http://schemas.openxmlformats.org/officeDocument/2006/relationships/hyperlink" Target="https://doi.org/10.1002/anie.9652753" TargetMode="External"/><Relationship Id="rId1468" Type="http://schemas.openxmlformats.org/officeDocument/2006/relationships/hyperlink" Target="https://onlinelibrary.wiley.com/doi/10.1002/anie.9109858?af=R" TargetMode="External"/><Relationship Id="rId1469" Type="http://schemas.openxmlformats.org/officeDocument/2006/relationships/hyperlink" Target="https://doi.org/10.1002/anie.9109858" TargetMode="External"/><Relationship Id="rId1470" Type="http://schemas.openxmlformats.org/officeDocument/2006/relationships/hyperlink" Target="https://onlinelibrary.wiley.com/doi/10.1002/anie.4469734?af=R" TargetMode="External"/><Relationship Id="rId1471" Type="http://schemas.openxmlformats.org/officeDocument/2006/relationships/hyperlink" Target="https://doi.org/10.1002/anie.4469734" TargetMode="External"/><Relationship Id="rId1472" Type="http://schemas.openxmlformats.org/officeDocument/2006/relationships/hyperlink" Target="https://onlinelibrary.wiley.com/doi/10.1002/anie.4145640?af=R" TargetMode="External"/><Relationship Id="rId1473" Type="http://schemas.openxmlformats.org/officeDocument/2006/relationships/hyperlink" Target="https://doi.org/10.1002/anie.4145640" TargetMode="External"/><Relationship Id="rId1474" Type="http://schemas.openxmlformats.org/officeDocument/2006/relationships/hyperlink" Target="https://onlinelibrary.wiley.com/doi/10.1002/anie.5790044?af=R" TargetMode="External"/><Relationship Id="rId1475" Type="http://schemas.openxmlformats.org/officeDocument/2006/relationships/hyperlink" Target="https://doi.org/10.1002/anie.5790044" TargetMode="External"/><Relationship Id="rId1476" Type="http://schemas.openxmlformats.org/officeDocument/2006/relationships/hyperlink" Target="https://onlinelibrary.wiley.com/doi/10.1002/anie.7096315?af=R" TargetMode="External"/><Relationship Id="rId1477" Type="http://schemas.openxmlformats.org/officeDocument/2006/relationships/hyperlink" Target="https://doi.org/10.1002/anie.7096315" TargetMode="External"/><Relationship Id="rId1478" Type="http://schemas.openxmlformats.org/officeDocument/2006/relationships/hyperlink" Target="https://onlinelibrary.wiley.com/doi/10.1002/anie.3832427?af=R" TargetMode="External"/><Relationship Id="rId1479" Type="http://schemas.openxmlformats.org/officeDocument/2006/relationships/hyperlink" Target="https://doi.org/10.1002/anie.3832427" TargetMode="External"/><Relationship Id="rId1480" Type="http://schemas.openxmlformats.org/officeDocument/2006/relationships/hyperlink" Target="https://onlinelibrary.wiley.com/doi/10.1002/anie.3509299?af=R" TargetMode="External"/><Relationship Id="rId1481" Type="http://schemas.openxmlformats.org/officeDocument/2006/relationships/hyperlink" Target="https://doi.org/10.1002/anie.3509299" TargetMode="External"/><Relationship Id="rId1482" Type="http://schemas.openxmlformats.org/officeDocument/2006/relationships/hyperlink" Target="https://onlinelibrary.wiley.com/doi/10.1002/anie.6747535?af=R" TargetMode="External"/><Relationship Id="rId1483" Type="http://schemas.openxmlformats.org/officeDocument/2006/relationships/hyperlink" Target="https://doi.org/10.1002/anie.6747535" TargetMode="External"/><Relationship Id="rId1484" Type="http://schemas.openxmlformats.org/officeDocument/2006/relationships/hyperlink" Target="https://advanced.onlinelibrary.wiley.com/doi/10.1002/adma.74268?af=R" TargetMode="External"/><Relationship Id="rId1485" Type="http://schemas.openxmlformats.org/officeDocument/2006/relationships/hyperlink" Target="https://doi.org/10.1002/adma.74268" TargetMode="External"/><Relationship Id="rId1486" Type="http://schemas.openxmlformats.org/officeDocument/2006/relationships/hyperlink" Target="https://advanced.onlinelibrary.wiley.com/doi/10.1002/adma.74231?af=R" TargetMode="External"/><Relationship Id="rId1487" Type="http://schemas.openxmlformats.org/officeDocument/2006/relationships/hyperlink" Target="https://doi.org/10.1002/adma.74231" TargetMode="External"/><Relationship Id="rId1488" Type="http://schemas.openxmlformats.org/officeDocument/2006/relationships/hyperlink" Target="https://advanced.onlinelibrary.wiley.com/doi/10.1002/adma.74153?af=R" TargetMode="External"/><Relationship Id="rId1489" Type="http://schemas.openxmlformats.org/officeDocument/2006/relationships/hyperlink" Target="https://doi.org/10.1002/adma.74153" TargetMode="External"/><Relationship Id="rId1490" Type="http://schemas.openxmlformats.org/officeDocument/2006/relationships/hyperlink" Target="https://www.nature.com/articles/d41586-026-02219-8" TargetMode="External"/><Relationship Id="rId1491" Type="http://schemas.openxmlformats.org/officeDocument/2006/relationships/hyperlink" Target="https://doi.org/10.1038/d41586-026-02219-8" TargetMode="External"/><Relationship Id="rId1492" Type="http://schemas.openxmlformats.org/officeDocument/2006/relationships/hyperlink" Target="https://www.nature.com/articles/s41586-026-10701-6" TargetMode="External"/><Relationship Id="rId1493" Type="http://schemas.openxmlformats.org/officeDocument/2006/relationships/hyperlink" Target="https://doi.org/10.1038/s41586-026-10701-6" TargetMode="External"/><Relationship Id="rId1494" Type="http://schemas.openxmlformats.org/officeDocument/2006/relationships/hyperlink" Target="https://www.nature.com/articles/s41586-026-10833-9" TargetMode="External"/><Relationship Id="rId1495" Type="http://schemas.openxmlformats.org/officeDocument/2006/relationships/hyperlink" Target="https://doi.org/10.1038/s41586-026-10833-9" TargetMode="External"/><Relationship Id="rId1496" Type="http://schemas.openxmlformats.org/officeDocument/2006/relationships/hyperlink" Target="https://www.nature.com/articles/s41586-026-10824-w" TargetMode="External"/><Relationship Id="rId1497" Type="http://schemas.openxmlformats.org/officeDocument/2006/relationships/hyperlink" Target="https://doi.org/10.1038/s41586-026-10824-w" TargetMode="External"/><Relationship Id="rId1498" Type="http://schemas.openxmlformats.org/officeDocument/2006/relationships/hyperlink" Target="https://www.nature.com/articles/s41586-026-10803-1" TargetMode="External"/><Relationship Id="rId1499" Type="http://schemas.openxmlformats.org/officeDocument/2006/relationships/hyperlink" Target="https://doi.org/10.1038/s41586-026-10803-1" TargetMode="External"/><Relationship Id="rId1500" Type="http://schemas.openxmlformats.org/officeDocument/2006/relationships/hyperlink" Target="https://www.nature.com/articles/s41586-026-10831-x" TargetMode="External"/><Relationship Id="rId1501" Type="http://schemas.openxmlformats.org/officeDocument/2006/relationships/hyperlink" Target="https://doi.org/10.1038/s41586-026-10831-x" TargetMode="External"/><Relationship Id="rId1502" Type="http://schemas.openxmlformats.org/officeDocument/2006/relationships/hyperlink" Target="https://www.nature.com/articles/d41586-026-02299-6" TargetMode="External"/><Relationship Id="rId1503" Type="http://schemas.openxmlformats.org/officeDocument/2006/relationships/hyperlink" Target="https://doi.org/10.1038/d41586-026-02299-6" TargetMode="External"/><Relationship Id="rId1504" Type="http://schemas.openxmlformats.org/officeDocument/2006/relationships/hyperlink" Target="https://www.nature.com/articles/s41586-026-10832-w" TargetMode="External"/><Relationship Id="rId1505" Type="http://schemas.openxmlformats.org/officeDocument/2006/relationships/hyperlink" Target="https://doi.org/10.1038/s41586-026-10832-w" TargetMode="External"/><Relationship Id="rId1506" Type="http://schemas.openxmlformats.org/officeDocument/2006/relationships/hyperlink" Target="https://www.nature.com/articles/s41586-026-10808-w" TargetMode="External"/><Relationship Id="rId1507" Type="http://schemas.openxmlformats.org/officeDocument/2006/relationships/hyperlink" Target="https://doi.org/10.1038/s41586-026-10808-w" TargetMode="External"/><Relationship Id="rId1508" Type="http://schemas.openxmlformats.org/officeDocument/2006/relationships/hyperlink" Target="https://www.nature.com/articles/s41586-026-10827-7" TargetMode="External"/><Relationship Id="rId1509" Type="http://schemas.openxmlformats.org/officeDocument/2006/relationships/hyperlink" Target="https://doi.org/10.1038/s41586-026-10827-7" TargetMode="External"/><Relationship Id="rId1510" Type="http://schemas.openxmlformats.org/officeDocument/2006/relationships/hyperlink" Target="https://www.nature.com/articles/s41586-026-10794-z" TargetMode="External"/><Relationship Id="rId1511" Type="http://schemas.openxmlformats.org/officeDocument/2006/relationships/hyperlink" Target="https://doi.org/10.1038/s41586-026-10794-z" TargetMode="External"/><Relationship Id="rId1512" Type="http://schemas.openxmlformats.org/officeDocument/2006/relationships/hyperlink" Target="https://www.nature.com/articles/s41586-026-10820-0" TargetMode="External"/><Relationship Id="rId1513" Type="http://schemas.openxmlformats.org/officeDocument/2006/relationships/hyperlink" Target="https://doi.org/10.1038/s41586-026-10820-0" TargetMode="External"/><Relationship Id="rId1514" Type="http://schemas.openxmlformats.org/officeDocument/2006/relationships/hyperlink" Target="https://www.nature.com/articles/s41586-026-10778-z" TargetMode="External"/><Relationship Id="rId1515" Type="http://schemas.openxmlformats.org/officeDocument/2006/relationships/hyperlink" Target="https://doi.org/10.1038/s41586-026-10778-z" TargetMode="External"/><Relationship Id="rId1516" Type="http://schemas.openxmlformats.org/officeDocument/2006/relationships/hyperlink" Target="https://www.nature.com/articles/s41586-026-10797-w" TargetMode="External"/><Relationship Id="rId1517" Type="http://schemas.openxmlformats.org/officeDocument/2006/relationships/hyperlink" Target="https://doi.org/10.1038/s41586-026-10797-w" TargetMode="External"/><Relationship Id="rId1518" Type="http://schemas.openxmlformats.org/officeDocument/2006/relationships/hyperlink" Target="https://www.nature.com/articles/s41586-026-10817-9" TargetMode="External"/><Relationship Id="rId1519" Type="http://schemas.openxmlformats.org/officeDocument/2006/relationships/hyperlink" Target="https://doi.org/10.1038/s41586-026-10817-9" TargetMode="External"/><Relationship Id="rId1520" Type="http://schemas.openxmlformats.org/officeDocument/2006/relationships/hyperlink" Target="https://www.nature.com/articles/s41557-026-02212-8" TargetMode="External"/><Relationship Id="rId1521" Type="http://schemas.openxmlformats.org/officeDocument/2006/relationships/hyperlink" Target="https://doi.org/10.1038/s41557-026-02212-8" TargetMode="External"/><Relationship Id="rId1522" Type="http://schemas.openxmlformats.org/officeDocument/2006/relationships/hyperlink" Target="https://www.nature.com/articles/s41586-026-10913-w" TargetMode="External"/><Relationship Id="rId1523" Type="http://schemas.openxmlformats.org/officeDocument/2006/relationships/hyperlink" Target="https://doi.org/10.1038/s41586-026-10913-w" TargetMode="External"/><Relationship Id="rId1524" Type="http://schemas.openxmlformats.org/officeDocument/2006/relationships/hyperlink" Target="https://www.cell.com/chem/fulltext/S2451-9294(26)00225-1?rss=yes" TargetMode="External"/><Relationship Id="rId1525" Type="http://schemas.openxmlformats.org/officeDocument/2006/relationships/hyperlink" Target="https://doi.org/10.1016/j.chempr.2026.103159" TargetMode="External"/><Relationship Id="rId1526" Type="http://schemas.openxmlformats.org/officeDocument/2006/relationships/hyperlink" Target="https://www.nature.com/articles/s41586-026-10828-6" TargetMode="External"/><Relationship Id="rId1527" Type="http://schemas.openxmlformats.org/officeDocument/2006/relationships/hyperlink" Target="https://doi.org/10.1038/s41586-026-10828-6" TargetMode="External"/><Relationship Id="rId1528" Type="http://schemas.openxmlformats.org/officeDocument/2006/relationships/hyperlink" Target="https://www.nature.com/articles/s41586-026-10802-2" TargetMode="External"/><Relationship Id="rId1529" Type="http://schemas.openxmlformats.org/officeDocument/2006/relationships/hyperlink" Target="https://doi.org/10.1038/s41586-026-10802-2" TargetMode="External"/><Relationship Id="rId1530" Type="http://schemas.openxmlformats.org/officeDocument/2006/relationships/hyperlink" Target="https://www.nature.com/articles/s41586-026-10819-7" TargetMode="External"/><Relationship Id="rId1531" Type="http://schemas.openxmlformats.org/officeDocument/2006/relationships/hyperlink" Target="https://doi.org/10.1038/s41586-026-10819-7" TargetMode="External"/><Relationship Id="rId1532" Type="http://schemas.openxmlformats.org/officeDocument/2006/relationships/hyperlink" Target="https://www.nature.com/articles/s41586-026-10739-6" TargetMode="External"/><Relationship Id="rId1533" Type="http://schemas.openxmlformats.org/officeDocument/2006/relationships/hyperlink" Target="https://doi.org/10.1038/s41586-026-10739-6" TargetMode="External"/><Relationship Id="rId1534" Type="http://schemas.openxmlformats.org/officeDocument/2006/relationships/hyperlink" Target="https://www.nature.com/articles/s41557-026-02214-6" TargetMode="External"/><Relationship Id="rId1535" Type="http://schemas.openxmlformats.org/officeDocument/2006/relationships/hyperlink" Target="https://doi.org/10.1038/s41557-026-02214-6" TargetMode="External"/><Relationship Id="rId1536" Type="http://schemas.openxmlformats.org/officeDocument/2006/relationships/hyperlink" Target="https://www.nature.com/articles/s41557-026-02217-3" TargetMode="External"/><Relationship Id="rId1537" Type="http://schemas.openxmlformats.org/officeDocument/2006/relationships/hyperlink" Target="https://doi.org/10.1038/s41557-026-02217-3" TargetMode="External"/><Relationship Id="rId1538" Type="http://schemas.openxmlformats.org/officeDocument/2006/relationships/hyperlink" Target="https://academic.oup.com/nsr/advance-article/doi/10.1093/nsr/nwag453/8739805?rss=1" TargetMode="External"/><Relationship Id="rId1539" Type="http://schemas.openxmlformats.org/officeDocument/2006/relationships/hyperlink" Target="https://doi.org/10.1093/nsr/nwag453" TargetMode="External"/><Relationship Id="rId1540" Type="http://schemas.openxmlformats.org/officeDocument/2006/relationships/hyperlink" Target="https://www.nature.com/articles/s41578-026-00945-z" TargetMode="External"/><Relationship Id="rId1541" Type="http://schemas.openxmlformats.org/officeDocument/2006/relationships/hyperlink" Target="https://doi.org/10.1038/s41578-026-00945-z" TargetMode="External"/><Relationship Id="rId1542" Type="http://schemas.openxmlformats.org/officeDocument/2006/relationships/hyperlink" Target="https://www.nature.com/articles/d41586-026-02166-4" TargetMode="External"/><Relationship Id="rId1543" Type="http://schemas.openxmlformats.org/officeDocument/2006/relationships/hyperlink" Target="https://doi.org/10.1038/d41586-026-02166-4" TargetMode="External"/><Relationship Id="rId1544" Type="http://schemas.openxmlformats.org/officeDocument/2006/relationships/hyperlink" Target="https://www.nature.com/articles/d41586-026-02229-6" TargetMode="External"/><Relationship Id="rId1545" Type="http://schemas.openxmlformats.org/officeDocument/2006/relationships/hyperlink" Target="https://doi.org/10.1038/d41586-026-02229-6" TargetMode="External"/><Relationship Id="rId1546" Type="http://schemas.openxmlformats.org/officeDocument/2006/relationships/hyperlink" Target="https://www.nature.com/articles/d41586-026-02269-y" TargetMode="External"/><Relationship Id="rId1547" Type="http://schemas.openxmlformats.org/officeDocument/2006/relationships/hyperlink" Target="https://doi.org/10.1038/d41586-026-02269-y" TargetMode="External"/><Relationship Id="rId1548" Type="http://schemas.openxmlformats.org/officeDocument/2006/relationships/hyperlink" Target="https://www.nature.com/articles/s41586-026-10811-1" TargetMode="External"/><Relationship Id="rId1549" Type="http://schemas.openxmlformats.org/officeDocument/2006/relationships/hyperlink" Target="https://doi.org/10.1038/s41586-026-10811-1" TargetMode="External"/><Relationship Id="rId1550" Type="http://schemas.openxmlformats.org/officeDocument/2006/relationships/hyperlink" Target="https://pubs.acs.org/doi/10.1021/jacs.6c10567" TargetMode="External"/><Relationship Id="rId1551" Type="http://schemas.openxmlformats.org/officeDocument/2006/relationships/hyperlink" Target="https://doi.org/10.1021/jacs.6c10567" TargetMode="External"/><Relationship Id="rId1552" Type="http://schemas.openxmlformats.org/officeDocument/2006/relationships/hyperlink" Target="https://www.nature.com/articles/s41586-026-10809-9" TargetMode="External"/><Relationship Id="rId1553" Type="http://schemas.openxmlformats.org/officeDocument/2006/relationships/hyperlink" Target="https://doi.org/10.1038/s41586-026-10809-9" TargetMode="External"/><Relationship Id="rId1554" Type="http://schemas.openxmlformats.org/officeDocument/2006/relationships/hyperlink" Target="https://pubs.acs.org/doi/10.1021/jacs.6c10931" TargetMode="External"/><Relationship Id="rId1555" Type="http://schemas.openxmlformats.org/officeDocument/2006/relationships/hyperlink" Target="https://doi.org/10.1021/jacs.6c10931" TargetMode="External"/><Relationship Id="rId1556" Type="http://schemas.openxmlformats.org/officeDocument/2006/relationships/hyperlink" Target="https://www.nature.com/articles/d41586-026-02302-0" TargetMode="External"/><Relationship Id="rId1557" Type="http://schemas.openxmlformats.org/officeDocument/2006/relationships/hyperlink" Target="https://doi.org/10.1038/d41586-026-02302-0" TargetMode="External"/><Relationship Id="rId1558" Type="http://schemas.openxmlformats.org/officeDocument/2006/relationships/hyperlink" Target="https://academic.oup.com/nsr/advance-article/doi/10.1093/nsr/nwag435/8740106?rss=1" TargetMode="External"/><Relationship Id="rId1559" Type="http://schemas.openxmlformats.org/officeDocument/2006/relationships/hyperlink" Target="https://doi.org/10.1093/nsr/nwag435" TargetMode="External"/><Relationship Id="rId1560" Type="http://schemas.openxmlformats.org/officeDocument/2006/relationships/hyperlink" Target="https://pubs.acs.org/doi/10.1021/jacs.6c09779" TargetMode="External"/><Relationship Id="rId1561" Type="http://schemas.openxmlformats.org/officeDocument/2006/relationships/hyperlink" Target="https://doi.org/10.1021/jacs.6c09779" TargetMode="External"/><Relationship Id="rId1562" Type="http://schemas.openxmlformats.org/officeDocument/2006/relationships/hyperlink" Target="https://www.nature.com/articles/s41467-026-75775-2" TargetMode="External"/><Relationship Id="rId1563" Type="http://schemas.openxmlformats.org/officeDocument/2006/relationships/hyperlink" Target="https://www.nature.com/articles/s41467-026-74965-2" TargetMode="External"/><Relationship Id="rId1564" Type="http://schemas.openxmlformats.org/officeDocument/2006/relationships/hyperlink" Target="https://www.nature.com/articles/s41467-026-75885-x" TargetMode="External"/><Relationship Id="rId1565" Type="http://schemas.openxmlformats.org/officeDocument/2006/relationships/hyperlink" Target="https://pubs.acs.org/doi/10.1021/jacs.6c11991" TargetMode="External"/><Relationship Id="rId1566" Type="http://schemas.openxmlformats.org/officeDocument/2006/relationships/hyperlink" Target="https://doi.org/10.1021/jacs.6c11991" TargetMode="External"/><Relationship Id="rId1567" Type="http://schemas.openxmlformats.org/officeDocument/2006/relationships/hyperlink" Target="https://pubs.acs.org/doi/10.1021/jacs.6c10014" TargetMode="External"/><Relationship Id="rId1568" Type="http://schemas.openxmlformats.org/officeDocument/2006/relationships/hyperlink" Target="https://doi.org/10.1021/jacs.6c10014" TargetMode="External"/><Relationship Id="rId1569" Type="http://schemas.openxmlformats.org/officeDocument/2006/relationships/hyperlink" Target="https://pubs.acs.org/doi/10.1021/jacs.6c09765" TargetMode="External"/><Relationship Id="rId1570" Type="http://schemas.openxmlformats.org/officeDocument/2006/relationships/hyperlink" Target="https://doi.org/10.1021/jacs.6c09765" TargetMode="External"/><Relationship Id="rId1571" Type="http://schemas.openxmlformats.org/officeDocument/2006/relationships/hyperlink" Target="https://www.nature.com/articles/s41928-026-01674-5" TargetMode="External"/><Relationship Id="rId1572" Type="http://schemas.openxmlformats.org/officeDocument/2006/relationships/hyperlink" Target="https://doi.org/10.1038/s41928-026-01674-5" TargetMode="External"/><Relationship Id="rId1573" Type="http://schemas.openxmlformats.org/officeDocument/2006/relationships/hyperlink" Target="https://pubs.acs.org/doi/10.1021/jacs.6c11759" TargetMode="External"/><Relationship Id="rId1574" Type="http://schemas.openxmlformats.org/officeDocument/2006/relationships/hyperlink" Target="https://doi.org/10.1021/jacs.6c11759" TargetMode="External"/><Relationship Id="rId1575" Type="http://schemas.openxmlformats.org/officeDocument/2006/relationships/hyperlink" Target="https://pubs.acs.org/doi/10.1021/jacs.6c09335" TargetMode="External"/><Relationship Id="rId1576" Type="http://schemas.openxmlformats.org/officeDocument/2006/relationships/hyperlink" Target="https://doi.org/10.1021/jacs.6c09335" TargetMode="External"/><Relationship Id="rId1577" Type="http://schemas.openxmlformats.org/officeDocument/2006/relationships/hyperlink" Target="https://pubs.acs.org/doi/10.1021/jacs.6c04268" TargetMode="External"/><Relationship Id="rId1578" Type="http://schemas.openxmlformats.org/officeDocument/2006/relationships/hyperlink" Target="https://doi.org/10.1021/jacs.6c04268" TargetMode="External"/><Relationship Id="rId1579" Type="http://schemas.openxmlformats.org/officeDocument/2006/relationships/hyperlink" Target="https://www.nature.com/articles/s41586-026-10751-w" TargetMode="External"/><Relationship Id="rId1580" Type="http://schemas.openxmlformats.org/officeDocument/2006/relationships/hyperlink" Target="https://doi.org/10.1038/s41586-026-10751-w" TargetMode="External"/><Relationship Id="rId1581" Type="http://schemas.openxmlformats.org/officeDocument/2006/relationships/hyperlink" Target="https://www.nature.com/articles/s41928-026-01669-2" TargetMode="External"/><Relationship Id="rId1582" Type="http://schemas.openxmlformats.org/officeDocument/2006/relationships/hyperlink" Target="https://doi.org/10.1038/s41928-026-01669-2" TargetMode="External"/><Relationship Id="rId1583" Type="http://schemas.openxmlformats.org/officeDocument/2006/relationships/hyperlink" Target="https://pubs.acs.org/doi/10.1021/jacs.6c11812" TargetMode="External"/><Relationship Id="rId1584" Type="http://schemas.openxmlformats.org/officeDocument/2006/relationships/hyperlink" Target="https://doi.org/10.1021/jacs.6c11812" TargetMode="External"/><Relationship Id="rId1585" Type="http://schemas.openxmlformats.org/officeDocument/2006/relationships/hyperlink" Target="https://pubs.acs.org/doi/10.1021/jacs.6c08200" TargetMode="External"/><Relationship Id="rId1586" Type="http://schemas.openxmlformats.org/officeDocument/2006/relationships/hyperlink" Target="https://doi.org/10.1021/jacs.6c08200" TargetMode="External"/><Relationship Id="rId1587" Type="http://schemas.openxmlformats.org/officeDocument/2006/relationships/hyperlink" Target="https://pubs.acs.org/doi/10.1021/jacs.6c08521" TargetMode="External"/><Relationship Id="rId1588" Type="http://schemas.openxmlformats.org/officeDocument/2006/relationships/hyperlink" Target="https://doi.org/10.1021/jacs.6c08521" TargetMode="External"/><Relationship Id="rId1589" Type="http://schemas.openxmlformats.org/officeDocument/2006/relationships/hyperlink" Target="https://www.nature.com/articles/s41586-026-10823-x" TargetMode="External"/><Relationship Id="rId1590" Type="http://schemas.openxmlformats.org/officeDocument/2006/relationships/hyperlink" Target="https://doi.org/10.1038/s41586-026-10823-x" TargetMode="External"/><Relationship Id="rId1591" Type="http://schemas.openxmlformats.org/officeDocument/2006/relationships/hyperlink" Target="https://pubs.acs.org/doi/10.1021/jacs.6c09322" TargetMode="External"/><Relationship Id="rId1592" Type="http://schemas.openxmlformats.org/officeDocument/2006/relationships/hyperlink" Target="https://doi.org/10.1021/jacs.6c09322" TargetMode="External"/><Relationship Id="rId1593" Type="http://schemas.openxmlformats.org/officeDocument/2006/relationships/hyperlink" Target="https://pubs.acs.org/doi/10.1021/jacs.6c09487" TargetMode="External"/><Relationship Id="rId1594" Type="http://schemas.openxmlformats.org/officeDocument/2006/relationships/hyperlink" Target="https://doi.org/10.1021/jacs.6c09487" TargetMode="External"/><Relationship Id="rId1595" Type="http://schemas.openxmlformats.org/officeDocument/2006/relationships/hyperlink" Target="https://pubs.acs.org/doi/10.1021/jacs.6c02213" TargetMode="External"/><Relationship Id="rId1596" Type="http://schemas.openxmlformats.org/officeDocument/2006/relationships/hyperlink" Target="https://doi.org/10.1021/jacs.6c02213" TargetMode="External"/><Relationship Id="rId1597" Type="http://schemas.openxmlformats.org/officeDocument/2006/relationships/hyperlink" Target="https://pubs.acs.org/doi/10.1021/jacs.6c11987" TargetMode="External"/><Relationship Id="rId1598" Type="http://schemas.openxmlformats.org/officeDocument/2006/relationships/hyperlink" Target="https://doi.org/10.1021/jacs.6c11987" TargetMode="External"/><Relationship Id="rId1599" Type="http://schemas.openxmlformats.org/officeDocument/2006/relationships/hyperlink" Target="https://pubs.acs.org/doi/10.1021/jacs.6c07985" TargetMode="External"/><Relationship Id="rId1600" Type="http://schemas.openxmlformats.org/officeDocument/2006/relationships/hyperlink" Target="https://doi.org/10.1021/jacs.6c07985" TargetMode="External"/><Relationship Id="rId1601" Type="http://schemas.openxmlformats.org/officeDocument/2006/relationships/hyperlink" Target="https://www.nature.com/articles/d41586-026-02245-6" TargetMode="External"/><Relationship Id="rId1602" Type="http://schemas.openxmlformats.org/officeDocument/2006/relationships/hyperlink" Target="https://doi.org/10.1038/d41586-026-02245-6" TargetMode="External"/><Relationship Id="rId1603" Type="http://schemas.openxmlformats.org/officeDocument/2006/relationships/hyperlink" Target="https://pubs.acs.org/doi/10.1021/jacs.6c12940" TargetMode="External"/><Relationship Id="rId1604" Type="http://schemas.openxmlformats.org/officeDocument/2006/relationships/hyperlink" Target="https://doi.org/10.1021/jacs.6c12940" TargetMode="External"/><Relationship Id="rId1605" Type="http://schemas.openxmlformats.org/officeDocument/2006/relationships/hyperlink" Target="https://www.nature.com/articles/d41586-026-02240-x" TargetMode="External"/><Relationship Id="rId1606" Type="http://schemas.openxmlformats.org/officeDocument/2006/relationships/hyperlink" Target="https://doi.org/10.1038/d41586-026-02240-x" TargetMode="External"/><Relationship Id="rId1607" Type="http://schemas.openxmlformats.org/officeDocument/2006/relationships/hyperlink" Target="https://www.sciencedirect.com/science/article/pii/S0306261926011396?dgcid=rss_sd_all" TargetMode="External"/><Relationship Id="rId1608" Type="http://schemas.openxmlformats.org/officeDocument/2006/relationships/hyperlink" Target="https://doi.org/10.1016/j.apenergy.2026.128483" TargetMode="External"/><Relationship Id="rId1609" Type="http://schemas.openxmlformats.org/officeDocument/2006/relationships/hyperlink" Target="https://pubs.acs.org/doi/10.1021/acsami.6c04947" TargetMode="External"/><Relationship Id="rId1610" Type="http://schemas.openxmlformats.org/officeDocument/2006/relationships/hyperlink" Target="https://doi.org/10.1021/acsami.6c04947" TargetMode="External"/><Relationship Id="rId1611" Type="http://schemas.openxmlformats.org/officeDocument/2006/relationships/hyperlink" Target="https://pubs.acs.org/doi/10.1021/acsami.6c10753" TargetMode="External"/><Relationship Id="rId1612" Type="http://schemas.openxmlformats.org/officeDocument/2006/relationships/hyperlink" Target="https://doi.org/10.1021/acsami.6c10753" TargetMode="External"/><Relationship Id="rId1613" Type="http://schemas.openxmlformats.org/officeDocument/2006/relationships/hyperlink" Target="https://pubs.acs.org/doi/10.1021/acsami.6c10511" TargetMode="External"/><Relationship Id="rId1614" Type="http://schemas.openxmlformats.org/officeDocument/2006/relationships/hyperlink" Target="https://doi.org/10.1021/acsami.6c10511" TargetMode="External"/><Relationship Id="rId1615" Type="http://schemas.openxmlformats.org/officeDocument/2006/relationships/hyperlink" Target="https://pubs.acs.org/doi/10.1021/acsami.6c12616" TargetMode="External"/><Relationship Id="rId1616" Type="http://schemas.openxmlformats.org/officeDocument/2006/relationships/hyperlink" Target="https://doi.org/10.1021/acsami.6c12616" TargetMode="External"/><Relationship Id="rId1617" Type="http://schemas.openxmlformats.org/officeDocument/2006/relationships/hyperlink" Target="https://www.nature.com/articles/s41467-026-75858-0" TargetMode="External"/><Relationship Id="rId1618" Type="http://schemas.openxmlformats.org/officeDocument/2006/relationships/hyperlink" Target="https://www.nature.com/articles/s41467-026-76007-3" TargetMode="External"/><Relationship Id="rId1619" Type="http://schemas.openxmlformats.org/officeDocument/2006/relationships/hyperlink" Target="https://pubs.acs.org/doi/10.1021/acsami.6c13589" TargetMode="External"/><Relationship Id="rId1620" Type="http://schemas.openxmlformats.org/officeDocument/2006/relationships/hyperlink" Target="https://doi.org/10.1021/acsami.6c13589" TargetMode="External"/><Relationship Id="rId1621" Type="http://schemas.openxmlformats.org/officeDocument/2006/relationships/hyperlink" Target="https://pubs.acs.org/doi/10.1021/acsami.6c06027" TargetMode="External"/><Relationship Id="rId1622" Type="http://schemas.openxmlformats.org/officeDocument/2006/relationships/hyperlink" Target="https://doi.org/10.1021/acsami.6c06027" TargetMode="External"/><Relationship Id="rId1623" Type="http://schemas.openxmlformats.org/officeDocument/2006/relationships/hyperlink" Target="https://www.nature.com/articles/s41893-026-01898-5" TargetMode="External"/><Relationship Id="rId1624" Type="http://schemas.openxmlformats.org/officeDocument/2006/relationships/hyperlink" Target="https://doi.org/10.1038/s41893-026-01898-5" TargetMode="External"/><Relationship Id="rId1625" Type="http://schemas.openxmlformats.org/officeDocument/2006/relationships/hyperlink" Target="https://www.nature.com/articles/s41467-026-75714-1" TargetMode="External"/><Relationship Id="rId1626" Type="http://schemas.openxmlformats.org/officeDocument/2006/relationships/hyperlink" Target="https://www.nature.com/articles/s41467-026-75934-5" TargetMode="External"/><Relationship Id="rId1627" Type="http://schemas.openxmlformats.org/officeDocument/2006/relationships/hyperlink" Target="https://www.nature.com/articles/s41467-026-75322-z" TargetMode="External"/><Relationship Id="rId1628" Type="http://schemas.openxmlformats.org/officeDocument/2006/relationships/hyperlink" Target="https://www.sciencedirect.com/science/article/pii/S0301421526004519?dgcid=rss_sd_all" TargetMode="External"/><Relationship Id="rId1629" Type="http://schemas.openxmlformats.org/officeDocument/2006/relationships/hyperlink" Target="https://doi.org/10.1016/j.enpol.2026.115517" TargetMode="External"/><Relationship Id="rId1630" Type="http://schemas.openxmlformats.org/officeDocument/2006/relationships/hyperlink" Target="https://www.nature.com/articles/s41893-026-01882-z" TargetMode="External"/><Relationship Id="rId1631" Type="http://schemas.openxmlformats.org/officeDocument/2006/relationships/hyperlink" Target="https://doi.org/10.1038/s41893-026-01882-z" TargetMode="External"/><Relationship Id="rId1632" Type="http://schemas.openxmlformats.org/officeDocument/2006/relationships/hyperlink" Target="https://pubs.acs.org/doi/10.1021/jacs.6c01520" TargetMode="External"/><Relationship Id="rId1633" Type="http://schemas.openxmlformats.org/officeDocument/2006/relationships/hyperlink" Target="https://doi.org/10.1021/jacs.6c01520" TargetMode="External"/><Relationship Id="rId1634" Type="http://schemas.openxmlformats.org/officeDocument/2006/relationships/hyperlink" Target="https://www.sciencedirect.com/science/article/pii/S0306261926011335?dgcid=rss_sd_all" TargetMode="External"/><Relationship Id="rId1635" Type="http://schemas.openxmlformats.org/officeDocument/2006/relationships/hyperlink" Target="https://doi.org/10.1016/j.apenergy.2026.128477" TargetMode="External"/><Relationship Id="rId1636" Type="http://schemas.openxmlformats.org/officeDocument/2006/relationships/hyperlink" Target="https://pubs.acs.org/doi/10.1021/acsami.6c07451" TargetMode="External"/><Relationship Id="rId1637" Type="http://schemas.openxmlformats.org/officeDocument/2006/relationships/hyperlink" Target="https://doi.org/10.1021/acsami.6c07451" TargetMode="External"/><Relationship Id="rId1638" Type="http://schemas.openxmlformats.org/officeDocument/2006/relationships/hyperlink" Target="https://www.sciencedirect.com/science/article/pii/S030626192601158X?dgcid=rss_sd_all" TargetMode="External"/><Relationship Id="rId1639" Type="http://schemas.openxmlformats.org/officeDocument/2006/relationships/hyperlink" Target="https://doi.org/10.1016/j.apenergy.2026.128502" TargetMode="External"/><Relationship Id="rId1640" Type="http://schemas.openxmlformats.org/officeDocument/2006/relationships/hyperlink" Target="https://www.nature.com/articles/d41586-026-02233-w" TargetMode="External"/><Relationship Id="rId1641" Type="http://schemas.openxmlformats.org/officeDocument/2006/relationships/hyperlink" Target="https://doi.org/10.1038/d41586-026-02233-w" TargetMode="External"/><Relationship Id="rId1642" Type="http://schemas.openxmlformats.org/officeDocument/2006/relationships/hyperlink" Target="https://www.nature.com/articles/s41467-026-76003-7" TargetMode="External"/><Relationship Id="rId1643" Type="http://schemas.openxmlformats.org/officeDocument/2006/relationships/hyperlink" Target="https://www.nature.com/articles/s41558-026-02697-8" TargetMode="External"/><Relationship Id="rId1644" Type="http://schemas.openxmlformats.org/officeDocument/2006/relationships/hyperlink" Target="https://doi.org/10.1038/s41558-026-02697-8" TargetMode="External"/><Relationship Id="rId1645" Type="http://schemas.openxmlformats.org/officeDocument/2006/relationships/hyperlink" Target="https://pubs.acs.org/doi/10.1021/acsenergylett.6c01545" TargetMode="External"/><Relationship Id="rId1646" Type="http://schemas.openxmlformats.org/officeDocument/2006/relationships/hyperlink" Target="https://doi.org/10.1021/acsenergylett.6c01545" TargetMode="External"/><Relationship Id="rId1647" Type="http://schemas.openxmlformats.org/officeDocument/2006/relationships/hyperlink" Target="https://pubs.acs.org/doi/10.1021/acsenergylett.6c02086" TargetMode="External"/><Relationship Id="rId1648" Type="http://schemas.openxmlformats.org/officeDocument/2006/relationships/hyperlink" Target="https://doi.org/10.1021/acsenergylett.6c02086" TargetMode="External"/><Relationship Id="rId1649" Type="http://schemas.openxmlformats.org/officeDocument/2006/relationships/hyperlink" Target="https://www.nature.com/articles/s41893-026-01909-5" TargetMode="External"/><Relationship Id="rId1650" Type="http://schemas.openxmlformats.org/officeDocument/2006/relationships/hyperlink" Target="https://doi.org/10.1038/s41893-026-01909-5" TargetMode="External"/><Relationship Id="rId1651" Type="http://schemas.openxmlformats.org/officeDocument/2006/relationships/hyperlink" Target="https://www.nature.com/articles/s41467-026-75177-4" TargetMode="External"/><Relationship Id="rId1652" Type="http://schemas.openxmlformats.org/officeDocument/2006/relationships/hyperlink" Target="https://www.cell.com/chem/fulltext/S2451-9294(26)00228-7?rss=yes" TargetMode="External"/><Relationship Id="rId1653" Type="http://schemas.openxmlformats.org/officeDocument/2006/relationships/hyperlink" Target="https://doi.org/10.1016/j.chempr.2026.103162" TargetMode="External"/><Relationship Id="rId1654" Type="http://schemas.openxmlformats.org/officeDocument/2006/relationships/hyperlink" Target="https://www.nature.com/articles/s41928-026-01678-1" TargetMode="External"/><Relationship Id="rId1655" Type="http://schemas.openxmlformats.org/officeDocument/2006/relationships/hyperlink" Target="https://doi.org/10.1038/s41928-026-01678-1" TargetMode="External"/><Relationship Id="rId1656" Type="http://schemas.openxmlformats.org/officeDocument/2006/relationships/hyperlink" Target="https://www.nature.com/articles/s41467-026-75707-0" TargetMode="External"/><Relationship Id="rId1657" Type="http://schemas.openxmlformats.org/officeDocument/2006/relationships/hyperlink" Target="https://www.nature.com/articles/s41586-026-10821-z" TargetMode="External"/><Relationship Id="rId1658" Type="http://schemas.openxmlformats.org/officeDocument/2006/relationships/hyperlink" Target="https://doi.org/10.1038/s41586-026-10821-z" TargetMode="External"/><Relationship Id="rId1659" Type="http://schemas.openxmlformats.org/officeDocument/2006/relationships/hyperlink" Target="https://www.nature.com/articles/d41586-026-02256-3" TargetMode="External"/><Relationship Id="rId1660" Type="http://schemas.openxmlformats.org/officeDocument/2006/relationships/hyperlink" Target="https://doi.org/10.1038/d41586-026-02256-3" TargetMode="External"/><Relationship Id="rId1661" Type="http://schemas.openxmlformats.org/officeDocument/2006/relationships/hyperlink" Target="https://www.nature.com/articles/d41586-026-02020-7" TargetMode="External"/><Relationship Id="rId1662" Type="http://schemas.openxmlformats.org/officeDocument/2006/relationships/hyperlink" Target="https://doi.org/10.1038/d41586-026-02020-7" TargetMode="External"/><Relationship Id="rId1663" Type="http://schemas.openxmlformats.org/officeDocument/2006/relationships/hyperlink" Target="https://www.nature.com/articles/d41586-026-02072-9" TargetMode="External"/><Relationship Id="rId1664" Type="http://schemas.openxmlformats.org/officeDocument/2006/relationships/hyperlink" Target="https://doi.org/10.1038/d41586-026-02072-9" TargetMode="External"/><Relationship Id="rId1665" Type="http://schemas.openxmlformats.org/officeDocument/2006/relationships/hyperlink" Target="https://www.nature.com/articles/d41586-026-02230-z" TargetMode="External"/><Relationship Id="rId1666" Type="http://schemas.openxmlformats.org/officeDocument/2006/relationships/hyperlink" Target="https://doi.org/10.1038/d41586-026-02230-z" TargetMode="External"/><Relationship Id="rId1667" Type="http://schemas.openxmlformats.org/officeDocument/2006/relationships/hyperlink" Target="https://www.nature.com/articles/d41586-026-02042-1" TargetMode="External"/><Relationship Id="rId1668" Type="http://schemas.openxmlformats.org/officeDocument/2006/relationships/hyperlink" Target="https://doi.org/10.1038/d41586-026-02042-1" TargetMode="External"/><Relationship Id="rId1669" Type="http://schemas.openxmlformats.org/officeDocument/2006/relationships/hyperlink" Target="https://www.nature.com/articles/d41586-026-02155-7" TargetMode="External"/><Relationship Id="rId1670" Type="http://schemas.openxmlformats.org/officeDocument/2006/relationships/hyperlink" Target="https://doi.org/10.1038/d41586-026-02155-7" TargetMode="External"/><Relationship Id="rId1671" Type="http://schemas.openxmlformats.org/officeDocument/2006/relationships/hyperlink" Target="https://www.nature.com/articles/d41586-026-02237-6" TargetMode="External"/><Relationship Id="rId1672" Type="http://schemas.openxmlformats.org/officeDocument/2006/relationships/hyperlink" Target="https://doi.org/10.1038/d41586-026-02237-6" TargetMode="External"/><Relationship Id="rId1673" Type="http://schemas.openxmlformats.org/officeDocument/2006/relationships/hyperlink" Target="https://www.nature.com/articles/s41467-026-75967-w" TargetMode="External"/><Relationship Id="rId1674" Type="http://schemas.openxmlformats.org/officeDocument/2006/relationships/hyperlink" Target="https://pubs.acs.org/doi/10.1021/acsami.6c11453" TargetMode="External"/><Relationship Id="rId1675" Type="http://schemas.openxmlformats.org/officeDocument/2006/relationships/hyperlink" Target="https://doi.org/10.1021/acsami.6c11453" TargetMode="External"/><Relationship Id="rId1676" Type="http://schemas.openxmlformats.org/officeDocument/2006/relationships/hyperlink" Target="https://pubs.acs.org/doi/10.1021/acsami.6c04137" TargetMode="External"/><Relationship Id="rId1677" Type="http://schemas.openxmlformats.org/officeDocument/2006/relationships/hyperlink" Target="https://doi.org/10.1021/acsami.6c04137" TargetMode="External"/><Relationship Id="rId1678" Type="http://schemas.openxmlformats.org/officeDocument/2006/relationships/hyperlink" Target="https://pubs.acs.org/doi/10.1021/acsami.6c07923" TargetMode="External"/><Relationship Id="rId1679" Type="http://schemas.openxmlformats.org/officeDocument/2006/relationships/hyperlink" Target="https://doi.org/10.1021/acsami.6c07923" TargetMode="External"/><Relationship Id="rId1680" Type="http://schemas.openxmlformats.org/officeDocument/2006/relationships/hyperlink" Target="https://pubs.acs.org/doi/10.1021/acsami.6c08565" TargetMode="External"/><Relationship Id="rId1681" Type="http://schemas.openxmlformats.org/officeDocument/2006/relationships/hyperlink" Target="https://doi.org/10.1021/acsami.6c08565" TargetMode="External"/><Relationship Id="rId1682" Type="http://schemas.openxmlformats.org/officeDocument/2006/relationships/hyperlink" Target="https://www.nature.com/articles/s41467-026-75833-9" TargetMode="External"/><Relationship Id="rId1683" Type="http://schemas.openxmlformats.org/officeDocument/2006/relationships/hyperlink" Target="https://www.nature.com/articles/s41467-026-75718-x" TargetMode="External"/><Relationship Id="rId1684" Type="http://schemas.openxmlformats.org/officeDocument/2006/relationships/hyperlink" Target="https://www.nature.com/articles/s41467-026-75297-x" TargetMode="External"/><Relationship Id="rId1685" Type="http://schemas.openxmlformats.org/officeDocument/2006/relationships/hyperlink" Target="https://www.nature.com/articles/s41467-026-75892-y" TargetMode="External"/><Relationship Id="rId1686" Type="http://schemas.openxmlformats.org/officeDocument/2006/relationships/hyperlink" Target="https://www.nature.com/articles/s41467-026-75758-3" TargetMode="External"/><Relationship Id="rId1687" Type="http://schemas.openxmlformats.org/officeDocument/2006/relationships/hyperlink" Target="https://www.nature.com/articles/s41467-026-75635-z" TargetMode="External"/><Relationship Id="rId1688" Type="http://schemas.openxmlformats.org/officeDocument/2006/relationships/hyperlink" Target="https://www.nature.com/articles/s41467-026-75159-6" TargetMode="External"/><Relationship Id="rId1689" Type="http://schemas.openxmlformats.org/officeDocument/2006/relationships/hyperlink" Target="https://www.nature.com/articles/s41565-026-02217-x" TargetMode="External"/><Relationship Id="rId1690" Type="http://schemas.openxmlformats.org/officeDocument/2006/relationships/hyperlink" Target="https://doi.org/10.1038/s41565-026-02217-x" TargetMode="External"/><Relationship Id="rId1691" Type="http://schemas.openxmlformats.org/officeDocument/2006/relationships/hyperlink" Target="https://www.nature.com/articles/s41467-026-75946-1" TargetMode="External"/><Relationship Id="rId1692" Type="http://schemas.openxmlformats.org/officeDocument/2006/relationships/hyperlink" Target="https://www.nature.com/articles/s41467-026-75315-y" TargetMode="External"/><Relationship Id="rId1693" Type="http://schemas.openxmlformats.org/officeDocument/2006/relationships/hyperlink" Target="https://onlinelibrary.wiley.com/doi/10.1002/anie.5126293?af=R" TargetMode="External"/><Relationship Id="rId1694" Type="http://schemas.openxmlformats.org/officeDocument/2006/relationships/hyperlink" Target="https://doi.org/10.1002/anie.5126293" TargetMode="External"/><Relationship Id="rId1695" Type="http://schemas.openxmlformats.org/officeDocument/2006/relationships/hyperlink" Target="https://onlinelibrary.wiley.com/doi/10.1002/anie.5149199?af=R" TargetMode="External"/><Relationship Id="rId1696" Type="http://schemas.openxmlformats.org/officeDocument/2006/relationships/hyperlink" Target="https://doi.org/10.1002/anie.5149199" TargetMode="External"/><Relationship Id="rId1697" Type="http://schemas.openxmlformats.org/officeDocument/2006/relationships/hyperlink" Target="https://onlinelibrary.wiley.com/doi/10.1002/anie.5419423?af=R" TargetMode="External"/><Relationship Id="rId1698" Type="http://schemas.openxmlformats.org/officeDocument/2006/relationships/hyperlink" Target="https://doi.org/10.1002/anie.5419423" TargetMode="External"/><Relationship Id="rId1699" Type="http://schemas.openxmlformats.org/officeDocument/2006/relationships/hyperlink" Target="https://onlinelibrary.wiley.com/doi/10.1002/anie.5196140?af=R" TargetMode="External"/><Relationship Id="rId1700" Type="http://schemas.openxmlformats.org/officeDocument/2006/relationships/hyperlink" Target="https://doi.org/10.1002/anie.5196140" TargetMode="External"/><Relationship Id="rId1701" Type="http://schemas.openxmlformats.org/officeDocument/2006/relationships/hyperlink" Target="https://onlinelibrary.wiley.com/doi/10.1002/anie.4069826?af=R" TargetMode="External"/><Relationship Id="rId1702" Type="http://schemas.openxmlformats.org/officeDocument/2006/relationships/hyperlink" Target="https://doi.org/10.1002/anie.4069826" TargetMode="External"/><Relationship Id="rId1703" Type="http://schemas.openxmlformats.org/officeDocument/2006/relationships/hyperlink" Target="https://onlinelibrary.wiley.com/doi/10.1002/anie.2095526?af=R" TargetMode="External"/><Relationship Id="rId1704" Type="http://schemas.openxmlformats.org/officeDocument/2006/relationships/hyperlink" Target="https://doi.org/10.1002/anie.2095526" TargetMode="External"/><Relationship Id="rId1705" Type="http://schemas.openxmlformats.org/officeDocument/2006/relationships/hyperlink" Target="https://www.pnas.org/doi/abs/10.1073/pnas.2536534123?mi=eymic2&amp;af=R&amp;access=on&amp;content=articlesChapters&amp;publication=pnas&amp;sortBy=Earliest&amp;target=default" TargetMode="External"/><Relationship Id="rId1706" Type="http://schemas.openxmlformats.org/officeDocument/2006/relationships/hyperlink" Target="https://doi.org/10.1073/pnas.2536534123" TargetMode="External"/><Relationship Id="rId1707" Type="http://schemas.openxmlformats.org/officeDocument/2006/relationships/hyperlink" Target="https://www.pnas.org/doi/abs/10.1073/pnas.2615774123?mi=eymic2&amp;af=R&amp;access=on&amp;content=articlesChapters&amp;publication=pnas&amp;sortBy=Earliest&amp;target=default" TargetMode="External"/><Relationship Id="rId1708" Type="http://schemas.openxmlformats.org/officeDocument/2006/relationships/hyperlink" Target="https://doi.org/10.1073/pnas.2615774123" TargetMode="External"/><Relationship Id="rId1709" Type="http://schemas.openxmlformats.org/officeDocument/2006/relationships/hyperlink" Target="https://www.pnas.org/doi/abs/10.1073/pnas.2529784123?mi=eymic2&amp;af=R&amp;access=on&amp;content=articlesChapters&amp;publication=pnas&amp;sortBy=Earliest&amp;target=default" TargetMode="External"/><Relationship Id="rId1710" Type="http://schemas.openxmlformats.org/officeDocument/2006/relationships/hyperlink" Target="https://doi.org/10.1073/pnas.2529784123" TargetMode="External"/><Relationship Id="rId1711" Type="http://schemas.openxmlformats.org/officeDocument/2006/relationships/hyperlink" Target="https://www.pnas.org/doi/abs/10.1073/pnas.2530526123?mi=eymic2&amp;af=R&amp;access=on&amp;content=articlesChapters&amp;publication=pnas&amp;sortBy=Earliest&amp;target=default" TargetMode="External"/><Relationship Id="rId1712" Type="http://schemas.openxmlformats.org/officeDocument/2006/relationships/hyperlink" Target="https://doi.org/10.1073/pnas.2530526123" TargetMode="External"/><Relationship Id="rId1713" Type="http://schemas.openxmlformats.org/officeDocument/2006/relationships/hyperlink" Target="https://www.pnas.org/doi/abs/10.1073/pnas.2530567123?mi=eymic2&amp;af=R&amp;access=on&amp;content=articlesChapters&amp;publication=pnas&amp;sortBy=Earliest&amp;target=default" TargetMode="External"/><Relationship Id="rId1714" Type="http://schemas.openxmlformats.org/officeDocument/2006/relationships/hyperlink" Target="https://doi.org/10.1073/pnas.2530567123" TargetMode="External"/><Relationship Id="rId1715" Type="http://schemas.openxmlformats.org/officeDocument/2006/relationships/hyperlink" Target="https://www.pnas.org/doi/abs/10.1073/pnas.2530708123?mi=eymic2&amp;af=R&amp;access=on&amp;content=articlesChapters&amp;publication=pnas&amp;sortBy=Earliest&amp;target=default" TargetMode="External"/><Relationship Id="rId1716" Type="http://schemas.openxmlformats.org/officeDocument/2006/relationships/hyperlink" Target="https://doi.org/10.1073/pnas.2530708123" TargetMode="External"/><Relationship Id="rId1717" Type="http://schemas.openxmlformats.org/officeDocument/2006/relationships/hyperlink" Target="https://www.pnas.org/doi/abs/10.1073/pnas.2532420123?mi=eymic2&amp;af=R&amp;access=on&amp;content=articlesChapters&amp;publication=pnas&amp;sortBy=Earliest&amp;target=default" TargetMode="External"/><Relationship Id="rId1718" Type="http://schemas.openxmlformats.org/officeDocument/2006/relationships/hyperlink" Target="https://doi.org/10.1073/pnas.2532420123" TargetMode="External"/><Relationship Id="rId1719" Type="http://schemas.openxmlformats.org/officeDocument/2006/relationships/hyperlink" Target="https://www.pnas.org/doi/abs/10.1073/pnas.2610397123?mi=eymic2&amp;af=R&amp;access=on&amp;content=articlesChapters&amp;publication=pnas&amp;sortBy=Earliest&amp;target=default" TargetMode="External"/><Relationship Id="rId1720" Type="http://schemas.openxmlformats.org/officeDocument/2006/relationships/hyperlink" Target="https://doi.org/10.1073/pnas.2610397123" TargetMode="External"/><Relationship Id="rId1721" Type="http://schemas.openxmlformats.org/officeDocument/2006/relationships/hyperlink" Target="https://www.pnas.org/doi/abs/10.1073/pnas.2611708123?mi=eymic2&amp;af=R&amp;access=on&amp;content=articlesChapters&amp;publication=pnas&amp;sortBy=Earliest&amp;target=default" TargetMode="External"/><Relationship Id="rId1722" Type="http://schemas.openxmlformats.org/officeDocument/2006/relationships/hyperlink" Target="https://doi.org/10.1073/pnas.2611708123" TargetMode="External"/><Relationship Id="rId1723" Type="http://schemas.openxmlformats.org/officeDocument/2006/relationships/hyperlink" Target="https://www.pnas.org/doi/abs/10.1073/pnas.2536276123?mi=eymic2&amp;af=R&amp;access=on&amp;content=articlesChapters&amp;publication=pnas&amp;sortBy=Earliest&amp;target=default" TargetMode="External"/><Relationship Id="rId1724" Type="http://schemas.openxmlformats.org/officeDocument/2006/relationships/hyperlink" Target="https://doi.org/10.1073/pnas.2536276123" TargetMode="External"/><Relationship Id="rId1725" Type="http://schemas.openxmlformats.org/officeDocument/2006/relationships/hyperlink" Target="https://www.pnas.org/doi/abs/10.1073/pnas.2622612123?mi=eymic2&amp;af=R&amp;access=on&amp;content=articlesChapters&amp;publication=pnas&amp;sortBy=Earliest&amp;target=default" TargetMode="External"/><Relationship Id="rId1726" Type="http://schemas.openxmlformats.org/officeDocument/2006/relationships/hyperlink" Target="https://doi.org/10.1073/pnas.2622612123" TargetMode="External"/><Relationship Id="rId1727" Type="http://schemas.openxmlformats.org/officeDocument/2006/relationships/hyperlink" Target="https://www.pnas.org/doi/abs/10.1073/pnas.2610914123?mi=eymic2&amp;af=R&amp;access=on&amp;content=articlesChapters&amp;publication=pnas&amp;sortBy=Earliest&amp;target=default" TargetMode="External"/><Relationship Id="rId1728" Type="http://schemas.openxmlformats.org/officeDocument/2006/relationships/hyperlink" Target="https://doi.org/10.1073/pnas.2610914123" TargetMode="External"/><Relationship Id="rId1729" Type="http://schemas.openxmlformats.org/officeDocument/2006/relationships/hyperlink" Target="https://www.pnas.org/doi/abs/10.1073/pnas.2610568123?mi=eymic2&amp;af=R&amp;access=on&amp;content=articlesChapters&amp;publication=pnas&amp;sortBy=Earliest&amp;target=default" TargetMode="External"/><Relationship Id="rId1730" Type="http://schemas.openxmlformats.org/officeDocument/2006/relationships/hyperlink" Target="https://doi.org/10.1073/pnas.2610568123" TargetMode="External"/><Relationship Id="rId1731" Type="http://schemas.openxmlformats.org/officeDocument/2006/relationships/hyperlink" Target="https://www.pnas.org/doi/abs/10.1073/pnas.2614944123?mi=eymic2&amp;af=R&amp;access=on&amp;content=articlesChapters&amp;publication=pnas&amp;sortBy=Earliest&amp;target=default" TargetMode="External"/><Relationship Id="rId1732" Type="http://schemas.openxmlformats.org/officeDocument/2006/relationships/hyperlink" Target="https://doi.org/10.1073/pnas.2614944123" TargetMode="External"/><Relationship Id="rId1733" Type="http://schemas.openxmlformats.org/officeDocument/2006/relationships/hyperlink" Target="https://www.pnas.org/doi/abs/10.1073/pnas.2605466123?mi=eymic2&amp;af=R&amp;access=on&amp;content=articlesChapters&amp;publication=pnas&amp;sortBy=Earliest&amp;target=default" TargetMode="External"/><Relationship Id="rId1734" Type="http://schemas.openxmlformats.org/officeDocument/2006/relationships/hyperlink" Target="https://doi.org/10.1073/pnas.2605466123" TargetMode="External"/><Relationship Id="rId1735" Type="http://schemas.openxmlformats.org/officeDocument/2006/relationships/hyperlink" Target="https://www.pnas.org/doi/abs/10.1073/pnas.2602744123?mi=eymic2&amp;af=R&amp;access=on&amp;content=articlesChapters&amp;publication=pnas&amp;sortBy=Earliest&amp;target=default" TargetMode="External"/><Relationship Id="rId1736" Type="http://schemas.openxmlformats.org/officeDocument/2006/relationships/hyperlink" Target="https://doi.org/10.1073/pnas.2602744123" TargetMode="External"/><Relationship Id="rId1737" Type="http://schemas.openxmlformats.org/officeDocument/2006/relationships/hyperlink" Target="https://www.pnas.org/doi/abs/10.1073/pnas.2600571123?mi=eymic2&amp;af=R&amp;access=on&amp;content=articlesChapters&amp;publication=pnas&amp;sortBy=Earliest&amp;target=default" TargetMode="External"/><Relationship Id="rId1738" Type="http://schemas.openxmlformats.org/officeDocument/2006/relationships/hyperlink" Target="https://doi.org/10.1073/pnas.2600571123" TargetMode="External"/><Relationship Id="rId1739" Type="http://schemas.openxmlformats.org/officeDocument/2006/relationships/hyperlink" Target="https://www.pnas.org/doi/abs/10.1073/pnas.2536600123?mi=eymic2&amp;af=R&amp;access=on&amp;content=articlesChapters&amp;publication=pnas&amp;sortBy=Earliest&amp;target=default" TargetMode="External"/><Relationship Id="rId1740" Type="http://schemas.openxmlformats.org/officeDocument/2006/relationships/hyperlink" Target="https://doi.org/10.1073/pnas.2536600123" TargetMode="External"/><Relationship Id="rId1741" Type="http://schemas.openxmlformats.org/officeDocument/2006/relationships/hyperlink" Target="https://www.pnas.org/doi/abs/10.1073/pnas.2534343123?mi=eymic2&amp;af=R&amp;access=on&amp;content=articlesChapters&amp;publication=pnas&amp;sortBy=Earliest&amp;target=default" TargetMode="External"/><Relationship Id="rId1742" Type="http://schemas.openxmlformats.org/officeDocument/2006/relationships/hyperlink" Target="https://doi.org/10.1073/pnas.2534343123" TargetMode="External"/><Relationship Id="rId1743" Type="http://schemas.openxmlformats.org/officeDocument/2006/relationships/hyperlink" Target="https://advanced.onlinelibrary.wiley.com/doi/10.1002/adma.74162?af=R" TargetMode="External"/><Relationship Id="rId1744" Type="http://schemas.openxmlformats.org/officeDocument/2006/relationships/hyperlink" Target="https://doi.org/10.1002/adma.74162" TargetMode="External"/><Relationship Id="rId1745" Type="http://schemas.openxmlformats.org/officeDocument/2006/relationships/hyperlink" Target="https://advanced.onlinelibrary.wiley.com/doi/10.1002/adma.74156?af=R" TargetMode="External"/><Relationship Id="rId1746" Type="http://schemas.openxmlformats.org/officeDocument/2006/relationships/hyperlink" Target="https://doi.org/10.1002/adma.74156" TargetMode="External"/><Relationship Id="rId1747" Type="http://schemas.openxmlformats.org/officeDocument/2006/relationships/hyperlink" Target="https://advanced.onlinelibrary.wiley.com/doi/10.1002/adma.74077?af=R" TargetMode="External"/><Relationship Id="rId1748" Type="http://schemas.openxmlformats.org/officeDocument/2006/relationships/hyperlink" Target="https://doi.org/10.1002/adma.74077" TargetMode="External"/><Relationship Id="rId1749" Type="http://schemas.openxmlformats.org/officeDocument/2006/relationships/hyperlink" Target="https://advanced.onlinelibrary.wiley.com/doi/10.1002/adma.74242?af=R" TargetMode="External"/><Relationship Id="rId1750" Type="http://schemas.openxmlformats.org/officeDocument/2006/relationships/hyperlink" Target="https://doi.org/10.1002/adma.74242" TargetMode="External"/><Relationship Id="rId1751" Type="http://schemas.openxmlformats.org/officeDocument/2006/relationships/hyperlink" Target="https://advanced.onlinelibrary.wiley.com/doi/10.1002/adma.74262?af=R" TargetMode="External"/><Relationship Id="rId1752" Type="http://schemas.openxmlformats.org/officeDocument/2006/relationships/hyperlink" Target="https://doi.org/10.1002/adma.74262" TargetMode="External"/><Relationship Id="rId1753" Type="http://schemas.openxmlformats.org/officeDocument/2006/relationships/hyperlink" Target="https://advanced.onlinelibrary.wiley.com/doi/10.1002/adma.73923?af=R" TargetMode="External"/><Relationship Id="rId1754" Type="http://schemas.openxmlformats.org/officeDocument/2006/relationships/hyperlink" Target="https://doi.org/10.1002/adma.73923" TargetMode="External"/><Relationship Id="rId1755" Type="http://schemas.openxmlformats.org/officeDocument/2006/relationships/hyperlink" Target="https://advanced.onlinelibrary.wiley.com/doi/10.1002/adma.74209?af=R" TargetMode="External"/><Relationship Id="rId1756" Type="http://schemas.openxmlformats.org/officeDocument/2006/relationships/hyperlink" Target="https://doi.org/10.1002/adma.74209" TargetMode="External"/><Relationship Id="rId1757" Type="http://schemas.openxmlformats.org/officeDocument/2006/relationships/hyperlink" Target="https://advanced.onlinelibrary.wiley.com/doi/10.1002/adma.74169?af=R" TargetMode="External"/><Relationship Id="rId1758" Type="http://schemas.openxmlformats.org/officeDocument/2006/relationships/hyperlink" Target="https://doi.org/10.1002/adma.74169" TargetMode="External"/><Relationship Id="rId1759" Type="http://schemas.openxmlformats.org/officeDocument/2006/relationships/hyperlink" Target="https://advanced.onlinelibrary.wiley.com/doi/10.1002/adma.74191?af=R" TargetMode="External"/><Relationship Id="rId1760" Type="http://schemas.openxmlformats.org/officeDocument/2006/relationships/hyperlink" Target="https://doi.org/10.1002/adma.74191" TargetMode="External"/><Relationship Id="rId1761" Type="http://schemas.openxmlformats.org/officeDocument/2006/relationships/hyperlink" Target="http://link.aps.org/doi/10.1103/122c-f92l" TargetMode="External"/><Relationship Id="rId1762" Type="http://schemas.openxmlformats.org/officeDocument/2006/relationships/hyperlink" Target="https://doi.org/10.1103/122c-f92l" TargetMode="External"/><Relationship Id="rId1763" Type="http://schemas.openxmlformats.org/officeDocument/2006/relationships/hyperlink" Target="http://link.aps.org/doi/10.1103/tbp3-7rh3" TargetMode="External"/><Relationship Id="rId1764" Type="http://schemas.openxmlformats.org/officeDocument/2006/relationships/hyperlink" Target="https://doi.org/10.1103/tbp3-7rh3" TargetMode="External"/><Relationship Id="rId1765" Type="http://schemas.openxmlformats.org/officeDocument/2006/relationships/hyperlink" Target="http://link.aps.org/doi/10.1103/27t3-61j2" TargetMode="External"/><Relationship Id="rId1766" Type="http://schemas.openxmlformats.org/officeDocument/2006/relationships/hyperlink" Target="https://doi.org/10.1103/27t3-61j2" TargetMode="External"/><Relationship Id="rId1767" Type="http://schemas.openxmlformats.org/officeDocument/2006/relationships/hyperlink" Target="http://link.aps.org/doi/10.1103/gkzp-r681" TargetMode="External"/><Relationship Id="rId1768" Type="http://schemas.openxmlformats.org/officeDocument/2006/relationships/hyperlink" Target="https://doi.org/10.1103/gkzp-r681" TargetMode="External"/><Relationship Id="rId1769" Type="http://schemas.openxmlformats.org/officeDocument/2006/relationships/hyperlink" Target="http://link.aps.org/doi/10.1103/h7fg-xjby" TargetMode="External"/><Relationship Id="rId1770" Type="http://schemas.openxmlformats.org/officeDocument/2006/relationships/hyperlink" Target="https://doi.org/10.1103/h7fg-xjby" TargetMode="External"/><Relationship Id="rId1771" Type="http://schemas.openxmlformats.org/officeDocument/2006/relationships/hyperlink" Target="http://link.aps.org/doi/10.1103/9bp2-42v3" TargetMode="External"/><Relationship Id="rId1772" Type="http://schemas.openxmlformats.org/officeDocument/2006/relationships/hyperlink" Target="https://doi.org/10.1103/9bp2-42v3" TargetMode="External"/><Relationship Id="rId1773" Type="http://schemas.openxmlformats.org/officeDocument/2006/relationships/hyperlink" Target="http://link.aps.org/doi/10.1103/61lp-6slp" TargetMode="External"/><Relationship Id="rId1774" Type="http://schemas.openxmlformats.org/officeDocument/2006/relationships/hyperlink" Target="https://doi.org/10.1103/61lp-6slp" TargetMode="External"/><Relationship Id="rId1775" Type="http://schemas.openxmlformats.org/officeDocument/2006/relationships/hyperlink" Target="http://link.aps.org/doi/10.1103/drhy-gkr1" TargetMode="External"/><Relationship Id="rId1776" Type="http://schemas.openxmlformats.org/officeDocument/2006/relationships/hyperlink" Target="https://doi.org/10.1103/drhy-gkr1" TargetMode="External"/><Relationship Id="rId1777" Type="http://schemas.openxmlformats.org/officeDocument/2006/relationships/hyperlink" Target="http://link.aps.org/doi/10.1103/x43y-61c1" TargetMode="External"/><Relationship Id="rId1778" Type="http://schemas.openxmlformats.org/officeDocument/2006/relationships/hyperlink" Target="https://doi.org/10.1103/x43y-61c1" TargetMode="External"/><Relationship Id="rId1779" Type="http://schemas.openxmlformats.org/officeDocument/2006/relationships/hyperlink" Target="http://link.aps.org/doi/10.1103/7xj7-hn98" TargetMode="External"/><Relationship Id="rId1780" Type="http://schemas.openxmlformats.org/officeDocument/2006/relationships/hyperlink" Target="https://doi.org/10.1103/7xj7-hn98" TargetMode="External"/><Relationship Id="rId1781" Type="http://schemas.openxmlformats.org/officeDocument/2006/relationships/hyperlink" Target="http://link.aps.org/doi/10.1103/hx9n-v1yg" TargetMode="External"/><Relationship Id="rId1782" Type="http://schemas.openxmlformats.org/officeDocument/2006/relationships/hyperlink" Target="https://doi.org/10.1103/hx9n-v1yg" TargetMode="External"/><Relationship Id="rId1783" Type="http://schemas.openxmlformats.org/officeDocument/2006/relationships/hyperlink" Target="http://link.aps.org/doi/10.1103/src1-b2xt" TargetMode="External"/><Relationship Id="rId1784" Type="http://schemas.openxmlformats.org/officeDocument/2006/relationships/hyperlink" Target="https://doi.org/10.1103/src1-b2xt" TargetMode="External"/><Relationship Id="rId1785" Type="http://schemas.openxmlformats.org/officeDocument/2006/relationships/hyperlink" Target="http://link.aps.org/doi/10.1103/xn55-h5hq" TargetMode="External"/><Relationship Id="rId1786" Type="http://schemas.openxmlformats.org/officeDocument/2006/relationships/hyperlink" Target="https://doi.org/10.1103/xn55-h5hq" TargetMode="External"/><Relationship Id="rId1787" Type="http://schemas.openxmlformats.org/officeDocument/2006/relationships/hyperlink" Target="http://link.aps.org/doi/10.1103/r8v5-h8bq" TargetMode="External"/><Relationship Id="rId1788" Type="http://schemas.openxmlformats.org/officeDocument/2006/relationships/hyperlink" Target="https://doi.org/10.1103/r8v5-h8bq" TargetMode="External"/><Relationship Id="rId1789" Type="http://schemas.openxmlformats.org/officeDocument/2006/relationships/hyperlink" Target="http://link.aps.org/doi/10.1103/cn46-gjy8" TargetMode="External"/><Relationship Id="rId1790" Type="http://schemas.openxmlformats.org/officeDocument/2006/relationships/hyperlink" Target="https://doi.org/10.1103/cn46-gjy8" TargetMode="External"/><Relationship Id="rId1791" Type="http://schemas.openxmlformats.org/officeDocument/2006/relationships/hyperlink" Target="http://link.aps.org/doi/10.1103/nkck-ctvd" TargetMode="External"/><Relationship Id="rId1792" Type="http://schemas.openxmlformats.org/officeDocument/2006/relationships/hyperlink" Target="https://doi.org/10.1103/nkck-ctvd" TargetMode="External"/><Relationship Id="rId1793" Type="http://schemas.openxmlformats.org/officeDocument/2006/relationships/hyperlink" Target="http://link.aps.org/doi/10.1103/slgj-nwcl" TargetMode="External"/><Relationship Id="rId1794" Type="http://schemas.openxmlformats.org/officeDocument/2006/relationships/hyperlink" Target="https://doi.org/10.1103/slgj-nwcl" TargetMode="External"/><Relationship Id="rId1795" Type="http://schemas.openxmlformats.org/officeDocument/2006/relationships/hyperlink" Target="https://advanced.onlinelibrary.wiley.com/doi/10.1002/adma.73765?af=R" TargetMode="External"/><Relationship Id="rId1796" Type="http://schemas.openxmlformats.org/officeDocument/2006/relationships/hyperlink" Target="https://doi.org/10.1002/adma.73765" TargetMode="External"/><Relationship Id="rId1797" Type="http://schemas.openxmlformats.org/officeDocument/2006/relationships/hyperlink" Target="https://advanced.onlinelibrary.wiley.com/doi/10.1002/adma.74228?af=R" TargetMode="External"/><Relationship Id="rId1798" Type="http://schemas.openxmlformats.org/officeDocument/2006/relationships/hyperlink" Target="https://doi.org/10.1002/adma.74228" TargetMode="External"/><Relationship Id="rId1799" Type="http://schemas.openxmlformats.org/officeDocument/2006/relationships/hyperlink" Target="https://advanced.onlinelibrary.wiley.com/doi/10.1002/adma.74246?af=R" TargetMode="External"/><Relationship Id="rId1800" Type="http://schemas.openxmlformats.org/officeDocument/2006/relationships/hyperlink" Target="https://doi.org/10.1002/adma.74246" TargetMode="External"/><Relationship Id="rId1801" Type="http://schemas.openxmlformats.org/officeDocument/2006/relationships/hyperlink" Target="https://advanced.onlinelibrary.wiley.com/doi/10.1002/adma.74237?af=R" TargetMode="External"/><Relationship Id="rId1802" Type="http://schemas.openxmlformats.org/officeDocument/2006/relationships/hyperlink" Target="https://doi.org/10.1002/adma.74237" TargetMode="External"/><Relationship Id="rId1803" Type="http://schemas.openxmlformats.org/officeDocument/2006/relationships/hyperlink" Target="https://advanced.onlinelibrary.wiley.com/doi/10.1002/adma.74238?af=R" TargetMode="External"/><Relationship Id="rId1804" Type="http://schemas.openxmlformats.org/officeDocument/2006/relationships/hyperlink" Target="https://doi.org/10.1002/adma.74238" TargetMode="External"/><Relationship Id="rId1805" Type="http://schemas.openxmlformats.org/officeDocument/2006/relationships/hyperlink" Target="https://advanced.onlinelibrary.wiley.com/doi/10.1002/adma.74200?af=R" TargetMode="External"/><Relationship Id="rId1806" Type="http://schemas.openxmlformats.org/officeDocument/2006/relationships/hyperlink" Target="https://doi.org/10.1002/adma.74200" TargetMode="External"/><Relationship Id="rId1807" Type="http://schemas.openxmlformats.org/officeDocument/2006/relationships/hyperlink" Target="https://advanced.onlinelibrary.wiley.com/doi/10.1002/adma.74291?af=R" TargetMode="External"/><Relationship Id="rId1808" Type="http://schemas.openxmlformats.org/officeDocument/2006/relationships/hyperlink" Target="https://doi.org/10.1002/adma.74291" TargetMode="External"/><Relationship Id="rId1809" Type="http://schemas.openxmlformats.org/officeDocument/2006/relationships/hyperlink" Target="https://advanced.onlinelibrary.wiley.com/doi/10.1002/adma.74287?af=R" TargetMode="External"/><Relationship Id="rId1810" Type="http://schemas.openxmlformats.org/officeDocument/2006/relationships/hyperlink" Target="https://doi.org/10.1002/adma.74287" TargetMode="External"/><Relationship Id="rId1811" Type="http://schemas.openxmlformats.org/officeDocument/2006/relationships/hyperlink" Target="https://advanced.onlinelibrary.wiley.com/doi/10.1002/adma.74249?af=R" TargetMode="External"/><Relationship Id="rId1812" Type="http://schemas.openxmlformats.org/officeDocument/2006/relationships/hyperlink" Target="https://doi.org/10.1002/adma.74249" TargetMode="External"/><Relationship Id="rId1813" Type="http://schemas.openxmlformats.org/officeDocument/2006/relationships/hyperlink" Target="https://advanced.onlinelibrary.wiley.com/doi/10.1002/adma.74221?af=R" TargetMode="External"/><Relationship Id="rId1814" Type="http://schemas.openxmlformats.org/officeDocument/2006/relationships/hyperlink" Target="https://doi.org/10.1002/adma.74221" TargetMode="External"/><Relationship Id="rId1815" Type="http://schemas.openxmlformats.org/officeDocument/2006/relationships/hyperlink" Target="https://advanced.onlinelibrary.wiley.com/doi/10.1002/adma.74216?af=R" TargetMode="External"/><Relationship Id="rId1816" Type="http://schemas.openxmlformats.org/officeDocument/2006/relationships/hyperlink" Target="https://doi.org/10.1002/adma.74216" TargetMode="External"/><Relationship Id="rId1817" Type="http://schemas.openxmlformats.org/officeDocument/2006/relationships/hyperlink" Target="https://advanced.onlinelibrary.wiley.com/doi/10.1002/adma.74264?af=R" TargetMode="External"/><Relationship Id="rId1818" Type="http://schemas.openxmlformats.org/officeDocument/2006/relationships/hyperlink" Target="https://doi.org/10.1002/adma.74264" TargetMode="External"/><Relationship Id="rId1819" Type="http://schemas.openxmlformats.org/officeDocument/2006/relationships/hyperlink" Target="https://advanced.onlinelibrary.wiley.com/doi/10.1002/adma.74186?af=R" TargetMode="External"/><Relationship Id="rId1820" Type="http://schemas.openxmlformats.org/officeDocument/2006/relationships/hyperlink" Target="https://doi.org/10.1002/adma.74186" TargetMode="External"/><Relationship Id="rId1821" Type="http://schemas.openxmlformats.org/officeDocument/2006/relationships/hyperlink" Target="https://advanced.onlinelibrary.wiley.com/doi/10.1002/adma.74199?af=R" TargetMode="External"/><Relationship Id="rId1822" Type="http://schemas.openxmlformats.org/officeDocument/2006/relationships/hyperlink" Target="https://doi.org/10.1002/adma.74199" TargetMode="External"/><Relationship Id="rId1823" Type="http://schemas.openxmlformats.org/officeDocument/2006/relationships/hyperlink" Target="https://www.nature.com/articles/s41565-026-02193-2" TargetMode="External"/><Relationship Id="rId1824" Type="http://schemas.openxmlformats.org/officeDocument/2006/relationships/hyperlink" Target="https://doi.org/10.1038/s41565-026-02193-2" TargetMode="External"/><Relationship Id="rId1825" Type="http://schemas.openxmlformats.org/officeDocument/2006/relationships/hyperlink" Target="https://academic.oup.com/nsr/advance-article/doi/10.1093/nsr/nwag451/8740806?rss=1" TargetMode="External"/><Relationship Id="rId1826" Type="http://schemas.openxmlformats.org/officeDocument/2006/relationships/hyperlink" Target="https://doi.org/10.1093/nsr/nwag451" TargetMode="External"/><Relationship Id="rId1827" Type="http://schemas.openxmlformats.org/officeDocument/2006/relationships/hyperlink" Target="https://www.nature.com/articles/d41586-026-02169-1" TargetMode="External"/><Relationship Id="rId1828" Type="http://schemas.openxmlformats.org/officeDocument/2006/relationships/hyperlink" Target="https://doi.org/10.1038/d41586-026-02169-1" TargetMode="External"/><Relationship Id="rId1829" Type="http://schemas.openxmlformats.org/officeDocument/2006/relationships/hyperlink" Target="https://www.nature.com/articles/d41586-026-02293-y" TargetMode="External"/><Relationship Id="rId1830" Type="http://schemas.openxmlformats.org/officeDocument/2006/relationships/hyperlink" Target="https://doi.org/10.1038/d41586-026-02293-y" TargetMode="External"/><Relationship Id="rId1831" Type="http://schemas.openxmlformats.org/officeDocument/2006/relationships/hyperlink" Target="https://www.nature.com/articles/d41586-026-02279-w" TargetMode="External"/><Relationship Id="rId1832" Type="http://schemas.openxmlformats.org/officeDocument/2006/relationships/hyperlink" Target="https://doi.org/10.1038/d41586-026-02279-w" TargetMode="External"/><Relationship Id="rId1833" Type="http://schemas.openxmlformats.org/officeDocument/2006/relationships/hyperlink" Target="https://www.nature.com/articles/d41586-026-02024-3" TargetMode="External"/><Relationship Id="rId1834" Type="http://schemas.openxmlformats.org/officeDocument/2006/relationships/hyperlink" Target="https://doi.org/10.1038/d41586-026-02024-3" TargetMode="External"/><Relationship Id="rId1835" Type="http://schemas.openxmlformats.org/officeDocument/2006/relationships/hyperlink" Target="https://www.nature.com/articles/d41586-026-02295-w" TargetMode="External"/><Relationship Id="rId1836" Type="http://schemas.openxmlformats.org/officeDocument/2006/relationships/hyperlink" Target="https://doi.org/10.1038/d41586-026-02295-w" TargetMode="External"/><Relationship Id="rId1837" Type="http://schemas.openxmlformats.org/officeDocument/2006/relationships/hyperlink" Target="https://www.nature.com/articles/s41893-026-01899-4" TargetMode="External"/><Relationship Id="rId1838" Type="http://schemas.openxmlformats.org/officeDocument/2006/relationships/hyperlink" Target="https://doi.org/10.1038/s41893-026-01899-4" TargetMode="External"/><Relationship Id="rId1839" Type="http://schemas.openxmlformats.org/officeDocument/2006/relationships/hyperlink" Target="https://www.nature.com/articles/d41586-026-02174-4" TargetMode="External"/><Relationship Id="rId1840" Type="http://schemas.openxmlformats.org/officeDocument/2006/relationships/hyperlink" Target="https://doi.org/10.1038/d41586-026-02174-4" TargetMode="External"/><Relationship Id="rId1841" Type="http://schemas.openxmlformats.org/officeDocument/2006/relationships/hyperlink" Target="https://www.nature.com/articles/d41586-026-02275-0" TargetMode="External"/><Relationship Id="rId1842" Type="http://schemas.openxmlformats.org/officeDocument/2006/relationships/hyperlink" Target="https://doi.org/10.1038/d41586-026-02275-0" TargetMode="External"/><Relationship Id="rId1843" Type="http://schemas.openxmlformats.org/officeDocument/2006/relationships/hyperlink" Target="https://www.cell.com/chem/fulltext/S2451-9294(26)00219-6?rss=yes" TargetMode="External"/><Relationship Id="rId1844" Type="http://schemas.openxmlformats.org/officeDocument/2006/relationships/hyperlink" Target="https://doi.org/10.1016/j.chempr.2026.103153" TargetMode="External"/><Relationship Id="rId1845" Type="http://schemas.openxmlformats.org/officeDocument/2006/relationships/hyperlink" Target="https://www.nature.com/articles/s41563-026-02683-7" TargetMode="External"/><Relationship Id="rId1846" Type="http://schemas.openxmlformats.org/officeDocument/2006/relationships/hyperlink" Target="https://doi.org/10.1038/s41563-026-02683-7" TargetMode="External"/><Relationship Id="rId1847" Type="http://schemas.openxmlformats.org/officeDocument/2006/relationships/hyperlink" Target="https://www.nature.com/articles/s41893-026-01889-6" TargetMode="External"/><Relationship Id="rId1848" Type="http://schemas.openxmlformats.org/officeDocument/2006/relationships/hyperlink" Target="https://doi.org/10.1038/s41893-026-01889-6" TargetMode="External"/><Relationship Id="rId1849" Type="http://schemas.openxmlformats.org/officeDocument/2006/relationships/hyperlink" Target="https://www.nature.com/articles/d41586-026-02280-3" TargetMode="External"/><Relationship Id="rId1850" Type="http://schemas.openxmlformats.org/officeDocument/2006/relationships/hyperlink" Target="https://doi.org/10.1038/d41586-026-02280-3" TargetMode="External"/><Relationship Id="rId1851" Type="http://schemas.openxmlformats.org/officeDocument/2006/relationships/hyperlink" Target="https://www.sciencedirect.com/science/article/pii/S0306261926011347?dgcid=rss_sd_all" TargetMode="External"/><Relationship Id="rId1852" Type="http://schemas.openxmlformats.org/officeDocument/2006/relationships/hyperlink" Target="https://doi.org/10.1016/j.apenergy.2026.128478" TargetMode="External"/><Relationship Id="rId1853" Type="http://schemas.openxmlformats.org/officeDocument/2006/relationships/hyperlink" Target="https://www.sciencedirect.com/science/article/pii/S0306261926011578?dgcid=rss_sd_all" TargetMode="External"/><Relationship Id="rId1854" Type="http://schemas.openxmlformats.org/officeDocument/2006/relationships/hyperlink" Target="https://www.sciencedirect.com/science/article/pii/S0306261926011566?dgcid=rss_sd_all" TargetMode="External"/><Relationship Id="rId1855" Type="http://schemas.openxmlformats.org/officeDocument/2006/relationships/hyperlink" Target="https://doi.org/10.1016/j.apenergy.2026.128500" TargetMode="External"/><Relationship Id="rId1856" Type="http://schemas.openxmlformats.org/officeDocument/2006/relationships/hyperlink" Target="https://pubs.acs.org/doi/10.1021/jacs.6c05795" TargetMode="External"/><Relationship Id="rId1857" Type="http://schemas.openxmlformats.org/officeDocument/2006/relationships/hyperlink" Target="https://doi.org/10.1021/jacs.6c05795" TargetMode="External"/><Relationship Id="rId1858" Type="http://schemas.openxmlformats.org/officeDocument/2006/relationships/hyperlink" Target="https://pubs.acs.org/doi/10.1021/jacs.6c06163" TargetMode="External"/><Relationship Id="rId1859" Type="http://schemas.openxmlformats.org/officeDocument/2006/relationships/hyperlink" Target="https://doi.org/10.1021/jacs.6c06163" TargetMode="External"/><Relationship Id="rId1860" Type="http://schemas.openxmlformats.org/officeDocument/2006/relationships/hyperlink" Target="https://pubs.acs.org/doi/10.1021/jacs.6c10864" TargetMode="External"/><Relationship Id="rId1861" Type="http://schemas.openxmlformats.org/officeDocument/2006/relationships/hyperlink" Target="https://doi.org/10.1021/jacs.6c10864" TargetMode="External"/><Relationship Id="rId1862" Type="http://schemas.openxmlformats.org/officeDocument/2006/relationships/hyperlink" Target="https://pubs.acs.org/doi/10.1021/jacs.6c07313" TargetMode="External"/><Relationship Id="rId1863" Type="http://schemas.openxmlformats.org/officeDocument/2006/relationships/hyperlink" Target="https://doi.org/10.1021/jacs.6c07313" TargetMode="External"/><Relationship Id="rId1864" Type="http://schemas.openxmlformats.org/officeDocument/2006/relationships/hyperlink" Target="https://pubs.acs.org/doi/10.1021/jacs.6c08262" TargetMode="External"/><Relationship Id="rId1865" Type="http://schemas.openxmlformats.org/officeDocument/2006/relationships/hyperlink" Target="https://doi.org/10.1021/jacs.6c08262" TargetMode="External"/><Relationship Id="rId1866" Type="http://schemas.openxmlformats.org/officeDocument/2006/relationships/hyperlink" Target="https://pubs.acs.org/doi/10.1021/jacs.6c04361" TargetMode="External"/><Relationship Id="rId1867" Type="http://schemas.openxmlformats.org/officeDocument/2006/relationships/hyperlink" Target="https://doi.org/10.1021/jacs.6c04361" TargetMode="External"/><Relationship Id="rId1868" Type="http://schemas.openxmlformats.org/officeDocument/2006/relationships/hyperlink" Target="https://www.nature.com/articles/s41467-026-75782-3" TargetMode="External"/><Relationship Id="rId1869" Type="http://schemas.openxmlformats.org/officeDocument/2006/relationships/hyperlink" Target="https://www.nature.com/articles/s41565-026-02194-1" TargetMode="External"/><Relationship Id="rId1870" Type="http://schemas.openxmlformats.org/officeDocument/2006/relationships/hyperlink" Target="https://doi.org/10.1038/s41565-026-02194-1" TargetMode="External"/><Relationship Id="rId1871" Type="http://schemas.openxmlformats.org/officeDocument/2006/relationships/hyperlink" Target="https://www.nature.com/articles/s41467-026-75933-6" TargetMode="External"/><Relationship Id="rId1872" Type="http://schemas.openxmlformats.org/officeDocument/2006/relationships/hyperlink" Target="https://www.nature.com/articles/s41467-026-73159-0" TargetMode="External"/><Relationship Id="rId1873" Type="http://schemas.openxmlformats.org/officeDocument/2006/relationships/hyperlink" Target="https://www.nature.com/articles/s41467-026-75778-z" TargetMode="External"/><Relationship Id="rId1874" Type="http://schemas.openxmlformats.org/officeDocument/2006/relationships/hyperlink" Target="https://www.nature.com/articles/s41467-026-75019-3" TargetMode="External"/><Relationship Id="rId1875" Type="http://schemas.openxmlformats.org/officeDocument/2006/relationships/hyperlink" Target="https://www.nature.com/articles/s41467-026-75553-0" TargetMode="External"/><Relationship Id="rId1876" Type="http://schemas.openxmlformats.org/officeDocument/2006/relationships/hyperlink" Target="https://www.nature.com/articles/s41467-026-75944-3" TargetMode="External"/><Relationship Id="rId1877" Type="http://schemas.openxmlformats.org/officeDocument/2006/relationships/hyperlink" Target="https://www.nature.com/articles/s41467-026-75932-7" TargetMode="External"/><Relationship Id="rId1878" Type="http://schemas.openxmlformats.org/officeDocument/2006/relationships/hyperlink" Target="https://www.nature.com/articles/s41467-026-74996-9" TargetMode="External"/><Relationship Id="rId1879" Type="http://schemas.openxmlformats.org/officeDocument/2006/relationships/hyperlink" Target="https://www.nature.com/articles/s41467-026-75993-8" TargetMode="External"/><Relationship Id="rId1880" Type="http://schemas.openxmlformats.org/officeDocument/2006/relationships/hyperlink" Target="https://www.nature.com/articles/s41467-026-74892-2" TargetMode="External"/><Relationship Id="rId1881" Type="http://schemas.openxmlformats.org/officeDocument/2006/relationships/hyperlink" Target="https://www.nature.com/articles/s41467-026-75509-4" TargetMode="External"/><Relationship Id="rId1882" Type="http://schemas.openxmlformats.org/officeDocument/2006/relationships/hyperlink" Target="https://pubs.acs.org/doi/10.1021/acsami.6c09293" TargetMode="External"/><Relationship Id="rId1883" Type="http://schemas.openxmlformats.org/officeDocument/2006/relationships/hyperlink" Target="https://doi.org/10.1021/acsami.6c09293" TargetMode="External"/><Relationship Id="rId1884" Type="http://schemas.openxmlformats.org/officeDocument/2006/relationships/hyperlink" Target="https://www.nature.com/articles/s41467-026-76024-2" TargetMode="External"/><Relationship Id="rId1885" Type="http://schemas.openxmlformats.org/officeDocument/2006/relationships/hyperlink" Target="https://www.nature.com/articles/s41467-026-75048-y" TargetMode="External"/><Relationship Id="rId1886" Type="http://schemas.openxmlformats.org/officeDocument/2006/relationships/hyperlink" Target="https://pubs.acs.org/doi/10.1021/acs.chemrev.6c00011" TargetMode="External"/><Relationship Id="rId1887" Type="http://schemas.openxmlformats.org/officeDocument/2006/relationships/hyperlink" Target="https://doi.org/10.1021/acs.chemrev.6c00011" TargetMode="External"/><Relationship Id="rId1888" Type="http://schemas.openxmlformats.org/officeDocument/2006/relationships/hyperlink" Target="https://www.nature.com/articles/s41467-026-75709-y" TargetMode="External"/><Relationship Id="rId1889" Type="http://schemas.openxmlformats.org/officeDocument/2006/relationships/hyperlink" Target="https://www.nature.com/articles/s41467-026-75672-8" TargetMode="External"/><Relationship Id="rId1890" Type="http://schemas.openxmlformats.org/officeDocument/2006/relationships/hyperlink" Target="https://www.nature.com/articles/s41467-026-75781-4" TargetMode="External"/><Relationship Id="rId1891" Type="http://schemas.openxmlformats.org/officeDocument/2006/relationships/hyperlink" Target="https://www.nature.com/articles/s41467-026-75952-3" TargetMode="External"/><Relationship Id="rId1892" Type="http://schemas.openxmlformats.org/officeDocument/2006/relationships/hyperlink" Target="https://www.nmlett.org/index.php/nml/article/view/2600" TargetMode="External"/><Relationship Id="rId1893" Type="http://schemas.openxmlformats.org/officeDocument/2006/relationships/hyperlink" Target="https://doi.org/10.1007/s40820-026-02280-y" TargetMode="External"/><Relationship Id="rId1894" Type="http://schemas.openxmlformats.org/officeDocument/2006/relationships/hyperlink" Target="https://pubs.acs.org/doi/10.1021/acsami.6c08249" TargetMode="External"/><Relationship Id="rId1895" Type="http://schemas.openxmlformats.org/officeDocument/2006/relationships/hyperlink" Target="https://doi.org/10.1021/acsami.6c08249" TargetMode="External"/><Relationship Id="rId1896" Type="http://schemas.openxmlformats.org/officeDocument/2006/relationships/hyperlink" Target="https://pubs.acs.org/doi/10.1021/acsami.6c13183" TargetMode="External"/><Relationship Id="rId1897" Type="http://schemas.openxmlformats.org/officeDocument/2006/relationships/hyperlink" Target="https://doi.org/10.1021/acsami.6c13183" TargetMode="External"/><Relationship Id="rId1898" Type="http://schemas.openxmlformats.org/officeDocument/2006/relationships/hyperlink" Target="https://www.nature.com/articles/s41467-026-75439-1" TargetMode="External"/><Relationship Id="rId1899" Type="http://schemas.openxmlformats.org/officeDocument/2006/relationships/hyperlink" Target="https://pubs.acs.org/doi/10.1021/acsami.6c09208" TargetMode="External"/><Relationship Id="rId1900" Type="http://schemas.openxmlformats.org/officeDocument/2006/relationships/hyperlink" Target="https://doi.org/10.1021/acsami.6c09208" TargetMode="External"/><Relationship Id="rId1901" Type="http://schemas.openxmlformats.org/officeDocument/2006/relationships/hyperlink" Target="https://pubs.acs.org/doi/10.1021/acsami.6c10635" TargetMode="External"/><Relationship Id="rId1902" Type="http://schemas.openxmlformats.org/officeDocument/2006/relationships/hyperlink" Target="https://doi.org/10.1021/acsami.6c10635" TargetMode="External"/><Relationship Id="rId1903" Type="http://schemas.openxmlformats.org/officeDocument/2006/relationships/hyperlink" Target="https://pubs.acs.org/doi/10.1021/acsami.6c07879" TargetMode="External"/><Relationship Id="rId1904" Type="http://schemas.openxmlformats.org/officeDocument/2006/relationships/hyperlink" Target="https://doi.org/10.1021/acsami.6c07879" TargetMode="External"/><Relationship Id="rId1905" Type="http://schemas.openxmlformats.org/officeDocument/2006/relationships/hyperlink" Target="https://pubs.acs.org/doi/10.1021/acsami.6c04525" TargetMode="External"/><Relationship Id="rId1906" Type="http://schemas.openxmlformats.org/officeDocument/2006/relationships/hyperlink" Target="https://doi.org/10.1021/acsami.6c04525" TargetMode="External"/><Relationship Id="rId1907" Type="http://schemas.openxmlformats.org/officeDocument/2006/relationships/hyperlink" Target="https://www.nature.com/articles/s41467-026-75348-3" TargetMode="External"/><Relationship Id="rId1908" Type="http://schemas.openxmlformats.org/officeDocument/2006/relationships/hyperlink" Target="https://www.science.org/doi/abs/10.1126/science.aek8026?af=R" TargetMode="External"/><Relationship Id="rId1909" Type="http://schemas.openxmlformats.org/officeDocument/2006/relationships/hyperlink" Target="https://doi.org/10.1126/science.aek8026" TargetMode="External"/><Relationship Id="rId1910" Type="http://schemas.openxmlformats.org/officeDocument/2006/relationships/hyperlink" Target="https://www.science.org/doi/abs/10.1126/science.aek8028?af=R" TargetMode="External"/><Relationship Id="rId1911" Type="http://schemas.openxmlformats.org/officeDocument/2006/relationships/hyperlink" Target="https://doi.org/10.1126/science.aek8028" TargetMode="External"/><Relationship Id="rId1912" Type="http://schemas.openxmlformats.org/officeDocument/2006/relationships/hyperlink" Target="https://www.science.org/doi/abs/10.1126/science.aed0667?af=R" TargetMode="External"/><Relationship Id="rId1913" Type="http://schemas.openxmlformats.org/officeDocument/2006/relationships/hyperlink" Target="https://doi.org/10.1126/science.aed0667" TargetMode="External"/><Relationship Id="rId1914" Type="http://schemas.openxmlformats.org/officeDocument/2006/relationships/hyperlink" Target="https://www.science.org/doi/abs/10.1126/science.aek8030?af=R" TargetMode="External"/><Relationship Id="rId1915" Type="http://schemas.openxmlformats.org/officeDocument/2006/relationships/hyperlink" Target="https://doi.org/10.1126/science.aek8030" TargetMode="External"/><Relationship Id="rId1916" Type="http://schemas.openxmlformats.org/officeDocument/2006/relationships/hyperlink" Target="https://www.science.org/doi/abs/10.1126/science.aek8031?af=R" TargetMode="External"/><Relationship Id="rId1917" Type="http://schemas.openxmlformats.org/officeDocument/2006/relationships/hyperlink" Target="https://doi.org/10.1126/science.aek8031" TargetMode="External"/><Relationship Id="rId1918" Type="http://schemas.openxmlformats.org/officeDocument/2006/relationships/hyperlink" Target="https://www.science.org/doi/abs/10.1126/science.aek8032?af=R" TargetMode="External"/><Relationship Id="rId1919" Type="http://schemas.openxmlformats.org/officeDocument/2006/relationships/hyperlink" Target="https://doi.org/10.1126/science.aek8032" TargetMode="External"/><Relationship Id="rId1920" Type="http://schemas.openxmlformats.org/officeDocument/2006/relationships/hyperlink" Target="https://www.science.org/doi/abs/10.1126/science.aed0603?af=R" TargetMode="External"/><Relationship Id="rId1921" Type="http://schemas.openxmlformats.org/officeDocument/2006/relationships/hyperlink" Target="https://doi.org/10.1126/science.aed0603" TargetMode="External"/><Relationship Id="rId1922" Type="http://schemas.openxmlformats.org/officeDocument/2006/relationships/hyperlink" Target="https://www.science.org/doi/abs/10.1126/science.aec7913?af=R" TargetMode="External"/><Relationship Id="rId1923" Type="http://schemas.openxmlformats.org/officeDocument/2006/relationships/hyperlink" Target="https://doi.org/10.1126/science.aec7913" TargetMode="External"/><Relationship Id="rId1924" Type="http://schemas.openxmlformats.org/officeDocument/2006/relationships/hyperlink" Target="https://www.science.org/doi/abs/10.1126/science.aek7500?af=R" TargetMode="External"/><Relationship Id="rId1925" Type="http://schemas.openxmlformats.org/officeDocument/2006/relationships/hyperlink" Target="https://doi.org/10.1126/science.aek7500" TargetMode="External"/><Relationship Id="rId1926" Type="http://schemas.openxmlformats.org/officeDocument/2006/relationships/hyperlink" Target="https://www.science.org/doi/abs/10.1126/science.aek7590?af=R" TargetMode="External"/><Relationship Id="rId1927" Type="http://schemas.openxmlformats.org/officeDocument/2006/relationships/hyperlink" Target="https://doi.org/10.1126/science.aek7590" TargetMode="External"/><Relationship Id="rId1928" Type="http://schemas.openxmlformats.org/officeDocument/2006/relationships/hyperlink" Target="https://www.science.org/doi/abs/10.1126/science.aek8027?af=R" TargetMode="External"/><Relationship Id="rId1929" Type="http://schemas.openxmlformats.org/officeDocument/2006/relationships/hyperlink" Target="https://doi.org/10.1126/science.aek8027" TargetMode="External"/><Relationship Id="rId1930" Type="http://schemas.openxmlformats.org/officeDocument/2006/relationships/hyperlink" Target="https://www.science.org/doi/abs/10.1126/science.aej1473?af=R" TargetMode="External"/><Relationship Id="rId1931" Type="http://schemas.openxmlformats.org/officeDocument/2006/relationships/hyperlink" Target="https://doi.org/10.1126/science.aej1473" TargetMode="External"/><Relationship Id="rId1932" Type="http://schemas.openxmlformats.org/officeDocument/2006/relationships/hyperlink" Target="https://www.science.org/doi/abs/10.1126/science.aek8033?af=R" TargetMode="External"/><Relationship Id="rId1933" Type="http://schemas.openxmlformats.org/officeDocument/2006/relationships/hyperlink" Target="https://doi.org/10.1126/science.aek8033" TargetMode="External"/><Relationship Id="rId1934" Type="http://schemas.openxmlformats.org/officeDocument/2006/relationships/hyperlink" Target="https://www.science.org/doi/abs/10.1126/science.aej1248?af=R" TargetMode="External"/><Relationship Id="rId1935" Type="http://schemas.openxmlformats.org/officeDocument/2006/relationships/hyperlink" Target="https://doi.org/10.1126/science.aej1248" TargetMode="External"/><Relationship Id="rId1936" Type="http://schemas.openxmlformats.org/officeDocument/2006/relationships/hyperlink" Target="https://www.science.org/doi/abs/10.1126/science.aek8000?af=R" TargetMode="External"/><Relationship Id="rId1937" Type="http://schemas.openxmlformats.org/officeDocument/2006/relationships/hyperlink" Target="https://doi.org/10.1126/science.aek8000" TargetMode="External"/><Relationship Id="rId1938" Type="http://schemas.openxmlformats.org/officeDocument/2006/relationships/hyperlink" Target="https://www.science.org/doi/abs/10.1126/science.aej5890?af=R" TargetMode="External"/><Relationship Id="rId1939" Type="http://schemas.openxmlformats.org/officeDocument/2006/relationships/hyperlink" Target="https://doi.org/10.1126/science.aej5890" TargetMode="External"/><Relationship Id="rId1940" Type="http://schemas.openxmlformats.org/officeDocument/2006/relationships/hyperlink" Target="https://www.science.org/doi/abs/10.1126/science.aej4152?af=R" TargetMode="External"/><Relationship Id="rId1941" Type="http://schemas.openxmlformats.org/officeDocument/2006/relationships/hyperlink" Target="https://doi.org/10.1126/science.aej4152" TargetMode="External"/><Relationship Id="rId1942" Type="http://schemas.openxmlformats.org/officeDocument/2006/relationships/hyperlink" Target="https://www.science.org/doi/abs/10.1126/science.aei8559?af=R" TargetMode="External"/><Relationship Id="rId1943" Type="http://schemas.openxmlformats.org/officeDocument/2006/relationships/hyperlink" Target="https://doi.org/10.1126/science.aei8559" TargetMode="External"/><Relationship Id="rId1944" Type="http://schemas.openxmlformats.org/officeDocument/2006/relationships/hyperlink" Target="https://www.science.org/doi/abs/10.1126/science.adx4343?af=R" TargetMode="External"/><Relationship Id="rId1945" Type="http://schemas.openxmlformats.org/officeDocument/2006/relationships/hyperlink" Target="https://doi.org/10.1126/science.adx4343" TargetMode="External"/><Relationship Id="rId1946" Type="http://schemas.openxmlformats.org/officeDocument/2006/relationships/hyperlink" Target="https://www.science.org/doi/abs/10.1126/science.adx7219?af=R" TargetMode="External"/><Relationship Id="rId1947" Type="http://schemas.openxmlformats.org/officeDocument/2006/relationships/hyperlink" Target="https://doi.org/10.1126/science.adx7219" TargetMode="External"/><Relationship Id="rId1948" Type="http://schemas.openxmlformats.org/officeDocument/2006/relationships/hyperlink" Target="https://www.science.org/doi/abs/10.1126/science.aej0087?af=R" TargetMode="External"/><Relationship Id="rId1949" Type="http://schemas.openxmlformats.org/officeDocument/2006/relationships/hyperlink" Target="https://doi.org/10.1126/science.aej0087" TargetMode="External"/><Relationship Id="rId1950" Type="http://schemas.openxmlformats.org/officeDocument/2006/relationships/hyperlink" Target="https://www.science.org/doi/abs/10.1126/science.aee6239?af=R" TargetMode="External"/><Relationship Id="rId1951" Type="http://schemas.openxmlformats.org/officeDocument/2006/relationships/hyperlink" Target="https://doi.org/10.1126/science.aee6239" TargetMode="External"/><Relationship Id="rId1952" Type="http://schemas.openxmlformats.org/officeDocument/2006/relationships/hyperlink" Target="https://www.science.org/doi/abs/10.1126/science.aei1520?af=R" TargetMode="External"/><Relationship Id="rId1953" Type="http://schemas.openxmlformats.org/officeDocument/2006/relationships/hyperlink" Target="https://doi.org/10.1126/science.aei1520" TargetMode="External"/><Relationship Id="rId1954" Type="http://schemas.openxmlformats.org/officeDocument/2006/relationships/hyperlink" Target="https://www.science.org/doi/abs/10.1126/science.aek3868?af=R" TargetMode="External"/><Relationship Id="rId1955" Type="http://schemas.openxmlformats.org/officeDocument/2006/relationships/hyperlink" Target="https://doi.org/10.1126/science.aek3868" TargetMode="External"/><Relationship Id="rId1956" Type="http://schemas.openxmlformats.org/officeDocument/2006/relationships/hyperlink" Target="https://www.science.org/doi/abs/10.1126/science.aek7591?af=R" TargetMode="External"/><Relationship Id="rId1957" Type="http://schemas.openxmlformats.org/officeDocument/2006/relationships/hyperlink" Target="https://doi.org/10.1126/science.aek7591" TargetMode="External"/><Relationship Id="rId1958" Type="http://schemas.openxmlformats.org/officeDocument/2006/relationships/hyperlink" Target="https://www.science.org/doi/abs/10.1126/science.aek7592?af=R" TargetMode="External"/><Relationship Id="rId1959" Type="http://schemas.openxmlformats.org/officeDocument/2006/relationships/hyperlink" Target="https://doi.org/10.1126/science.aek7592" TargetMode="External"/><Relationship Id="rId1960" Type="http://schemas.openxmlformats.org/officeDocument/2006/relationships/hyperlink" Target="https://www.science.org/doi/abs/10.1126/science.aei9743?af=R" TargetMode="External"/><Relationship Id="rId1961" Type="http://schemas.openxmlformats.org/officeDocument/2006/relationships/hyperlink" Target="https://doi.org/10.1126/science.aei9743" TargetMode="External"/><Relationship Id="rId1962" Type="http://schemas.openxmlformats.org/officeDocument/2006/relationships/hyperlink" Target="https://www.science.org/doi/abs/10.1126/science.aej4566?af=R" TargetMode="External"/><Relationship Id="rId1963" Type="http://schemas.openxmlformats.org/officeDocument/2006/relationships/hyperlink" Target="https://doi.org/10.1126/science.aej4566" TargetMode="External"/><Relationship Id="rId1964" Type="http://schemas.openxmlformats.org/officeDocument/2006/relationships/hyperlink" Target="https://www.science.org/doi/abs/10.1126/science.aed9202?af=R" TargetMode="External"/><Relationship Id="rId1965" Type="http://schemas.openxmlformats.org/officeDocument/2006/relationships/hyperlink" Target="https://doi.org/10.1126/science.aed9202" TargetMode="External"/><Relationship Id="rId1966" Type="http://schemas.openxmlformats.org/officeDocument/2006/relationships/hyperlink" Target="https://www.science.org/doi/abs/10.1126/sciadv.aed1854?af=R" TargetMode="External"/><Relationship Id="rId1967" Type="http://schemas.openxmlformats.org/officeDocument/2006/relationships/hyperlink" Target="https://doi.org/10.1126/sciadv.aed1854" TargetMode="External"/><Relationship Id="rId1968" Type="http://schemas.openxmlformats.org/officeDocument/2006/relationships/hyperlink" Target="https://www.science.org/doi/abs/10.1126/science.adw4243?af=R" TargetMode="External"/><Relationship Id="rId1969" Type="http://schemas.openxmlformats.org/officeDocument/2006/relationships/hyperlink" Target="https://doi.org/10.1126/science.adw4243" TargetMode="External"/><Relationship Id="rId1970" Type="http://schemas.openxmlformats.org/officeDocument/2006/relationships/hyperlink" Target="https://www.science.org/doi/abs/10.1126/science.adx0673?af=R" TargetMode="External"/><Relationship Id="rId1971" Type="http://schemas.openxmlformats.org/officeDocument/2006/relationships/hyperlink" Target="https://doi.org/10.1126/science.adx0673" TargetMode="External"/><Relationship Id="rId1972" Type="http://schemas.openxmlformats.org/officeDocument/2006/relationships/hyperlink" Target="https://www.science.org/doi/abs/10.1126/sciadv.aeg2325?af=R" TargetMode="External"/><Relationship Id="rId1973" Type="http://schemas.openxmlformats.org/officeDocument/2006/relationships/hyperlink" Target="https://doi.org/10.1126/sciadv.aeg2325" TargetMode="External"/><Relationship Id="rId1974" Type="http://schemas.openxmlformats.org/officeDocument/2006/relationships/hyperlink" Target="https://www.science.org/doi/abs/10.1126/science.ady6893?af=R" TargetMode="External"/><Relationship Id="rId1975" Type="http://schemas.openxmlformats.org/officeDocument/2006/relationships/hyperlink" Target="https://doi.org/10.1126/science.ady6893" TargetMode="External"/><Relationship Id="rId1976" Type="http://schemas.openxmlformats.org/officeDocument/2006/relationships/hyperlink" Target="https://www.science.org/doi/abs/10.1126/sciadv.aef7533?af=R" TargetMode="External"/><Relationship Id="rId1977" Type="http://schemas.openxmlformats.org/officeDocument/2006/relationships/hyperlink" Target="https://doi.org/10.1126/sciadv.aef7533" TargetMode="External"/><Relationship Id="rId1978" Type="http://schemas.openxmlformats.org/officeDocument/2006/relationships/hyperlink" Target="https://www.science.org/doi/abs/10.1126/sciadv.aef1107?af=R" TargetMode="External"/><Relationship Id="rId1979" Type="http://schemas.openxmlformats.org/officeDocument/2006/relationships/hyperlink" Target="https://doi.org/10.1126/sciadv.aef1107" TargetMode="External"/><Relationship Id="rId1980" Type="http://schemas.openxmlformats.org/officeDocument/2006/relationships/hyperlink" Target="https://www.science.org/doi/abs/10.1126/sciadv.aed0971?af=R" TargetMode="External"/><Relationship Id="rId1981" Type="http://schemas.openxmlformats.org/officeDocument/2006/relationships/hyperlink" Target="https://doi.org/10.1126/sciadv.aed0971" TargetMode="External"/><Relationship Id="rId1982" Type="http://schemas.openxmlformats.org/officeDocument/2006/relationships/hyperlink" Target="https://www.science.org/doi/abs/10.1126/sciadv.aed1105?af=R" TargetMode="External"/><Relationship Id="rId1983" Type="http://schemas.openxmlformats.org/officeDocument/2006/relationships/hyperlink" Target="https://doi.org/10.1126/sciadv.aed1105" TargetMode="External"/><Relationship Id="rId1984" Type="http://schemas.openxmlformats.org/officeDocument/2006/relationships/hyperlink" Target="https://www.science.org/doi/abs/10.1126/sciadv.aed4872?af=R" TargetMode="External"/><Relationship Id="rId1985" Type="http://schemas.openxmlformats.org/officeDocument/2006/relationships/hyperlink" Target="https://doi.org/10.1126/sciadv.aed4872" TargetMode="External"/><Relationship Id="rId1986" Type="http://schemas.openxmlformats.org/officeDocument/2006/relationships/hyperlink" Target="https://www.science.org/doi/abs/10.1126/sciadv.aee8718?af=R" TargetMode="External"/><Relationship Id="rId1987" Type="http://schemas.openxmlformats.org/officeDocument/2006/relationships/hyperlink" Target="https://doi.org/10.1126/sciadv.aee8718" TargetMode="External"/><Relationship Id="rId1988" Type="http://schemas.openxmlformats.org/officeDocument/2006/relationships/hyperlink" Target="https://www.science.org/doi/abs/10.1126/sciadv.aee6579?af=R" TargetMode="External"/><Relationship Id="rId1989" Type="http://schemas.openxmlformats.org/officeDocument/2006/relationships/hyperlink" Target="https://doi.org/10.1126/sciadv.aee6579" TargetMode="External"/><Relationship Id="rId1990" Type="http://schemas.openxmlformats.org/officeDocument/2006/relationships/hyperlink" Target="https://www.science.org/doi/abs/10.1126/sciadv.aef2833?af=R" TargetMode="External"/><Relationship Id="rId1991" Type="http://schemas.openxmlformats.org/officeDocument/2006/relationships/hyperlink" Target="https://doi.org/10.1126/sciadv.aef2833" TargetMode="External"/><Relationship Id="rId1992" Type="http://schemas.openxmlformats.org/officeDocument/2006/relationships/hyperlink" Target="https://www.science.org/doi/abs/10.1126/sciadv.aee7533?af=R" TargetMode="External"/><Relationship Id="rId1993" Type="http://schemas.openxmlformats.org/officeDocument/2006/relationships/hyperlink" Target="https://doi.org/10.1126/sciadv.aee7533" TargetMode="External"/><Relationship Id="rId1994" Type="http://schemas.openxmlformats.org/officeDocument/2006/relationships/hyperlink" Target="https://www.science.org/doi/abs/10.1126/sciadv.aee7880?af=R" TargetMode="External"/><Relationship Id="rId1995" Type="http://schemas.openxmlformats.org/officeDocument/2006/relationships/hyperlink" Target="https://doi.org/10.1126/sciadv.aee7880" TargetMode="External"/><Relationship Id="rId1996" Type="http://schemas.openxmlformats.org/officeDocument/2006/relationships/hyperlink" Target="https://www.science.org/doi/abs/10.1126/science.adv5434?af=R" TargetMode="External"/><Relationship Id="rId1997" Type="http://schemas.openxmlformats.org/officeDocument/2006/relationships/hyperlink" Target="https://doi.org/10.1126/science.adv5434" TargetMode="External"/><Relationship Id="rId1998" Type="http://schemas.openxmlformats.org/officeDocument/2006/relationships/hyperlink" Target="https://www.science.org/doi/abs/10.1126/sciadv.aee9898?af=R" TargetMode="External"/><Relationship Id="rId1999" Type="http://schemas.openxmlformats.org/officeDocument/2006/relationships/hyperlink" Target="https://doi.org/10.1126/sciadv.aee9898" TargetMode="External"/><Relationship Id="rId2000" Type="http://schemas.openxmlformats.org/officeDocument/2006/relationships/hyperlink" Target="https://www.science.org/doi/abs/10.1126/sciadv.aef0912?af=R" TargetMode="External"/><Relationship Id="rId2001" Type="http://schemas.openxmlformats.org/officeDocument/2006/relationships/hyperlink" Target="https://doi.org/10.1126/sciadv.aef0912" TargetMode="External"/><Relationship Id="rId2002" Type="http://schemas.openxmlformats.org/officeDocument/2006/relationships/hyperlink" Target="https://www.science.org/doi/abs/10.1126/sciadv.aee7840?af=R" TargetMode="External"/><Relationship Id="rId2003" Type="http://schemas.openxmlformats.org/officeDocument/2006/relationships/hyperlink" Target="https://doi.org/10.1126/sciadv.aee7840" TargetMode="External"/><Relationship Id="rId2004" Type="http://schemas.openxmlformats.org/officeDocument/2006/relationships/hyperlink" Target="https://www.science.org/doi/abs/10.1126/sciadv.aek6870?af=R" TargetMode="External"/><Relationship Id="rId2005" Type="http://schemas.openxmlformats.org/officeDocument/2006/relationships/hyperlink" Target="https://doi.org/10.1126/sciadv.aek6870" TargetMode="External"/><Relationship Id="rId2006" Type="http://schemas.openxmlformats.org/officeDocument/2006/relationships/hyperlink" Target="https://www.science.org/doi/abs/10.1126/sciadv.aed5294?af=R" TargetMode="External"/><Relationship Id="rId2007" Type="http://schemas.openxmlformats.org/officeDocument/2006/relationships/hyperlink" Target="https://doi.org/10.1126/sciadv.aed5294" TargetMode="External"/><Relationship Id="rId2008" Type="http://schemas.openxmlformats.org/officeDocument/2006/relationships/hyperlink" Target="https://www.science.org/doi/abs/10.1126/science.adt8307?af=R" TargetMode="External"/><Relationship Id="rId2009" Type="http://schemas.openxmlformats.org/officeDocument/2006/relationships/hyperlink" Target="https://doi.org/10.1126/science.adt8307" TargetMode="External"/><Relationship Id="rId2010" Type="http://schemas.openxmlformats.org/officeDocument/2006/relationships/hyperlink" Target="https://www.science.org/doi/abs/10.1126/sciadv.adz6836?af=R" TargetMode="External"/><Relationship Id="rId2011" Type="http://schemas.openxmlformats.org/officeDocument/2006/relationships/hyperlink" Target="https://doi.org/10.1126/sciadv.adz6836" TargetMode="External"/><Relationship Id="rId2012" Type="http://schemas.openxmlformats.org/officeDocument/2006/relationships/hyperlink" Target="https://www.science.org/doi/abs/10.1126/sciadv.aee1788?af=R" TargetMode="External"/><Relationship Id="rId2013" Type="http://schemas.openxmlformats.org/officeDocument/2006/relationships/hyperlink" Target="https://doi.org/10.1126/sciadv.aee1788" TargetMode="External"/><Relationship Id="rId2014" Type="http://schemas.openxmlformats.org/officeDocument/2006/relationships/hyperlink" Target="https://www.science.org/doi/abs/10.1126/sciadv.aea9826?af=R" TargetMode="External"/><Relationship Id="rId2015" Type="http://schemas.openxmlformats.org/officeDocument/2006/relationships/hyperlink" Target="https://doi.org/10.1126/sciadv.aea9826" TargetMode="External"/><Relationship Id="rId2016" Type="http://schemas.openxmlformats.org/officeDocument/2006/relationships/hyperlink" Target="https://www.science.org/doi/abs/10.1126/sciadv.aeb3506?af=R" TargetMode="External"/><Relationship Id="rId2017" Type="http://schemas.openxmlformats.org/officeDocument/2006/relationships/hyperlink" Target="https://doi.org/10.1126/sciadv.aeb3506" TargetMode="External"/><Relationship Id="rId2018" Type="http://schemas.openxmlformats.org/officeDocument/2006/relationships/hyperlink" Target="https://www.science.org/doi/abs/10.1126/sciadv.aeb7972?af=R" TargetMode="External"/><Relationship Id="rId2019" Type="http://schemas.openxmlformats.org/officeDocument/2006/relationships/hyperlink" Target="https://doi.org/10.1126/sciadv.aeb7972" TargetMode="External"/><Relationship Id="rId2020" Type="http://schemas.openxmlformats.org/officeDocument/2006/relationships/hyperlink" Target="https://www.science.org/doi/abs/10.1126/sciadv.aeb0060?af=R" TargetMode="External"/><Relationship Id="rId2021" Type="http://schemas.openxmlformats.org/officeDocument/2006/relationships/hyperlink" Target="https://doi.org/10.1126/sciadv.aeb0060" TargetMode="External"/><Relationship Id="rId2022" Type="http://schemas.openxmlformats.org/officeDocument/2006/relationships/hyperlink" Target="https://www.science.org/doi/abs/10.1126/sciadv.adz1388?af=R" TargetMode="External"/><Relationship Id="rId2023" Type="http://schemas.openxmlformats.org/officeDocument/2006/relationships/hyperlink" Target="https://doi.org/10.1126/sciadv.adz1388" TargetMode="External"/><Relationship Id="rId2024" Type="http://schemas.openxmlformats.org/officeDocument/2006/relationships/hyperlink" Target="https://www.science.org/doi/abs/10.1126/science.adz1652?af=R" TargetMode="External"/><Relationship Id="rId2025" Type="http://schemas.openxmlformats.org/officeDocument/2006/relationships/hyperlink" Target="https://doi.org/10.1126/science.adz1652" TargetMode="External"/><Relationship Id="rId2026" Type="http://schemas.openxmlformats.org/officeDocument/2006/relationships/hyperlink" Target="https://www.science.org/doi/abs/10.1126/sciadv.adx6486?af=R" TargetMode="External"/><Relationship Id="rId2027" Type="http://schemas.openxmlformats.org/officeDocument/2006/relationships/hyperlink" Target="https://doi.org/10.1126/sciadv.adx6486" TargetMode="External"/><Relationship Id="rId2028" Type="http://schemas.openxmlformats.org/officeDocument/2006/relationships/hyperlink" Target="https://www.science.org/doi/abs/10.1126/sciadv.adu8060?af=R" TargetMode="External"/><Relationship Id="rId2029" Type="http://schemas.openxmlformats.org/officeDocument/2006/relationships/hyperlink" Target="https://doi.org/10.1126/sciadv.adu8060" TargetMode="External"/><Relationship Id="rId2030" Type="http://schemas.openxmlformats.org/officeDocument/2006/relationships/hyperlink" Target="https://www.science.org/doi/abs/10.1126/sciadv.aec0131?af=R" TargetMode="External"/><Relationship Id="rId2031" Type="http://schemas.openxmlformats.org/officeDocument/2006/relationships/hyperlink" Target="https://doi.org/10.1126/sciadv.aec0131" TargetMode="External"/><Relationship Id="rId2032" Type="http://schemas.openxmlformats.org/officeDocument/2006/relationships/hyperlink" Target="https://www.science.org/doi/abs/10.1126/sciadv.aej7423?af=R" TargetMode="External"/><Relationship Id="rId2033" Type="http://schemas.openxmlformats.org/officeDocument/2006/relationships/hyperlink" Target="https://doi.org/10.1126/sciadv.aej7423" TargetMode="External"/><Relationship Id="rId2034" Type="http://schemas.openxmlformats.org/officeDocument/2006/relationships/hyperlink" Target="https://www.science.org/doi/abs/10.1126/science.aej6433?af=R" TargetMode="External"/><Relationship Id="rId2035" Type="http://schemas.openxmlformats.org/officeDocument/2006/relationships/hyperlink" Target="https://doi.org/10.1126/science.aej6433" TargetMode="External"/><Relationship Id="rId2036" Type="http://schemas.openxmlformats.org/officeDocument/2006/relationships/hyperlink" Target="https://www.science.org/doi/abs/10.1126/sciadv.aec2786?af=R" TargetMode="External"/><Relationship Id="rId2037" Type="http://schemas.openxmlformats.org/officeDocument/2006/relationships/hyperlink" Target="https://doi.org/10.1126/sciadv.aec2786" TargetMode="External"/><Relationship Id="rId2038" Type="http://schemas.openxmlformats.org/officeDocument/2006/relationships/hyperlink" Target="https://www.science.org/doi/abs/10.1126/sciadv.aec8738?af=R" TargetMode="External"/><Relationship Id="rId2039" Type="http://schemas.openxmlformats.org/officeDocument/2006/relationships/hyperlink" Target="https://doi.org/10.1126/sciadv.aec8738" TargetMode="External"/><Relationship Id="rId2040" Type="http://schemas.openxmlformats.org/officeDocument/2006/relationships/hyperlink" Target="https://www.science.org/doi/abs/10.1126/sciadv.aec9236?af=R" TargetMode="External"/><Relationship Id="rId2041" Type="http://schemas.openxmlformats.org/officeDocument/2006/relationships/hyperlink" Target="https://doi.org/10.1126/sciadv.aec9236" TargetMode="External"/><Relationship Id="rId2042" Type="http://schemas.openxmlformats.org/officeDocument/2006/relationships/hyperlink" Target="https://www.science.org/doi/abs/10.1126/sciadv.aeh1082?af=R" TargetMode="External"/><Relationship Id="rId2043" Type="http://schemas.openxmlformats.org/officeDocument/2006/relationships/hyperlink" Target="https://doi.org/10.1126/sciadv.aeh1082" TargetMode="External"/><Relationship Id="rId2044" Type="http://schemas.openxmlformats.org/officeDocument/2006/relationships/hyperlink" Target="https://www.science.org/doi/abs/10.1126/sciadv.aeh2073?af=R" TargetMode="External"/><Relationship Id="rId2045" Type="http://schemas.openxmlformats.org/officeDocument/2006/relationships/hyperlink" Target="https://doi.org/10.1126/sciadv.aeh2073" TargetMode="External"/><Relationship Id="rId2046" Type="http://schemas.openxmlformats.org/officeDocument/2006/relationships/hyperlink" Target="https://www.science.org/doi/abs/10.1126/sciadv.adv9162?af=R" TargetMode="External"/><Relationship Id="rId2047" Type="http://schemas.openxmlformats.org/officeDocument/2006/relationships/hyperlink" Target="https://doi.org/10.1126/sciadv.adv9162" TargetMode="External"/><Relationship Id="rId2048" Type="http://schemas.openxmlformats.org/officeDocument/2006/relationships/hyperlink" Target="https://www.science.org/doi/abs/10.1126/sciadv.aeb8680?af=R" TargetMode="External"/><Relationship Id="rId2049" Type="http://schemas.openxmlformats.org/officeDocument/2006/relationships/hyperlink" Target="https://doi.org/10.1126/sciadv.aeb8680" TargetMode="External"/><Relationship Id="rId2050" Type="http://schemas.openxmlformats.org/officeDocument/2006/relationships/hyperlink" Target="https://www.science.org/doi/abs/10.1126/sciadv.aed6875?af=R" TargetMode="External"/><Relationship Id="rId2051" Type="http://schemas.openxmlformats.org/officeDocument/2006/relationships/hyperlink" Target="https://doi.org/10.1126/sciadv.aed6875" TargetMode="External"/><Relationship Id="rId2052" Type="http://schemas.openxmlformats.org/officeDocument/2006/relationships/hyperlink" Target="https://www.science.org/doi/abs/10.1126/sciadv.adx9864?af=R" TargetMode="External"/><Relationship Id="rId2053" Type="http://schemas.openxmlformats.org/officeDocument/2006/relationships/hyperlink" Target="https://doi.org/10.1126/sciadv.adx9864" TargetMode="External"/><Relationship Id="rId2054" Type="http://schemas.openxmlformats.org/officeDocument/2006/relationships/hyperlink" Target="https://advanced.onlinelibrary.wiley.com/doi/10.1002/adma.74201?af=R" TargetMode="External"/><Relationship Id="rId2055" Type="http://schemas.openxmlformats.org/officeDocument/2006/relationships/hyperlink" Target="https://doi.org/10.1002/adma.74201" TargetMode="External"/><Relationship Id="rId2056" Type="http://schemas.openxmlformats.org/officeDocument/2006/relationships/hyperlink" Target="http://link.aps.org/doi/10.1103/nqwp-y33m" TargetMode="External"/><Relationship Id="rId2057" Type="http://schemas.openxmlformats.org/officeDocument/2006/relationships/hyperlink" Target="https://doi.org/10.1103/nqwp-y33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