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2026-07-03</w:t>
      </w:r>
    </w:p>
    <w:p>
      <w:pPr>
        <w:spacing w:before="160" w:after="120"/>
      </w:pPr>
      <w:r>
        <w:rPr>
          <w:b/>
          <w:sz w:val="28"/>
        </w:rPr>
        <w:t>【光伏】</w:t>
      </w:r>
    </w:p>
    <w:p>
      <w:pPr>
        <w:spacing w:before="160" w:after="40" w:line="240" w:lineRule="auto"/>
      </w:pPr>
      <w:r>
        <w:rPr>
          <w:b/>
        </w:rPr>
        <w:t xml:space="preserve">[1] </w:t>
      </w:r>
      <w:hyperlink r:id="rId9">
        <w:r>
          <w:rPr>
            <w:color w:val="1155CC"/>
            <w:u w:val="single"/>
          </w:rPr>
          <w:t>为什么理论光伏适用性不能完全预测部署：中国城市规模选址的可解释深度学习</w:t>
        </w:r>
      </w:hyperlink>
    </w:p>
    <w:p>
      <w:pPr>
        <w:spacing w:before="0" w:after="80"/>
      </w:pPr>
      <w:r>
        <w:rPr>
          <w:i/>
          <w:sz w:val="20"/>
        </w:rPr>
        <w:t>EN: Why theoretical photovoltaic suitability does not fully predict deployment: interpretable deep learning of urban-scale siting across Chinese cities</w:t>
      </w:r>
    </w:p>
    <w:p>
      <w:pPr>
        <w:spacing w:before="0" w:after="120"/>
      </w:pPr>
      <w:r>
        <w:rPr>
          <w:b/>
        </w:rPr>
        <w:t xml:space="preserve">Source: </w:t>
      </w:r>
      <w:r>
        <w:t>ScienceDirect Publication: Applied Energy</w:t>
      </w:r>
      <w:r>
        <w:t xml:space="preserve">    </w:t>
      </w:r>
      <w:r>
        <w:rPr>
          <w:b/>
        </w:rPr>
        <w:t xml:space="preserve">Pub date: </w:t>
      </w:r>
      <w:r>
        <w:t>2026-06-27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
        <w:r>
          <w:rPr>
            <w:color w:val="1155CC"/>
            <w:u w:val="single"/>
          </w:rPr>
          <w:t>LLM授权的PV-EV渗透配电网多智能体智能规划</w:t>
        </w:r>
      </w:hyperlink>
    </w:p>
    <w:p>
      <w:pPr>
        <w:spacing w:before="0" w:after="80"/>
      </w:pPr>
      <w:r>
        <w:rPr>
          <w:i/>
          <w:sz w:val="20"/>
        </w:rPr>
        <w:t>EN: LLM-empowered multi-agent intelligent planning for PV-EV penetrated distribution networks</w:t>
      </w:r>
    </w:p>
    <w:p>
      <w:pPr>
        <w:spacing w:before="0" w:after="120"/>
      </w:pPr>
      <w:r>
        <w:rPr>
          <w:b/>
        </w:rPr>
        <w:t xml:space="preserve">Source: </w:t>
      </w:r>
      <w:r>
        <w:t>ScienceDirect Publication: Applied Energy</w:t>
      </w:r>
      <w:r>
        <w:t xml:space="preserve">    </w:t>
      </w:r>
      <w:r>
        <w:rPr>
          <w:b/>
        </w:rPr>
        <w:t xml:space="preserve">Pub date: </w:t>
      </w:r>
      <w:r>
        <w:t>2026-06-27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1">
        <w:r>
          <w:rPr>
            <w:color w:val="1155CC"/>
            <w:u w:val="single"/>
          </w:rPr>
          <w:t>光谱选择性 c-Si 农用光伏模块：评估新方法</w:t>
        </w:r>
      </w:hyperlink>
    </w:p>
    <w:p>
      <w:pPr>
        <w:spacing w:before="0" w:after="80"/>
      </w:pPr>
      <w:r>
        <w:rPr>
          <w:i/>
          <w:sz w:val="20"/>
        </w:rPr>
        <w:t>EN: Spectrally selective c-Si agrivoltaic modules: Evaluating a new approach</w:t>
      </w:r>
    </w:p>
    <w:p>
      <w:pPr>
        <w:spacing w:before="0" w:after="120"/>
      </w:pPr>
      <w:r>
        <w:rPr>
          <w:b/>
        </w:rPr>
        <w:t xml:space="preserve">Source: </w:t>
      </w:r>
      <w:r>
        <w:t>ScienceDirect Publication: Applied Energy</w:t>
      </w:r>
      <w:r>
        <w:t xml:space="preserve">    </w:t>
      </w:r>
      <w:r>
        <w:rPr>
          <w:b/>
        </w:rPr>
        <w:t xml:space="preserve">Pub date: </w:t>
      </w:r>
      <w:r>
        <w:t>2026-06-28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2">
        <w:r>
          <w:rPr>
            <w:color w:val="1155CC"/>
            <w:u w:val="single"/>
          </w:rPr>
          <w:t>气候变化下住宅建筑屋顶光伏发电的时空供需匹配：跨气候区评估</w:t>
        </w:r>
      </w:hyperlink>
    </w:p>
    <w:p>
      <w:pPr>
        <w:spacing w:before="0" w:after="80"/>
      </w:pPr>
      <w:r>
        <w:rPr>
          <w:i/>
          <w:sz w:val="20"/>
        </w:rPr>
        <w:t>EN: Spatiotemporal supply-demand matching in residential building rooftop photovoltaics (PV) under climate change: a cross-climate zone assessment</w:t>
      </w:r>
    </w:p>
    <w:p>
      <w:pPr>
        <w:spacing w:before="0" w:after="120"/>
      </w:pPr>
      <w:r>
        <w:rPr>
          <w:b/>
        </w:rPr>
        <w:t xml:space="preserve">Source: </w:t>
      </w:r>
      <w:r>
        <w:t>ScienceDirect Publication: Applied Energy</w:t>
      </w:r>
      <w:r>
        <w:t xml:space="preserve">    </w:t>
      </w:r>
      <w:r>
        <w:rPr>
          <w:b/>
        </w:rPr>
        <w:t xml:space="preserve">Pub date: </w:t>
      </w:r>
      <w:r>
        <w:t>2026-06-28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3">
        <w:r>
          <w:rPr>
            <w:color w:val="1155CC"/>
            <w:u w:val="single"/>
          </w:rPr>
          <w:t>氯化聚丙烯可在本质可拉伸有机光伏中实现应力耗散网络和高效率</w:t>
        </w:r>
      </w:hyperlink>
    </w:p>
    <w:p>
      <w:pPr>
        <w:spacing w:before="0" w:after="80"/>
      </w:pPr>
      <w:r>
        <w:rPr>
          <w:i/>
          <w:sz w:val="20"/>
        </w:rPr>
        <w:t>EN: Chlorinated Polypropylene Enables Stress-Dissipative Networks and High Efficiency in Intrinsically Stretchable Organic Photovoltaics</w:t>
      </w:r>
    </w:p>
    <w:p>
      <w:pPr>
        <w:spacing w:before="0" w:after="120"/>
      </w:pPr>
      <w:r>
        <w:rPr>
          <w:b/>
        </w:rPr>
        <w:t xml:space="preserve">Source: </w:t>
      </w:r>
      <w:r>
        <w:t>RSC - Energy Environ. Sci. latest articles</w:t>
      </w:r>
      <w:r>
        <w:t xml:space="preserve">    </w:t>
      </w:r>
      <w:r>
        <w:rPr>
          <w:b/>
        </w:rPr>
        <w:t xml:space="preserve">Pub date: </w:t>
      </w:r>
      <w:r>
        <w:t>2026-06-28 23:00:00+00:00</w:t>
      </w:r>
    </w:p>
    <w:p>
      <w:pPr>
        <w:spacing w:before="0" w:after="120"/>
      </w:pPr>
      <w:r>
        <w:rPr>
          <w:b/>
        </w:rPr>
        <w:t xml:space="preserve">Notes: </w:t>
      </w:r>
      <w:r>
        <w:t>abstract_source=rsc_html</w:t>
      </w:r>
    </w:p>
    <w:p>
      <w:pPr>
        <w:spacing w:before="0" w:after="80" w:lineRule="auto" w:line="276"/>
      </w:pPr>
      <w:r>
        <w:rPr>
          <w:b/>
        </w:rPr>
        <w:t xml:space="preserve">摘要（ZH）: </w:t>
      </w:r>
      <w:r>
        <w:t>本质上可拉伸的有机光伏（IS-OPV）需要高功率转换效率（PCE）和强大的机械变形能力，但这些要求在最先进的供体：受体混合物中通常很难协调。现有的增韧策略通常依赖于复杂的合成并损害器件的PCE。在这里，我们报告了一种基于市售氯化聚烯烃（PP-Cl）的免合成增韧策略，该策略成本低、可扩展、可溶液加工，并且与各种高性能供体：受体混合物广泛兼容。该策略可在不牺牲光伏性能的情况下实现机械弹性 IS-OPV。在最佳负载下，刚性 PM6:BTP-eC9 器件的 PCE 表现出可重复的增加，而相应的可拉伸器件可提供超过 15% 的初始 PCE，并且在 40% 应变下仍具有超过 60% 的效率保留。相比之下，未掺杂的对照在 20% 应变下会发生严重退化。同样的策略进一步扩展到三元刚性 D18:BTP-eC9:L8-BO 系统，可提供高达 20.5% 的 PCE，而相应的本质可拉伸器件可提供 16.1% 的初始 PCE，是 IS-OPV 报道中最高的。在机械框架和 Coran-Patel 模型的辅助下，多尺度表征表明氯涉及的可逆弱相互作用充当牺牲应力耗散途径。这些结果使商品氯化聚烯烃成为高效可拉伸有机光伏发电的实用增韧添加剂。</w:t>
      </w:r>
    </w:p>
    <w:p>
      <w:pPr>
        <w:spacing w:before="0" w:after="200" w:lineRule="auto" w:line="276"/>
      </w:pPr>
      <w:r>
        <w:rPr>
          <w:b/>
        </w:rPr>
        <w:t xml:space="preserve">Abstract (EN): </w:t>
      </w:r>
      <w:r>
        <w:t>Intrinsically stretchable organic photovoltaics (IS-OPVs) demand both high power conversion efficiency (PCE) and robust mechanical deformability, yet these requirements are often difficult to reconcile in state-of-the-art donor:acceptor blends. Existing toughening strategies typically rely on complicated synthesis and compromise the device PCE. Here, we report a synthesis-free toughening strategy based on commercially available chlorinated polyolefin (PP-Cl), which is low-cost, scalable, solution-processable, and broadly compatible with diverse high-performance donor:acceptor blends. This strategy enables mechanically resilient IS-OPVs without sacrificing photovoltaic performance. At an optimal loading, rigid PM6:BTP-eC9 devices show a reproducible increase in PCE, while the corresponding stretchable devices deliver an initial PCE of over 15% and still possess over 60% efficiency retention at 40% strain. In contrast, undoped controls undergo severe degradation at 20% strain. The same strategy is further extended to a ternary rigid D18:BTP-eC9:L8-BO system, delivering PCEs up to 20.5%, while the corresponding intrinsically stretchable devices deliver an initial PCE of 16.1%, ranking as the highest reported for IS-OPVs. Assisted by a mechanical framework and the Coran-Patel model, multiscale characterization suggests that chlorine-involved reversible weak interactions act as sacrificial stress-dissipation pathways. These results establish commodity chlorinated polyolefins as practical toughening additives for high-efficiency stretchable organic photovoltaics.</w:t>
      </w:r>
    </w:p>
    <w:p>
      <w:pPr>
        <w:spacing w:before="120" w:after="120"/>
      </w:pPr>
      <w:r>
        <w:rPr>
          <w:sz w:val="18"/>
        </w:rPr>
        <w:t>——————————————————————————————————————————————————————————————————————</w:t>
      </w:r>
    </w:p>
    <w:p>
      <w:pPr>
        <w:spacing w:before="160" w:after="40" w:line="240" w:lineRule="auto"/>
      </w:pPr>
      <w:r>
        <w:rPr>
          <w:b/>
        </w:rPr>
        <w:t xml:space="preserve">[6] </w:t>
      </w:r>
      <w:hyperlink r:id="rId14">
        <w:r>
          <w:rPr>
            <w:color w:val="1155CC"/>
            <w:u w:val="single"/>
          </w:rPr>
          <w:t>使用二硫醇解毒剂的分子螯合钳策略可实现高效稳定的无机钙钛矿太阳能电池</w:t>
        </w:r>
      </w:hyperlink>
    </w:p>
    <w:p>
      <w:pPr>
        <w:spacing w:before="0" w:after="80"/>
      </w:pPr>
      <w:r>
        <w:rPr>
          <w:i/>
          <w:sz w:val="20"/>
        </w:rPr>
        <w:t>EN: Molecular Chelating‐Clamp Strategy Using Dithiol Antidotes Enables Efficient and Stable Inorganic Perovskite Solar Cells</w:t>
      </w:r>
    </w:p>
    <w:p>
      <w:pPr>
        <w:spacing w:before="0" w:after="120"/>
      </w:pPr>
      <w:r>
        <w:rPr>
          <w:b/>
        </w:rPr>
        <w:t xml:space="preserve">Source: </w:t>
      </w:r>
      <w:r>
        <w:t>Wiley: Advanced Materials: Table of Contents</w:t>
      </w:r>
      <w:r>
        <w:t xml:space="preserve">    </w:t>
      </w:r>
      <w:r>
        <w:rPr>
          <w:b/>
        </w:rPr>
        <w:t xml:space="preserve">Pub date: </w:t>
      </w:r>
      <w:r>
        <w:t>2026-06-29 11:18:48+00:00</w:t>
      </w:r>
      <w:r>
        <w:t xml:space="preserve">    </w:t>
      </w:r>
      <w:r>
        <w:rPr>
          <w:b/>
        </w:rPr>
        <w:t xml:space="preserve">DOI: </w:t>
      </w:r>
      <w:hyperlink r:id="rId15">
        <w:r>
          <w:rPr>
            <w:color w:val="1155CC"/>
            <w:u w:val="single"/>
          </w:rPr>
          <w:t>10.1002/adma.73833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全无机钙钛矿的光伏性能和稳定性受到卤化物空位缺陷和伴随的离子迁移的严重影响，这两者都是由其固有的软晶格和混合离子电子特性引起的。为了同时解决这两个问题，我们引入了 2,3-二巯基-1-丙磺酸钠 (DPS)，这是一种磺化硫醇分子，可充当多功能螯合钳。与传统的单齿钝化剂不同，DPS 采用双齿螯合策略：其两个硫醇基团与配位不足的 Pb 配位结合</w:t>
      </w:r>
      <w:r>
        <w:t xml:space="preserve"> </w:t>
      </w:r>
      <w:r>
        <w:t>2+</w:t>
      </w:r>
      <w:r>
        <w:t xml:space="preserve"> </w:t>
      </w:r>
      <w:r>
        <w:t>位点，形成稳定的五元环。柔性三碳连接基能够实现对异质晶界微环境的构象适应，而磺酸基提供静电锚定和空间定向，引导硫醇部分朝向目标缺陷位点。此外，DPS 还可延迟薄膜退火过程中的结晶动力学，从而增大晶粒、降低残余应变并增强薄膜均匀性。这种分子适应性、基于螯合物的缺陷钝化和结晶调节的协同整合产生了 CsPbI</w:t>
      </w:r>
      <w:r>
        <w:t xml:space="preserve"> </w:t>
      </w:r>
      <w:r>
        <w:t>3-x</w:t>
      </w:r>
      <w:r>
        <w:t xml:space="preserve"> </w:t>
      </w:r>
      <w:r>
        <w:t>溴</w:t>
      </w:r>
      <w:r>
        <w:t xml:space="preserve"> </w:t>
      </w:r>
      <w:r>
        <w:t>x</w:t>
      </w:r>
      <w:r>
        <w:t xml:space="preserve"> </w:t>
      </w:r>
      <w:r>
        <w:t>钙钛矿薄膜具有较低的陷阱密度、较长的载流子寿命和良好的能量排列。因此，采用 DPS 的太阳能电池实现了 22.28% 的冠军功率转换效率，是全无机钙钛矿中最高的功率转换效率之一</w:t>
      </w:r>
    </w:p>
    <w:p>
      <w:pPr>
        <w:spacing w:before="0" w:after="200" w:lineRule="auto" w:line="276"/>
      </w:pPr>
      <w:r>
        <w:rPr>
          <w:b/>
        </w:rPr>
        <w:t xml:space="preserve">Abstract (EN): </w:t>
      </w:r>
      <w:r>
        <w:t>The photovoltaic performance and stability of all‐inorganic perovskites are critically compromised by halide vacancy defects and concomitant ion migration, both arising from their intrinsically soft lattice and mixed ionic‐electronic character. To simultaneously address both issues, we introduce sodium 2,3‐dimercapto‐1‐propanesulfonate (DPS), a sulfonated thiol molecule that acts as a multifunctional chelating clamp. Unlike conventional monodentate passivators, DPS employs a bidentate chelation strategy: its two thiol groups coordinatively bind to undercoordinated Pb</w:t>
      </w:r>
      <w:r>
        <w:t xml:space="preserve"> </w:t>
      </w:r>
      <w:r>
        <w:t>2+</w:t>
      </w:r>
      <w:r>
        <w:t xml:space="preserve"> </w:t>
      </w:r>
      <w:r>
        <w:t>sites, forming a stable five‐membered ring. The flexible three‐carbon linker enables conformational adaptation to heterogeneous grain‐boundary microenvironments, while the sulfonate group provides electrostatic anchoring and spatial orientation, guiding the thiol moieties toward targeted defect sites. Moreover, DPS retards the crystallization kinetics during film annealing, resulting in enlarged grains, reduced residual strain, and enhanced film homogeneity. This synergistic integration of molecular adaptability, chelate‐based defect passivation, and crystallization regulation yields CsPbI</w:t>
      </w:r>
      <w:r>
        <w:t xml:space="preserve"> </w:t>
      </w:r>
      <w:r>
        <w:t>3‐x</w:t>
      </w:r>
      <w:r>
        <w:t xml:space="preserve"> </w:t>
      </w:r>
      <w:r>
        <w:t>Br</w:t>
      </w:r>
      <w:r>
        <w:t xml:space="preserve"> </w:t>
      </w:r>
      <w:r>
        <w:t>x</w:t>
      </w:r>
      <w:r>
        <w:t xml:space="preserve"> </w:t>
      </w:r>
      <w:r>
        <w:t>perovskite films with lower trap density, prolonged carrier lifetime, and favorable energy alignment. Consequently, solar cells incorporating DPS achieve a champion power conversion efficiency of 22.28%, among the highest for all‐inorganic perovskite devices, alongside substantially enhanced operational and environmental stability. The strategy underscores the potential of tailored molecular design for enabling efficient and stable perovskite photovoltaics with straightforward processability.</w:t>
      </w:r>
    </w:p>
    <w:p>
      <w:pPr>
        <w:spacing w:before="120" w:after="120"/>
      </w:pPr>
      <w:r>
        <w:rPr>
          <w:sz w:val="18"/>
        </w:rPr>
        <w:t>——————————————————————————————————————————————————————————————————————</w:t>
      </w:r>
    </w:p>
    <w:p>
      <w:pPr>
        <w:spacing w:before="160" w:after="40" w:line="240" w:lineRule="auto"/>
      </w:pPr>
      <w:r>
        <w:rPr>
          <w:b/>
        </w:rPr>
        <w:t xml:space="preserve">[7] </w:t>
      </w:r>
      <w:hyperlink r:id="rId16">
        <w:r>
          <w:rPr>
            <w:color w:val="1155CC"/>
            <w:u w:val="single"/>
          </w:rPr>
          <w:t>一种具有高耐久性的二铵基非 Dion-Jacobson 相 2D 钙钛矿，可用于高效稳定的 2D/3D 钙钛矿太阳能模块</w:t>
        </w:r>
      </w:hyperlink>
    </w:p>
    <w:p>
      <w:pPr>
        <w:spacing w:before="0" w:after="80"/>
      </w:pPr>
      <w:r>
        <w:rPr>
          <w:i/>
          <w:sz w:val="20"/>
        </w:rPr>
        <w:t>EN: A Diammonium‐Based Non‐Dion‐Jacobson Phase 2D Perovskite With High Durability for Efficient and Stable 2D/3D Perovskite Solar Modules</w:t>
      </w:r>
    </w:p>
    <w:p>
      <w:pPr>
        <w:spacing w:before="0" w:after="120"/>
      </w:pPr>
      <w:r>
        <w:rPr>
          <w:b/>
        </w:rPr>
        <w:t xml:space="preserve">Source: </w:t>
      </w:r>
      <w:r>
        <w:t>Wiley: Angewandte Chemie International Edition: Table of Contents</w:t>
      </w:r>
      <w:r>
        <w:t xml:space="preserve">    </w:t>
      </w:r>
      <w:r>
        <w:rPr>
          <w:b/>
        </w:rPr>
        <w:t xml:space="preserve">Pub date: </w:t>
      </w:r>
      <w:r>
        <w:t>2026-06-30 07:58:38+00:00</w:t>
      </w:r>
      <w:r>
        <w:t xml:space="preserve">    </w:t>
      </w:r>
      <w:r>
        <w:rPr>
          <w:b/>
        </w:rPr>
        <w:t xml:space="preserve">DOI: </w:t>
      </w:r>
      <w:hyperlink r:id="rId17">
        <w:r>
          <w:rPr>
            <w:color w:val="1155CC"/>
            <w:u w:val="single"/>
          </w:rPr>
          <w:t>10.1002/anie.2974414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Dion-Jacobson (DJ) 相 2D 钙钛矿因其相对 3D 钙钛矿潜在更高的稳定性而引起了光伏界的广泛关注。传统观点认为，有机二铵肯定会通过与两层无机[PbI2]形成双边氢键来生成DJ 2D钙钛矿。</w:t>
      </w:r>
      <w:r>
        <w:rPr>
          <w:vertAlign w:val="subscript"/>
        </w:rPr>
        <w:t>6</w:t>
      </w:r>
      <w:r>
        <w:t>]</w:t>
      </w:r>
      <w:r>
        <w:t xml:space="preserve"> </w:t>
      </w:r>
      <w:r>
        <w:t>4−</w:t>
      </w:r>
      <w:r>
        <w:t>板。然而，我们在此报告了一种基于二铵的非 DJ 相二维钙钛矿，由</w:t>
      </w:r>
      <w:r>
        <w:rPr>
          <w:vertAlign w:val="subscript"/>
        </w:rPr>
        <w:t>3</w:t>
      </w:r>
      <w:r>
        <w:t>,</w:t>
      </w:r>
      <w:r>
        <w:t xml:space="preserve"> </w:t>
      </w:r>
      <w:r>
        <w:t>3′</w:t>
      </w:r>
      <w:r>
        <w:t xml:space="preserve"> </w:t>
      </w:r>
      <w:r>
        <w:t>‐亚甲基二苯基二铵（</w:t>
      </w:r>
      <w:r>
        <w:t xml:space="preserve"> </w:t>
      </w:r>
      <w:r>
        <w:t>3,3</w:t>
      </w:r>
      <w:r>
        <w:t xml:space="preserve"> </w:t>
      </w:r>
      <w:r>
        <w:t>‐MDPDA</w:t>
      </w:r>
      <w:r>
        <w:t xml:space="preserve"> </w:t>
      </w:r>
      <w:r>
        <w:t>2+</w:t>
      </w:r>
      <w:r>
        <w:t xml:space="preserve"> </w:t>
      </w:r>
      <w:r>
        <w:t>）。所得二维钙钛矿的单晶结构的公式为（</w:t>
      </w:r>
      <w:r>
        <w:t xml:space="preserve"> </w:t>
      </w:r>
      <w:r>
        <w:t>3,3-</w:t>
      </w:r>
      <w:r>
        <w:t>聚二甲基苯丙胺 (MDPDA)</w:t>
      </w:r>
      <w:r>
        <w:rPr>
          <w:vertAlign w:val="subscript"/>
        </w:rPr>
        <w:t>4</w:t>
      </w:r>
      <w:r>
        <w:t>作为 DJ 阶段，但揭示了有两层</w:t>
      </w:r>
      <w:r>
        <w:t xml:space="preserve"> </w:t>
      </w:r>
      <w:r>
        <w:t>3,3</w:t>
      </w:r>
      <w:r>
        <w:t xml:space="preserve"> </w:t>
      </w:r>
      <w:r>
        <w:t>‐MDPDA</w:t>
      </w:r>
      <w:r>
        <w:t xml:space="preserve"> </w:t>
      </w:r>
      <w:r>
        <w:t>2+</w:t>
      </w:r>
      <w:r>
        <w:t xml:space="preserve"> </w:t>
      </w:r>
      <w:r>
        <w:t>相邻无机层之间和每个无机层的两个铵基团之间</w:t>
      </w:r>
      <w:r>
        <w:t xml:space="preserve"> </w:t>
      </w:r>
      <w:r>
        <w:t>3,3</w:t>
      </w:r>
      <w:r>
        <w:t xml:space="preserve"> </w:t>
      </w:r>
      <w:r>
        <w:t>‐MDPDA</w:t>
      </w:r>
      <w:r>
        <w:t xml:space="preserve"> </w:t>
      </w:r>
      <w:r>
        <w:t>2+</w:t>
      </w:r>
      <w:r>
        <w:t xml:space="preserve"> </w:t>
      </w:r>
      <w:r>
        <w:t>连接到单个无机物[PbI</w:t>
      </w:r>
      <w:r>
        <w:rPr>
          <w:vertAlign w:val="subscript"/>
        </w:rPr>
        <w:t>6</w:t>
      </w:r>
      <w:r>
        <w:t>]</w:t>
      </w:r>
      <w:r>
        <w:t xml:space="preserve"> </w:t>
      </w:r>
      <w:r>
        <w:t>4−</w:t>
      </w:r>
      <w:r>
        <w:t>平板。此外，</w:t>
      </w:r>
      <w:r>
        <w:t xml:space="preserve"> </w:t>
      </w:r>
      <w:r>
        <w:t>3,3</w:t>
      </w:r>
      <w:r>
        <w:t xml:space="preserve"> </w:t>
      </w:r>
      <w:r>
        <w:t>‐MDPDA</w:t>
      </w:r>
      <w:r>
        <w:t xml:space="preserve"> </w:t>
      </w:r>
      <w:r>
        <w:t>2+</w:t>
      </w:r>
      <w:r>
        <w:t xml:space="preserve"> </w:t>
      </w:r>
      <w:r>
        <w:t>有机双层中的阳离子呈现独特的 π-π 相互作用，包括层内边对面和层间相互作用</w:t>
      </w:r>
    </w:p>
    <w:p>
      <w:pPr>
        <w:spacing w:before="0" w:after="200" w:lineRule="auto" w:line="276"/>
      </w:pPr>
      <w:r>
        <w:rPr>
          <w:b/>
        </w:rPr>
        <w:t xml:space="preserve">Abstract (EN): </w:t>
      </w:r>
      <w:r>
        <w:t>Dion‐Jacobson (DJ) phase 2D perovskites have attracted much interest in photovoltaic community owing to their potential higher stability relative to 3D counterparts. The conventional wisdom has been that organic diammoniums certainly generate DJ 2D perovskites by forming bilateral hydrogen bonds with two layers of inorganic [PbI</w:t>
      </w:r>
      <w:r>
        <w:rPr>
          <w:vertAlign w:val="subscript"/>
        </w:rPr>
        <w:t>6</w:t>
      </w:r>
      <w:r>
        <w:t>]</w:t>
      </w:r>
      <w:r>
        <w:t xml:space="preserve"> </w:t>
      </w:r>
      <w:r>
        <w:t>4−</w:t>
      </w:r>
      <w:r>
        <w:t>slabs. However, we herein report a diammonium‐based non‐DJ phase 2D perovskite, composed of</w:t>
      </w:r>
      <w:r>
        <w:rPr>
          <w:vertAlign w:val="subscript"/>
        </w:rPr>
        <w:t>3</w:t>
      </w:r>
      <w:r>
        <w:t>,</w:t>
      </w:r>
      <w:r>
        <w:t xml:space="preserve"> </w:t>
      </w:r>
      <w:r>
        <w:t>3′</w:t>
      </w:r>
      <w:r>
        <w:t xml:space="preserve"> </w:t>
      </w:r>
      <w:r>
        <w:t>‐methylenediphenyldiammonium (</w:t>
      </w:r>
      <w:r>
        <w:t xml:space="preserve"> </w:t>
      </w:r>
      <w:r>
        <w:t>3,3</w:t>
      </w:r>
      <w:r>
        <w:t xml:space="preserve"> </w:t>
      </w:r>
      <w:r>
        <w:t>‐MDPDA</w:t>
      </w:r>
      <w:r>
        <w:t xml:space="preserve"> </w:t>
      </w:r>
      <w:r>
        <w:t>2+</w:t>
      </w:r>
      <w:r>
        <w:t xml:space="preserve"> </w:t>
      </w:r>
      <w:r>
        <w:t>). Single‐crystal structure of the resultant 2D perovskite has a formula of (</w:t>
      </w:r>
      <w:r>
        <w:t xml:space="preserve"> </w:t>
      </w:r>
      <w:r>
        <w:t>3,3‐</w:t>
      </w:r>
      <w:r>
        <w:t xml:space="preserve"> </w:t>
      </w:r>
      <w:r>
        <w:t>MDPDA)PbI</w:t>
      </w:r>
      <w:r>
        <w:rPr>
          <w:vertAlign w:val="subscript"/>
        </w:rPr>
        <w:t>4</w:t>
      </w:r>
      <w:r>
        <w:t>as the DJ phase, but reveals that there are two layers of</w:t>
      </w:r>
      <w:r>
        <w:t xml:space="preserve"> </w:t>
      </w:r>
      <w:r>
        <w:t>3,3</w:t>
      </w:r>
      <w:r>
        <w:t xml:space="preserve"> </w:t>
      </w:r>
      <w:r>
        <w:t>‐MDPDA</w:t>
      </w:r>
      <w:r>
        <w:t xml:space="preserve"> </w:t>
      </w:r>
      <w:r>
        <w:t>2+</w:t>
      </w:r>
      <w:r>
        <w:t xml:space="preserve"> </w:t>
      </w:r>
      <w:r>
        <w:t>between adjacent inorganic layers and two ammonium groups of each</w:t>
      </w:r>
      <w:r>
        <w:t xml:space="preserve"> </w:t>
      </w:r>
      <w:r>
        <w:t>3,3</w:t>
      </w:r>
      <w:r>
        <w:t xml:space="preserve"> </w:t>
      </w:r>
      <w:r>
        <w:t>‐MDPDA</w:t>
      </w:r>
      <w:r>
        <w:t xml:space="preserve"> </w:t>
      </w:r>
      <w:r>
        <w:t>2+</w:t>
      </w:r>
      <w:r>
        <w:t xml:space="preserve"> </w:t>
      </w:r>
      <w:r>
        <w:t>link to a single inorganic [PbI</w:t>
      </w:r>
      <w:r>
        <w:rPr>
          <w:vertAlign w:val="subscript"/>
        </w:rPr>
        <w:t>6</w:t>
      </w:r>
      <w:r>
        <w:t>]</w:t>
      </w:r>
      <w:r>
        <w:t xml:space="preserve"> </w:t>
      </w:r>
      <w:r>
        <w:t>4−</w:t>
      </w:r>
      <w:r>
        <w:t>slab. Moreover, the</w:t>
      </w:r>
      <w:r>
        <w:t xml:space="preserve"> </w:t>
      </w:r>
      <w:r>
        <w:t>3,3</w:t>
      </w:r>
      <w:r>
        <w:t xml:space="preserve"> </w:t>
      </w:r>
      <w:r>
        <w:t>‐MDPDA</w:t>
      </w:r>
      <w:r>
        <w:t xml:space="preserve"> </w:t>
      </w:r>
      <w:r>
        <w:t>2+</w:t>
      </w:r>
      <w:r>
        <w:t xml:space="preserve"> </w:t>
      </w:r>
      <w:r>
        <w:t>cations in the organic bilayer present unique π‐π interactions, including intralayered edge‐to‐face and interlayered parallel‐displaced configurations, respectively, leading to high stability of the diammonium‐based non‐DJ 2D perovskite. When introducing it into the 3D perovskite film to construct 2D/3D structures, resulting perovskite solar cells and modules (effective area: 50 cm</w:t>
      </w:r>
      <w:r>
        <w:rPr>
          <w:vertAlign w:val="subscript"/>
        </w:rPr>
        <w:t>2</w:t>
      </w:r>
      <w:r>
        <w:t>) demonstrate efficiencies of 26.52% and 23.34%, respectively, with outstanding operational stability retaining 94% of initial efficiency under continuous maximum power point tracking for 1200 h.</w:t>
      </w:r>
    </w:p>
    <w:p>
      <w:pPr>
        <w:spacing w:before="120" w:after="120"/>
      </w:pPr>
      <w:r>
        <w:rPr>
          <w:sz w:val="18"/>
        </w:rPr>
        <w:t>——————————————————————————————————————————————————————————————————————</w:t>
      </w:r>
    </w:p>
    <w:p>
      <w:pPr>
        <w:spacing w:before="160" w:after="40" w:line="240" w:lineRule="auto"/>
      </w:pPr>
      <w:r>
        <w:rPr>
          <w:b/>
        </w:rPr>
        <w:t xml:space="preserve">[8] </w:t>
      </w:r>
      <w:hyperlink r:id="rId18">
        <w:r>
          <w:rPr>
            <w:color w:val="1155CC"/>
            <w:u w:val="single"/>
          </w:rPr>
          <w:t>具有定制动态键的分子工程自修复支架可实现稳定且可扩展的柔性钙钛矿太阳能电池和模块</w:t>
        </w:r>
      </w:hyperlink>
    </w:p>
    <w:p>
      <w:pPr>
        <w:spacing w:before="0" w:after="80"/>
      </w:pPr>
      <w:r>
        <w:rPr>
          <w:i/>
          <w:sz w:val="20"/>
        </w:rPr>
        <w:t>EN: Molecularly Engineered Self‐Healing Scaffold With Customized Dynamic Bonds Enable Stable and Scalable Flexible Perovskite Solar Cells and Modules</w:t>
      </w:r>
    </w:p>
    <w:p>
      <w:pPr>
        <w:spacing w:before="0" w:after="120"/>
      </w:pPr>
      <w:r>
        <w:rPr>
          <w:b/>
        </w:rPr>
        <w:t xml:space="preserve">Source: </w:t>
      </w:r>
      <w:r>
        <w:t>Wiley: Advanced Materials: Table of Contents</w:t>
      </w:r>
      <w:r>
        <w:t xml:space="preserve">    </w:t>
      </w:r>
      <w:r>
        <w:rPr>
          <w:b/>
        </w:rPr>
        <w:t xml:space="preserve">Pub date: </w:t>
      </w:r>
      <w:r>
        <w:t>2026-06-30 08:01:43+00:00</w:t>
      </w:r>
      <w:r>
        <w:t xml:space="preserve">    </w:t>
      </w:r>
      <w:r>
        <w:rPr>
          <w:b/>
        </w:rPr>
        <w:t xml:space="preserve">DOI: </w:t>
      </w:r>
      <w:hyperlink r:id="rId19">
        <w:r>
          <w:rPr>
            <w:color w:val="1155CC"/>
            <w:u w:val="single"/>
          </w:rPr>
          <w:t>10.1002/adma.73855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有机金属卤化物钙钛矿作为高性能柔性钙钛矿太阳能电池（f-PSC）的材料具有广阔的前景。然而，实现均匀、高度结晶且机械坚固的钙钛矿薄膜仍然是 f-PSC 的关键挑战。在这里，串联动态键基单体（ADM）被纳入钙钛矿薄膜中，它在其中原位交联以控制成核和结晶。这可以通过 ADM 和钙钛矿晶格之间的路易斯碱配位和氢键实现多模式钝化。交联网络内的串联动态键优先位于晶界，赋予柔性钙钛矿薄膜在温和处理条件（40°C，30 分钟）下具有瞬时自固化能力。因此，冠军器件的小面积刚性 PSC 的功率转换效率 (PCE) 为 27.12%（认证为 26.80%），柔性微型模块（10.24 cm）的功率转换效率 (PCE) 为 20.00%。</w:t>
      </w:r>
      <w:r>
        <w:rPr>
          <w:vertAlign w:val="subscript"/>
        </w:rPr>
        <w:t>2</w:t>
      </w:r>
      <w:r>
        <w:t>），而大面积倒置钙钛矿子模块的活性面积为 655.2 cm</w:t>
      </w:r>
      <w:r>
        <w:rPr>
          <w:vertAlign w:val="subscript"/>
        </w:rPr>
        <w:t>2</w:t>
      </w:r>
      <w:r>
        <w:t>实现了破纪录的 21.60% 的 PCE 和 20.37% 的认证效率，展现了出色的可扩展性。至关重要的是，内在的自愈能力支撑着卓越的机械耐久性，使设备在 10,000 次弯曲循环后仍能保持其原始 PCE 的 91% 以上。</w:t>
      </w:r>
    </w:p>
    <w:p>
      <w:pPr>
        <w:spacing w:before="0" w:after="200" w:lineRule="auto" w:line="276"/>
      </w:pPr>
      <w:r>
        <w:rPr>
          <w:b/>
        </w:rPr>
        <w:t xml:space="preserve">Abstract (EN): </w:t>
      </w:r>
      <w:r>
        <w:t>Organometallic halide perovskites hold great promise as materials for high‐performance flexible perovskite solar cells (f‐PSCs). However, achieving uniform, highly crystalline, and mechanically robust perovskite films remains a critical challenge for f‐PSCs. Here, a tandem dynamic bond‐based monomer (ADM) was incorporated into a perovskite film, where it cross‐links in situ to control nucleation and crystallization. This enables multi‐modal passivation via Lewis‐base coordination and hydrogen bonding between ADM and the perovskite lattice. The tandem dynamic bonds within the cross‐linked network, preferentially residing at grain boundaries, endow the flexible perovskite films with an instantaneous self‐curing capability under mild treating conditions (40°C for 30 min). As a result, champion devices deliver a power conversion efficiency (PCE) of 27.12% (certified 26.80%) for small‐area rigid PSCs and 20.00% for a flexible minimodule (10.24 cm</w:t>
      </w:r>
      <w:r>
        <w:rPr>
          <w:vertAlign w:val="subscript"/>
        </w:rPr>
        <w:t>2</w:t>
      </w:r>
      <w:r>
        <w:t>), while a large‐area inverted perovskite submodule with an active area of 655.2 cm</w:t>
      </w:r>
      <w:r>
        <w:rPr>
          <w:vertAlign w:val="subscript"/>
        </w:rPr>
        <w:t>2</w:t>
      </w:r>
      <w:r>
        <w:t>achieves a record‐breaking PCE of 21.60% and a certified efficiency of 20.37%, demonstrating excellent scalability. Critically, the intrinsic self‐healing capability underpins exceptional mechanical endurance, allowing the devices to maintain more than 91% of their original PCE after 10 000 bending cycles.</w:t>
      </w:r>
    </w:p>
    <w:p>
      <w:pPr>
        <w:spacing w:before="120" w:after="120"/>
      </w:pPr>
      <w:r>
        <w:rPr>
          <w:sz w:val="18"/>
        </w:rPr>
        <w:t>——————————————————————————————————————————————————————————————————————</w:t>
      </w:r>
    </w:p>
    <w:p>
      <w:pPr>
        <w:spacing w:before="160" w:after="40" w:line="240" w:lineRule="auto"/>
      </w:pPr>
      <w:r>
        <w:rPr>
          <w:b/>
        </w:rPr>
        <w:t xml:space="preserve">[9] </w:t>
      </w:r>
      <w:hyperlink r:id="rId20">
        <w:r>
          <w:rPr>
            <w:color w:val="1155CC"/>
            <w:u w:val="single"/>
          </w:rPr>
          <w:t>聚（三芳胺）纳米级非晶化用于高效稳定的倒置钙钛矿光伏发电</w:t>
        </w:r>
      </w:hyperlink>
    </w:p>
    <w:p>
      <w:pPr>
        <w:spacing w:before="0" w:after="80"/>
      </w:pPr>
      <w:r>
        <w:rPr>
          <w:i/>
          <w:sz w:val="20"/>
        </w:rPr>
        <w:t>EN: Nanoscale amorphization of poly(triarylamine) for efficient and stable inverted perovskite photovoltaics</w:t>
      </w:r>
    </w:p>
    <w:p>
      <w:pPr>
        <w:spacing w:before="0" w:after="120"/>
      </w:pPr>
      <w:r>
        <w:rPr>
          <w:b/>
        </w:rPr>
        <w:t xml:space="preserve">Source: </w:t>
      </w:r>
      <w:r>
        <w:t>Nature Nanotechnology</w:t>
      </w:r>
      <w:r>
        <w:t xml:space="preserve">    </w:t>
      </w:r>
      <w:r>
        <w:rPr>
          <w:b/>
        </w:rPr>
        <w:t xml:space="preserve">Pub date: </w:t>
      </w:r>
      <w:r>
        <w:t>2026-07-01 00:00:00+00:00</w:t>
      </w:r>
      <w:r>
        <w:t xml:space="preserve">    </w:t>
      </w:r>
      <w:r>
        <w:rPr>
          <w:b/>
        </w:rPr>
        <w:t xml:space="preserve">DOI: </w:t>
      </w:r>
      <w:hyperlink r:id="rId21">
        <w:r>
          <w:rPr>
            <w:color w:val="1155CC"/>
            <w:u w:val="single"/>
          </w:rPr>
          <w:t>10.1038/s41565-026-02207-z</w:t>
        </w:r>
      </w:hyperlink>
    </w:p>
    <w:p>
      <w:pPr>
        <w:spacing w:before="0" w:after="120"/>
      </w:pPr>
      <w:r>
        <w:rPr>
          <w:b/>
        </w:rPr>
        <w:t xml:space="preserve">Notes: </w:t>
      </w:r>
      <w:r>
        <w:t>abstract_source=nature_html</w:t>
      </w:r>
    </w:p>
    <w:p>
      <w:pPr>
        <w:spacing w:before="0" w:after="80" w:lineRule="auto" w:line="276"/>
      </w:pPr>
      <w:r>
        <w:rPr>
          <w:b/>
        </w:rPr>
        <w:t xml:space="preserve">摘要（ZH）: </w:t>
      </w:r>
      <w:r>
        <w:t>钙钛矿太阳能模块需要结合高效电荷提取、界面均匀性和可扩展加工的空穴选择性层。聚三芳胺（PTAA）广泛用于高性能倒置钙钛矿光伏发电，但其在氧化铟锡上的纳米级结晶和聚集会破坏薄膜连续性、增加界面复合并限制组件稳定性。在这里，我们展示了 4-氟苄基膦酸 (4FBPA) 修饰氧化铟锡的表面，诱导 PTAA 纳米级非晶化，形成均匀的亚 10 nm 空穴选择性层。该分子通过脱水反应与氧化铟锡结合，调节光电阳极的功函数和表面自由能，并改善与 PTAA 的能级对准。由此产生的非晶 PTAA 薄膜显示出增强的电导率和空穴提取，抑制埋入界面处的非辐射复合并促进更均匀的钙钛矿生长。倒置钙钛矿太阳能电池的功率转换效率达到26.63%，而叶片涂层组件的准稳态效率经认证为23.01%。在 65 ± 5 °C 的氮气环境下，在 1 太阳光照下，模块在最大功率点运行 2,600 小时后，仍保持 95.9% 的初始效率。这些结果表明，聚合物空穴选择性层的纳米级非晶化是实现高效稳定的倒置钙钛矿光伏器件的一种途径。</w:t>
      </w:r>
    </w:p>
    <w:p>
      <w:pPr>
        <w:spacing w:before="0" w:after="200" w:lineRule="auto" w:line="276"/>
      </w:pPr>
      <w:r>
        <w:rPr>
          <w:b/>
        </w:rPr>
        <w:t xml:space="preserve">Abstract (EN): </w:t>
      </w:r>
      <w:r>
        <w:t>Perovskite solar modules require hole-selective layers that combine efficient charge extraction, interfacial uniformity and scalable processing. Poly(triarylamine) (PTAA) is widely used in high-performance inverted perovskite photovoltaics, but its nanoscale crystallization and aggregation on indium tin oxide can disrupt film continuity, increase interfacial recombination and limit module stability. Here we show that 4-fluorobenzylphosphonic acid (4FBPA) modifies the surface of indium tin oxide to induce nanoscale amorphization of PTAA, forming a uniform sub-10-nm hole-selective layer. The molecule binds to indium tin oxide through a dehydration reaction, tunes the work function and surface free energy of the photoanode, and improves energy-level alignment with PTAA. The resulting amorphous PTAA film shows enhanced conductivity and hole extraction, suppresses non-radiative recombination at the buried interface and promotes more uniform perovskite growth. Inverted perovskite solar cells reach a power conversion efficiency of 26.63%, while blade-coated modules achieve a certified quasi-steady-state efficiency of 23.01%. The modules retain 95.9% of their initial efficiency after 2,600 hours of maximum-power-point operation under 1-sun illumination at 65 ± 5 °C in nitrogen. These results identify nanoscale amorphization of polymeric hole-selective layers as a route to efficient and stable inverted perovskite photovoltaics.</w:t>
      </w:r>
    </w:p>
    <w:p>
      <w:pPr>
        <w:spacing w:before="120" w:after="120"/>
      </w:pPr>
      <w:r>
        <w:rPr>
          <w:sz w:val="18"/>
        </w:rPr>
        <w:t>——————————————————————————————————————————————————————————————————————</w:t>
      </w:r>
    </w:p>
    <w:p>
      <w:pPr>
        <w:spacing w:before="160" w:after="40" w:line="240" w:lineRule="auto"/>
      </w:pPr>
      <w:r>
        <w:rPr>
          <w:b/>
        </w:rPr>
        <w:t xml:space="preserve">[10] </w:t>
      </w:r>
      <w:hyperlink r:id="rId22">
        <w:r>
          <w:rPr>
            <w:color w:val="1155CC"/>
            <w:u w:val="single"/>
          </w:rPr>
          <w:t>通过固溶均质化对全钙钛矿串联太阳能电池进行干接触修整</w:t>
        </w:r>
      </w:hyperlink>
    </w:p>
    <w:p>
      <w:pPr>
        <w:spacing w:before="0" w:after="80"/>
      </w:pPr>
      <w:r>
        <w:rPr>
          <w:i/>
          <w:sz w:val="20"/>
        </w:rPr>
        <w:t>EN: Dry‑Contact Trimming for All‑Perovskite Tandem Solar Cells via Solid‑Solution Homogenization</w:t>
      </w:r>
    </w:p>
    <w:p>
      <w:pPr>
        <w:spacing w:before="0" w:after="120"/>
      </w:pPr>
      <w:r>
        <w:rPr>
          <w:b/>
        </w:rPr>
        <w:t xml:space="preserve">Source: </w:t>
      </w:r>
      <w:r>
        <w:t>Wiley: Advanced Energy Materials: Table of Contents</w:t>
      </w:r>
      <w:r>
        <w:t xml:space="preserve">    </w:t>
      </w:r>
      <w:r>
        <w:rPr>
          <w:b/>
        </w:rPr>
        <w:t xml:space="preserve">Pub date: </w:t>
      </w:r>
      <w:r>
        <w:t>2026-07-01 07:00:00+00:00</w:t>
      </w:r>
      <w:r>
        <w:t xml:space="preserve">    </w:t>
      </w:r>
      <w:r>
        <w:rPr>
          <w:b/>
        </w:rPr>
        <w:t xml:space="preserve">DOI: </w:t>
      </w:r>
      <w:hyperlink r:id="rId23">
        <w:r>
          <w:rPr>
            <w:color w:val="1155CC"/>
            <w:u w:val="single"/>
          </w:rPr>
          <w:t>10.1002/aenm.202506753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全钙钛矿串联太阳能电池利用金属卤化物钙钛矿的固溶体性质来调节宽带隙和窄带隙子电池的带隙，以实现电流匹配和高光电压。带隙约为 1.2-1.3 eV 的 Sn-Pb 混合钙钛矿是有吸引力的底部吸收体，但富含 Sn 的表面区域、深度依赖的成分不均匀性以及相关的能带对准问题限制了光电流和光电压。在这里，我们介绍了一种层状钙钛矿辅助干接触修整（LDT）策略，用于在成膜后重新配置锡铅窄带隙钙钛矿。迪翁-雅各布森相乙二胺碘化铅 (EDAPbI</w:t>
      </w:r>
      <w:r>
        <w:rPr>
          <w:vertAlign w:val="subscript"/>
        </w:rPr>
        <w:t>4</w:t>
      </w:r>
      <w:r>
        <w:t>）薄膜与 Sn-Pb 钙钛矿进行瞬时固态接触，然后在接触退火后去除。乙二胺四乙酸</w:t>
      </w:r>
      <w:r>
        <w:rPr>
          <w:vertAlign w:val="subscript"/>
        </w:rPr>
        <w:t>4</w:t>
      </w:r>
      <w:r>
        <w:t>作为临时固态接触伙伴，可以去除富含锡的表面物质，并减少深度依赖的晶格和成分不均匀性，而不形成保留的二维覆盖层。这种重新配置减轻了锡铅钙钛矿/传输层界面的反向能带弯曲，抑制非辐射界面复合，并减少开路电压损耗。改进的晶格/成分​​均匀性还使厚的 Sn-Pb 吸收剂能够保持有效的电荷收集和高短路电流密度。因此，单结 Sn-Pb 器件的效率超过 24%，单片全钙钛矿串联器件</w:t>
      </w:r>
    </w:p>
    <w:p>
      <w:pPr>
        <w:spacing w:before="0" w:after="200" w:lineRule="auto" w:line="276"/>
      </w:pPr>
      <w:r>
        <w:rPr>
          <w:b/>
        </w:rPr>
        <w:t xml:space="preserve">Abstract (EN): </w:t>
      </w:r>
      <w:r>
        <w:t>All‐perovskite tandem solar cells leverage the solid‐solution nature of metal halide perovskites to tune the band gaps of wide‐ and narrow‐bandgap subcells for current matching and high photovoltage. Sn–Pb mixed perovskites with band gaps of approximately 1.2–1.3 eV are attractive bottom absorbers, but Sn‐rich surface regions, depth‐dependent compositional inhomogeneity, and associated band‐alignment issues limit both photocurrent and photovoltage. Here, we introduce a layered‐perovskite‐assisted dry‐contact trimming (LDT) strategy to reconfigure Sn–Pb narrow‐bandgap perovskites after film formation. A Dion–Jacobson‐phase ethylenediammonium lead iodide (EDAPbI</w:t>
      </w:r>
      <w:r>
        <w:rPr>
          <w:vertAlign w:val="subscript"/>
        </w:rPr>
        <w:t>4</w:t>
      </w:r>
      <w:r>
        <w:t>) film is brought into transient solid‐state contact with the Sn–Pb perovskite and then removed after contact annealing. EDAPbI</w:t>
      </w:r>
      <w:r>
        <w:rPr>
          <w:vertAlign w:val="subscript"/>
        </w:rPr>
        <w:t>4</w:t>
      </w:r>
      <w:r>
        <w:t>functions as a temporary solid‐state contact partner that removes Sn‐rich surface species and reduces depth‐dependent lattice and compositional inhomogeneity without forming a retained 2D capping layer. This reconfiguration alleviates reverse band bending at the Sn–Pb perovskite/transport‐layer interface, suppresses nonradiative interfacial recombination, and reduces open‐circuit‐voltage losses. The improved lattice/compositional uniformity also enables thick Sn–Pb absorbers to maintain efficient charge collection and high short‐circuit current density. Consequently, single‐junction Sn–Pb devices exceed 24% efficiency, and monolithic all‐perovskite tandem devices surpass 30% with reproducible performance and operational stability. These results identify LDT as a complementary post‐crystallization strategy for engineering mixed perovskite solid‐solutions and their interfaces.</w:t>
      </w:r>
    </w:p>
    <w:p>
      <w:pPr>
        <w:spacing w:before="120" w:after="120"/>
      </w:pPr>
      <w:r>
        <w:rPr>
          <w:sz w:val="18"/>
        </w:rPr>
        <w:t>——————————————————————————————————————————————————————————————————————</w:t>
      </w:r>
    </w:p>
    <w:p>
      <w:pPr>
        <w:spacing w:before="160" w:after="40" w:line="240" w:lineRule="auto"/>
      </w:pPr>
      <w:r>
        <w:rPr>
          <w:b/>
        </w:rPr>
        <w:t xml:space="preserve">[11] </w:t>
      </w:r>
      <w:hyperlink r:id="rId24">
        <w:r>
          <w:rPr>
            <w:color w:val="1155CC"/>
            <w:u w:val="single"/>
          </w:rPr>
          <w:t>统一的配体尺寸设计可阻止钙钛矿光伏中的阳离子迁移</w:t>
        </w:r>
      </w:hyperlink>
    </w:p>
    <w:p>
      <w:pPr>
        <w:spacing w:before="0" w:after="80"/>
      </w:pPr>
      <w:r>
        <w:rPr>
          <w:i/>
          <w:sz w:val="20"/>
        </w:rPr>
        <w:t>EN: A unified ligand-dimensional design to halt cation migration in perovskite photovoltaics</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25">
        <w:r>
          <w:rPr>
            <w:color w:val="1155CC"/>
            <w:u w:val="single"/>
          </w:rPr>
          <w:t>10.1126/sciadv.aed6327</w:t>
        </w:r>
      </w:hyperlink>
    </w:p>
    <w:p>
      <w:pPr>
        <w:spacing w:before="0" w:after="120"/>
      </w:pPr>
      <w:r>
        <w:rPr>
          <w:b/>
        </w:rPr>
        <w:t xml:space="preserve">Notes: </w:t>
      </w:r>
      <w:r>
        <w:t>abstract_source=crossref</w:t>
      </w:r>
    </w:p>
    <w:p>
      <w:pPr>
        <w:spacing w:before="0" w:after="80" w:lineRule="auto" w:line="276"/>
      </w:pPr>
      <w:r>
        <w:rPr>
          <w:b/>
        </w:rPr>
        <w:t xml:space="preserve">摘要（ZH）: </w:t>
      </w:r>
      <w:r>
        <w:t>有机阳离子迁移，特别是甲脒 (FA</w:t>
      </w:r>
      <w:r>
        <w:t xml:space="preserve"> </w:t>
      </w:r>
      <w:r>
        <w:t>+</w:t>
      </w:r>
      <w:r>
        <w:t xml:space="preserve"> </w:t>
      </w:r>
      <w:r>
        <w:t>），仍然是限制钙钛矿太阳能电池（PSC）长期稳定性的主要因素。低维/三维（LD/3D）异质结已显示出减轻这种迁移的希望，但缺乏统一处理和支架框架下的系统比较。在这里，我们开发了一系列基于吡啶的配体，能够在相同的处理下形成结构明确的 LD/3D 异质结，涵盖钙钛矿相关的 2D、1D、1D 插层和 0D 金属卤化物基序结构。该平台揭示了 2D/3D 配置独特地将几何限制与多向氢键结合以固定 FA</w:t>
      </w:r>
      <w:r>
        <w:t xml:space="preserve"> </w:t>
      </w:r>
      <w:r>
        <w:t>+</w:t>
      </w:r>
      <w:r>
        <w:t xml:space="preserve"> </w:t>
      </w:r>
      <w:r>
        <w:t>并增强载体性能。因此，PSC 实现了 26.88% 的冠军效率（经认证为 26.52%）和出色的稳定性，在 85°C/85% 相对湿度下运行 1000 小时后初始效率保持在 &gt;91% 左右，在最大功率点跟踪 2000 小时后保持着 &gt;94% 的初始效率。大面积模块（900 平方厘米）可提供 20.25% 的效率（认证为 17.75%），并且 4 个月内的性能下降可以忽略不计。这项工作为稳定、可扩展的钙钛矿光伏电池建立了一个基于配体的尺寸设计平台。</w:t>
      </w:r>
    </w:p>
    <w:p>
      <w:pPr>
        <w:spacing w:before="0" w:after="200" w:lineRule="auto" w:line="276"/>
      </w:pPr>
      <w:r>
        <w:rPr>
          <w:b/>
        </w:rPr>
        <w:t xml:space="preserve">Abstract (EN): </w:t>
      </w:r>
      <w:r>
        <w:t>Organic cation migration, particularly that of formamidinium (FA</w:t>
      </w:r>
      <w:r>
        <w:t xml:space="preserve"> </w:t>
      </w:r>
      <w:r>
        <w:t>+</w:t>
      </w:r>
      <w:r>
        <w:t xml:space="preserve"> </w:t>
      </w:r>
      <w:r>
        <w:t>), remains a major factor limiting the long-term stability of perovskite solar cells (PSCs). Low-dimensional/three-dimensional (LD/3D) heterojunctions have shown promise for mitigating this migration, yet systematic comparisons under a unified processing and scaffold framework are lacking. Here, we develop a family of pyridine-based ligands that enable the formation of structurally well-defined LD/3D heterojunctions spanning perovskite-related 2D, 1D, 1D intercalated, and 0D metal-halide motif architectures under identical processing. This platform reveals that the 2D/3D configuration uniquely couples geometric confinement with multidirectional hydrogen bonding to immobilize FA</w:t>
      </w:r>
      <w:r>
        <w:t xml:space="preserve"> </w:t>
      </w:r>
      <w:r>
        <w:t>+</w:t>
      </w:r>
      <w:r>
        <w:t xml:space="preserve"> </w:t>
      </w:r>
      <w:r>
        <w:t>and enhance carrier performance. Consequently, PSCs achieve a champion efficiency of 26.88% (certified 26.52%) and outstanding stability, retaining &amp;gt;91% initial efficiency after 1000 hours at 85°C/85% relative humidity and &amp;gt;94% after 2000 hours of maximum power point tracking. Large-area modules (900 square centimeters) deliver 20.25% efficiency (certified 17.75%) with negligible degradation over 4 months. This work establishes a ligand-based dimensional design platform for stable, scalable perovskite photovoltaics.</w:t>
      </w:r>
    </w:p>
    <w:p>
      <w:pPr>
        <w:spacing w:before="120" w:after="120"/>
      </w:pPr>
      <w:r>
        <w:rPr>
          <w:sz w:val="18"/>
        </w:rPr>
        <w:t>——————————————————————————————————————————————————————————————————————</w:t>
      </w:r>
    </w:p>
    <w:p>
      <w:pPr>
        <w:spacing w:before="160" w:after="40" w:line="240" w:lineRule="auto"/>
      </w:pPr>
      <w:r>
        <w:rPr>
          <w:b/>
        </w:rPr>
        <w:t xml:space="preserve">[12] </w:t>
      </w:r>
      <w:hyperlink r:id="rId26">
        <w:r>
          <w:rPr>
            <w:color w:val="1155CC"/>
            <w:u w:val="single"/>
          </w:rPr>
          <w:t>超快光电流检测与光学检测结论相矛盾：激子扩散对碳纳米管器件效率贡献甚微</w:t>
        </w:r>
      </w:hyperlink>
    </w:p>
    <w:p>
      <w:pPr>
        <w:spacing w:before="0" w:after="80"/>
      </w:pPr>
      <w:r>
        <w:rPr>
          <w:i/>
          <w:sz w:val="20"/>
        </w:rPr>
        <w:t>EN: Ultrafast photocurrent detection contradicts optical detection conclusions: Exciton diffusion contributes little to carbon nanotube device efficiency</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27">
        <w:r>
          <w:rPr>
            <w:color w:val="1155CC"/>
            <w:u w:val="single"/>
          </w:rPr>
          <w:t>10.1126/sciadv.aec3186</w:t>
        </w:r>
      </w:hyperlink>
    </w:p>
    <w:p>
      <w:pPr>
        <w:spacing w:before="0" w:after="120"/>
      </w:pPr>
      <w:r>
        <w:rPr>
          <w:b/>
        </w:rPr>
        <w:t xml:space="preserve">Notes: </w:t>
      </w:r>
      <w:r>
        <w:t>abstract_source=crossref</w:t>
      </w:r>
    </w:p>
    <w:p>
      <w:pPr>
        <w:spacing w:before="0" w:after="80" w:lineRule="auto" w:line="276"/>
      </w:pPr>
      <w:r>
        <w:rPr>
          <w:b/>
        </w:rPr>
        <w:t xml:space="preserve">摘要（ZH）: </w:t>
      </w:r>
      <w:r>
        <w:t>关于下一代光伏器件中能量转换的许多结论是从激子动力学的光学测量中间接收集到的，而不是直接从光电流本身中收集到的。这种方法是有问题的，因为光学测量报告的是所有激子，而不仅仅是生产激子。使用新型超快光电流光谱仪，我们将薄膜中测量的半导体碳纳米管的激子动力学与使用光吸收和光电流检测瞬态和二维光谱的设备中测量的激子动力学进行了比较。我们发现光吸收检测大大高估了长寿命激子对于光伏器件性能的重要性。激子在纳米管上扩散皮秒，但我们发现光电流主要是由激子产生的，激子在产生后 30 飞秒内在电子转移界面解离之前几乎没有扩散。因此，仅从光学研究中得出的科学结论对这些设备的性能影响不大，这使人们对被认为对高效光转换至关重要的过程产生了质疑。这项研究指出了直接测量光电流产生的激子动力学的必要性，而不是仅通过光谱来推测它们。</w:t>
      </w:r>
    </w:p>
    <w:p>
      <w:pPr>
        <w:spacing w:before="0" w:after="200" w:lineRule="auto" w:line="276"/>
      </w:pPr>
      <w:r>
        <w:rPr>
          <w:b/>
        </w:rPr>
        <w:t xml:space="preserve">Abstract (EN): </w:t>
      </w:r>
      <w:r>
        <w:t>Many conclusions about energy conversion in next-generation photovoltaic devices are gleaned indirectly from optical measurements of exciton dynamics, not directly from photocurrent itself. This method is problematic because optical measurements report on all excitons, not just productive ones. Using a new ultrafast photocurrent spectrometer, we compare exciton dynamics of semiconducting carbon nanotubes measured in films to those measured in devices using photoabsorption- and photocurrent-detected transient and two-dimensional spectroscopies. We find that photoabsorption detection greatly overestimates the importance of long-lived excitons for photovoltaic device performance. Excitons diffuse across nanotubes for picoseconds, but we find that the photocurrent is mostly created by excitons that diffuse little before dissociating at the electron transfer interface within 30 femtoseconds of being created. Thus, scientific conclusions reached from optical-only studies bear little importance to the performance of these devices, calling into question the processes thought critical for efficient photoconversion. This study points to the necessity for directly measuring photocurrent-generating exciton dynamics, not surmising them from optical spectroscopy alone.</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28">
        <w:r>
          <w:rPr>
            <w:color w:val="1155CC"/>
            <w:u w:val="single"/>
          </w:rPr>
          <w:t>硫化物全固态电池中氧氧化还原与富锂正极界面稳定性之间的相互作用</w:t>
        </w:r>
      </w:hyperlink>
    </w:p>
    <w:p>
      <w:pPr>
        <w:spacing w:before="0" w:after="80"/>
      </w:pPr>
      <w:r>
        <w:rPr>
          <w:i/>
          <w:sz w:val="20"/>
        </w:rPr>
        <w:t>EN: Interplay between oxygen redox and interfacial stability of Li-rich positive electrodes in sulfide-based all-solid-state batteries</w:t>
      </w:r>
    </w:p>
    <w:p>
      <w:pPr>
        <w:spacing w:before="0" w:after="120"/>
      </w:pPr>
      <w:r>
        <w:rPr>
          <w:b/>
        </w:rPr>
        <w:t xml:space="preserve">Source: </w:t>
      </w:r>
      <w:r>
        <w:t>Physical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了解和操纵晶格氧氧化还原与界面稳定性之间的相互作用对于充分发挥全固态锂电池中富锂锰基氧化物正极的潜力至关重要。在此，我们全面研究了硫化物电解质（Li6PS5Cl）体系中富锂锰基正极的界面演化，并报道了高电位下不可逆晶格氧氧化还原诱导严重电解质分解的潜在机制，形成多孔含氧副产物，主导界面阻抗并阻碍阴离子氧化还原反应。放电驱动的这些副产物的还原（特别是在 2.6-2.0 V 之间）可以通过锂掺入促进界面重建，增强离子传输动力学并实现可逆的氧氧化还原。基于这一已确定的机制，我们提出了一种采用氧改性 Li6PS5Cl 的预激活策略（3.9-2.0 V 预循环），可加速相间稳定并在第一个循环期间实现高氧氧化还原利用率。它在 10 mA g−1 时的比容量为 318 mAh g−1，在 200 mA g−1 时的比容量为 226 mAh g−1，在 60 °C 下经过 500 次循环后，其保留率为 83.2%。这项工作有可能提供一种有效的界面重构策略来增强阴离子氧化还原可逆性，为全固态锂电池中的高能富锂正极提供设计框架。</w:t>
      </w:r>
    </w:p>
    <w:p>
      <w:pPr>
        <w:spacing w:before="0" w:after="200" w:lineRule="auto" w:line="276"/>
      </w:pPr>
      <w:r>
        <w:rPr>
          <w:b/>
        </w:rPr>
        <w:t xml:space="preserve">Abstract (EN): </w:t>
      </w:r>
      <w:r>
        <w:t>Understanding and manipulating the interplay between lattice oxygen redox and interfacial stability is critical for realizing the full potential of lithium-rich manganese-based oxide positive electrodes in all-solid-state lithium batteries. Herein, we comprehensively investigate interfacial evolution of Li-rich manganese-based positive electrodes in sulfide electrolyte (Li6PS5Cl) systems and report that a potential mechanism where irreversible lattice oxygen redox at high potential induces severe electrolyte decomposition, forming porous oxygenated by-products that dominate interfacial impedance and hinder anionic redox reactions. Discharge-driven reduction of these by-products—particularly between 2.6-2.0 V—could facilitates interphases reconstruction via lithium incorporation, enhancing ionic transport kinetics and enabling reversible oxygen redox. Building on this identified mechanism, we propose a pre-activation strategy (3.9-2.0 V pre-cycling) with oxygen-modified Li6PS5Cl, which accelerates interphases stabilization and enables high oxygen redox utilization during the first cycle. It delivers a specific capacity of 318 mAh g−1 at 10 mA g−1, and 226 mAh g−1 at 200 mA g−1 with 83.2% retention over 500 cycles at 60 °C. This work has the potential to provide an effective interfacial reconstruction strategy to enhance anionic redox reversibility, providing a design framework for high-energy lithium-rich positive electrodes in all-solid-state lithium batteries.</w:t>
      </w:r>
    </w:p>
    <w:p>
      <w:pPr>
        <w:spacing w:before="120" w:after="120"/>
      </w:pPr>
      <w:r>
        <w:rPr>
          <w:sz w:val="18"/>
        </w:rPr>
        <w:t>——————————————————————————————————————————————————————————————————————</w:t>
      </w:r>
    </w:p>
    <w:p>
      <w:pPr>
        <w:spacing w:before="160" w:after="40" w:line="240" w:lineRule="auto"/>
      </w:pPr>
      <w:r>
        <w:rPr>
          <w:b/>
        </w:rPr>
        <w:t xml:space="preserve">[2] </w:t>
      </w:r>
      <w:hyperlink r:id="rId29">
        <w:r>
          <w:rPr>
            <w:color w:val="1155CC"/>
            <w:u w:val="single"/>
          </w:rPr>
          <w:t>超亲钠混合导体界面实现准固态钠金属电池的均匀顶部沉积</w:t>
        </w:r>
      </w:hyperlink>
    </w:p>
    <w:p>
      <w:pPr>
        <w:spacing w:before="0" w:after="80"/>
      </w:pPr>
      <w:r>
        <w:rPr>
          <w:i/>
          <w:sz w:val="20"/>
        </w:rPr>
        <w:t>EN: Ultra-Sodiophilic Mixed Conductor Interphase Enabling Uniform Top Deposition for Quasi-Solid-State Sodium-Metal Batteries</w:t>
      </w:r>
    </w:p>
    <w:p>
      <w:pPr>
        <w:spacing w:before="0" w:after="120"/>
      </w:pPr>
      <w:r>
        <w:rPr>
          <w:b/>
        </w:rPr>
        <w:t xml:space="preserve">Source: </w:t>
      </w:r>
      <w:r>
        <w:t>Nano-Micro Letters</w:t>
      </w:r>
      <w:r>
        <w:t xml:space="preserve">    </w:t>
      </w:r>
      <w:r>
        <w:rPr>
          <w:b/>
        </w:rPr>
        <w:t xml:space="preserve">Pub date: </w:t>
      </w:r>
      <w:r>
        <w:t>2026-06-29 00:00:00+00:00</w:t>
      </w:r>
      <w:r>
        <w:t xml:space="preserve">    </w:t>
      </w:r>
      <w:r>
        <w:rPr>
          <w:b/>
        </w:rPr>
        <w:t xml:space="preserve">DOI: </w:t>
      </w:r>
      <w:hyperlink r:id="rId30">
        <w:r>
          <w:rPr>
            <w:color w:val="1155CC"/>
            <w:u w:val="single"/>
          </w:rPr>
          <w:t>10.1007/s40820-026-02256-y</w:t>
        </w:r>
      </w:hyperlink>
    </w:p>
    <w:p>
      <w:pPr>
        <w:spacing w:before="0" w:after="120"/>
      </w:pPr>
      <w:r>
        <w:rPr>
          <w:b/>
        </w:rPr>
        <w:t xml:space="preserve">Notes: </w:t>
      </w:r>
      <w:r>
        <w:t>abstract_source=rss_description</w:t>
      </w:r>
    </w:p>
    <w:p>
      <w:pPr>
        <w:spacing w:before="0" w:after="80" w:lineRule="auto" w:line="276"/>
      </w:pPr>
      <w:r>
        <w:rPr>
          <w:b/>
        </w:rPr>
        <w:t xml:space="preserve">摘要（ZH）: </w:t>
      </w:r>
      <w:r>
        <w:t>人工固体电解质界面为提高准固态钠金属电池（QSMB）的寿命和安全性提供了一条有前途的途径，但其有限的离子电导率和聚合物电解质的低流动性往往导致不稳定的钠沉积/剥离动力学和较差的界面耐久性。在此，我们提出了一种表面诱导的“顶部”Na沉积机制，该机制由具有强Na+吸附亲和力的超亲钠离子/电子混合导体界面促进，这确保了快速且无枝晶的Na阳极运行。嵌入的Na3Sb合金相具有高电子电导率和强Na+吸附能，显着加速界面离子扩散和成核动力学，形成光滑致密的Na沉积层，有利于稳定的固体电解质界面形成并保持界面完整性。因此，采用基于 1, 3-二氧戊环的凝胶聚合物电解质的 Na||Na 对称电池在 0.5 mA cm−2 下具有 1000 小时的超长循环寿命，且过电位低至 40 mV。此外，采用改性Na阳极和Na3V2(PO4)3阴极的QSMB表现出出色的循环稳定性（2C下9000次循环后容量保持率为74.1%）和卓越的倍率性能（5C下91.7 mAh g−1）。这项工作提供了调控钠沉积的机制见解和实用策略，为高性能 QSMB 铺平了道路。亮点：1 超亲钠离子/电子混合导体相间成分促进的表面诱导“顶部”Na 沉积机制</w:t>
      </w:r>
    </w:p>
    <w:p>
      <w:pPr>
        <w:spacing w:before="0" w:after="200" w:lineRule="auto" w:line="276"/>
      </w:pPr>
      <w:r>
        <w:rPr>
          <w:b/>
        </w:rPr>
        <w:t xml:space="preserve">Abstract (EN): </w:t>
      </w:r>
      <w:r>
        <w:t>Artificial solid electrolyte interphase offers a promising route to improve the lifespan and safety of quasi-solid-state sodium-metal batteries (QSMBs), yet its limited ion conductivity and the low liquidity of the polymer electrolyte often result in unstable Na plating/stripping kinetics and poor interfacial durability. Herein, we propose a surface-induced “top” Na deposition mechanism facilitated by an ultra-sodiophilic ionic/electronic mixed conductor interphase exhibiting strong Na+ adsorption affinity, which ensures fast and dendrite-free Na anode operation. The embedded Na3Sb alloy phase, featuring high electronic conductivity and strong Na+ adsorption energy, significantly accelerates interfacial ion diffusion and nucleation kinetics, forming a smooth and compact Na deposition layer that facilitates stable solid electrolyte interphase formation and preserves interfacial integrity. Consequently, Na||Na symmetric cells employing a 1, 3-dioxolane-based gel polymer electrolyte deliver an ultra-long-cycling lifespan of 1000 h at 0.5 mA cm−2 with a low overpotential of 40 mV. Moreover, QSMBs incorporating the modified Na anode and Na3V2(PO4)3 cathode demonstrate outstanding cycling stability (74.1% capacity retention after 9000 cycles at 2C) and superior rate capability (91.7 mAh g−1 at 5C). The work provides mechanistic insights and practical strategies for regulating Na deposition, paving the way toward high-performance QSMBs. Highlights:1 A surface-induced “top” Na deposition mechanism facilitated by an ultra-sodiophilic ionic/electronic mixed conductor interphase composed of NaF and Na3Sb is proposed.2 SFC-Na anode exhibits enhanced Na+ affinity force and accelerated ion transport kinetics, Na nucleation kinetics are greatly enhanced while dendrite growth is effectively suppressed.3 The quasi-solid-state sodium-metal batteries with Na3V2(PO4)3 cathode and SFC-Na anode exhibit significantly enhanced cycling stability and superior rate capability.</w:t>
      </w:r>
    </w:p>
    <w:p>
      <w:pPr>
        <w:spacing w:before="120" w:after="120"/>
      </w:pPr>
      <w:r>
        <w:rPr>
          <w:sz w:val="18"/>
        </w:rPr>
        <w:t>——————————————————————————————————————————————————————————————————————</w:t>
      </w:r>
    </w:p>
    <w:p>
      <w:pPr>
        <w:spacing w:before="160" w:after="40" w:line="240" w:lineRule="auto"/>
      </w:pPr>
      <w:r>
        <w:rPr>
          <w:b/>
        </w:rPr>
        <w:t xml:space="preserve">[3] </w:t>
      </w:r>
      <w:hyperlink r:id="rId31">
        <w:r>
          <w:rPr>
            <w:color w:val="1155CC"/>
            <w:u w:val="single"/>
          </w:rPr>
          <w:t>采用集成 3D 打印阴极和电解质的无阳极锂电池实现 1300 Wh/L</w:t>
        </w:r>
      </w:hyperlink>
    </w:p>
    <w:p>
      <w:pPr>
        <w:spacing w:before="0" w:after="80"/>
      </w:pPr>
      <w:r>
        <w:rPr>
          <w:i/>
          <w:sz w:val="20"/>
        </w:rPr>
        <w:t>EN: Achieving 1300 Wh/L in Anode‐Free Li Batteries With Integrated 3D Printed Cathode and Electrolyte</w:t>
      </w:r>
    </w:p>
    <w:p>
      <w:pPr>
        <w:spacing w:before="0" w:after="120"/>
      </w:pPr>
      <w:r>
        <w:rPr>
          <w:b/>
        </w:rPr>
        <w:t xml:space="preserve">Source: </w:t>
      </w:r>
      <w:r>
        <w:t>Wiley: Advanced Materials: Table of Contents</w:t>
      </w:r>
      <w:r>
        <w:t xml:space="preserve">    </w:t>
      </w:r>
      <w:r>
        <w:rPr>
          <w:b/>
        </w:rPr>
        <w:t xml:space="preserve">Pub date: </w:t>
      </w:r>
      <w:r>
        <w:t>2026-06-29 13:29:09+00:00</w:t>
      </w:r>
      <w:r>
        <w:t xml:space="preserve">    </w:t>
      </w:r>
      <w:r>
        <w:rPr>
          <w:b/>
        </w:rPr>
        <w:t xml:space="preserve">DOI: </w:t>
      </w:r>
      <w:hyperlink r:id="rId32">
        <w:r>
          <w:rPr>
            <w:color w:val="1155CC"/>
            <w:u w:val="single"/>
          </w:rPr>
          <w:t>10.1002/adma.73891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采用超厚阴极的无阳极锂电池可提供出色的体积能量密度，但受到副反应和有限的锂储库的阻碍。这项研究开发了一种无阳极软包电池，使用 3D 打印的超厚阴极（120 mg cm</w:t>
      </w:r>
      <w:r>
        <w:t xml:space="preserve"> </w:t>
      </w:r>
      <w:r>
        <w:t>−2</w:t>
      </w:r>
      <w:r>
        <w:t xml:space="preserve"> </w:t>
      </w:r>
      <w:r>
        <w:t>）和双盐/双溶剂电解质。该电解质形成富含阴离子的溶剂化结构，形成弹塑性固体电解质中间层，即使在低温条件下，也能在裸铜集流体上实现高度可逆的锂沉积/剥离，并实现稳定的长时间循环。该配置可提供 1,308 Wh L 的能量密度</w:t>
      </w:r>
      <w:r>
        <w:t xml:space="preserve"> </w:t>
      </w:r>
      <w:r>
        <w:t>−1</w:t>
      </w:r>
      <w:r>
        <w:t xml:space="preserve"> </w:t>
      </w:r>
      <w:r>
        <w:t>和 424 Wh 千克</w:t>
      </w:r>
      <w:r>
        <w:t xml:space="preserve"> </w:t>
      </w:r>
      <w:r>
        <w:t>−1</w:t>
      </w:r>
      <w:r>
        <w:t xml:space="preserve"> </w:t>
      </w:r>
      <w:r>
        <w:t>，以及 19.11 mAh cm 的非凡面积容量</w:t>
      </w:r>
      <w:r>
        <w:t xml:space="preserve"> </w:t>
      </w:r>
      <w:r>
        <w:t>−2</w:t>
      </w:r>
      <w:r>
        <w:t xml:space="preserve"> </w:t>
      </w:r>
      <w:r>
        <w:t>。这项工作为高能、安全的无阳极电池建立了一条可扩展且具有成本效益的技术路线，有望加速其在电动航空和快速增长的低空经济领域的商业化。</w:t>
      </w:r>
    </w:p>
    <w:p>
      <w:pPr>
        <w:spacing w:before="0" w:after="200" w:lineRule="auto" w:line="276"/>
      </w:pPr>
      <w:r>
        <w:rPr>
          <w:b/>
        </w:rPr>
        <w:t xml:space="preserve">Abstract (EN): </w:t>
      </w:r>
      <w:r>
        <w:t>Anode‐free Li batteries employing ultra‐thick cathodes offer exceptional volumetric energy density, yet are hindered by side reactions and limited Li reservoirs. This study develops an anode‐free pouch cell using a 3D‐printed ultra‐thick cathode (120 mg cm</w:t>
      </w:r>
      <w:r>
        <w:t xml:space="preserve"> </w:t>
      </w:r>
      <w:r>
        <w:t>‒2</w:t>
      </w:r>
      <w:r>
        <w:t xml:space="preserve"> </w:t>
      </w:r>
      <w:r>
        <w:t>) and a dual‐salt/dual‐solvent electrolyte. The electrolyte forms an anion‐rich solvation structure, fostering an elastic‐plastic solid‐electrolyte interphase layer that enables highly reversible Li plating/stripping on bare Cu current collectors and stable prolonged cycling, even under low temperature conditions. The configuration delivers energy densities of 1,308 Wh L</w:t>
      </w:r>
      <w:r>
        <w:t xml:space="preserve"> </w:t>
      </w:r>
      <w:r>
        <w:t>‒1</w:t>
      </w:r>
      <w:r>
        <w:t xml:space="preserve"> </w:t>
      </w:r>
      <w:r>
        <w:t>and 424 Wh kg</w:t>
      </w:r>
      <w:r>
        <w:t xml:space="preserve"> </w:t>
      </w:r>
      <w:r>
        <w:t>‒1</w:t>
      </w:r>
      <w:r>
        <w:t xml:space="preserve"> </w:t>
      </w:r>
      <w:r>
        <w:t>, alongside a remarkable areal capacity of 19.11 mAh cm</w:t>
      </w:r>
      <w:r>
        <w:t xml:space="preserve"> </w:t>
      </w:r>
      <w:r>
        <w:t>‒2</w:t>
      </w:r>
      <w:r>
        <w:t xml:space="preserve"> </w:t>
      </w:r>
      <w:r>
        <w:t>. This work establishes a scalable and cost‐effective technical route for high‐energy, safe anode‐free batteries, which is expected to expedite their commercialization in electric aviation and the fast‐growing low‐altitude economy.</w:t>
      </w:r>
    </w:p>
    <w:p>
      <w:pPr>
        <w:spacing w:before="120" w:after="120"/>
      </w:pPr>
      <w:r>
        <w:rPr>
          <w:sz w:val="18"/>
        </w:rPr>
        <w:t>——————————————————————————————————————————————————————————————————————</w:t>
      </w:r>
    </w:p>
    <w:p>
      <w:pPr>
        <w:spacing w:before="160" w:after="40" w:line="240" w:lineRule="auto"/>
      </w:pPr>
      <w:r>
        <w:rPr>
          <w:b/>
        </w:rPr>
        <w:t xml:space="preserve">[4] </w:t>
      </w:r>
      <w:hyperlink r:id="rId33">
        <w:r>
          <w:rPr>
            <w:color w:val="1155CC"/>
            <w:u w:val="single"/>
          </w:rPr>
          <w:t>具有硫酸基团介导的聚碘化物排斥作用的藻类水凝胶电解质可实现稳定的碘化学</w:t>
        </w:r>
      </w:hyperlink>
    </w:p>
    <w:p>
      <w:pPr>
        <w:spacing w:before="0" w:after="80"/>
      </w:pPr>
      <w:r>
        <w:rPr>
          <w:i/>
          <w:sz w:val="20"/>
        </w:rPr>
        <w:t>EN: Algae-inspired hydrogel electrolytes with sulfate-group-mediated polyiodide repulsion for stable iodine chemistry</w:t>
      </w:r>
    </w:p>
    <w:p>
      <w:pPr>
        <w:spacing w:before="0" w:after="120"/>
      </w:pPr>
      <w:r>
        <w:rPr>
          <w:b/>
        </w:rPr>
        <w:t xml:space="preserve">Source: </w:t>
      </w:r>
      <w:r>
        <w:t>RSC - Energy Environ. Sci. latest articles</w:t>
      </w:r>
      <w:r>
        <w:t xml:space="preserve">    </w:t>
      </w:r>
      <w:r>
        <w:rPr>
          <w:b/>
        </w:rPr>
        <w:t xml:space="preserve">Pub date: </w:t>
      </w:r>
      <w:r>
        <w:t>2026-06-29 23:00:00+00:00</w:t>
      </w:r>
    </w:p>
    <w:p>
      <w:pPr>
        <w:spacing w:before="0" w:after="120"/>
      </w:pPr>
      <w:r>
        <w:rPr>
          <w:b/>
        </w:rPr>
        <w:t xml:space="preserve">Notes: </w:t>
      </w:r>
      <w:r>
        <w:t>abstract_source=rsc_html</w:t>
      </w:r>
    </w:p>
    <w:p>
      <w:pPr>
        <w:spacing w:before="0" w:after="80" w:lineRule="auto" w:line="276"/>
      </w:pPr>
      <w:r>
        <w:rPr>
          <w:b/>
        </w:rPr>
        <w:t xml:space="preserve">摘要（ZH）: </w:t>
      </w:r>
      <w:r>
        <w:t>水系锌碘电池对于大规模储能具有吸引力，但其实际应用受到锌枝晶生长、界面副反应和多碘化物穿梭的阻碍。受海洋褐藻的碘调节能力的启发，我们通过将硫酸多糖岩藻依聚糖（FUC）掺入聚（N-羟乙基丙烯酰胺）（PHEAA）网络中，开发了一种多功能水凝胶电解质。与传统的吸附为主的策略相比，FUC 中丰富的硫酸基团建立了静电排斥势垒，将聚碘化物限制在阴极/电解质界面，从而从源头减轻穿梭效应。同时，PHEAA 中的酰胺基团能够进一步捕获逃逸的聚碘化物，形成协同的“排斥-吸附”机制。此外，硫酸盐基团有助于重建Zn2+溶剂化结构，均匀化Zn2+通量，减弱水引起的寄生反应，从而稳定Zn负极。受益于界面稳定性和离子传输，优化的电解质使 Zn||Zn 电池能够维持运行 4500 小时，而 Zn||I2 全电池能够在 2.0 A g-1 下进行 40,000 次循环。值得注意的是，软包电池在 3500 次循环后仍保留 93.5% 的容量，展示了在苛刻条件下的实际潜力。这项工作强调了硫酸盐基团介导的双界面调节策略，用于构建稳定的水性电池的生物源水凝胶电解质。</w:t>
      </w:r>
    </w:p>
    <w:p>
      <w:pPr>
        <w:spacing w:before="0" w:after="200" w:lineRule="auto" w:line="276"/>
      </w:pPr>
      <w:r>
        <w:rPr>
          <w:b/>
        </w:rPr>
        <w:t xml:space="preserve">Abstract (EN): </w:t>
      </w:r>
      <w:r>
        <w:t>Aqueous zinc–iodine batteries are appealing for large-scale energy storage, yet their practical application is hindered by Zn dendrite growth, interfacial side reaction, and polyiodide shuttle. Inspired by the iodine-regulation capability of marine brown algae, we herein develop a versatile hydrogel electrolyte by incorporating fucoidan (FUC), a sulfated polysaccharide, into a poly (N-hydroxyethyl acrylamide) (PHEAA) network. In contrast to conventional adsorption-dominated tactics, the abundant sulfate groups in FUC establish an electrostatic repulsion barrier to confine polyiodides at the cathode/electrolyte interface, hence mitigating the shuttle effect from the source. Meanwhile, the amide groups in PHEAA manage to further capture escaped polyiodides, rendering a synergistic “repulsion–adsorption” mechanism. In addition, sulfate groups help reconstruct Zn2+ solvation structure, homogenize Zn2+ flux, and weaken water-induced parasitic reactions, thereby stabilizing the Zn anode. Benefiting from the interfacial stability and ion transport, the optimized electrolyte enables Zn||Zn cells to maintain operations for 4500 h and Zn||I2 full cells to deliver 40,000 cycles at 2.0 A g-1. Notably, pouch cells retain 93.5% capacity after 3500 cycles, demonstrating practical potential under demanding conditions. This work highlights a sulfate-group-mediated dual-interfacial regulation strategy for constructing bio-derived hydrogel electrolytes toward stable aqueous batteries.</w:t>
      </w:r>
    </w:p>
    <w:p>
      <w:pPr>
        <w:spacing w:before="120" w:after="120"/>
      </w:pPr>
      <w:r>
        <w:rPr>
          <w:sz w:val="18"/>
        </w:rPr>
        <w:t>——————————————————————————————————————————————————————————————————————</w:t>
      </w:r>
    </w:p>
    <w:p>
      <w:pPr>
        <w:spacing w:before="160" w:after="40" w:line="240" w:lineRule="auto"/>
      </w:pPr>
      <w:r>
        <w:rPr>
          <w:b/>
        </w:rPr>
        <w:t xml:space="preserve">[5] </w:t>
      </w:r>
      <w:hyperlink r:id="rId34">
        <w:r>
          <w:rPr>
            <w:color w:val="1155CC"/>
            <w:u w:val="single"/>
          </w:rPr>
          <w:t>协调高能全固态锂硫电池中的三相边界和弯曲度</w:t>
        </w:r>
      </w:hyperlink>
    </w:p>
    <w:p>
      <w:pPr>
        <w:spacing w:before="0" w:after="80"/>
      </w:pPr>
      <w:r>
        <w:rPr>
          <w:i/>
          <w:sz w:val="20"/>
        </w:rPr>
        <w:t>EN: Reconciling triple-phase boundaries and tortuosity in high-energy all-solid-state lithium-sulfur batteries</w:t>
      </w:r>
    </w:p>
    <w:p>
      <w:pPr>
        <w:spacing w:before="0" w:after="120"/>
      </w:pPr>
      <w:r>
        <w:rPr>
          <w:b/>
        </w:rPr>
        <w:t xml:space="preserve">Source: </w:t>
      </w:r>
      <w:r>
        <w:t>Joule</w:t>
      </w:r>
      <w:r>
        <w:t xml:space="preserve">    </w:t>
      </w:r>
      <w:r>
        <w:rPr>
          <w:b/>
        </w:rPr>
        <w:t xml:space="preserve">Pub date: </w:t>
      </w:r>
      <w:r>
        <w:t>2026-06-30 00:00:00+00:00</w:t>
      </w:r>
      <w:r>
        <w:t xml:space="preserve">    </w:t>
      </w:r>
      <w:r>
        <w:rPr>
          <w:b/>
        </w:rPr>
        <w:t xml:space="preserve">DOI: </w:t>
      </w:r>
      <w:hyperlink r:id="rId35">
        <w:r>
          <w:rPr>
            <w:color w:val="1155CC"/>
            <w:u w:val="single"/>
          </w:rPr>
          <w:t>10.1016/j.joule.2026.102541</w:t>
        </w:r>
      </w:hyperlink>
    </w:p>
    <w:p>
      <w:pPr>
        <w:spacing w:before="0" w:after="120"/>
      </w:pPr>
      <w:r>
        <w:rPr>
          <w:b/>
        </w:rPr>
        <w:t xml:space="preserve">Notes: </w:t>
      </w:r>
      <w:r>
        <w:t>abstract_source=rss_cell</w:t>
      </w:r>
    </w:p>
    <w:p>
      <w:pPr>
        <w:spacing w:before="0" w:after="80" w:lineRule="auto" w:line="276"/>
      </w:pPr>
      <w:r>
        <w:rPr>
          <w:b/>
        </w:rPr>
        <w:t xml:space="preserve">摘要（ZH）: </w:t>
      </w:r>
      <w:r>
        <w:t>这项研究阐明了全固态锂硫电池的设计原理：微小的孔隙决定硫的反应方式，而较大的碳颗粒则引导离子流。将这些长度尺度结合在一个主体中，为阴极提供了所需的反应性和传输性，从而实现了高硫利用率和持久循环。这种方法为推进下一代全固态锂硫电池提供了一种实用的方法。</w:t>
      </w:r>
    </w:p>
    <w:p>
      <w:pPr>
        <w:spacing w:before="0" w:after="200" w:lineRule="auto" w:line="276"/>
      </w:pPr>
      <w:r>
        <w:rPr>
          <w:b/>
        </w:rPr>
        <w:t xml:space="preserve">Abstract (EN): </w:t>
      </w:r>
      <w:r>
        <w:t>This study clarifies an all-solid-state lithium-sulfur battery design principle: tiny pores shape how sulfur reacts, while larger carbon particles guide ion flow. Uniting these length scales in one host gives the cathode both the reactivity and transport it needs, enabling high sulfur utilization and durable cycling. This approach offers a practical way to advance next-generation all-solid-state lithium-sulfur batteries.</w:t>
      </w:r>
    </w:p>
    <w:p>
      <w:pPr>
        <w:spacing w:before="120" w:after="120"/>
      </w:pPr>
      <w:r>
        <w:rPr>
          <w:sz w:val="18"/>
        </w:rPr>
        <w:t>——————————————————————————————————————————————————————————————————————</w:t>
      </w:r>
    </w:p>
    <w:p>
      <w:pPr>
        <w:spacing w:before="160" w:after="40" w:line="240" w:lineRule="auto"/>
      </w:pPr>
      <w:r>
        <w:rPr>
          <w:b/>
        </w:rPr>
        <w:t xml:space="preserve">[6] </w:t>
      </w:r>
      <w:hyperlink r:id="rId36">
        <w:r>
          <w:rPr>
            <w:color w:val="1155CC"/>
            <w:u w:val="single"/>
          </w:rPr>
          <w:t>自适应离子筛：灵活的氢键有机框架消除了锌离子去溶剂化和传质之间的权衡</w:t>
        </w:r>
      </w:hyperlink>
    </w:p>
    <w:p>
      <w:pPr>
        <w:spacing w:before="0" w:after="80"/>
      </w:pPr>
      <w:r>
        <w:rPr>
          <w:i/>
          <w:sz w:val="20"/>
        </w:rPr>
        <w:t>EN: An Adaptive Ionic Sieve: Flexible Hydrogen‐Bonded Organic Frameworks Decouple the Trade‐Off Between Zn Ions Desolvation and Mass Transfer</w:t>
      </w:r>
    </w:p>
    <w:p>
      <w:pPr>
        <w:spacing w:before="0" w:after="120"/>
      </w:pPr>
      <w:r>
        <w:rPr>
          <w:b/>
        </w:rPr>
        <w:t xml:space="preserve">Source: </w:t>
      </w:r>
      <w:r>
        <w:t>Wiley: Angewandte Chemie International Edition: Table of Contents</w:t>
      </w:r>
      <w:r>
        <w:t xml:space="preserve">    </w:t>
      </w:r>
      <w:r>
        <w:rPr>
          <w:b/>
        </w:rPr>
        <w:t xml:space="preserve">Pub date: </w:t>
      </w:r>
      <w:r>
        <w:t>2026-06-30 07:37:54+00:00</w:t>
      </w:r>
      <w:r>
        <w:t xml:space="preserve">    </w:t>
      </w:r>
      <w:r>
        <w:rPr>
          <w:b/>
        </w:rPr>
        <w:t xml:space="preserve">DOI: </w:t>
      </w:r>
      <w:hyperlink r:id="rId37">
        <w:r>
          <w:rPr>
            <w:color w:val="1155CC"/>
            <w:u w:val="single"/>
          </w:rPr>
          <w:t>10.1002/anie.7428603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效的离子去溶剂化和快速的质量传输对于稳定水性锌离子电池中的锌阳极至关重要，但往往是相互竞争的要求。出现这种困境是因为离子去溶剂化引入了额外的能量势垒，增加了离子扩散阻力。为了协调这种固有的权衡，基于氢键的有机框架（HOF）</w:t>
      </w:r>
      <w:r>
        <w:t xml:space="preserve"> </w:t>
      </w:r>
      <w:r>
        <w:t>C</w:t>
      </w:r>
      <w:r>
        <w:rPr>
          <w:vertAlign w:val="subscript"/>
        </w:rPr>
        <w:t>3</w:t>
      </w:r>
      <w:r>
        <w:t>对称三角羧基配体被设计为离子筛分界面。该设计将精确的孔径控制与定制的化学环境相结合，以调节锌</w:t>
      </w:r>
      <w:r>
        <w:t xml:space="preserve"> </w:t>
      </w:r>
      <w:r>
        <w:t>2+</w:t>
      </w:r>
      <w:r>
        <w:t xml:space="preserve"> </w:t>
      </w:r>
      <w:r>
        <w:t>去溶剂化行为。正如预期的那样，采用缺电子三嗪核心（HOF-TAT）的柔性 HOF 动态剥离溶剂化水分子，同时保持连续的离子通量。该过程形成了梯度固体电解质界面，与自适应多孔框架协同作用，引导致密（101）取向的锌沉积。 HOF-TAT@Zn 对称电池在 5 mA cm 下稳定循环超过 3400 小时</w:t>
      </w:r>
      <w:r>
        <w:t xml:space="preserve"> </w:t>
      </w:r>
      <w:r>
        <w:t>−2</w:t>
      </w:r>
      <w:r>
        <w:t xml:space="preserve"> </w:t>
      </w:r>
      <w:r>
        <w:t>。此外，亲碘多孔框架通过强物理化学相互作用固定穿梭的聚碘化物。当与超薄锌阳极（10 µm）集成时，锌碘电池可提供高倍率容量（142.2 mAh g</w:t>
      </w:r>
      <w:r>
        <w:t xml:space="preserve"> </w:t>
      </w:r>
      <w:r>
        <w:t>−1</w:t>
      </w:r>
      <w:r>
        <w:t xml:space="preserve"> </w:t>
      </w:r>
      <w:r>
        <w:t>5 A g</w:t>
      </w:r>
      <w:r>
        <w:t xml:space="preserve"> </w:t>
      </w:r>
      <w:r>
        <w:t>−1</w:t>
      </w:r>
      <w:r>
        <w:t xml:space="preserve"> </w:t>
      </w:r>
      <w:r>
        <w:t>）和长期使用寿命（50 000 次循环）。这项工作提供了一个明智的策略来同意</w:t>
      </w:r>
    </w:p>
    <w:p>
      <w:pPr>
        <w:spacing w:before="0" w:after="200" w:lineRule="auto" w:line="276"/>
      </w:pPr>
      <w:r>
        <w:rPr>
          <w:b/>
        </w:rPr>
        <w:t xml:space="preserve">Abstract (EN): </w:t>
      </w:r>
      <w:r>
        <w:t>Efficient ion desolvation and rapid mass transport are crucial yet often competing requirements for stabilizing Zn anodes in aqueous Zn‐ion batteries. This dilemma arises because ion desolvation introduces additional energy barriers that increase ion diffusion resistance. To reconcile this inherent trade‐off, a hydrogen‐bonded organic framework (HOF) based on</w:t>
      </w:r>
      <w:r>
        <w:t xml:space="preserve"> </w:t>
      </w:r>
      <w:r>
        <w:t>C</w:t>
      </w:r>
      <w:r>
        <w:rPr>
          <w:vertAlign w:val="subscript"/>
        </w:rPr>
        <w:t>3</w:t>
      </w:r>
      <w:r>
        <w:t>‑symmetric trigonal carboxyl ligands is engineered as an ion‐sieving interface. This design integrates precise pore size control with tailored chemical environment to regulate Zn</w:t>
      </w:r>
      <w:r>
        <w:t xml:space="preserve"> </w:t>
      </w:r>
      <w:r>
        <w:t>2+</w:t>
      </w:r>
      <w:r>
        <w:t xml:space="preserve"> </w:t>
      </w:r>
      <w:r>
        <w:t>desolvation behavior. As expected, the flexible HOF incorporating an electron‐deficient triazine core (HOF‐TAT) dynamically strips solvated water molecules while maintaining continuous ion flux. This process fosters a gradient solid electrolyte interphase that synergizes with the self‐adaptive porous framework to guide dense (101)‐oriented Zn deposition. The HOF‐TAT@Zn symmetric cells stably cycle exceeding 3400 h at 5 mA cm</w:t>
      </w:r>
      <w:r>
        <w:t xml:space="preserve"> </w:t>
      </w:r>
      <w:r>
        <w:t>−2</w:t>
      </w:r>
      <w:r>
        <w:t xml:space="preserve"> </w:t>
      </w:r>
      <w:r>
        <w:t>. Furthermore, the iodophilic porous framework immobilizes shuttling polyiodides through strong physicochemical interactions. When integrated with an ultrathin Zn anode (10 µm), the Zn‐iodine batteries deliver a high‐rate capacity (142.2 mAh g</w:t>
      </w:r>
      <w:r>
        <w:t xml:space="preserve"> </w:t>
      </w:r>
      <w:r>
        <w:t>−1</w:t>
      </w:r>
      <w:r>
        <w:t xml:space="preserve"> </w:t>
      </w:r>
      <w:r>
        <w:t>at 5 A g</w:t>
      </w:r>
      <w:r>
        <w:t xml:space="preserve"> </w:t>
      </w:r>
      <w:r>
        <w:t>−1</w:t>
      </w:r>
      <w:r>
        <w:t xml:space="preserve"> </w:t>
      </w:r>
      <w:r>
        <w:t>) and long‐term lifetime (50 000 cycles). This work offers an intelligent strategy to concurrently overcome the high energy barriers of ion desolvation and the kinetic limitations of ion transport for building advanced electrochemical devices.</w:t>
      </w:r>
    </w:p>
    <w:p>
      <w:pPr>
        <w:spacing w:before="120" w:after="120"/>
      </w:pPr>
      <w:r>
        <w:rPr>
          <w:sz w:val="18"/>
        </w:rPr>
        <w:t>——————————————————————————————————————————————————————————————————————</w:t>
      </w:r>
    </w:p>
    <w:p>
      <w:pPr>
        <w:spacing w:before="160" w:after="40" w:line="240" w:lineRule="auto"/>
      </w:pPr>
      <w:r>
        <w:rPr>
          <w:b/>
        </w:rPr>
        <w:t xml:space="preserve">[7] </w:t>
      </w:r>
      <w:hyperlink r:id="rId38">
        <w:r>
          <w:rPr>
            <w:color w:val="1155CC"/>
            <w:u w:val="single"/>
          </w:rPr>
          <w:t>氧桥诱导的自旋态工程实现了锂硫电池中的无溶剂化势垒硫氧化还原动力学</w:t>
        </w:r>
      </w:hyperlink>
    </w:p>
    <w:p>
      <w:pPr>
        <w:spacing w:before="0" w:after="80"/>
      </w:pPr>
      <w:r>
        <w:rPr>
          <w:i/>
          <w:sz w:val="20"/>
        </w:rPr>
        <w:t>EN: Oxygen Bridge‐Induced Spin‐State Engineering Enables Solvation‐Barrier‐Free Sulfur Redox Kinetics in Lithium‐Sulfur Batteries</w:t>
      </w:r>
    </w:p>
    <w:p>
      <w:pPr>
        <w:spacing w:before="0" w:after="120"/>
      </w:pPr>
      <w:r>
        <w:rPr>
          <w:b/>
        </w:rPr>
        <w:t xml:space="preserve">Source: </w:t>
      </w:r>
      <w:r>
        <w:t>Wiley: Angewandte Chemie International Edition: Table of Contents</w:t>
      </w:r>
      <w:r>
        <w:t xml:space="preserve">    </w:t>
      </w:r>
      <w:r>
        <w:rPr>
          <w:b/>
        </w:rPr>
        <w:t xml:space="preserve">Pub date: </w:t>
      </w:r>
      <w:r>
        <w:t>2026-06-30 07:43:25+00:00</w:t>
      </w:r>
      <w:r>
        <w:t xml:space="preserve">    </w:t>
      </w:r>
      <w:r>
        <w:rPr>
          <w:b/>
        </w:rPr>
        <w:t xml:space="preserve">DOI: </w:t>
      </w:r>
      <w:hyperlink r:id="rId39">
        <w:r>
          <w:rPr>
            <w:color w:val="1155CC"/>
            <w:u w:val="single"/>
          </w:rPr>
          <w:t>10.1002/anie.4944842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硫（Li-S）电池对于下一代储能很有吸引力，但实际部署受到多硫化锂（LiPS）穿梭效应和缓慢的硫氧化还原动力学的阻碍，而溶剂屏蔽阻止LiPS进入催化位点又进一步加剧了这种情况。在这里，我们开发了一种蛋黄壳 MoO</w:t>
      </w:r>
      <w:r>
        <w:rPr>
          <w:vertAlign w:val="subscript"/>
        </w:rPr>
        <w:t>3</w:t>
      </w:r>
      <w:r>
        <w:t>/钴</w:t>
      </w:r>
      <w:r>
        <w:rPr>
          <w:vertAlign w:val="subscript"/>
        </w:rPr>
        <w:t>3</w:t>
      </w:r>
      <w:r>
        <w:t>氧</w:t>
      </w:r>
      <w:r>
        <w:rPr>
          <w:vertAlign w:val="subscript"/>
        </w:rPr>
        <w:t>4</w:t>
      </w:r>
      <w:r>
        <w:t>@C纳米反应器利用氧桥引起的轨道振荡打破溶剂化势垒并加速界面转化。我们发现 Mo-O-Co 氧桥的动态振动促进了通过 4 的定向电子流</w:t>
      </w:r>
      <w:r>
        <w:t xml:space="preserve"> </w:t>
      </w:r>
      <w:r>
        <w:t>d</w:t>
      </w:r>
      <w:r>
        <w:t xml:space="preserve"> </w:t>
      </w:r>
      <w:r>
        <w:t>‐2</w:t>
      </w:r>
      <w:r>
        <w:t xml:space="preserve"> </w:t>
      </w:r>
      <w:r>
        <w:t>p</w:t>
      </w:r>
      <w:r>
        <w:t xml:space="preserve"> </w:t>
      </w:r>
      <w:r>
        <w:t>‐3</w:t>
      </w:r>
      <w:r>
        <w:t xml:space="preserve"> </w:t>
      </w:r>
      <w:r>
        <w:t>d</w:t>
      </w:r>
      <w:r>
        <w:t xml:space="preserve"> </w:t>
      </w:r>
      <w:r>
        <w:t>轨道相互作用途径，从根本上触发Co中心的低自旋到高自旋转变，加强</w:t>
      </w:r>
      <w:r>
        <w:t xml:space="preserve"> </w:t>
      </w:r>
      <w:r>
        <w:t>d</w:t>
      </w:r>
      <w:r>
        <w:t xml:space="preserve"> </w:t>
      </w:r>
      <w:r>
        <w:t>‐</w:t>
      </w:r>
      <w:r>
        <w:t xml:space="preserve"> </w:t>
      </w:r>
      <w:r>
        <w:t>p</w:t>
      </w:r>
      <w:r>
        <w:t xml:space="preserve"> </w:t>
      </w:r>
      <w:r>
        <w:t>轨道杂交并实现 LiPS 的强大化学吸附/催化作用。同时，溶剂化结构从溶剂分离离子对（SSIP）到接触离子对（CIP）/聚集体（AGG）的调节降低了Li</w:t>
      </w:r>
      <w:r>
        <w:t xml:space="preserve"> </w:t>
      </w:r>
      <w:r>
        <w:t>+</w:t>
      </w:r>
      <w:r>
        <w:t xml:space="preserve"> </w:t>
      </w:r>
      <w:r>
        <w:t>去溶剂化能垒并使离子通量均匀化。协同作用，双壳结构限制了可溶性中间体并抑制向外扩散。因此，Li-S 电池可提供 352 mAh g</w:t>
      </w:r>
    </w:p>
    <w:p>
      <w:pPr>
        <w:spacing w:before="0" w:after="200" w:lineRule="auto" w:line="276"/>
      </w:pPr>
      <w:r>
        <w:rPr>
          <w:b/>
        </w:rPr>
        <w:t xml:space="preserve">Abstract (EN): </w:t>
      </w:r>
      <w:r>
        <w:t>Lithium‐sulfur (Li‐S) batteries are attractive for next‐generation energy storage, yet practical deployment is impeded by the lithium polysulfides (LiPSs) shuttle effect and sluggish sulfur redox kinetics, which are further aggravated by solvent shielding that blocks LiPSs from accessing catalytic sites. Here, we develop a yolk‐shell MoO</w:t>
      </w:r>
      <w:r>
        <w:rPr>
          <w:vertAlign w:val="subscript"/>
        </w:rPr>
        <w:t>3</w:t>
      </w:r>
      <w:r>
        <w:t>/Co</w:t>
      </w:r>
      <w:r>
        <w:rPr>
          <w:vertAlign w:val="subscript"/>
        </w:rPr>
        <w:t>3</w:t>
      </w:r>
      <w:r>
        <w:t>O</w:t>
      </w:r>
      <w:r>
        <w:rPr>
          <w:vertAlign w:val="subscript"/>
        </w:rPr>
        <w:t>4</w:t>
      </w:r>
      <w:r>
        <w:t>@C nanoreactor that leverages oxygen bridge‐induced orbital oscillation to break the solvation barrier and accelerate interfacial conversion. We identify that the dynamic vibration of Mo‐O‐Co oxygen bridges facilitates a directional electron flow via a 4</w:t>
      </w:r>
      <w:r>
        <w:t xml:space="preserve"> </w:t>
      </w:r>
      <w:r>
        <w:t>d</w:t>
      </w:r>
      <w:r>
        <w:t xml:space="preserve"> </w:t>
      </w:r>
      <w:r>
        <w:t>‐2</w:t>
      </w:r>
      <w:r>
        <w:t xml:space="preserve"> </w:t>
      </w:r>
      <w:r>
        <w:t>p</w:t>
      </w:r>
      <w:r>
        <w:t xml:space="preserve"> </w:t>
      </w:r>
      <w:r>
        <w:t>‐3</w:t>
      </w:r>
      <w:r>
        <w:t xml:space="preserve"> </w:t>
      </w:r>
      <w:r>
        <w:t>d</w:t>
      </w:r>
      <w:r>
        <w:t xml:space="preserve"> </w:t>
      </w:r>
      <w:r>
        <w:t>orbital interaction pathway, which fundamentally triggers a low‐spin to high‐spin transition of Co centers, strengthening</w:t>
      </w:r>
      <w:r>
        <w:t xml:space="preserve"> </w:t>
      </w:r>
      <w:r>
        <w:t>d</w:t>
      </w:r>
      <w:r>
        <w:t xml:space="preserve"> </w:t>
      </w:r>
      <w:r>
        <w:t>‐</w:t>
      </w:r>
      <w:r>
        <w:t xml:space="preserve"> </w:t>
      </w:r>
      <w:r>
        <w:t>p</w:t>
      </w:r>
      <w:r>
        <w:t xml:space="preserve"> </w:t>
      </w:r>
      <w:r>
        <w:t>orbital hybridization and enabling robust chemisorption/catalysis of LiPSs. Meanwhile, the modulation of solvation structure from solvent‐separated ion pairs (SSIPs) to contact ion pairs (CIPs)/aggregates (AGGs) lowers the Li</w:t>
      </w:r>
      <w:r>
        <w:t xml:space="preserve"> </w:t>
      </w:r>
      <w:r>
        <w:t>+</w:t>
      </w:r>
      <w:r>
        <w:t xml:space="preserve"> </w:t>
      </w:r>
      <w:r>
        <w:t>desolvation energy barrier and homogenizes the ion flux. Synergistically, the double‐shelled architecture confines soluble intermediates and suppresses outward diffusion. Consequently, Li‐S batteries deliver 352 mAh g</w:t>
      </w:r>
      <w:r>
        <w:t xml:space="preserve"> </w:t>
      </w:r>
      <w:r>
        <w:t>−1</w:t>
      </w:r>
      <w:r>
        <w:t xml:space="preserve"> </w:t>
      </w:r>
      <w:r>
        <w:t>at an ultrahigh rate of 15 C, and an initial areal capacity of 11.95 mAh cm</w:t>
      </w:r>
      <w:r>
        <w:t xml:space="preserve"> </w:t>
      </w:r>
      <w:r>
        <w:t>−2</w:t>
      </w:r>
      <w:r>
        <w:t xml:space="preserve"> </w:t>
      </w:r>
      <w:r>
        <w:t>is achieved at an ultrahigh sulfur loading of 13.03 mg cm</w:t>
      </w:r>
      <w:r>
        <w:t xml:space="preserve"> </w:t>
      </w:r>
      <w:r>
        <w:t>−2</w:t>
      </w:r>
      <w:r>
        <w:t xml:space="preserve"> </w:t>
      </w:r>
      <w:r>
        <w:t>. This work proposes a strategy of oxygen‐bridge‐induced high‐spin state to realize desolvation and mass‐transfer reaction of LiPSs within interface catalytic domain.</w:t>
      </w:r>
    </w:p>
    <w:p>
      <w:pPr>
        <w:spacing w:before="120" w:after="120"/>
      </w:pPr>
      <w:r>
        <w:rPr>
          <w:sz w:val="18"/>
        </w:rPr>
        <w:t>——————————————————————————————————————————————————————————————————————</w:t>
      </w:r>
    </w:p>
    <w:p>
      <w:pPr>
        <w:spacing w:before="160" w:after="40" w:line="240" w:lineRule="auto"/>
      </w:pPr>
      <w:r>
        <w:rPr>
          <w:b/>
        </w:rPr>
        <w:t xml:space="preserve">[8] </w:t>
      </w:r>
      <w:hyperlink r:id="rId40">
        <w:r>
          <w:rPr>
            <w:color w:val="1155CC"/>
            <w:u w:val="single"/>
          </w:rPr>
          <w:t>串联催化克服了钠硫电池中决定速率的硫转化级联</w:t>
        </w:r>
      </w:hyperlink>
    </w:p>
    <w:p>
      <w:pPr>
        <w:spacing w:before="0" w:after="80"/>
      </w:pPr>
      <w:r>
        <w:rPr>
          <w:i/>
          <w:sz w:val="20"/>
        </w:rPr>
        <w:t>EN: Tandem Catalysis Overcomes the Rate‐Determining Sulfur Conversion Cascade in Na─S Batteries</w:t>
      </w:r>
    </w:p>
    <w:p>
      <w:pPr>
        <w:spacing w:before="0" w:after="120"/>
      </w:pPr>
      <w:r>
        <w:rPr>
          <w:b/>
        </w:rPr>
        <w:t xml:space="preserve">Source: </w:t>
      </w:r>
      <w:r>
        <w:t>Wiley: Angewandte Chemie International Edition: Table of Contents</w:t>
      </w:r>
      <w:r>
        <w:t xml:space="preserve">    </w:t>
      </w:r>
      <w:r>
        <w:rPr>
          <w:b/>
        </w:rPr>
        <w:t xml:space="preserve">Pub date: </w:t>
      </w:r>
      <w:r>
        <w:t>2026-06-30 07:49:53+00:00</w:t>
      </w:r>
      <w:r>
        <w:t xml:space="preserve">    </w:t>
      </w:r>
      <w:r>
        <w:rPr>
          <w:b/>
        </w:rPr>
        <w:t xml:space="preserve">DOI: </w:t>
      </w:r>
      <w:hyperlink r:id="rId41">
        <w:r>
          <w:rPr>
            <w:color w:val="1155CC"/>
            <w:u w:val="single"/>
          </w:rPr>
          <w:t>10.1002/anie.3876577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室温钠硫（RT Na─S）电池具有高理论能量密度和低成本，但其实际性能从根本上受到缓慢的硫氧化还原动力学的限制，特别是后期Na的相互交织的动力学限制</w:t>
      </w:r>
      <w:r>
        <w:rPr>
          <w:vertAlign w:val="subscript"/>
        </w:rPr>
        <w:t>2</w:t>
      </w:r>
      <w:r>
        <w:t>S</w:t>
      </w:r>
      <w:r>
        <w:rPr>
          <w:vertAlign w:val="subscript"/>
        </w:rPr>
        <w:t>4</w:t>
      </w:r>
      <w:r>
        <w:t>→钠</w:t>
      </w:r>
      <w:r>
        <w:rPr>
          <w:vertAlign w:val="subscript"/>
        </w:rPr>
        <w:t>2</w:t>
      </w:r>
      <w:r>
        <w:t>S</w:t>
      </w:r>
      <w:r>
        <w:rPr>
          <w:vertAlign w:val="subscript"/>
        </w:rPr>
        <w:t>2</w:t>
      </w:r>
      <w:r>
        <w:t>→钠</w:t>
      </w:r>
      <w:r>
        <w:rPr>
          <w:vertAlign w:val="subscript"/>
        </w:rPr>
        <w:t>2</w:t>
      </w:r>
      <w:r>
        <w:t>S 转换。在这里，我们提出了一种整合原子分散的 Fe-N 的逐步靶向串联催化策略</w:t>
      </w:r>
      <w:r>
        <w:rPr>
          <w:vertAlign w:val="subscript"/>
        </w:rPr>
        <w:t>4</w:t>
      </w:r>
      <w:r>
        <w:t>具有极性 ZrO 的位点</w:t>
      </w:r>
      <w:r>
        <w:rPr>
          <w:vertAlign w:val="subscript"/>
        </w:rPr>
        <w:t>2</w:t>
      </w:r>
      <w:r>
        <w:t>导电碳主体内的纳米域可精确调节决定速率的硫转化级联。密度泛函理论揭示了一步特异性催化序列，其中 Fe-N</w:t>
      </w:r>
      <w:r>
        <w:rPr>
          <w:vertAlign w:val="subscript"/>
        </w:rPr>
        <w:t>4</w:t>
      </w:r>
      <w:r>
        <w:t>优先降低Na的活化势垒</w:t>
      </w:r>
      <w:r>
        <w:rPr>
          <w:vertAlign w:val="subscript"/>
        </w:rPr>
        <w:t>2</w:t>
      </w:r>
      <w:r>
        <w:t>S</w:t>
      </w:r>
      <w:r>
        <w:rPr>
          <w:vertAlign w:val="subscript"/>
        </w:rPr>
        <w:t>4</w:t>
      </w:r>
      <w:r>
        <w:t>→钠</w:t>
      </w:r>
      <w:r>
        <w:rPr>
          <w:vertAlign w:val="subscript"/>
        </w:rPr>
        <w:t>2</w:t>
      </w:r>
      <w:r>
        <w:t>S</w:t>
      </w:r>
      <w:r>
        <w:rPr>
          <w:vertAlign w:val="subscript"/>
        </w:rPr>
        <w:t>2</w:t>
      </w:r>
      <w:r>
        <w:t>转化率，而ZrO</w:t>
      </w:r>
      <w:r>
        <w:rPr>
          <w:vertAlign w:val="subscript"/>
        </w:rPr>
        <w:t>2</w:t>
      </w:r>
      <w:r>
        <w:t>热力学驱动随后的Na</w:t>
      </w:r>
      <w:r>
        <w:rPr>
          <w:vertAlign w:val="subscript"/>
        </w:rPr>
        <w:t>2</w:t>
      </w:r>
      <w:r>
        <w:t>S</w:t>
      </w:r>
      <w:r>
        <w:rPr>
          <w:vertAlign w:val="subscript"/>
        </w:rPr>
        <w:t>2</w:t>
      </w:r>
      <w:r>
        <w:t>→钠</w:t>
      </w:r>
      <w:r>
        <w:rPr>
          <w:vertAlign w:val="subscript"/>
        </w:rPr>
        <w:t>2</w:t>
      </w:r>
      <w:r>
        <w:t>S步。它们的电子耦合创造了一个连续的活化景观，加速了整个固固反应级联。实验</w:t>
      </w:r>
    </w:p>
    <w:p>
      <w:pPr>
        <w:spacing w:before="0" w:after="200" w:lineRule="auto" w:line="276"/>
      </w:pPr>
      <w:r>
        <w:rPr>
          <w:b/>
        </w:rPr>
        <w:t xml:space="preserve">Abstract (EN): </w:t>
      </w:r>
      <w:r>
        <w:t>Room‐temperature sodium–sulfur (RT Na─S) batteries offer high theoretical energy density and low cost, yet their practical performance is fundamentally limited by sluggish sulfur redox kinetics, particularly the intertwined kinetic limitations of late‐stage Na</w:t>
      </w:r>
      <w:r>
        <w:rPr>
          <w:vertAlign w:val="subscript"/>
        </w:rPr>
        <w:t>2</w:t>
      </w:r>
      <w:r>
        <w:t>S</w:t>
      </w:r>
      <w:r>
        <w:rPr>
          <w:vertAlign w:val="subscript"/>
        </w:rPr>
        <w:t>4</w:t>
      </w:r>
      <w:r>
        <w:t>→Na</w:t>
      </w:r>
      <w:r>
        <w:rPr>
          <w:vertAlign w:val="subscript"/>
        </w:rPr>
        <w:t>2</w:t>
      </w:r>
      <w:r>
        <w:t>S</w:t>
      </w:r>
      <w:r>
        <w:rPr>
          <w:vertAlign w:val="subscript"/>
        </w:rPr>
        <w:t>2</w:t>
      </w:r>
      <w:r>
        <w:t>→Na</w:t>
      </w:r>
      <w:r>
        <w:rPr>
          <w:vertAlign w:val="subscript"/>
        </w:rPr>
        <w:t>2</w:t>
      </w:r>
      <w:r>
        <w:t>S conversions. Here, we propose a step‐targeted tandem catalysis strategy that integrates atomically dispersed Fe‐N</w:t>
      </w:r>
      <w:r>
        <w:rPr>
          <w:vertAlign w:val="subscript"/>
        </w:rPr>
        <w:t>4</w:t>
      </w:r>
      <w:r>
        <w:t>sites with polar ZrO</w:t>
      </w:r>
      <w:r>
        <w:rPr>
          <w:vertAlign w:val="subscript"/>
        </w:rPr>
        <w:t>2</w:t>
      </w:r>
      <w:r>
        <w:t>nanodomains within a conductive carbon host to precisely regulate the rate‐determining sulfur conversion cascade. Density functional theory reveals a step‐specific catalytic sequence, in which Fe‐N</w:t>
      </w:r>
      <w:r>
        <w:rPr>
          <w:vertAlign w:val="subscript"/>
        </w:rPr>
        <w:t>4</w:t>
      </w:r>
      <w:r>
        <w:t>preferentially lowers the activation barrier for Na</w:t>
      </w:r>
      <w:r>
        <w:rPr>
          <w:vertAlign w:val="subscript"/>
        </w:rPr>
        <w:t>2</w:t>
      </w:r>
      <w:r>
        <w:t>S</w:t>
      </w:r>
      <w:r>
        <w:rPr>
          <w:vertAlign w:val="subscript"/>
        </w:rPr>
        <w:t>4</w:t>
      </w:r>
      <w:r>
        <w:t>→Na</w:t>
      </w:r>
      <w:r>
        <w:rPr>
          <w:vertAlign w:val="subscript"/>
        </w:rPr>
        <w:t>2</w:t>
      </w:r>
      <w:r>
        <w:t>S</w:t>
      </w:r>
      <w:r>
        <w:rPr>
          <w:vertAlign w:val="subscript"/>
        </w:rPr>
        <w:t>2</w:t>
      </w:r>
      <w:r>
        <w:t>conversion, while ZrO</w:t>
      </w:r>
      <w:r>
        <w:rPr>
          <w:vertAlign w:val="subscript"/>
        </w:rPr>
        <w:t>2</w:t>
      </w:r>
      <w:r>
        <w:t>thermodynamically drives the subsequent Na</w:t>
      </w:r>
      <w:r>
        <w:rPr>
          <w:vertAlign w:val="subscript"/>
        </w:rPr>
        <w:t>2</w:t>
      </w:r>
      <w:r>
        <w:t>S</w:t>
      </w:r>
      <w:r>
        <w:rPr>
          <w:vertAlign w:val="subscript"/>
        </w:rPr>
        <w:t>2</w:t>
      </w:r>
      <w:r>
        <w:t>→Na</w:t>
      </w:r>
      <w:r>
        <w:rPr>
          <w:vertAlign w:val="subscript"/>
        </w:rPr>
        <w:t>2</w:t>
      </w:r>
      <w:r>
        <w:t>S step. Their electronic coupling creates a continuous activation landscape that accelerates the entire solid‐solid reaction cascade. Experimental kinetic analyses corroborate this mechanism, showing reduced polarization, enhanced surface‐controlled kinetics, and mitigated transport limitations. As a result, the tandem‐catalyzed Na─S cathode delivers an initial capacity of 1408 mAh g</w:t>
      </w:r>
      <w:r>
        <w:t xml:space="preserve"> </w:t>
      </w:r>
      <w:r>
        <w:t>−1</w:t>
      </w:r>
      <w:r>
        <w:t xml:space="preserve"> </w:t>
      </w:r>
      <w:r>
        <w:t>, ultralong cycling stability over 10 000 cycles at a high current density of 5 A g</w:t>
      </w:r>
      <w:r>
        <w:t xml:space="preserve"> </w:t>
      </w:r>
      <w:r>
        <w:t>−1</w:t>
      </w:r>
      <w:r>
        <w:t xml:space="preserve"> </w:t>
      </w:r>
      <w:r>
        <w:t>, and robust operation at −20°C. This work establishes tandem catalysis as an effective design paradigm for precisely regulating multistep sulfur conversion reactions in Na─S batteries.</w:t>
      </w:r>
    </w:p>
    <w:p>
      <w:pPr>
        <w:spacing w:before="120" w:after="120"/>
      </w:pPr>
      <w:r>
        <w:rPr>
          <w:sz w:val="18"/>
        </w:rPr>
        <w:t>——————————————————————————————————————————————————————————————————————</w:t>
      </w:r>
    </w:p>
    <w:p>
      <w:pPr>
        <w:spacing w:before="160" w:after="40" w:line="240" w:lineRule="auto"/>
      </w:pPr>
      <w:r>
        <w:rPr>
          <w:b/>
        </w:rPr>
        <w:t xml:space="preserve">[9] </w:t>
      </w:r>
      <w:hyperlink r:id="rId42">
        <w:r>
          <w:rPr>
            <w:color w:val="1155CC"/>
            <w:u w:val="single"/>
          </w:rPr>
          <w:t>全固态电池高熵合金催化剂和硫族阴极之间的 d-p 能级匹配</w:t>
        </w:r>
      </w:hyperlink>
    </w:p>
    <w:p>
      <w:pPr>
        <w:spacing w:before="0" w:after="80"/>
      </w:pPr>
      <w:r>
        <w:rPr>
          <w:i/>
          <w:sz w:val="20"/>
        </w:rPr>
        <w:t>EN: Matching d‐p Energy Levels Between High‐Entropy Alloy Catalysts and Chalcogen Cathodes for All‐Solid‐State Batteries</w:t>
      </w:r>
    </w:p>
    <w:p>
      <w:pPr>
        <w:spacing w:before="0" w:after="120"/>
      </w:pPr>
      <w:r>
        <w:rPr>
          <w:b/>
        </w:rPr>
        <w:t xml:space="preserve">Source: </w:t>
      </w:r>
      <w:r>
        <w:t>Wiley: Advanced Energy Materials: Table of Contents</w:t>
      </w:r>
      <w:r>
        <w:t xml:space="preserve">    </w:t>
      </w:r>
      <w:r>
        <w:rPr>
          <w:b/>
        </w:rPr>
        <w:t xml:space="preserve">Pub date: </w:t>
      </w:r>
      <w:r>
        <w:t>2026-06-30 12:15:48+00:00</w:t>
      </w:r>
      <w:r>
        <w:t xml:space="preserve">    </w:t>
      </w:r>
      <w:r>
        <w:rPr>
          <w:b/>
        </w:rPr>
        <w:t xml:space="preserve">DOI: </w:t>
      </w:r>
      <w:hyperlink r:id="rId43">
        <w:r>
          <w:rPr>
            <w:color w:val="1155CC"/>
            <w:u w:val="single"/>
          </w:rPr>
          <w:t>10.1002/aenm.71232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采用硫族阴极的全固态电池由于其高理论能量密度而成为下一代储能系统的有希望的候选者。然而，它们的实际应用受到缓慢的固态反应动力学的严重阻碍。高熵合金（HEA）催化剂具有丰富的活性位点、多样化的原子环境和强大的电子协同效应，为应对这一挑战提供了令人信服的策略。在此，我们提出一个</w:t>
      </w:r>
      <w:r>
        <w:t xml:space="preserve"> </w:t>
      </w:r>
      <w:r>
        <w:t>d-p</w:t>
      </w:r>
      <w:r>
        <w:t xml:space="preserve"> </w:t>
      </w:r>
      <w:r>
        <w:t>通过调整能量水平匹配策略</w:t>
      </w:r>
      <w:r>
        <w:t xml:space="preserve"> </w:t>
      </w:r>
      <w:r>
        <w:t>d</w:t>
      </w:r>
      <w:r>
        <w:t xml:space="preserve"> </w:t>
      </w:r>
      <w:r>
        <w:t>HEA 催化剂的带</w:t>
      </w:r>
      <w:r>
        <w:t xml:space="preserve"> </w:t>
      </w:r>
      <w:r>
        <w:t>p</w:t>
      </w:r>
      <w:r>
        <w:t xml:space="preserve"> </w:t>
      </w:r>
      <w:r>
        <w:t>硫族阴极的能带可增强催化剂-阴极的电子兼容性并调节固态催化转化反应。理论计算表明，在所研究的 HEA 催化剂（FeCoNiCuX，X = Cr、Mo 和 W）中，FeCoNiCuCr 表现出最小的</w:t>
      </w:r>
      <w:r>
        <w:t xml:space="preserve"> </w:t>
      </w:r>
      <w:r>
        <w:t>d-p</w:t>
      </w:r>
      <w:r>
        <w:t xml:space="preserve"> </w:t>
      </w:r>
      <w:r>
        <w:t>与硫族阴极，特别是硒基硫族化物的能级差距。这种匹配良好的电子结构最大限度地提高了界面电荷转移，并有效加速了固-固转换动力学。因此，优化的 Se 基电极具有 657 mAh g 的高度稳定可逆容量</w:t>
      </w:r>
      <w:r>
        <w:t xml:space="preserve"> </w:t>
      </w:r>
      <w:r>
        <w:t>−1</w:t>
      </w:r>
      <w:r>
        <w:t xml:space="preserve"> </w:t>
      </w:r>
      <w:r>
        <w:t>2C 下 1800 次循环后。这项工作阐明了能级匹配催化剂对全固态硫族电池的关键催化作用</w:t>
      </w:r>
    </w:p>
    <w:p>
      <w:pPr>
        <w:spacing w:before="0" w:after="200" w:lineRule="auto" w:line="276"/>
      </w:pPr>
      <w:r>
        <w:rPr>
          <w:b/>
        </w:rPr>
        <w:t xml:space="preserve">Abstract (EN): </w:t>
      </w:r>
      <w:r>
        <w:t>All‐solid‐state batteries employing chalcogen cathodes have emerged as promising candidates for next‐generation energy storage systems owing to their high theoretical energy densities. However, their practical application is severely hindered by sluggish solid‐state reaction kinetics. High‐entropy alloy (HEA) catalysts, featuring rich active sites, diverse atomic environments, and strong electronic synergistic effects, offer a compelling strategy to address this challenge. Herein, we propose a</w:t>
      </w:r>
      <w:r>
        <w:t xml:space="preserve"> </w:t>
      </w:r>
      <w:r>
        <w:t>d‐p</w:t>
      </w:r>
      <w:r>
        <w:t xml:space="preserve"> </w:t>
      </w:r>
      <w:r>
        <w:t>energy‐level‐matching strategy by aligning the</w:t>
      </w:r>
      <w:r>
        <w:t xml:space="preserve"> </w:t>
      </w:r>
      <w:r>
        <w:t>d</w:t>
      </w:r>
      <w:r>
        <w:t xml:space="preserve"> </w:t>
      </w:r>
      <w:r>
        <w:t>band of the HEA catalyst with the</w:t>
      </w:r>
      <w:r>
        <w:t xml:space="preserve"> </w:t>
      </w:r>
      <w:r>
        <w:t>p</w:t>
      </w:r>
      <w:r>
        <w:t xml:space="preserve"> </w:t>
      </w:r>
      <w:r>
        <w:t>band of the chalcogen cathode to enhance catalyst–cathode electronic compatibility and regulate solid‐state catalytic conversion reactions. Theoretical calculations reveal that, among the investigated HEA catalysts (FeCoNiCuX, X = Cr, Mo, and W), FeCoNiCuCr exhibits the smallest</w:t>
      </w:r>
      <w:r>
        <w:t xml:space="preserve"> </w:t>
      </w:r>
      <w:r>
        <w:t>d‐p</w:t>
      </w:r>
      <w:r>
        <w:t xml:space="preserve"> </w:t>
      </w:r>
      <w:r>
        <w:t>energy level gap with chalcogen cathodes, especially Se‐based chalcogenides. Such a well‐matched electronic structure maximizes interfacial charge transfer and effectively accelerates the solid–solid conversion kinetics. As a result, the optimized Se‐based electrode delivers a highly stable reversible capacity of 657 mAh g</w:t>
      </w:r>
      <w:r>
        <w:t xml:space="preserve"> </w:t>
      </w:r>
      <w:r>
        <w:t>−1</w:t>
      </w:r>
      <w:r>
        <w:t xml:space="preserve"> </w:t>
      </w:r>
      <w:r>
        <w:t>after 1800 cycles at 2C. This work elucidates the key catalytic role of energy‐level‐matching catalysts for all‐solid‐state chalcogen‐based batteries and provides insight into regulating catalyst–cathode interactions to overcome the kinetic limitations in all‐solid‐state batteries with conversion‐type cathodes.</w:t>
      </w:r>
    </w:p>
    <w:p>
      <w:pPr>
        <w:spacing w:before="120" w:after="120"/>
      </w:pPr>
      <w:r>
        <w:rPr>
          <w:sz w:val="18"/>
        </w:rPr>
        <w:t>——————————————————————————————————————————————————————————————————————</w:t>
      </w:r>
    </w:p>
    <w:p>
      <w:pPr>
        <w:spacing w:before="160" w:after="40" w:line="240" w:lineRule="auto"/>
      </w:pPr>
      <w:r>
        <w:rPr>
          <w:b/>
        </w:rPr>
        <w:t xml:space="preserve">[10] </w:t>
      </w:r>
      <w:hyperlink r:id="rId44">
        <w:r>
          <w:rPr>
            <w:color w:val="1155CC"/>
            <w:u w:val="single"/>
          </w:rPr>
          <w:t>从材料到系统：自充电水系锌离子电池综述</w:t>
        </w:r>
      </w:hyperlink>
    </w:p>
    <w:p>
      <w:pPr>
        <w:spacing w:before="0" w:after="80"/>
      </w:pPr>
      <w:r>
        <w:rPr>
          <w:i/>
          <w:sz w:val="20"/>
        </w:rPr>
        <w:t>EN: From Material to System: A Review of Self‐Charging Aqueous Zinc‐Ion Batteries</w:t>
      </w:r>
    </w:p>
    <w:p>
      <w:pPr>
        <w:spacing w:before="0" w:after="120"/>
      </w:pPr>
      <w:r>
        <w:rPr>
          <w:b/>
        </w:rPr>
        <w:t xml:space="preserve">Source: </w:t>
      </w:r>
      <w:r>
        <w:t>Wiley: Advanced Energy Materials: Table of Contents</w:t>
      </w:r>
      <w:r>
        <w:t xml:space="preserve">    </w:t>
      </w:r>
      <w:r>
        <w:rPr>
          <w:b/>
        </w:rPr>
        <w:t xml:space="preserve">Pub date: </w:t>
      </w:r>
      <w:r>
        <w:t>2026-06-30 19:15:42+00:00</w:t>
      </w:r>
      <w:r>
        <w:t xml:space="preserve">    </w:t>
      </w:r>
      <w:r>
        <w:rPr>
          <w:b/>
        </w:rPr>
        <w:t xml:space="preserve">DOI: </w:t>
      </w:r>
      <w:hyperlink r:id="rId45">
        <w:r>
          <w:rPr>
            <w:color w:val="1155CC"/>
            <w:u w:val="single"/>
          </w:rPr>
          <w:t>10.1002/aenm.71212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充电水性锌离子电池（SC-AZIB）代表了一种集能量收集和存储于一体的尖端技术，可利用光和机械振动等环境能源实现自主运行。本综述对各种自充电机制（例如空气、光、热和机械自充电）及其在特定场景中的优势进行了系统分析。本文通过代表性实例，深入探讨了 SC-AZIB 正极材料和集成器件的设计策略，评估这些方法如何应对核心科学挑战。然后系统地总结了 SC-AZIB 面临的关键障碍，包括固有材料限制、系统耦合效率、极端环境适应性、能源供需匹配和标准化。最后，从基础材料到系统设计的整体创新角度提出了前瞻性的展望，为高性能SC-AZIBs的开发提供理论基础和可行的技术途径。</w:t>
      </w:r>
    </w:p>
    <w:p>
      <w:pPr>
        <w:spacing w:before="0" w:after="200" w:lineRule="auto" w:line="276"/>
      </w:pPr>
      <w:r>
        <w:rPr>
          <w:b/>
        </w:rPr>
        <w:t xml:space="preserve">Abstract (EN): </w:t>
      </w:r>
      <w:r>
        <w:t>Self‐charging aqueous zinc‐ion batteries (SC‐AZIBs) represent a cutting‐edge technology that integrates energy harvesting and storage, enabling autonomous operation by utilizing ambient energy sources such as light and mechanical vibration. This review provides a systematic analysis of various self‐charging mechanisms (e.g., air, photo, thermal and mechanical self‐charging) and their advantages in specific scenarios. Through representative examples, this article delves into the design strategies for SC‐AZIB cathode materials and integrated devices, evaluating how these approaches address core scientific challenges. The key obstacles facing SC‐AZIBs are then systematically summarized, including intrinsic material limitations, system coupling efficiency, extreme environment adaptability, energy supply‐demand matching, and standardization. Finally, from a holistic innovation perspective spanning fundamental materials to system design, forward‐looking prospects are proposed to provide a theoretical foundation and viable technical pathways for the development of high‐performance SC‐AZIBs.</w:t>
      </w:r>
    </w:p>
    <w:p>
      <w:pPr>
        <w:spacing w:before="120" w:after="120"/>
      </w:pPr>
      <w:r>
        <w:rPr>
          <w:sz w:val="18"/>
        </w:rPr>
        <w:t>——————————————————————————————————————————————————————————————————————</w:t>
      </w:r>
    </w:p>
    <w:p>
      <w:pPr>
        <w:spacing w:before="160" w:after="40" w:line="240" w:lineRule="auto"/>
      </w:pPr>
      <w:r>
        <w:rPr>
          <w:b/>
        </w:rPr>
        <w:t xml:space="preserve">[11] </w:t>
      </w:r>
      <w:hyperlink r:id="rId46">
        <w:r>
          <w:rPr>
            <w:color w:val="1155CC"/>
            <w:u w:val="single"/>
          </w:rPr>
          <w:t>设计和绘制锂硫电池平衡多硫化物转化的级联催化途径</w:t>
        </w:r>
      </w:hyperlink>
    </w:p>
    <w:p>
      <w:pPr>
        <w:spacing w:before="0" w:after="80"/>
      </w:pPr>
      <w:r>
        <w:rPr>
          <w:i/>
          <w:sz w:val="20"/>
        </w:rPr>
        <w:t>EN: Designing and mapping cascade catalysis pathway for balanced polysulfide conversion in Li-S batteries</w:t>
      </w:r>
    </w:p>
    <w:p>
      <w:pPr>
        <w:spacing w:before="0" w:after="120"/>
      </w:pPr>
      <w:r>
        <w:rPr>
          <w:b/>
        </w:rPr>
        <w:t xml:space="preserve">Source: </w:t>
      </w:r>
      <w:r>
        <w:t>Physical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锂硫电池从根本上受到缓慢的16电子硫还原反应的限制。电催化硫还原反应本质上是复杂的，涉及多种多硫化锂中间体（Li2Sn，n = 2-8），每种中间体都有不同的吸附和活化要求，导致多硫化物转化不平衡和严重的穿梭效应。尽管级联催化已被认为是一种潜在的解决方案，但其在调节多硫化物转化中的精确途径及其机制作用仍然难以捉摸。在这里，我们阐明并通过实验验证了 Fe,N,S 共掺杂多孔石墨烯作为模型催化剂的硫还原的完整级联途径。密度泛函理论表明，Fe 位点优先结合并激活长链多硫化物，而 N,S-C 位点则加速 Li2S4 向 Li2S2/Li2S 的转化。这种位点特异性协同作用平衡硫还原动力学并抑制多硫化物积累。结合动力学分析和操作拉曼光谱直接揭示协同级联催化如何控制反应途径、调节关键中间体并实现平衡的多硫化物转化。总之，这些结果将级联催化确立为锂硫电池电极的机制驱动设计策略，其中反应途径的调节抑制多硫化物穿梭并增强循环稳定性。</w:t>
      </w:r>
    </w:p>
    <w:p>
      <w:pPr>
        <w:spacing w:before="0" w:after="200" w:lineRule="auto" w:line="276"/>
      </w:pPr>
      <w:r>
        <w:rPr>
          <w:b/>
        </w:rPr>
        <w:t xml:space="preserve">Abstract (EN): </w:t>
      </w:r>
      <w:r>
        <w:t>Lithium–sulfur batteries are fundamentally constrained by the sluggish 16-electron sulfur reduction reaction. Electrocatalytic sulfur reduction reaction is inherently complex, involving multiple lithium polysulfide intermediates (Li2Sn, n = 2–8), each with distinct adsorption and activation requirements, leading to unbalanced polysulfide conversion and severe shuttle effect. Although cascade catalysis has been proposed as a potential solution, the precise pathway and its mechanistic role in regulating polysulfide conversion remain elusive. Here we elucidate and experimentally validate the complete cascade pathway of sulfur reduction on Fe,N,S-codoped holey graphene as a model catalyst. Density functional theory reveals that Fe sites preferentially bind and activate long-chain polysulfides, while N,S-C sites accelerate the conversion of Li2S4 to Li2S2/Li2S. Such site-specific synergy balances sulfur reduction kinetics and suppresses polysulfide accumulation. Combined kinetic analysis and operando Raman spectroscopy directly reveal how synergistic cascade catalysis governs the reaction pathway, modulates key intermediates, and enables balanced polysulfide conversion. Together, these results establish cascade catalysis as a mechanism-driven design strategy for lithium–sulfur battery electrodes, where regulation of the reaction pathway suppresses polysulfide shuttling and enables enhanced cycling stability.</w:t>
      </w:r>
    </w:p>
    <w:p>
      <w:pPr>
        <w:spacing w:before="120" w:after="120"/>
      </w:pPr>
      <w:r>
        <w:rPr>
          <w:sz w:val="18"/>
        </w:rPr>
        <w:t>——————————————————————————————————————————————————————————————————————</w:t>
      </w:r>
    </w:p>
    <w:p>
      <w:pPr>
        <w:spacing w:before="160" w:after="40" w:line="240" w:lineRule="auto"/>
      </w:pPr>
      <w:r>
        <w:rPr>
          <w:b/>
        </w:rPr>
        <w:t xml:space="preserve">[12] </w:t>
      </w:r>
      <w:hyperlink r:id="rId47">
        <w:r>
          <w:rPr>
            <w:color w:val="1155CC"/>
            <w:u w:val="single"/>
          </w:rPr>
          <w:t>用于锂离子电池的具有多样化表面相阳离子排序的高倍率单晶富锂层状氧化物</w:t>
        </w:r>
      </w:hyperlink>
    </w:p>
    <w:p>
      <w:pPr>
        <w:spacing w:before="0" w:after="80"/>
      </w:pPr>
      <w:r>
        <w:rPr>
          <w:i/>
          <w:sz w:val="20"/>
        </w:rPr>
        <w:t>EN: High-rate single-crystalline Li-rich layered oxide with diversified surface-phase cation ordering for Li-ion batteries</w:t>
      </w:r>
    </w:p>
    <w:p>
      <w:pPr>
        <w:spacing w:before="0" w:after="120"/>
      </w:pPr>
      <w:r>
        <w:rPr>
          <w:b/>
        </w:rPr>
        <w:t xml:space="preserve">Source: </w:t>
      </w:r>
      <w:r>
        <w:t>Physical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先进的锂离子电池需要快速充电的高能量密度电极。与富镍化学物质相比，富锂和富锰的层状正极可以提供更高的容量（&gt;280 mAh g−1）和更高的比能（&gt;1000 Wh kg−1），但生产体积能量密度高的富锂单晶具有挑战性。另一个问题是利率表现。长期以来，富锂层状氧化物一直被认为具有较差的倍率性能，更不用说它们的单晶版本了。在这里，我们报道了具有快速充电能力的高倍率单晶富锂层状氧化物。展示了 5 C 快速充电时 248 mAh g−1 的 0.2 C 放电容量以及 179 mAh g−1 的 5 C 快速放电容量。我们证明，快速可充电性可以通过相干层状、阳离子混合、岩盐和尖晶石型结构的复杂阳离子排序来解决。高导电性和电化学活性的表面相可以缓冲Li+浓度梯度并实现更深的本体锂化。单晶形态和重新设计的表面相确保了循环过程中的机械和结构稳定性，在 0.5 C 倍率下将容量保持率提高到 150 次循环后的 94.5%。这项工作揭示了单晶富锂层状氧化物的固有高倍率性能，并引起人们对粗微结构正极的快速充电潜力的思考。</w:t>
      </w:r>
    </w:p>
    <w:p>
      <w:pPr>
        <w:spacing w:before="0" w:after="200" w:lineRule="auto" w:line="276"/>
      </w:pPr>
      <w:r>
        <w:rPr>
          <w:b/>
        </w:rPr>
        <w:t xml:space="preserve">Abstract (EN): </w:t>
      </w:r>
      <w:r>
        <w:t>Advanced lithium-ion batteries require fast-charging high-energy-density electrodes. Li- and Mn-rich layered positive electrodes can offer higher capacity (&gt;280 mAh g−1) and higher specific energy (&gt;1000 Wh kg−1) than Ni-rich chemistries, yet it is challenging to produce volumetric-energy-dense Li-rich single crystals. Another concern is the rate performance. Li-rich layered oxides have long been considered to have poor rate capability, not to mention their single-crystal version. Here we report high-rate single-crystal Li-rich layered oxides with fast rechargeability. 0.2 C-discharge capacity of 248 mAh g−1at 5 C fast-charging as well as 5 C fast-discharging capacity of 179 mAh g−1 are demonstrated. We prove that the fast rechargeability can be resolved by a complex cation ordering of coherent layered-, cation mixed-, rock salt-, and spinel-type structure. The highly conductive and electrochemically active surface phases can buffer Li+ concentration gradients and enable deeper bulk lithiation. The single-crystal morphology and redesigned surface phase ensure mechanical and structural stability over cycling, improving capacity retention to 94.5% over 150 cycles at 0.5 C-rate. This work uncovers the intrinsic high-rate performance of single-crystal Li-rich layered oxides and calls attention to think about the fast-charging potential of positive electrodes with coarse microstructure.</w:t>
      </w:r>
    </w:p>
    <w:p>
      <w:pPr>
        <w:spacing w:before="120" w:after="120"/>
      </w:pPr>
      <w:r>
        <w:rPr>
          <w:sz w:val="18"/>
        </w:rPr>
        <w:t>——————————————————————————————————————————————————————————————————————</w:t>
      </w:r>
    </w:p>
    <w:p>
      <w:pPr>
        <w:spacing w:before="160" w:after="40" w:line="240" w:lineRule="auto"/>
      </w:pPr>
      <w:r>
        <w:rPr>
          <w:b/>
        </w:rPr>
        <w:t xml:space="preserve">[13] </w:t>
      </w:r>
      <w:hyperlink r:id="rId48">
        <w:r>
          <w:rPr>
            <w:color w:val="1155CC"/>
            <w:u w:val="single"/>
          </w:rPr>
          <w:t>衍射异常精细结构精确定位稳健异质结中的电化学活性位点</w:t>
        </w:r>
      </w:hyperlink>
    </w:p>
    <w:p>
      <w:pPr>
        <w:spacing w:before="0" w:after="80"/>
      </w:pPr>
      <w:r>
        <w:rPr>
          <w:i/>
          <w:sz w:val="20"/>
        </w:rPr>
        <w:t>EN: Diffraction anomalous fine structure pinpoints electrochemically active sites in robust heterojunctions</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49">
        <w:r>
          <w:rPr>
            <w:color w:val="1155CC"/>
            <w:u w:val="single"/>
          </w:rPr>
          <w:t>10.1126/sciadv.aec1952</w:t>
        </w:r>
      </w:hyperlink>
    </w:p>
    <w:p>
      <w:pPr>
        <w:spacing w:before="0" w:after="120"/>
      </w:pPr>
      <w:r>
        <w:rPr>
          <w:b/>
        </w:rPr>
        <w:t xml:space="preserve">Notes: </w:t>
      </w:r>
      <w:r>
        <w:t>abstract_source=crossref</w:t>
      </w:r>
    </w:p>
    <w:p>
      <w:pPr>
        <w:spacing w:before="0" w:after="80" w:lineRule="auto" w:line="276"/>
      </w:pPr>
      <w:r>
        <w:rPr>
          <w:b/>
        </w:rPr>
        <w:t xml:space="preserve">摘要（ZH）: </w:t>
      </w:r>
      <w:r>
        <w:t>由相同金属元素组成的异质结具有固有的晶格匹配、可调的成分和低界面电阻，使它们成为电化学应用的有希望的候选者。然而，构建稳健的异质结和关联位点化学仍然具有挑战性。在这里，我们推出一种高度耐用的铌</w:t>
      </w:r>
      <w:r>
        <w:rPr>
          <w:vertAlign w:val="subscript"/>
        </w:rPr>
        <w:t>4</w:t>
      </w:r>
      <w:r>
        <w:t>碳化铜</w:t>
      </w:r>
      <w:r>
        <w:rPr>
          <w:vertAlign w:val="subscript"/>
        </w:rPr>
        <w:t>3</w:t>
      </w:r>
      <w:r>
        <w:t>/铌</w:t>
      </w:r>
      <w:r>
        <w:rPr>
          <w:vertAlign w:val="subscript"/>
        </w:rPr>
        <w:t>4</w:t>
      </w:r>
      <w:r>
        <w:t>C</w:t>
      </w:r>
      <w:r>
        <w:rPr>
          <w:vertAlign w:val="subscript"/>
        </w:rPr>
        <w:t>3</w:t>
      </w:r>
      <w:r>
        <w:t>时间</w:t>
      </w:r>
      <w:r>
        <w:t xml:space="preserve"> </w:t>
      </w:r>
      <w:r>
        <w:t>x</w:t>
      </w:r>
      <w:r>
        <w:t xml:space="preserve"> </w:t>
      </w:r>
      <w:r>
        <w:t>异质结构在锂离子电池中表现出出色的循环稳定性，超过 10,000 次循环（5.0 安培/克）几乎没有容量下降。同步辐射核心级光谱和扫描透射电子显微镜解析了异质结内四种不同的铌 (Nb) 配位环境。重要的是，通过将位点选择性 X 射线分析（衍射异常精细结构）与互补同步加速器技术相结合，确定了 Nb</w:t>
      </w:r>
      <w:r>
        <w:t xml:space="preserve"> </w:t>
      </w:r>
      <w:r>
        <w:t>我</w:t>
      </w:r>
      <w:r>
        <w:t xml:space="preserve"> </w:t>
      </w:r>
      <w:r>
        <w:t>Nb 上的站点</w:t>
      </w:r>
      <w:r>
        <w:rPr>
          <w:vertAlign w:val="subscript"/>
        </w:rPr>
        <w:t>4</w:t>
      </w:r>
      <w:r>
        <w:t>C</w:t>
      </w:r>
      <w:r>
        <w:rPr>
          <w:vertAlign w:val="subscript"/>
        </w:rPr>
        <w:t>3</w:t>
      </w:r>
      <w:r>
        <w:t>时间</w:t>
      </w:r>
      <w:r>
        <w:t xml:space="preserve"> </w:t>
      </w:r>
      <w:r>
        <w:t>x</w:t>
      </w:r>
      <w:r>
        <w:t xml:space="preserve"> </w:t>
      </w:r>
      <w:r>
        <w:t>表面代表真正的电化学活性中心，而 Nb</w:t>
      </w:r>
      <w:r>
        <w:rPr>
          <w:vertAlign w:val="subscript"/>
        </w:rPr>
        <w:t>4</w:t>
      </w:r>
      <w:r>
        <w:t>碳化铜</w:t>
      </w:r>
      <w:r>
        <w:rPr>
          <w:vertAlign w:val="subscript"/>
        </w:rPr>
        <w:t>3</w:t>
      </w:r>
      <w:r>
        <w:t>组件在循环过程中主要充当结构缓冲</w:t>
      </w:r>
    </w:p>
    <w:p>
      <w:pPr>
        <w:spacing w:before="0" w:after="200" w:lineRule="auto" w:line="276"/>
      </w:pPr>
      <w:r>
        <w:rPr>
          <w:b/>
        </w:rPr>
        <w:t xml:space="preserve">Abstract (EN): </w:t>
      </w:r>
      <w:r>
        <w:t>Heterojunctions composed of identical metallic elements have intrinsic lattice-matching, tunable compositions, and low interfacial resistance, positioning them as promising candidates for electrochemical applications. However, constructing robust heterojunctions and correlating site chemistry remain challenging. Here, we present a highly durable Nb</w:t>
      </w:r>
      <w:r>
        <w:rPr>
          <w:vertAlign w:val="subscript"/>
        </w:rPr>
        <w:t>4</w:t>
      </w:r>
      <w:r>
        <w:t>CuC</w:t>
      </w:r>
      <w:r>
        <w:rPr>
          <w:vertAlign w:val="subscript"/>
        </w:rPr>
        <w:t>3</w:t>
      </w:r>
      <w:r>
        <w:t>/Nb</w:t>
      </w:r>
      <w:r>
        <w:rPr>
          <w:vertAlign w:val="subscript"/>
        </w:rPr>
        <w:t>4</w:t>
      </w:r>
      <w:r>
        <w:t>C</w:t>
      </w:r>
      <w:r>
        <w:rPr>
          <w:vertAlign w:val="subscript"/>
        </w:rPr>
        <w:t>3</w:t>
      </w:r>
      <w:r>
        <w:t>T</w:t>
      </w:r>
      <w:r>
        <w:t xml:space="preserve"> </w:t>
      </w:r>
      <w:r>
        <w:t>x</w:t>
      </w:r>
      <w:r>
        <w:t xml:space="preserve"> </w:t>
      </w:r>
      <w:r>
        <w:t>heterostructure that exhibits outstanding cycling stability with virtually no capacity degradation over 10,000 cycles (5.0 amperes per gram) in lithium-ion batteries. Synchrotron radiation core-level spectroscopy and scanning transmission electron microscopy resolved four distinct niobium (Nb) coordination environments within the heterojunction. Critically, by integrating a site-selective x-ray analysis (diffraction anomalous fine structure) with complementary synchrotron techniques, it was pinpointed that the Nb</w:t>
      </w:r>
      <w:r>
        <w:t xml:space="preserve"> </w:t>
      </w:r>
      <w:r>
        <w:t>I</w:t>
      </w:r>
      <w:r>
        <w:t xml:space="preserve"> </w:t>
      </w:r>
      <w:r>
        <w:t>sites on the Nb</w:t>
      </w:r>
      <w:r>
        <w:rPr>
          <w:vertAlign w:val="subscript"/>
        </w:rPr>
        <w:t>4</w:t>
      </w:r>
      <w:r>
        <w:t>C</w:t>
      </w:r>
      <w:r>
        <w:rPr>
          <w:vertAlign w:val="subscript"/>
        </w:rPr>
        <w:t>3</w:t>
      </w:r>
      <w:r>
        <w:t>T</w:t>
      </w:r>
      <w:r>
        <w:t xml:space="preserve"> </w:t>
      </w:r>
      <w:r>
        <w:t>x</w:t>
      </w:r>
      <w:r>
        <w:t xml:space="preserve"> </w:t>
      </w:r>
      <w:r>
        <w:t>surface represent the true electrochemically active centers, while the Nb</w:t>
      </w:r>
      <w:r>
        <w:rPr>
          <w:vertAlign w:val="subscript"/>
        </w:rPr>
        <w:t>4</w:t>
      </w:r>
      <w:r>
        <w:t>CuC</w:t>
      </w:r>
      <w:r>
        <w:rPr>
          <w:vertAlign w:val="subscript"/>
        </w:rPr>
        <w:t>3</w:t>
      </w:r>
      <w:r>
        <w:t>component primarily serves as structural buffer during cycling processes. This work establishes a versatile methodological platform for precisely identifying active sites within complex multisite structures during the working process, thus guiding the rational design of targeted active sites in heterogeneous electrochemical systems for high-performance energy storage.</w:t>
      </w:r>
    </w:p>
    <w:p>
      <w:pPr>
        <w:spacing w:before="120" w:after="120"/>
      </w:pPr>
      <w:r>
        <w:rPr>
          <w:sz w:val="18"/>
        </w:rPr>
        <w:t>——————————————————————————————————————————————————————————————————————</w:t>
      </w:r>
    </w:p>
    <w:p>
      <w:pPr>
        <w:spacing w:before="160" w:after="40" w:line="240" w:lineRule="auto"/>
      </w:pPr>
      <w:r>
        <w:rPr>
          <w:b/>
        </w:rPr>
        <w:t xml:space="preserve">[14] </w:t>
      </w:r>
      <w:hyperlink r:id="rId50">
        <w:r>
          <w:rPr>
            <w:color w:val="1155CC"/>
            <w:u w:val="single"/>
          </w:rPr>
          <w:t>走向实用的高镍阴极固态锂电池：以界面为中心的视角</w:t>
        </w:r>
      </w:hyperlink>
    </w:p>
    <w:p>
      <w:pPr>
        <w:spacing w:before="0" w:after="80"/>
      </w:pPr>
      <w:r>
        <w:rPr>
          <w:i/>
          <w:sz w:val="20"/>
        </w:rPr>
        <w:t>EN: Toward Practical Solid‐State Lithium Batteries With High‐Nickel Cathodes: An Interface‐Centered Perspective</w:t>
      </w:r>
    </w:p>
    <w:p>
      <w:pPr>
        <w:spacing w:before="0" w:after="120"/>
      </w:pPr>
      <w:r>
        <w:rPr>
          <w:b/>
        </w:rPr>
        <w:t xml:space="preserve">Source: </w:t>
      </w:r>
      <w:r>
        <w:t>Wiley: Advanced Materials: Table of Contents</w:t>
      </w:r>
      <w:r>
        <w:t xml:space="preserve">    </w:t>
      </w:r>
      <w:r>
        <w:rPr>
          <w:b/>
        </w:rPr>
        <w:t xml:space="preserve">Pub date: </w:t>
      </w:r>
      <w:r>
        <w:t>2026-07-01 10:40:27+00:00</w:t>
      </w:r>
      <w:r>
        <w:t xml:space="preserve">    </w:t>
      </w:r>
      <w:r>
        <w:rPr>
          <w:b/>
        </w:rPr>
        <w:t xml:space="preserve">DOI: </w:t>
      </w:r>
      <w:hyperlink r:id="rId51">
        <w:r>
          <w:rPr>
            <w:color w:val="1155CC"/>
            <w:u w:val="single"/>
          </w:rPr>
          <w:t>10.1002/adma.73888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球向可再生能源和碳中和的转型急剧增加了对具有更高能量密度、更高安全性和更长使用寿命的储能系统的需求。尽管锂离子电池占据主导地位，但其发展受到液体电解质的易燃性和电化学不稳定性的极大限制。固态锂电池（SSLB）提供了一种有前途的替代方案，因为固态电解质（SSE）可以消除电解质泄漏，增强热稳定性，并可以使用高压阴极和锂金属阳极。在候选正极材料中，高镍层状氧化物（LiNi</w:t>
      </w:r>
      <w:r>
        <w:t xml:space="preserve"> </w:t>
      </w:r>
      <w:r>
        <w:t>x</w:t>
      </w:r>
      <w:r>
        <w:t xml:space="preserve"> </w:t>
      </w:r>
      <w:r>
        <w:t>钴</w:t>
      </w:r>
      <w:r>
        <w:t xml:space="preserve"> </w:t>
      </w:r>
      <w:r>
        <w:t>y</w:t>
      </w:r>
      <w:r>
        <w:t xml:space="preserve"> </w:t>
      </w:r>
      <w:r>
        <w:t>锰</w:t>
      </w:r>
      <w:r>
        <w:t xml:space="preserve"> </w:t>
      </w:r>
      <w:r>
        <w:t>1‐</w:t>
      </w:r>
      <w:r>
        <w:t xml:space="preserve"> </w:t>
      </w:r>
      <w:r>
        <w:t>x</w:t>
      </w:r>
      <w:r>
        <w:t xml:space="preserve"> </w:t>
      </w:r>
      <w:r>
        <w:t>‐</w:t>
      </w:r>
      <w:r>
        <w:t xml:space="preserve"> </w:t>
      </w:r>
      <w:r>
        <w:t>y</w:t>
      </w:r>
      <w:r>
        <w:t xml:space="preserve"> </w:t>
      </w:r>
      <w:r>
        <w:t>氧</w:t>
      </w:r>
      <w:r>
        <w:rPr>
          <w:vertAlign w:val="subscript"/>
        </w:rPr>
        <w:t>2</w:t>
      </w:r>
      <w:r>
        <w:t>,</w:t>
      </w:r>
      <w:r>
        <w:t xml:space="preserve"> </w:t>
      </w:r>
      <w:r>
        <w:t>x</w:t>
      </w:r>
      <w:r>
        <w:t xml:space="preserve"> </w:t>
      </w:r>
      <w:r>
        <w:t>≥ 0.8）由于其高比容量、适中的成本和工业成熟度，是最适合实际部署的。然而，它们与 SSE 的集成带来了严峻的挑战，包括结构降解、氧释放和界面不稳定性，这些都共同阻碍了锂离子传输并损害了循环耐久性。这篇综述总结了高镍 SSLB 的最新进展</w:t>
      </w:r>
    </w:p>
    <w:p>
      <w:pPr>
        <w:spacing w:before="0" w:after="200" w:lineRule="auto" w:line="276"/>
      </w:pPr>
      <w:r>
        <w:rPr>
          <w:b/>
        </w:rPr>
        <w:t xml:space="preserve">Abstract (EN): </w:t>
      </w:r>
      <w:r>
        <w:t>The global transition toward renewable energy and carbon neutrality has sharply increased the demand for energy‐storage systems with higher energy density, improved safety, and extended service life. Despite the dominance of lithium‐ion batteries, their development is greatly limited by the flammability and electrochemical instability of liquid electrolytes. Solid‐state lithium batteries (SSLBs) provide a promising alternative because solid‐state electrolytes (SSEs) eliminate electrolyte leakage, enhance thermal stability, and enable the use of high‐voltage cathodes and lithium‐metal anodes. Among candidate cathode materials, high‐nickel layered oxides (LiNi</w:t>
      </w:r>
      <w:r>
        <w:t xml:space="preserve"> </w:t>
      </w:r>
      <w:r>
        <w:t>x</w:t>
      </w:r>
      <w:r>
        <w:t xml:space="preserve"> </w:t>
      </w:r>
      <w:r>
        <w:t>Co</w:t>
      </w:r>
      <w:r>
        <w:t xml:space="preserve"> </w:t>
      </w:r>
      <w:r>
        <w:t>y</w:t>
      </w:r>
      <w:r>
        <w:t xml:space="preserve"> </w:t>
      </w:r>
      <w:r>
        <w:t>Mn</w:t>
      </w:r>
      <w:r>
        <w:t xml:space="preserve"> </w:t>
      </w:r>
      <w:r>
        <w:t>1‐</w:t>
      </w:r>
      <w:r>
        <w:t xml:space="preserve"> </w:t>
      </w:r>
      <w:r>
        <w:t>x</w:t>
      </w:r>
      <w:r>
        <w:t xml:space="preserve"> </w:t>
      </w:r>
      <w:r>
        <w:t>‐</w:t>
      </w:r>
      <w:r>
        <w:t xml:space="preserve"> </w:t>
      </w:r>
      <w:r>
        <w:t>y</w:t>
      </w:r>
      <w:r>
        <w:t xml:space="preserve"> </w:t>
      </w:r>
      <w:r>
        <w:t>O</w:t>
      </w:r>
      <w:r>
        <w:rPr>
          <w:vertAlign w:val="subscript"/>
        </w:rPr>
        <w:t>2</w:t>
      </w:r>
      <w:r>
        <w:t>,</w:t>
      </w:r>
      <w:r>
        <w:t xml:space="preserve"> </w:t>
      </w:r>
      <w:r>
        <w:t>x</w:t>
      </w:r>
      <w:r>
        <w:t xml:space="preserve"> </w:t>
      </w:r>
      <w:r>
        <w:t>≥ 0.8) are the most viable for practical deployment, owing to their high specific capacity, moderate cost, and industrial maturity. However, their integration with SSEs introduces severe challenges, including structural degradation, oxygen release, and interfacial instability, which collectively impede lithium‐ion transport and compromise cycling durability. This review summarizes recent progress in SSLBs with high‐nickel cathodes, focusing on (1) structural and surface engineering of high‐nickel cathodes, (2) optimization of oxide‐, sulfide‐, halide‐, and polymer‐based SSEs, and (3) interface‐engineering strategies, including buffer layers and in situ interfacial design. Finally, perspectives are provided on material innovation, interfacial characterization, and scalable manufacturing, aiming to guide the development of next‐generation SSLBs that combine high energy density with intrinsic safety.</w:t>
      </w:r>
    </w:p>
    <w:p>
      <w:pPr>
        <w:spacing w:before="120" w:after="120"/>
      </w:pPr>
      <w:r>
        <w:rPr>
          <w:sz w:val="18"/>
        </w:rPr>
        <w:t>——————————————————————————————————————————————————————————————————————</w:t>
      </w:r>
    </w:p>
    <w:p>
      <w:pPr>
        <w:spacing w:before="160" w:after="40" w:line="240" w:lineRule="auto"/>
      </w:pPr>
      <w:r>
        <w:rPr>
          <w:b/>
        </w:rPr>
        <w:t xml:space="preserve">[15] </w:t>
      </w:r>
      <w:hyperlink r:id="rId52">
        <w:r>
          <w:rPr>
            <w:color w:val="1155CC"/>
            <w:u w:val="single"/>
          </w:rPr>
          <w:t>用于先进耐用锂电池的非对称离子液体调制阴离子增强双电层</w:t>
        </w:r>
      </w:hyperlink>
    </w:p>
    <w:p>
      <w:pPr>
        <w:spacing w:before="0" w:after="80"/>
      </w:pPr>
      <w:r>
        <w:rPr>
          <w:i/>
          <w:sz w:val="20"/>
        </w:rPr>
        <w:t>EN: Asymmetric Ionic Liquid Modulated Anion‐Reinforced Electric Double Layer for Advanced Durable Lithium Batteries</w:t>
      </w:r>
    </w:p>
    <w:p>
      <w:pPr>
        <w:spacing w:before="0" w:after="120"/>
      </w:pPr>
      <w:r>
        <w:rPr>
          <w:b/>
        </w:rPr>
        <w:t xml:space="preserve">Source: </w:t>
      </w:r>
      <w:r>
        <w:t>Wiley: Angewandte Chemie International Edition: Table of Contents</w:t>
      </w:r>
      <w:r>
        <w:t xml:space="preserve">    </w:t>
      </w:r>
      <w:r>
        <w:rPr>
          <w:b/>
        </w:rPr>
        <w:t xml:space="preserve">Pub date: </w:t>
      </w:r>
      <w:r>
        <w:t>2026-07-02 03:26:25+00:00</w:t>
      </w:r>
      <w:r>
        <w:t xml:space="preserve">    </w:t>
      </w:r>
      <w:r>
        <w:rPr>
          <w:b/>
        </w:rPr>
        <w:t xml:space="preserve">DOI: </w:t>
      </w:r>
      <w:hyperlink r:id="rId53">
        <w:r>
          <w:rPr>
            <w:color w:val="1155CC"/>
            <w:u w:val="single"/>
          </w:rPr>
          <w:t>10.1002/anie.5759017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双电层（EDL）控制局部电解质富集和还原途径，从而指导固体电解质中间相（SEI）的成核和演化。然而，电解质设计仍然在很大程度上受本体溶剂化描述符的指导。在此，一种不对称室温鏻离子液体（2-甲氧基乙氧基）甲基鏻六氟磷酸盐（PMEP）旨在促进阴离子增强 EDL。分子不对称性降低PMEP熔点并促进PF</w:t>
      </w:r>
      <w:r>
        <w:rPr>
          <w:vertAlign w:val="subscript"/>
        </w:rPr>
        <w:t>6</w:t>
      </w:r>
      <w:r>
        <w:t>-</w:t>
      </w:r>
      <w:r>
        <w:t>参与李</w:t>
      </w:r>
      <w:r>
        <w:t xml:space="preserve"> </w:t>
      </w:r>
      <w:r>
        <w:t>+</w:t>
      </w:r>
      <w:r>
        <w:t xml:space="preserve"> </w:t>
      </w:r>
      <w:r>
        <w:t>‐中心溶剂化结构。分子动力学 (MD) 模拟和密度泛函理论 (DFT) 计算表明 PF</w:t>
      </w:r>
      <w:r>
        <w:rPr>
          <w:vertAlign w:val="subscript"/>
        </w:rPr>
        <w:t>6</w:t>
      </w:r>
      <w:r>
        <w:t>-</w:t>
      </w:r>
      <w:r>
        <w:t>可以参加李</w:t>
      </w:r>
      <w:r>
        <w:t xml:space="preserve"> </w:t>
      </w:r>
      <w:r>
        <w:t>+</w:t>
      </w:r>
      <w:r>
        <w:t xml:space="preserve"> </w:t>
      </w:r>
      <w:r>
        <w:t>选定电荷状态下的中心界面溶剂化簇，有助于形成含有有机还原产物和无机物质（例如 LiF 和 Li）的 SEI</w:t>
      </w:r>
      <w:r>
        <w:rPr>
          <w:vertAlign w:val="subscript"/>
        </w:rPr>
        <w:t>2</w:t>
      </w:r>
      <w:r>
        <w:t>O. 这种有机/无机 SEI 结构降低了界面阻抗和 Li 的表观活化势垒</w:t>
      </w:r>
      <w:r>
        <w:t xml:space="preserve"> </w:t>
      </w:r>
      <w:r>
        <w:t>+</w:t>
      </w:r>
      <w:r>
        <w:t xml:space="preserve"> </w:t>
      </w:r>
      <w:r>
        <w:t>转移，实现更均匀的锂沉积和机械坚固的界面。锂|磷酸铁锂</w:t>
      </w:r>
      <w:r>
        <w:rPr>
          <w:vertAlign w:val="subscript"/>
        </w:rPr>
        <w:t>4</w:t>
      </w:r>
      <w:r>
        <w:t>面积负载为 11.3 mg cm 的电池</w:t>
      </w:r>
      <w:r>
        <w:t xml:space="preserve"> </w:t>
      </w:r>
      <w:r>
        <w:t>−2</w:t>
      </w:r>
      <w:r>
        <w:t xml:space="preserve"> </w:t>
      </w:r>
      <w:r>
        <w:t>提供 94.9% 的容量保持率</w:t>
      </w:r>
    </w:p>
    <w:p>
      <w:pPr>
        <w:spacing w:before="0" w:after="200" w:lineRule="auto" w:line="276"/>
      </w:pPr>
      <w:r>
        <w:rPr>
          <w:b/>
        </w:rPr>
        <w:t xml:space="preserve">Abstract (EN): </w:t>
      </w:r>
      <w:r>
        <w:t>The electric double layer (EDL) governs local electrolyte enrichment and reduction pathways, thereby directing the nucleation and evolution of solid electrolyte interphase (SEI). However, electrolyte design is still largely guided by bulk solvation descriptors. Here, an asymmetric room temperature phosphonium ionic liquid, (2‐methoxyethoxy)methyl phosphonium hexafluorophosphate (PMEP), is designed to promote an anion‐reinforced EDL. Molecular asymmetry lowers the melting point of PMEP and promotes PF</w:t>
      </w:r>
      <w:r>
        <w:rPr>
          <w:vertAlign w:val="subscript"/>
        </w:rPr>
        <w:t>6</w:t>
      </w:r>
      <w:r>
        <w:t>−</w:t>
      </w:r>
      <w:r>
        <w:t>participation in Li</w:t>
      </w:r>
      <w:r>
        <w:t xml:space="preserve"> </w:t>
      </w:r>
      <w:r>
        <w:t>+</w:t>
      </w:r>
      <w:r>
        <w:t xml:space="preserve"> </w:t>
      </w:r>
      <w:r>
        <w:t>‐centered solvation structures. Molecular dynamics (MD) simulations and density functional theory (DFT) calculations suggest that PF</w:t>
      </w:r>
      <w:r>
        <w:rPr>
          <w:vertAlign w:val="subscript"/>
        </w:rPr>
        <w:t>6</w:t>
      </w:r>
      <w:r>
        <w:t>−</w:t>
      </w:r>
      <w:r>
        <w:t>can participate in Li</w:t>
      </w:r>
      <w:r>
        <w:t xml:space="preserve"> </w:t>
      </w:r>
      <w:r>
        <w:t>+</w:t>
      </w:r>
      <w:r>
        <w:t xml:space="preserve"> </w:t>
      </w:r>
      <w:r>
        <w:t>‐centered interfacial solvation clusters under selected charge states, which contributes to the formation of an SEI containing both organic reduction products and inorganic species such as LiF and Li</w:t>
      </w:r>
      <w:r>
        <w:rPr>
          <w:vertAlign w:val="subscript"/>
        </w:rPr>
        <w:t>2</w:t>
      </w:r>
      <w:r>
        <w:t>O. This organic/inorganic SEI structure lowers interfacial impedance and the apparent activation barrier for Li</w:t>
      </w:r>
      <w:r>
        <w:t xml:space="preserve"> </w:t>
      </w:r>
      <w:r>
        <w:t>+</w:t>
      </w:r>
      <w:r>
        <w:t xml:space="preserve"> </w:t>
      </w:r>
      <w:r>
        <w:t>transfer, enabling more uniform lithium deposition and a mechanically robust interface. Li|LiFePO</w:t>
      </w:r>
      <w:r>
        <w:rPr>
          <w:vertAlign w:val="subscript"/>
        </w:rPr>
        <w:t>4</w:t>
      </w:r>
      <w:r>
        <w:t>batteries with an areal loading of 11.3 mg cm</w:t>
      </w:r>
      <w:r>
        <w:t xml:space="preserve"> </w:t>
      </w:r>
      <w:r>
        <w:t>−2</w:t>
      </w:r>
      <w:r>
        <w:t xml:space="preserve"> </w:t>
      </w:r>
      <w:r>
        <w:t>deliver 94.9% capacity retention after 600 cycles. The fabricated 1.6 Ah Graphite|LiFePO</w:t>
      </w:r>
      <w:r>
        <w:rPr>
          <w:vertAlign w:val="subscript"/>
        </w:rPr>
        <w:t>4</w:t>
      </w:r>
      <w:r>
        <w:t>cylindrical cell operates stably for over 500 cycles with a Coulombic efficiency above 99.8%. This work demonstrates a shift in electrolyte design from bulk formulations toward interfacial solvation structure engineering for next generation batteries.</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54">
        <w:r>
          <w:rPr>
            <w:color w:val="1155CC"/>
            <w:u w:val="single"/>
          </w:rPr>
          <w:t>固有微结构工程：通过离子束技术为长周期锂金属电池定制非晶纳米晶复合薄膜</w:t>
        </w:r>
      </w:hyperlink>
    </w:p>
    <w:p>
      <w:pPr>
        <w:spacing w:before="0" w:after="80"/>
      </w:pPr>
      <w:r>
        <w:rPr>
          <w:i/>
          <w:sz w:val="20"/>
        </w:rPr>
        <w:t>EN: Inherent Microstructural Engineering: Tailoring Amorphous‐Nanocrystalline Composite Films via Ion Beam Technology for Long‐Cycle Lithium Metal Batteries</w:t>
      </w:r>
    </w:p>
    <w:p>
      <w:pPr>
        <w:spacing w:before="0" w:after="120"/>
      </w:pPr>
      <w:r>
        <w:rPr>
          <w:b/>
        </w:rPr>
        <w:t xml:space="preserve">Source: </w:t>
      </w:r>
      <w:r>
        <w:t>Wiley: Advanced Materials: Table of Contents</w:t>
      </w:r>
      <w:r>
        <w:t xml:space="preserve">    </w:t>
      </w:r>
      <w:r>
        <w:rPr>
          <w:b/>
        </w:rPr>
        <w:t xml:space="preserve">Pub date: </w:t>
      </w:r>
      <w:r>
        <w:t>2026-06-28 05:34:59+00:00</w:t>
      </w:r>
      <w:r>
        <w:t xml:space="preserve">    </w:t>
      </w:r>
      <w:r>
        <w:rPr>
          <w:b/>
        </w:rPr>
        <w:t xml:space="preserve">DOI: </w:t>
      </w:r>
      <w:hyperlink r:id="rId55">
        <w:r>
          <w:rPr>
            <w:color w:val="1155CC"/>
            <w:u w:val="single"/>
          </w:rPr>
          <w:t>10.1002/adma.73795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锂金属负极面临着无法控制的枝晶生长和不稳定的固体电解质界面（SEI）带来的巨大挑战。集电器 (CC) 或锂阳极的界面工程提供了一种可行的解决方案。我们建议对涂层的固有微观结构进行工程设计，以精确构建既亲锂又具有快速动力学的中间层。报道了一种使用离子束沉积 (IBD) 技术在商用铜 CC 和锂箔上制备具有复合微结构的 ZnMgSn 薄膜的策略。这种人工界面不仅表现出很强的锂吸附能，而且还显着降低了锂原子的扩散势垒，从而协同实现了均匀的锂沉积。至关重要的是，这种中间相促进了机械坚固、富含LiF的双层SEI的原位形成，它可以有效地适应循环过程中的体积变化。因此，ZnMgSn@Cu CC 对称电池实现了超过 11000 小时的超长寿命。全电池在 5C 下循环 130 次后容量保持率为 85.13%。改性锂阳极在 1C 下循环 620 次后容量仍保持在 80% 以上。这项工作不仅提供了一种有效的修饰策略，而且对理想锂金属界面的微观设计原理提供了深刻的见解，为实用的锂金属电池铺平了道路。</w:t>
      </w:r>
    </w:p>
    <w:p>
      <w:pPr>
        <w:spacing w:before="0" w:after="200" w:lineRule="auto" w:line="276"/>
      </w:pPr>
      <w:r>
        <w:rPr>
          <w:b/>
        </w:rPr>
        <w:t xml:space="preserve">Abstract (EN): </w:t>
      </w:r>
      <w:r>
        <w:t>Lithium metal anode faces formidable challenges from uncontrollable dendrite growth and unstable solid‐electrolyte interphase (SEI). Interface engineering of the current collectors (CCs) or lithium anodes presents a viable solution. We propose engineering the intrinsic microstructure of coatings to precisely construct interlayers that are both lithiophilic and possess rapid kinetics. A strategy using ion beam deposition (IBD) technology to craft ZnMgSn films with composite microstructures on commercial Cu CCs and lithium foils is reported. This artificial interphase not only exhibits a strongly lithium adsorption energy, but also significantly reduces the diffusion barrier for lithium atoms, thereby synergistically enabling uniform lithium plating. Crucially, this interphase promotes the in‐situ formation of a mechanically robust, bilayer SEI rich in LiF, which can effectively accommodate volume changes during cycling. As a result, the ZnMgSn@Cu CC symmetric cell achieves an ultralong lifespan of over 11000 h. The full cell shows a capacity retention of 85.13% after 130 cycles at 5C. The modified lithium anode maintains over 80% capacity after 620 cycles at 1C. This work not only provides an efficient modification strategy but also offers profound insights into the microscopic design principles for an ideal lithium metal interphase, paving the way for practical lithium metal batteries.</w:t>
      </w:r>
    </w:p>
    <w:p>
      <w:pPr>
        <w:spacing w:before="120" w:after="120"/>
      </w:pPr>
      <w:r>
        <w:rPr>
          <w:sz w:val="18"/>
        </w:rPr>
        <w:t>——————————————————————————————————————————————————————————————————————</w:t>
      </w:r>
    </w:p>
    <w:p>
      <w:pPr>
        <w:spacing w:before="160" w:after="40" w:line="240" w:lineRule="auto"/>
      </w:pPr>
      <w:r>
        <w:rPr>
          <w:b/>
        </w:rPr>
        <w:t xml:space="preserve">[2] </w:t>
      </w:r>
      <w:hyperlink r:id="rId29">
        <w:r>
          <w:rPr>
            <w:color w:val="1155CC"/>
            <w:u w:val="single"/>
          </w:rPr>
          <w:t>超亲钠混合导体界面实现准固态钠金属电池的均匀顶部沉积</w:t>
        </w:r>
      </w:hyperlink>
    </w:p>
    <w:p>
      <w:pPr>
        <w:spacing w:before="0" w:after="80"/>
      </w:pPr>
      <w:r>
        <w:rPr>
          <w:i/>
          <w:sz w:val="20"/>
        </w:rPr>
        <w:t>EN: Ultra-Sodiophilic Mixed Conductor Interphase Enabling Uniform Top Deposition for Quasi-Solid-State Sodium-Metal Batteries</w:t>
      </w:r>
    </w:p>
    <w:p>
      <w:pPr>
        <w:spacing w:before="0" w:after="120"/>
      </w:pPr>
      <w:r>
        <w:rPr>
          <w:b/>
        </w:rPr>
        <w:t xml:space="preserve">Source: </w:t>
      </w:r>
      <w:r>
        <w:t>Nano-Micro Letters</w:t>
      </w:r>
      <w:r>
        <w:t xml:space="preserve">    </w:t>
      </w:r>
      <w:r>
        <w:rPr>
          <w:b/>
        </w:rPr>
        <w:t xml:space="preserve">Pub date: </w:t>
      </w:r>
      <w:r>
        <w:t>2026-06-29 00:00:00+00:00</w:t>
      </w:r>
      <w:r>
        <w:t xml:space="preserve">    </w:t>
      </w:r>
      <w:r>
        <w:rPr>
          <w:b/>
        </w:rPr>
        <w:t xml:space="preserve">DOI: </w:t>
      </w:r>
      <w:hyperlink r:id="rId30">
        <w:r>
          <w:rPr>
            <w:color w:val="1155CC"/>
            <w:u w:val="single"/>
          </w:rPr>
          <w:t>10.1007/s40820-026-02256-y</w:t>
        </w:r>
      </w:hyperlink>
    </w:p>
    <w:p>
      <w:pPr>
        <w:spacing w:before="0" w:after="120"/>
      </w:pPr>
      <w:r>
        <w:rPr>
          <w:b/>
        </w:rPr>
        <w:t xml:space="preserve">Notes: </w:t>
      </w:r>
      <w:r>
        <w:t>abstract_source=rss_description</w:t>
      </w:r>
    </w:p>
    <w:p>
      <w:pPr>
        <w:spacing w:before="0" w:after="80" w:lineRule="auto" w:line="276"/>
      </w:pPr>
      <w:r>
        <w:rPr>
          <w:b/>
        </w:rPr>
        <w:t xml:space="preserve">摘要（ZH）: </w:t>
      </w:r>
      <w:r>
        <w:t>人工固体电解质界面为提高准固态钠金属电池（QSMB）的寿命和安全性提供了一条有前途的途径，但其有限的离子电导率和聚合物电解质的低流动性往往导致不稳定的钠沉积/剥离动力学和较差的界面耐久性。在此，我们提出了一种表面诱导的“顶部”Na沉积机制，该机制由具有强Na+吸附亲和力的超亲钠离子/电子混合导体界面促进，这确保了快速且无枝晶的Na阳极运行。嵌入的Na3Sb合金相具有高电子电导率和强Na+吸附能，显着加速界面离子扩散和成核动力学，形成光滑致密的Na沉积层，有利于稳定的固体电解质界面形成并保持界面完整性。因此，采用基于 1, 3-二氧戊环的凝胶聚合物电解质的 Na||Na 对称电池在 0.5 mA cm−2 下具有 1000 小时的超长循环寿命，且过电位低至 40 mV。此外，采用改性Na阳极和Na3V2(PO4)3阴极的QSMB表现出出色的循环稳定性（2C下9000次循环后容量保持率为74.1%）和卓越的倍率性能（5C下91.7 mAh g−1）。这项工作提供了调控钠沉积的机制见解和实用策略，为高性能 QSMB 铺平了道路。亮点：1 超亲钠离子/电子混合导体相间成分促进的表面诱导“顶部”Na 沉积机制</w:t>
      </w:r>
    </w:p>
    <w:p>
      <w:pPr>
        <w:spacing w:before="0" w:after="200" w:lineRule="auto" w:line="276"/>
      </w:pPr>
      <w:r>
        <w:rPr>
          <w:b/>
        </w:rPr>
        <w:t xml:space="preserve">Abstract (EN): </w:t>
      </w:r>
      <w:r>
        <w:t>Artificial solid electrolyte interphase offers a promising route to improve the lifespan and safety of quasi-solid-state sodium-metal batteries (QSMBs), yet its limited ion conductivity and the low liquidity of the polymer electrolyte often result in unstable Na plating/stripping kinetics and poor interfacial durability. Herein, we propose a surface-induced “top” Na deposition mechanism facilitated by an ultra-sodiophilic ionic/electronic mixed conductor interphase exhibiting strong Na+ adsorption affinity, which ensures fast and dendrite-free Na anode operation. The embedded Na3Sb alloy phase, featuring high electronic conductivity and strong Na+ adsorption energy, significantly accelerates interfacial ion diffusion and nucleation kinetics, forming a smooth and compact Na deposition layer that facilitates stable solid electrolyte interphase formation and preserves interfacial integrity. Consequently, Na||Na symmetric cells employing a 1, 3-dioxolane-based gel polymer electrolyte deliver an ultra-long-cycling lifespan of 1000 h at 0.5 mA cm−2 with a low overpotential of 40 mV. Moreover, QSMBs incorporating the modified Na anode and Na3V2(PO4)3 cathode demonstrate outstanding cycling stability (74.1% capacity retention after 9000 cycles at 2C) and superior rate capability (91.7 mAh g−1 at 5C). The work provides mechanistic insights and practical strategies for regulating Na deposition, paving the way toward high-performance QSMBs. Highlights:1 A surface-induced “top” Na deposition mechanism facilitated by an ultra-sodiophilic ionic/electronic mixed conductor interphase composed of NaF and Na3Sb is proposed.2 SFC-Na anode exhibits enhanced Na+ affinity force and accelerated ion transport kinetics, Na nucleation kinetics are greatly enhanced while dendrite growth is effectively suppressed.3 The quasi-solid-state sodium-metal batteries with Na3V2(PO4)3 cathode and SFC-Na anode exhibit significantly enhanced cycling stability and superior rate capability.</w:t>
      </w:r>
    </w:p>
    <w:p>
      <w:pPr>
        <w:spacing w:before="120" w:after="120"/>
      </w:pPr>
      <w:r>
        <w:rPr>
          <w:sz w:val="18"/>
        </w:rPr>
        <w:t>——————————————————————————————————————————————————————————————————————</w:t>
      </w:r>
    </w:p>
    <w:p>
      <w:pPr>
        <w:spacing w:before="160" w:after="40" w:line="240" w:lineRule="auto"/>
      </w:pPr>
      <w:r>
        <w:rPr>
          <w:b/>
        </w:rPr>
        <w:t xml:space="preserve">[3] </w:t>
      </w:r>
      <w:hyperlink r:id="rId56">
        <w:r>
          <w:rPr>
            <w:color w:val="1155CC"/>
            <w:u w:val="single"/>
          </w:rPr>
          <w:t>具有动态负电荷微区域的水合网络界面可实现超稳定的水系锌离子电池</w:t>
        </w:r>
      </w:hyperlink>
    </w:p>
    <w:p>
      <w:pPr>
        <w:spacing w:before="0" w:after="80"/>
      </w:pPr>
      <w:r>
        <w:rPr>
          <w:i/>
          <w:sz w:val="20"/>
        </w:rPr>
        <w:t>EN: Hydrated Network Interphase with Dynamic Negatively Charged Microregion Enables Ultra-Stable Aqueous Zinc-Ion Batteries</w:t>
      </w:r>
    </w:p>
    <w:p>
      <w:pPr>
        <w:spacing w:before="0" w:after="120"/>
      </w:pPr>
      <w:r>
        <w:rPr>
          <w:b/>
        </w:rPr>
        <w:t xml:space="preserve">Source: </w:t>
      </w:r>
      <w:r>
        <w:t>Nano-Micro Letters</w:t>
      </w:r>
      <w:r>
        <w:t xml:space="preserve">    </w:t>
      </w:r>
      <w:r>
        <w:rPr>
          <w:b/>
        </w:rPr>
        <w:t xml:space="preserve">Pub date: </w:t>
      </w:r>
      <w:r>
        <w:t>2026-06-29 00:00:00+00:00</w:t>
      </w:r>
      <w:r>
        <w:t xml:space="preserve">    </w:t>
      </w:r>
      <w:r>
        <w:rPr>
          <w:b/>
        </w:rPr>
        <w:t xml:space="preserve">DOI: </w:t>
      </w:r>
      <w:hyperlink r:id="rId57">
        <w:r>
          <w:rPr>
            <w:color w:val="1155CC"/>
            <w:u w:val="single"/>
          </w:rPr>
          <w:t>10.1007/s40820-026-02262-0</w:t>
        </w:r>
      </w:hyperlink>
    </w:p>
    <w:p>
      <w:pPr>
        <w:spacing w:before="0" w:after="120"/>
      </w:pPr>
      <w:r>
        <w:rPr>
          <w:b/>
        </w:rPr>
        <w:t xml:space="preserve">Notes: </w:t>
      </w:r>
      <w:r>
        <w:t>abstract_source=rss_description</w:t>
      </w:r>
    </w:p>
    <w:p>
      <w:pPr>
        <w:spacing w:before="0" w:after="80" w:lineRule="auto" w:line="276"/>
      </w:pPr>
      <w:r>
        <w:rPr>
          <w:b/>
        </w:rPr>
        <w:t xml:space="preserve">摘要（ZH）: </w:t>
      </w:r>
      <w:r>
        <w:t>水系锌离子电池是大规模储能的有希望的候选者，但其发展受到锌负极界面不稳定性的严重阻碍。与使用预成型聚合物的策略不同，这项工作提出了一种创新的单体诱导的原位界面工程策略。通过利用丙烯酰胺单体在Zn表面的优先吸附，产生局部高浓度区域，随后在电化学循环过程中由Zn2+和SO42−协同触发，原位构建稳定的水合网络中间相（HNI）。 HNI通过三重协同机制精确调控Zn沉积：路易斯酸碱配位（C=O···Zn2+）提供固定的成核位点；动态锚定在界面内的 SO42− 形成带负电的微区域，通过库仑排斥使 Zn2+ 通量均匀化；致密的氢键网络有效限制游离水并抑制副反应。得益于这种多功能中间相，Zn//Zn 对称电池在 1 mA cm−2 下实现了 8650 小时（超过 360 天）的超长循环寿命，并且具有出色的重现性，Zn//Ti 电池在 5 mA cm−2 下提供了 99.71% 的高平均库仑效率。 Zn//I2 全电池在 12,000 次循环后仍保留 89.15% 的容量。这项工作为高性能锌金属阳极的界面构建提供了一种新颖的范例。亮点：1通过电化学方法原位构建了具有动态带负电微区域的水合网络中间相。</w:t>
      </w:r>
    </w:p>
    <w:p>
      <w:pPr>
        <w:spacing w:before="0" w:after="200" w:lineRule="auto" w:line="276"/>
      </w:pPr>
      <w:r>
        <w:rPr>
          <w:b/>
        </w:rPr>
        <w:t xml:space="preserve">Abstract (EN): </w:t>
      </w:r>
      <w:r>
        <w:t>Aqueous zinc-ion batteries are promising candidates for large-scale energy storage, yet their development is severely hindered by the interfacial instability of zinc anodes. Distinct from strategies employing pre-formed polymers, this work proposes an innovative monomer-induced in situ interface engineering strategy. By leveraging the preferential adsorption of acrylamide monomers on the Zn surface, a locally high-concentration region is created, which subsequently enables the in situ construction of a stable hydrated network interphase (HNI) triggered synergistically by Zn2+ and SO42− during electrochemical cycling. The HNI precisely regulates Zn deposition via a triple synergistic mechanism: Lewis acid–base coordination (C = O···Zn2+) provides fixed nucleation sites; dynamically anchored SO42− within the interphase forms negatively charged microregions that homogenize Zn2+ flux via Coulombic repulsion; and a dense hydrogen-bonding network effectively confines free water and suppresses side reactions. Benefiting from this multifunctional interphase, the Zn//Zn symmetric cell achieves an ultra-long cycling life of 8650 h (over 360 days) at 1 mA cm−2 with excellent reproducibility, the Zn//Ti cell delivers a high average Coulombic efficiency of 99.71% at 5 mA cm−2. The Zn//I2 full cell retains 89.15% of its capacity after 12,000 cycles. This work provides a novel paradigm for interfacial construction toward high-performance zinc metal anodes. Highlights:1 A hydrated network interphase with dynamic negatively charged microregions is constructed in situ via electrochemically triggered Zn2+/SO42– synergy, enabling triple synergistic regulation of Zn deposition.2 The HNI-modified Zn anode achieves ultra-long cycling (8650 h at 1 mA cm–2 and 1600 h at 10 mA cm–2) and high Coulombic efficiency (99.71%).3 The Zn//I2 cell delivers a high specific capacity of 356.27 mAh g–1 at 1 A g–1 and retains 89.15% capacity after 12,000 cycles.</w:t>
      </w:r>
    </w:p>
    <w:p>
      <w:pPr>
        <w:spacing w:before="120" w:after="120"/>
      </w:pPr>
      <w:r>
        <w:rPr>
          <w:sz w:val="18"/>
        </w:rPr>
        <w:t>——————————————————————————————————————————————————————————————————————</w:t>
      </w:r>
    </w:p>
    <w:p>
      <w:pPr>
        <w:spacing w:before="160" w:after="40" w:line="240" w:lineRule="auto"/>
      </w:pPr>
      <w:r>
        <w:rPr>
          <w:b/>
        </w:rPr>
        <w:t xml:space="preserve">[4] </w:t>
      </w:r>
      <w:hyperlink r:id="rId58">
        <w:r>
          <w:rPr>
            <w:color w:val="1155CC"/>
            <w:u w:val="single"/>
          </w:rPr>
          <w:t>用于具有超高容量和超快动力学的稳定钠离子存储的高熵硫化物的通用相工程</w:t>
        </w:r>
      </w:hyperlink>
    </w:p>
    <w:p>
      <w:pPr>
        <w:spacing w:before="0" w:after="80"/>
      </w:pPr>
      <w:r>
        <w:rPr>
          <w:i/>
          <w:sz w:val="20"/>
        </w:rPr>
        <w:t>EN: Universal Phase Engineering of High‐Entropy Sulfides for Stable Sodium‐Ion Storage With Ultra‐High Capacity and Ultra‐Fast Kinetics</w:t>
      </w:r>
    </w:p>
    <w:p>
      <w:pPr>
        <w:spacing w:before="0" w:after="120"/>
      </w:pPr>
      <w:r>
        <w:rPr>
          <w:b/>
        </w:rPr>
        <w:t xml:space="preserve">Source: </w:t>
      </w:r>
      <w:r>
        <w:t>Wiley: Advanced Materials: Table of Contents</w:t>
      </w:r>
      <w:r>
        <w:t xml:space="preserve">    </w:t>
      </w:r>
      <w:r>
        <w:rPr>
          <w:b/>
        </w:rPr>
        <w:t xml:space="preserve">Pub date: </w:t>
      </w:r>
      <w:r>
        <w:t>2026-06-29 08:04:15+00:00</w:t>
      </w:r>
      <w:r>
        <w:t xml:space="preserve">    </w:t>
      </w:r>
      <w:r>
        <w:rPr>
          <w:b/>
        </w:rPr>
        <w:t xml:space="preserve">DOI: </w:t>
      </w:r>
      <w:hyperlink r:id="rId59">
        <w:r>
          <w:rPr>
            <w:color w:val="1155CC"/>
            <w:u w:val="single"/>
          </w:rPr>
          <w:t>10.1002/adma.73769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熵过渡金属硫化物（HES）由于其协同熵稳定、晶格畸变和鸡尾酒效应，在作为钠离子电池阳极方面表现出巨大的潜力。然而，多组分不相容引起的潜在相分离严重限制了它们的性能。在此，我们提出了一种通过调节元素化学相容性的低混合焓策略来精确设计高性能 HES 阳极。该策略成功合成了单相 Co-Fe-Ni-Mn-Cr HES 固溶体（HES-Cr）。相比之下，Co-Fe-Ni-Mn-Mo HES (HES-Mo) 中各组分之间的相容性较差，导致其相分离。 HES-Cr 中的电子离域增强了电导率和金属硫键共价键，而适度的晶格畸变减轻了 Na 过程中的体积变化和应力集中。</w:t>
      </w:r>
      <w:r>
        <w:t xml:space="preserve"> </w:t>
      </w:r>
      <w:r>
        <w:t>+</w:t>
      </w:r>
      <w:r>
        <w:t xml:space="preserve"> </w:t>
      </w:r>
      <w:r>
        <w:t>插入/提取并降低Na</w:t>
      </w:r>
      <w:r>
        <w:t xml:space="preserve"> </w:t>
      </w:r>
      <w:r>
        <w:t>+</w:t>
      </w:r>
      <w:r>
        <w:t xml:space="preserve"> </w:t>
      </w:r>
      <w:r>
        <w:t>迁移障碍。因此，HES-Cr 可提供出色的 Na</w:t>
      </w:r>
      <w:r>
        <w:t xml:space="preserve"> </w:t>
      </w:r>
      <w:r>
        <w:t>+</w:t>
      </w:r>
      <w:r>
        <w:t xml:space="preserve"> </w:t>
      </w:r>
      <w:r>
        <w:t>存储性能，包括 845.2 mAh g 的高可逆容量</w:t>
      </w:r>
      <w:r>
        <w:t xml:space="preserve"> </w:t>
      </w:r>
      <w:r>
        <w:t>−1</w:t>
      </w:r>
      <w:r>
        <w:t xml:space="preserve"> </w:t>
      </w:r>
      <w:r>
        <w:t>0.2 A g 时</w:t>
      </w:r>
      <w:r>
        <w:t xml:space="preserve"> </w:t>
      </w:r>
      <w:r>
        <w:t>−1</w:t>
      </w:r>
      <w:r>
        <w:t xml:space="preserve"> </w:t>
      </w:r>
      <w:r>
        <w:t>以及497.5 mAh g的超高倍率性能</w:t>
      </w:r>
      <w:r>
        <w:t xml:space="preserve"> </w:t>
      </w:r>
      <w:r>
        <w:t>−1</w:t>
      </w:r>
      <w:r>
        <w:t xml:space="preserve"> </w:t>
      </w:r>
      <w:r>
        <w:t>即使在 40.0 A g</w:t>
      </w:r>
      <w:r>
        <w:t xml:space="preserve"> </w:t>
      </w:r>
      <w:r>
        <w:t>−1</w:t>
      </w:r>
      <w:r>
        <w:t xml:space="preserve"> </w:t>
      </w:r>
      <w:r>
        <w:t>具有长期稳定性，性能优于 HES-Mo 和大多数 HES 基阳极。此外，我们提出了一个三参数描述符</w:t>
      </w:r>
    </w:p>
    <w:p>
      <w:pPr>
        <w:spacing w:before="0" w:after="200" w:lineRule="auto" w:line="276"/>
      </w:pPr>
      <w:r>
        <w:rPr>
          <w:b/>
        </w:rPr>
        <w:t xml:space="preserve">Abstract (EN): </w:t>
      </w:r>
      <w:r>
        <w:t>High‐entropy transition metal sulfides (HESs) exhibit great potential as anodes for sodium‐ion batteries owing to their synergistic entropy stabilization, lattice distortion and cocktail effects. However, potential phase separation caused by multi‐component incompatibility severely limits their performance. Herein, we propose a low‐mixing‐enthalpy strategy through regulation of element chemical compatibility to precisely design high‐performance HES anodes. This strategy enables the successful synthesis of a single‐phase Co‐Fe‐Ni‐Mn‐Cr HES solid solution (HES‐Cr). In contrast, inferior compatibility among components in Co‐Fe‐Ni‐Mn‐Mo HES (HES‐Mo) leads to its phase separation. The electron delocalization in HES‐Cr enhances conductivity and metal‐sulfur bond covalency, while moderate lattice distortion alleviates volume changes and stress concentration during Na</w:t>
      </w:r>
      <w:r>
        <w:t xml:space="preserve"> </w:t>
      </w:r>
      <w:r>
        <w:t>+</w:t>
      </w:r>
      <w:r>
        <w:t xml:space="preserve"> </w:t>
      </w:r>
      <w:r>
        <w:t>insertion/extraction and lowers the Na</w:t>
      </w:r>
      <w:r>
        <w:t xml:space="preserve"> </w:t>
      </w:r>
      <w:r>
        <w:t>+</w:t>
      </w:r>
      <w:r>
        <w:t xml:space="preserve"> </w:t>
      </w:r>
      <w:r>
        <w:t>migration barrier. Consequently, the HES‐Cr delivers excellent Na</w:t>
      </w:r>
      <w:r>
        <w:t xml:space="preserve"> </w:t>
      </w:r>
      <w:r>
        <w:t>+</w:t>
      </w:r>
      <w:r>
        <w:t xml:space="preserve"> </w:t>
      </w:r>
      <w:r>
        <w:t>storage performance, including a high reversible capacity of 845.2 mAh g</w:t>
      </w:r>
      <w:r>
        <w:t xml:space="preserve"> </w:t>
      </w:r>
      <w:r>
        <w:t>−1</w:t>
      </w:r>
      <w:r>
        <w:t xml:space="preserve"> </w:t>
      </w:r>
      <w:r>
        <w:t>at 0.2 A g</w:t>
      </w:r>
      <w:r>
        <w:t xml:space="preserve"> </w:t>
      </w:r>
      <w:r>
        <w:t>−1</w:t>
      </w:r>
      <w:r>
        <w:t xml:space="preserve"> </w:t>
      </w:r>
      <w:r>
        <w:t>and ultra‐high rate property of 497.5 mAh g</w:t>
      </w:r>
      <w:r>
        <w:t xml:space="preserve"> </w:t>
      </w:r>
      <w:r>
        <w:t>−1</w:t>
      </w:r>
      <w:r>
        <w:t xml:space="preserve"> </w:t>
      </w:r>
      <w:r>
        <w:t>even at 40.0 A g</w:t>
      </w:r>
      <w:r>
        <w:t xml:space="preserve"> </w:t>
      </w:r>
      <w:r>
        <w:t>−1</w:t>
      </w:r>
      <w:r>
        <w:t xml:space="preserve"> </w:t>
      </w:r>
      <w:r>
        <w:t>along with long stability, outperforming HES‐Mo and most HES‐based anodes. Furthermore, we propose a three‐parameter descriptor to predict single‐phase high‐entropy materials across a broader compositional range. This work provides a new approach for rational design of single‐phase HESs and deepens understanding of their composition‐phase‐performance relationships.</w:t>
      </w:r>
    </w:p>
    <w:p>
      <w:pPr>
        <w:spacing w:before="120" w:after="120"/>
      </w:pPr>
      <w:r>
        <w:rPr>
          <w:sz w:val="18"/>
        </w:rPr>
        <w:t>——————————————————————————————————————————————————————————————————————</w:t>
      </w:r>
    </w:p>
    <w:p>
      <w:pPr>
        <w:spacing w:before="160" w:after="40" w:line="240" w:lineRule="auto"/>
      </w:pPr>
      <w:r>
        <w:rPr>
          <w:b/>
        </w:rPr>
        <w:t xml:space="preserve">[5] </w:t>
      </w:r>
      <w:hyperlink r:id="rId60">
        <w:r>
          <w:rPr>
            <w:color w:val="1155CC"/>
            <w:u w:val="single"/>
          </w:rPr>
          <w:t>将寄生反应从布拉维定律引导的电氧化还原中解耦到用于 Ah 级电池的高度可逆 (101) 织构锌阳极</w:t>
        </w:r>
      </w:hyperlink>
    </w:p>
    <w:p>
      <w:pPr>
        <w:spacing w:before="0" w:after="80"/>
      </w:pPr>
      <w:r>
        <w:rPr>
          <w:i/>
          <w:sz w:val="20"/>
        </w:rPr>
        <w:t>EN: Decoupling Parasitic Reactions From Bravais Law‐Guided Electroredox Toward Highly Reversible (101)‐Textured Zn Anodes for Ah‐Scale Batteries</w:t>
      </w:r>
    </w:p>
    <w:p>
      <w:pPr>
        <w:spacing w:before="0" w:after="120"/>
      </w:pPr>
      <w:r>
        <w:rPr>
          <w:b/>
        </w:rPr>
        <w:t xml:space="preserve">Source: </w:t>
      </w:r>
      <w:r>
        <w:t>Wiley: Advanced Materials: Table of Contents</w:t>
      </w:r>
      <w:r>
        <w:t xml:space="preserve">    </w:t>
      </w:r>
      <w:r>
        <w:rPr>
          <w:b/>
        </w:rPr>
        <w:t xml:space="preserve">Pub date: </w:t>
      </w:r>
      <w:r>
        <w:t>2026-06-29 08:04:24+00:00</w:t>
      </w:r>
      <w:r>
        <w:t xml:space="preserve">    </w:t>
      </w:r>
      <w:r>
        <w:rPr>
          <w:b/>
        </w:rPr>
        <w:t xml:space="preserve">DOI: </w:t>
      </w:r>
      <w:hyperlink r:id="rId61">
        <w:r>
          <w:rPr>
            <w:color w:val="1155CC"/>
            <w:u w:val="single"/>
          </w:rPr>
          <w:t>10.1002/adma.73893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锌离子电池（AZIB）在电网规模储能方面具有广阔的前景，但由于枝晶生长和水驱动的寄生反应而导致锌阳极可逆性较差，因此受到限制。尽管基于布拉维定律的晶体结构调节可以指导镀锌/剥离，但选择性晶面筛选通常会使未受保护的晶面容易受到寄生副反应的影响。传统的基于布拉维定律的纹理策略中的这种固有的权衡会导致不稳定和瞬态的纹理演化，尤其是在实际条件下。在这项研究中，我们提出了一种解耦电解质设计，使用甲酰胺（FA）共溶剂和微量1-丁基-3-甲基咪唑鎓阳离子（Bmim），同时实现面选择性纹理控制和全局水活度抑制</w:t>
      </w:r>
      <w:r>
        <w:t xml:space="preserve"> </w:t>
      </w:r>
      <w:r>
        <w:t>+</w:t>
      </w:r>
      <w:r>
        <w:t xml:space="preserve"> </w:t>
      </w:r>
      <w:r>
        <w:t>) 添加剂。米姆</w:t>
      </w:r>
      <w:r>
        <w:t xml:space="preserve"> </w:t>
      </w:r>
      <w:r>
        <w:t>+</w:t>
      </w:r>
      <w:r>
        <w:t xml:space="preserve"> </w:t>
      </w:r>
      <w:r>
        <w:t>添加剂优先吸附在 Zn(101) 面上，延缓其生长并将 Zn 电镀/剥离引导至 (101) 织构模式，而 FA 抑制本体/界面水活性，从而抑制非目标面上的界面副反应。这种分层设计确保了持续的 Zn(101) 纹理电氧化还原，并显着提高了可逆性，在 5 mA cm 电流下，Zn||Zn 对称电池的寿命为 1700 小时</w:t>
      </w:r>
      <w:r>
        <w:t xml:space="preserve"> </w:t>
      </w:r>
      <w:r>
        <w:t>−2</w:t>
      </w:r>
      <w:r>
        <w:t xml:space="preserve"> </w:t>
      </w:r>
      <w:r>
        <w:t>, 5 毫安时厘米</w:t>
      </w:r>
      <w:r>
        <w:t xml:space="preserve"> </w:t>
      </w:r>
      <w:r>
        <w:t>−2</w:t>
      </w:r>
      <w:r>
        <w:t xml:space="preserve"> </w:t>
      </w:r>
      <w:r>
        <w:t>，以及 Zn||I 中的 5000 次循环</w:t>
      </w:r>
      <w:r>
        <w:rPr>
          <w:vertAlign w:val="subscript"/>
        </w:rPr>
        <w:t>2</w:t>
      </w:r>
      <w:r>
        <w:t>全电池容量保持率为 79.55%</w:t>
      </w:r>
    </w:p>
    <w:p>
      <w:pPr>
        <w:spacing w:before="0" w:after="200" w:lineRule="auto" w:line="276"/>
      </w:pPr>
      <w:r>
        <w:rPr>
          <w:b/>
        </w:rPr>
        <w:t xml:space="preserve">Abstract (EN): </w:t>
      </w:r>
      <w:r>
        <w:t>Aqueous Zn–ion batteries (AZIBs) are promising for grid‐scale energy storage but are limited by poor Zn anode reversibility due to dendrite growth and water‐driven parasitic reactions. Although crystallographic texture regulation based on Bravais law can guide Zn plating/stripping, selective facet screening often leaves unprotected facets vulnerable to the parasitic side reactions. This inherent trade‐off in conventional Bravais law‐based texturing strategies leads to unstable and transient texture evolution especially under practical conditions. In this study, we propose a decoupled electrolyte design that simultaneously enables facet‐selective texture control and global suppression of water activity using a formamide (FA) cosolvent and a trace 1‐butyl‐3‐methylimidazolium cation (Bmim</w:t>
      </w:r>
      <w:r>
        <w:t xml:space="preserve"> </w:t>
      </w:r>
      <w:r>
        <w:t>+</w:t>
      </w:r>
      <w:r>
        <w:t xml:space="preserve"> </w:t>
      </w:r>
      <w:r>
        <w:t>) additive. Bmim</w:t>
      </w:r>
      <w:r>
        <w:t xml:space="preserve"> </w:t>
      </w:r>
      <w:r>
        <w:t>+</w:t>
      </w:r>
      <w:r>
        <w:t xml:space="preserve"> </w:t>
      </w:r>
      <w:r>
        <w:t>additive preferentially adsorbs on the Zn(101) facet, retarding its growth and directing Zn plating/stripping toward a (101)‐textured mode, while FA suppresses the bulk/interfacial water activity, thereby suppressing interfacial side reactions on non‐targeted facets. This hierarchical design ensures sustained Zn(101)‐textured electroredox with markedly improved reversibility, delivering 1700 h lifespan in Zn||Zn symmetric cells at 5 mA cm</w:t>
      </w:r>
      <w:r>
        <w:t xml:space="preserve"> </w:t>
      </w:r>
      <w:r>
        <w:t>−2</w:t>
      </w:r>
      <w:r>
        <w:t xml:space="preserve"> </w:t>
      </w:r>
      <w:r>
        <w:t>, 5 mAh cm</w:t>
      </w:r>
      <w:r>
        <w:t xml:space="preserve"> </w:t>
      </w:r>
      <w:r>
        <w:t>−2</w:t>
      </w:r>
      <w:r>
        <w:t xml:space="preserve"> </w:t>
      </w:r>
      <w:r>
        <w:t>, and 5000 cycles in Zn||I</w:t>
      </w:r>
      <w:r>
        <w:rPr>
          <w:vertAlign w:val="subscript"/>
        </w:rPr>
        <w:t>2</w:t>
      </w:r>
      <w:r>
        <w:t>full cells with 79.55% capacity retention at 0.5 A g</w:t>
      </w:r>
      <w:r>
        <w:t xml:space="preserve"> </w:t>
      </w:r>
      <w:r>
        <w:t>−1</w:t>
      </w:r>
      <w:r>
        <w:t xml:space="preserve"> </w:t>
      </w:r>
      <w:r>
        <w:t>. Notably, a 1.4 Ah pouch cell further validates the scalability of the proposed decoupling principle for practical AZIBs.</w:t>
      </w:r>
    </w:p>
    <w:p>
      <w:pPr>
        <w:spacing w:before="120" w:after="120"/>
      </w:pPr>
      <w:r>
        <w:rPr>
          <w:sz w:val="18"/>
        </w:rPr>
        <w:t>——————————————————————————————————————————————————————————————————————</w:t>
      </w:r>
    </w:p>
    <w:p>
      <w:pPr>
        <w:spacing w:before="160" w:after="40" w:line="240" w:lineRule="auto"/>
      </w:pPr>
      <w:r>
        <w:rPr>
          <w:b/>
        </w:rPr>
        <w:t xml:space="preserve">[6] </w:t>
      </w:r>
      <w:hyperlink r:id="rId62">
        <w:r>
          <w:rPr>
            <w:color w:val="1155CC"/>
            <w:u w:val="single"/>
          </w:rPr>
          <w:t>卤化物固态电解质的阳极兼容性</w:t>
        </w:r>
      </w:hyperlink>
    </w:p>
    <w:p>
      <w:pPr>
        <w:spacing w:before="0" w:after="80"/>
      </w:pPr>
      <w:r>
        <w:rPr>
          <w:i/>
          <w:sz w:val="20"/>
        </w:rPr>
        <w:t>EN: Anode Compatibility of Halide Solid‐State Electrolytes</w:t>
      </w:r>
    </w:p>
    <w:p>
      <w:pPr>
        <w:spacing w:before="0" w:after="120"/>
      </w:pPr>
      <w:r>
        <w:rPr>
          <w:b/>
        </w:rPr>
        <w:t xml:space="preserve">Source: </w:t>
      </w:r>
      <w:r>
        <w:t>Wiley: Advanced Materials: Table of Contents</w:t>
      </w:r>
      <w:r>
        <w:t xml:space="preserve">    </w:t>
      </w:r>
      <w:r>
        <w:rPr>
          <w:b/>
        </w:rPr>
        <w:t xml:space="preserve">Pub date: </w:t>
      </w:r>
      <w:r>
        <w:t>2026-06-29 15:32:22+00:00</w:t>
      </w:r>
      <w:r>
        <w:t xml:space="preserve">    </w:t>
      </w:r>
      <w:r>
        <w:rPr>
          <w:b/>
        </w:rPr>
        <w:t xml:space="preserve">DOI: </w:t>
      </w:r>
      <w:hyperlink r:id="rId63">
        <w:r>
          <w:rPr>
            <w:color w:val="1155CC"/>
            <w:u w:val="single"/>
          </w:rPr>
          <w:t>10.1002/adma.73862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最近，锂金属卤化物（Li-M-X）超离子导体因其高Li值而成为全固态锂电池（ASSLB）有前景的固态电解质（SSE）。</w:t>
      </w:r>
      <w:r>
        <w:t xml:space="preserve"> </w:t>
      </w:r>
      <w:r>
        <w:t>+</w:t>
      </w:r>
      <w:r>
        <w:t xml:space="preserve"> </w:t>
      </w:r>
      <w:r>
        <w:t>导电性、与阴极优异的相容性和良好的机械变形性。然而，许多这些导体在与还原阳极接触时表现出化学和电化学不稳定性，这阻碍了锂金属直接用作具有极高比容量的阳极，并限制了卤化物基ASSLB的整体能量密度。因此，提高卤化物SSE的阳极兼容性已成为ASSLB开发的关键任务，并引起了广泛的研究兴趣。在此，基于实验观察和理论计算，阐明了卤化物 SSE 对锂阳极不稳定的潜在机制。总结了旨在提高卤化物 SSE 与锂阳极兼容性的最新策略和进展。此外，还讨论了压力和体积变化对卤化物SSE和锂金属之间界面相容性的影响。此外，还分析了当前的挑战和未来的研究方向，旨在为支持Li-M-X型固态电解质和全固态锂电池的进一步发展提供理论见解和指导。</w:t>
      </w:r>
    </w:p>
    <w:p>
      <w:pPr>
        <w:spacing w:before="0" w:after="200" w:lineRule="auto" w:line="276"/>
      </w:pPr>
      <w:r>
        <w:rPr>
          <w:b/>
        </w:rPr>
        <w:t xml:space="preserve">Abstract (EN): </w:t>
      </w:r>
      <w:r>
        <w:t>Recently, lithium‐metal‐halide (Li‐M‐X) superionic conductors have emerged as promising solid‐state electrolyte (SSEs) for all‐solid‐state lithium batteries (ASSLBs), owing to their high Li</w:t>
      </w:r>
      <w:r>
        <w:t xml:space="preserve"> </w:t>
      </w:r>
      <w:r>
        <w:t>+</w:t>
      </w:r>
      <w:r>
        <w:t xml:space="preserve"> </w:t>
      </w:r>
      <w:r>
        <w:t>conductivity, excellent compatibility with cathodes, and good mechanical deformability. However, many of these conductors exhibit chemical and electrochemical instability when in contact with the reductive anodes, which hinders the direct use of lithium metal as anodes with extraordinarily high specific capacities and limits the overall energy density of halide‐based ASSLBs. Therefore, enhancing the anode compatibility of halide SSEs has become a critical task in ASSLB development and has attracted broad research interest. Herein, the underlying mechanisms responsible for the instability of halide SSEs against the lithium anode are elucidated based on both experimental observations and theoretical calculations. Recent strategies and progress aimed at improving the compatibility of halide SSEs with lithium anodes are summarized. Moreover, the effects of pressure and volume changes on the interfacial compatibility between halide SSE and lithium metal are discussed. In addition, the current challenges and future research directions are analyzed, aiming to provide theoretical insights and guidance to support further advancements in Li‐M‐X type solid‐state electrolytes and all‐solid‐state lithium batteries.</w:t>
      </w:r>
    </w:p>
    <w:p>
      <w:pPr>
        <w:spacing w:before="120" w:after="120"/>
      </w:pPr>
      <w:r>
        <w:rPr>
          <w:sz w:val="18"/>
        </w:rPr>
        <w:t>——————————————————————————————————————————————————————————————————————</w:t>
      </w:r>
    </w:p>
    <w:p>
      <w:pPr>
        <w:spacing w:before="160" w:after="40" w:line="240" w:lineRule="auto"/>
      </w:pPr>
      <w:r>
        <w:rPr>
          <w:b/>
        </w:rPr>
        <w:t xml:space="preserve">[7] </w:t>
      </w:r>
      <w:hyperlink r:id="rId64">
        <w:r>
          <w:rPr>
            <w:color w:val="1155CC"/>
            <w:u w:val="single"/>
          </w:rPr>
          <w:t>原位形成的仿生细胞壁界面为高性能水系电池提供可逆锌阳极</w:t>
        </w:r>
      </w:hyperlink>
    </w:p>
    <w:p>
      <w:pPr>
        <w:spacing w:before="0" w:after="80"/>
      </w:pPr>
      <w:r>
        <w:rPr>
          <w:i/>
          <w:sz w:val="20"/>
        </w:rPr>
        <w:t>EN: In-Situ Formed Bionic Cell Wall Interphase Enables Reversible Zn Anode for High-Performance Aqueous Batteries</w:t>
      </w:r>
    </w:p>
    <w:p>
      <w:pPr>
        <w:spacing w:before="0" w:after="120"/>
      </w:pPr>
      <w:r>
        <w:rPr>
          <w:b/>
        </w:rPr>
        <w:t xml:space="preserve">Source: </w:t>
      </w:r>
      <w:r>
        <w:t>RSC - Energy Environ. Sci. latest articles</w:t>
      </w:r>
      <w:r>
        <w:t xml:space="preserve">    </w:t>
      </w:r>
      <w:r>
        <w:rPr>
          <w:b/>
        </w:rPr>
        <w:t xml:space="preserve">Pub date: </w:t>
      </w:r>
      <w:r>
        <w:t>2026-06-29 23:00:00+00:00</w:t>
      </w:r>
    </w:p>
    <w:p>
      <w:pPr>
        <w:spacing w:before="0" w:after="120"/>
      </w:pPr>
      <w:r>
        <w:rPr>
          <w:b/>
        </w:rPr>
        <w:t xml:space="preserve">Notes: </w:t>
      </w:r>
      <w:r>
        <w:t>abstract_source=rsc_html</w:t>
      </w:r>
    </w:p>
    <w:p>
      <w:pPr>
        <w:spacing w:before="0" w:after="80" w:lineRule="auto" w:line="276"/>
      </w:pPr>
      <w:r>
        <w:rPr>
          <w:b/>
        </w:rPr>
        <w:t xml:space="preserve">摘要（ZH）: </w:t>
      </w:r>
      <w:r>
        <w:t>水系锌离子电池（AZIB）具有成本效益和固有安全性，使其适合大规模储能应用。然而，在水性电解质中，在锌阳极上获得稳定的固体电解质界面（SEI）具有挑战性，更不用说原位形成具有优异机械和电化学性能的SEI了。在这项工作中，我们通过引入 Na2TeO3 电解质添加剂，设计了一种在锌阳极上原位形成的新型仿生细胞壁 SEI。具体来说，碲（Te）基非晶基质可以适应Zn2+离子传输过程中的体积变化，并赋予SEI的界面相容性。同时，嵌套的功能纳米晶（Na2Zn2(TeO3)3和ZnTe）增强了SEI的硬度并提供丰富的离子/电子通道，有助于锌阳极优异的界面性能。在这种仿生 SEI 中三相的协同作用下，实现了锰基 AZIB 的优异电化学性能。具体来说，与 SEI 组装的软包电池可实现约 0.25 Ah 的可逆容量，并为遥控汽车提供动力。这项工作展示了一种新型的锌阳极界面化学和结构调控策略，用于推进 AZIBs。</w:t>
      </w:r>
    </w:p>
    <w:p>
      <w:pPr>
        <w:spacing w:before="0" w:after="200" w:lineRule="auto" w:line="276"/>
      </w:pPr>
      <w:r>
        <w:rPr>
          <w:b/>
        </w:rPr>
        <w:t xml:space="preserve">Abstract (EN): </w:t>
      </w:r>
      <w:r>
        <w:t>Aqueous zinc-ion batteries (AZIBs) feature cost-effective and inherent safety, making them suitable for large-scale energy storage applications. However, acquiring a stable solid electrolyte interphase (SEI) on the Zn anode is challenging in aqueous electrolytes, let alone the in-situ formation of SEI with excellent mechanical and electrochemical properties. In this work, we design a novel bionic cell wall-like SEI in-situ formed on the Zn anode by introducing the Na2TeO3 electrolyte additive. Specifically, the tellurium (Te)-based amorphous matrix can accommodate volume change during the Zn2+ ion transport process and endow the interfacial compatibility of the SEI. Meanwhile, the nested functional nanocrystals (Na2Zn2(TeO3)3 and ZnTe) enhance the hardness of SEI and provide abundant ion/electron channels, contributing to outstanding interfacial properties of the Zn anode. Under the synergism of the three phases in this bionic SEI, the exceptional electrochemical performances of Mn-based AZIBs are achieved. Specifically, the pouch cell assembled with the SEI attains a reversible capacity of ~0.25 Ah and powers the remote-controlled car. This work demonstrates a novel interfacial chemical and structural regulation strategy on Zn anode for advancing AZIBs.</w:t>
      </w:r>
    </w:p>
    <w:p>
      <w:pPr>
        <w:spacing w:before="120" w:after="120"/>
      </w:pPr>
      <w:r>
        <w:rPr>
          <w:sz w:val="18"/>
        </w:rPr>
        <w:t>——————————————————————————————————————————————————————————————————————</w:t>
      </w:r>
    </w:p>
    <w:p>
      <w:pPr>
        <w:spacing w:before="160" w:after="40" w:line="240" w:lineRule="auto"/>
      </w:pPr>
      <w:r>
        <w:rPr>
          <w:b/>
        </w:rPr>
        <w:t xml:space="preserve">[8] </w:t>
      </w:r>
      <w:hyperlink r:id="rId65">
        <w:r>
          <w:rPr>
            <w:color w:val="1155CC"/>
            <w:u w:val="single"/>
          </w:rPr>
          <w:t>通过面对面电子通道调节抑制可持续锌电池的界面电场波动</w:t>
        </w:r>
      </w:hyperlink>
    </w:p>
    <w:p>
      <w:pPr>
        <w:spacing w:before="0" w:after="80"/>
      </w:pPr>
      <w:r>
        <w:rPr>
          <w:i/>
          <w:sz w:val="20"/>
        </w:rPr>
        <w:t>EN: Suppressing the interface electric field fluctuation through faceto-face electronic channel regulation for sustainable zinc batteries</w:t>
      </w:r>
    </w:p>
    <w:p>
      <w:pPr>
        <w:spacing w:before="0" w:after="120"/>
      </w:pPr>
      <w:r>
        <w:rPr>
          <w:b/>
        </w:rPr>
        <w:t xml:space="preserve">Source: </w:t>
      </w:r>
      <w:r>
        <w:t>RSC - Energy Environ. Sci. latest articles</w:t>
      </w:r>
      <w:r>
        <w:t xml:space="preserve">    </w:t>
      </w:r>
      <w:r>
        <w:rPr>
          <w:b/>
        </w:rPr>
        <w:t xml:space="preserve">Pub date: </w:t>
      </w:r>
      <w:r>
        <w:t>2026-06-29 23:00:00+00:00</w:t>
      </w:r>
    </w:p>
    <w:p>
      <w:pPr>
        <w:spacing w:before="0" w:after="120"/>
      </w:pPr>
      <w:r>
        <w:rPr>
          <w:b/>
        </w:rPr>
        <w:t xml:space="preserve">Notes: </w:t>
      </w:r>
      <w:r>
        <w:t>abstract_source=rsc_html</w:t>
      </w:r>
    </w:p>
    <w:p>
      <w:pPr>
        <w:spacing w:before="0" w:after="80" w:lineRule="auto" w:line="276"/>
      </w:pPr>
      <w:r>
        <w:rPr>
          <w:b/>
        </w:rPr>
        <w:t xml:space="preserve">摘要（ZH）: </w:t>
      </w:r>
      <w:r>
        <w:t>由于有限的界面接触和不均匀的电荷聚集而导致的电极-电解质界面相互作用不良，是凝胶电解质在水性锌（Zn）离子电池（ZIB）中实际应用的主要限制。在这里，我们提出了一种面对面的电子通道调节策略，通过简单且可大规模生产的热压策略将聚丙烯酰胺凝胶电解质与商用导电碳布集成，以构建高度可逆的 ZIB。这种工程凝胶电解质有助于电极表面不均匀电荷的快速移动，促进电子和离子通道之间的有效接触，从而有效均匀化界面电场，最小化表面局部电流密度，并操纵Zn 2+ 离子浓度梯度以诱导均匀的Zn 2+ 离子沉积。这些综合优点使锌负极具有超过3700小时的改进循环稳定性，Zn//Zn电池的放电深度高达85.5%，库伦效率高达99.7%，并且Zn//Cu电池在10 mA cm -2 /1 mAh cm -2 下循环超过8000次，累积镀层容量创纪录的8 Ah cm -2 。通过挑战凝胶电解质和水性锌化学的传统设计，该策略可能为开发更好的 ZIB 和相关电池系统提供新的见解。</w:t>
      </w:r>
    </w:p>
    <w:p>
      <w:pPr>
        <w:spacing w:before="0" w:after="200" w:lineRule="auto" w:line="276"/>
      </w:pPr>
      <w:r>
        <w:rPr>
          <w:b/>
        </w:rPr>
        <w:t xml:space="preserve">Abstract (EN): </w:t>
      </w:r>
      <w:r>
        <w:t>The poor electrode-electrolyte interface interaction, which originated from the limited interfacial contact and uneven charge aggregation, represent the primary constraints for the practical application of gel electrolytes in aqueous zinc (Zn)-ion batteries (ZIBs). Here, we propose a face-to-face electronic channel regulation strategy through integrating polyacrylamide gel electrolyte with commercial conductive carbon cloth by a simple and mass-producible hot-pressing strategy for building highly reversible ZIBs. This engineered gel electrolyte contributes to the rapid movement of inhomogeneous charges on the electrode surface and boosts the efficient contact between electron and ion channels, thus effectively homogenizing interfacial electric field, minimizing surface local current density, and manipulating the Zn 2+ ions concentration gradient to induce uniform Zn 2+ ions deposition. These integrated merits endow the Zn anode with an improved cycling stability exceeding 3700 h, a superior depth of discharge of 85.5% in the Zn//Zn cell, and a significant coulombic efficiency of 99.7%, as well as a record cumulative plated capacity of 8 Ah cm -2 in the Zn//Cu cell over 8000 cycles at 10 mA cm -2 /1 mAh cm -2 . By challenging conventional designs in gel electrolytes and aqueous Zn chemistry, this strategy may offer new insights for the development of better ZIBs and related cell systems.</w:t>
      </w:r>
    </w:p>
    <w:p>
      <w:pPr>
        <w:spacing w:before="120" w:after="120"/>
      </w:pPr>
      <w:r>
        <w:rPr>
          <w:sz w:val="18"/>
        </w:rPr>
        <w:t>——————————————————————————————————————————————————————————————————————</w:t>
      </w:r>
    </w:p>
    <w:p>
      <w:pPr>
        <w:spacing w:before="160" w:after="40" w:line="240" w:lineRule="auto"/>
      </w:pPr>
      <w:r>
        <w:rPr>
          <w:b/>
        </w:rPr>
        <w:t xml:space="preserve">[9] </w:t>
      </w:r>
      <w:hyperlink r:id="rId33">
        <w:r>
          <w:rPr>
            <w:color w:val="1155CC"/>
            <w:u w:val="single"/>
          </w:rPr>
          <w:t>具有硫酸基团介导的聚碘化物排斥作用的藻类水凝胶电解质可实现稳定的碘化学</w:t>
        </w:r>
      </w:hyperlink>
    </w:p>
    <w:p>
      <w:pPr>
        <w:spacing w:before="0" w:after="80"/>
      </w:pPr>
      <w:r>
        <w:rPr>
          <w:i/>
          <w:sz w:val="20"/>
        </w:rPr>
        <w:t>EN: Algae-inspired hydrogel electrolytes with sulfate-group-mediated polyiodide repulsion for stable iodine chemistry</w:t>
      </w:r>
    </w:p>
    <w:p>
      <w:pPr>
        <w:spacing w:before="0" w:after="120"/>
      </w:pPr>
      <w:r>
        <w:rPr>
          <w:b/>
        </w:rPr>
        <w:t xml:space="preserve">Source: </w:t>
      </w:r>
      <w:r>
        <w:t>RSC - Energy Environ. Sci. latest articles</w:t>
      </w:r>
      <w:r>
        <w:t xml:space="preserve">    </w:t>
      </w:r>
      <w:r>
        <w:rPr>
          <w:b/>
        </w:rPr>
        <w:t xml:space="preserve">Pub date: </w:t>
      </w:r>
      <w:r>
        <w:t>2026-06-29 23:00:00+00:00</w:t>
      </w:r>
    </w:p>
    <w:p>
      <w:pPr>
        <w:spacing w:before="0" w:after="120"/>
      </w:pPr>
      <w:r>
        <w:rPr>
          <w:b/>
        </w:rPr>
        <w:t xml:space="preserve">Notes: </w:t>
      </w:r>
      <w:r>
        <w:t>abstract_source=rsc_html</w:t>
      </w:r>
    </w:p>
    <w:p>
      <w:pPr>
        <w:spacing w:before="0" w:after="80" w:lineRule="auto" w:line="276"/>
      </w:pPr>
      <w:r>
        <w:rPr>
          <w:b/>
        </w:rPr>
        <w:t xml:space="preserve">摘要（ZH）: </w:t>
      </w:r>
      <w:r>
        <w:t>水系锌碘电池对于大规模储能具有吸引力，但其实际应用受到锌枝晶生长、界面副反应和多碘化物穿梭的阻碍。受海洋褐藻的碘调节能力的启发，我们通过将硫酸多糖岩藻依聚糖（FUC）掺入聚（N-羟乙基丙烯酰胺）（PHEAA）网络中，开发了一种多功能水凝胶电解质。与传统的吸附为主的策略相比，FUC 中丰富的硫酸基团建立了静电排斥势垒，将聚碘化物限制在阴极/电解质界面，从而从源头减轻穿梭效应。同时，PHEAA 中的酰胺基团能够进一步捕获逃逸的聚碘化物，形成协同的“排斥-吸附”机制。此外，硫酸盐基团有助于重建Zn2+溶剂化结构，均匀化Zn2+通量，减弱水引起的寄生反应，从而稳定Zn负极。受益于界面稳定性和离子传输，优化的电解质使 Zn||Zn 电池能够维持运行 4500 小时，而 Zn||I2 全电池能够在 2.0 A g-1 下进行 40,000 次循环。值得注意的是，软包电池在 3500 次循环后仍保留 93.5% 的容量，展示了在苛刻条件下的实际潜力。这项工作强调了硫酸盐基团介导的双界面调节策略，用于构建稳定的水性电池的生物源水凝胶电解质。</w:t>
      </w:r>
    </w:p>
    <w:p>
      <w:pPr>
        <w:spacing w:before="0" w:after="200" w:lineRule="auto" w:line="276"/>
      </w:pPr>
      <w:r>
        <w:rPr>
          <w:b/>
        </w:rPr>
        <w:t xml:space="preserve">Abstract (EN): </w:t>
      </w:r>
      <w:r>
        <w:t>Aqueous zinc–iodine batteries are appealing for large-scale energy storage, yet their practical application is hindered by Zn dendrite growth, interfacial side reaction, and polyiodide shuttle. Inspired by the iodine-regulation capability of marine brown algae, we herein develop a versatile hydrogel electrolyte by incorporating fucoidan (FUC), a sulfated polysaccharide, into a poly (N-hydroxyethyl acrylamide) (PHEAA) network. In contrast to conventional adsorption-dominated tactics, the abundant sulfate groups in FUC establish an electrostatic repulsion barrier to confine polyiodides at the cathode/electrolyte interface, hence mitigating the shuttle effect from the source. Meanwhile, the amide groups in PHEAA manage to further capture escaped polyiodides, rendering a synergistic “repulsion–adsorption” mechanism. In addition, sulfate groups help reconstruct Zn2+ solvation structure, homogenize Zn2+ flux, and weaken water-induced parasitic reactions, thereby stabilizing the Zn anode. Benefiting from the interfacial stability and ion transport, the optimized electrolyte enables Zn||Zn cells to maintain operations for 4500 h and Zn||I2 full cells to deliver 40,000 cycles at 2.0 A g-1. Notably, pouch cells retain 93.5% capacity after 3500 cycles, demonstrating practical potential under demanding conditions. This work highlights a sulfate-group-mediated dual-interfacial regulation strategy for constructing bio-derived hydrogel electrolytes toward stable aqueous batteries.</w:t>
      </w:r>
    </w:p>
    <w:p>
      <w:pPr>
        <w:spacing w:before="120" w:after="120"/>
      </w:pPr>
      <w:r>
        <w:rPr>
          <w:sz w:val="18"/>
        </w:rPr>
        <w:t>——————————————————————————————————————————————————————————————————————</w:t>
      </w:r>
    </w:p>
    <w:p>
      <w:pPr>
        <w:spacing w:before="160" w:after="40" w:line="240" w:lineRule="auto"/>
      </w:pPr>
      <w:r>
        <w:rPr>
          <w:b/>
        </w:rPr>
        <w:t xml:space="preserve">[10] </w:t>
      </w:r>
      <w:hyperlink r:id="rId36">
        <w:r>
          <w:rPr>
            <w:color w:val="1155CC"/>
            <w:u w:val="single"/>
          </w:rPr>
          <w:t>自适应离子筛：灵活的氢键有机框架消除了锌离子去溶剂化和传质之间的权衡</w:t>
        </w:r>
      </w:hyperlink>
    </w:p>
    <w:p>
      <w:pPr>
        <w:spacing w:before="0" w:after="80"/>
      </w:pPr>
      <w:r>
        <w:rPr>
          <w:i/>
          <w:sz w:val="20"/>
        </w:rPr>
        <w:t>EN: An Adaptive Ionic Sieve: Flexible Hydrogen‐Bonded Organic Frameworks Decouple the Trade‐Off Between Zn Ions Desolvation and Mass Transfer</w:t>
      </w:r>
    </w:p>
    <w:p>
      <w:pPr>
        <w:spacing w:before="0" w:after="120"/>
      </w:pPr>
      <w:r>
        <w:rPr>
          <w:b/>
        </w:rPr>
        <w:t xml:space="preserve">Source: </w:t>
      </w:r>
      <w:r>
        <w:t>Wiley: Angewandte Chemie International Edition: Table of Contents</w:t>
      </w:r>
      <w:r>
        <w:t xml:space="preserve">    </w:t>
      </w:r>
      <w:r>
        <w:rPr>
          <w:b/>
        </w:rPr>
        <w:t xml:space="preserve">Pub date: </w:t>
      </w:r>
      <w:r>
        <w:t>2026-06-30 07:37:54+00:00</w:t>
      </w:r>
      <w:r>
        <w:t xml:space="preserve">    </w:t>
      </w:r>
      <w:r>
        <w:rPr>
          <w:b/>
        </w:rPr>
        <w:t xml:space="preserve">DOI: </w:t>
      </w:r>
      <w:hyperlink r:id="rId37">
        <w:r>
          <w:rPr>
            <w:color w:val="1155CC"/>
            <w:u w:val="single"/>
          </w:rPr>
          <w:t>10.1002/anie.7428603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效的离子去溶剂化和快速的质量传输对于稳定水性锌离子电池中的锌阳极至关重要，但往往是相互竞争的要求。出现这种困境是因为离子去溶剂化引入了额外的能量势垒，增加了离子扩散阻力。为了协调这种固有的权衡，基于氢键的有机框架（HOF）</w:t>
      </w:r>
      <w:r>
        <w:t xml:space="preserve"> </w:t>
      </w:r>
      <w:r>
        <w:t>C</w:t>
      </w:r>
      <w:r>
        <w:rPr>
          <w:vertAlign w:val="subscript"/>
        </w:rPr>
        <w:t>3</w:t>
      </w:r>
      <w:r>
        <w:t>对称三角羧基配体被设计为离子筛分界面。该设计将精确的孔径控制与定制的化学环境相结合，以调节锌</w:t>
      </w:r>
      <w:r>
        <w:t xml:space="preserve"> </w:t>
      </w:r>
      <w:r>
        <w:t>2+</w:t>
      </w:r>
      <w:r>
        <w:t xml:space="preserve"> </w:t>
      </w:r>
      <w:r>
        <w:t>去溶剂化行为。正如预期的那样，采用缺电子三嗪核心（HOF-TAT）的柔性 HOF 动态剥离溶剂化水分子，同时保持连续的离子通量。该过程形成了梯度固体电解质界面，与自适应多孔框架协同作用，引导致密（101）取向的锌沉积。 HOF-TAT@Zn 对称电池在 5 mA cm 下稳定循环超过 3400 小时</w:t>
      </w:r>
      <w:r>
        <w:t xml:space="preserve"> </w:t>
      </w:r>
      <w:r>
        <w:t>−2</w:t>
      </w:r>
      <w:r>
        <w:t xml:space="preserve"> </w:t>
      </w:r>
      <w:r>
        <w:t>。此外，亲碘多孔框架通过强物理化学相互作用固定穿梭的聚碘化物。当与超薄锌阳极（10 µm）集成时，锌碘电池可提供高倍率容量（142.2 mAh g</w:t>
      </w:r>
      <w:r>
        <w:t xml:space="preserve"> </w:t>
      </w:r>
      <w:r>
        <w:t>−1</w:t>
      </w:r>
      <w:r>
        <w:t xml:space="preserve"> </w:t>
      </w:r>
      <w:r>
        <w:t>5 A g</w:t>
      </w:r>
      <w:r>
        <w:t xml:space="preserve"> </w:t>
      </w:r>
      <w:r>
        <w:t>−1</w:t>
      </w:r>
      <w:r>
        <w:t xml:space="preserve"> </w:t>
      </w:r>
      <w:r>
        <w:t>）和长期使用寿命（50 000 次循环）。这项工作提供了一个明智的策略来同意</w:t>
      </w:r>
    </w:p>
    <w:p>
      <w:pPr>
        <w:spacing w:before="0" w:after="200" w:lineRule="auto" w:line="276"/>
      </w:pPr>
      <w:r>
        <w:rPr>
          <w:b/>
        </w:rPr>
        <w:t xml:space="preserve">Abstract (EN): </w:t>
      </w:r>
      <w:r>
        <w:t>Efficient ion desolvation and rapid mass transport are crucial yet often competing requirements for stabilizing Zn anodes in aqueous Zn‐ion batteries. This dilemma arises because ion desolvation introduces additional energy barriers that increase ion diffusion resistance. To reconcile this inherent trade‐off, a hydrogen‐bonded organic framework (HOF) based on</w:t>
      </w:r>
      <w:r>
        <w:t xml:space="preserve"> </w:t>
      </w:r>
      <w:r>
        <w:t>C</w:t>
      </w:r>
      <w:r>
        <w:rPr>
          <w:vertAlign w:val="subscript"/>
        </w:rPr>
        <w:t>3</w:t>
      </w:r>
      <w:r>
        <w:t>‑symmetric trigonal carboxyl ligands is engineered as an ion‐sieving interface. This design integrates precise pore size control with tailored chemical environment to regulate Zn</w:t>
      </w:r>
      <w:r>
        <w:t xml:space="preserve"> </w:t>
      </w:r>
      <w:r>
        <w:t>2+</w:t>
      </w:r>
      <w:r>
        <w:t xml:space="preserve"> </w:t>
      </w:r>
      <w:r>
        <w:t>desolvation behavior. As expected, the flexible HOF incorporating an electron‐deficient triazine core (HOF‐TAT) dynamically strips solvated water molecules while maintaining continuous ion flux. This process fosters a gradient solid electrolyte interphase that synergizes with the self‐adaptive porous framework to guide dense (101)‐oriented Zn deposition. The HOF‐TAT@Zn symmetric cells stably cycle exceeding 3400 h at 5 mA cm</w:t>
      </w:r>
      <w:r>
        <w:t xml:space="preserve"> </w:t>
      </w:r>
      <w:r>
        <w:t>−2</w:t>
      </w:r>
      <w:r>
        <w:t xml:space="preserve"> </w:t>
      </w:r>
      <w:r>
        <w:t>. Furthermore, the iodophilic porous framework immobilizes shuttling polyiodides through strong physicochemical interactions. When integrated with an ultrathin Zn anode (10 µm), the Zn‐iodine batteries deliver a high‐rate capacity (142.2 mAh g</w:t>
      </w:r>
      <w:r>
        <w:t xml:space="preserve"> </w:t>
      </w:r>
      <w:r>
        <w:t>−1</w:t>
      </w:r>
      <w:r>
        <w:t xml:space="preserve"> </w:t>
      </w:r>
      <w:r>
        <w:t>at 5 A g</w:t>
      </w:r>
      <w:r>
        <w:t xml:space="preserve"> </w:t>
      </w:r>
      <w:r>
        <w:t>−1</w:t>
      </w:r>
      <w:r>
        <w:t xml:space="preserve"> </w:t>
      </w:r>
      <w:r>
        <w:t>) and long‐term lifetime (50 000 cycles). This work offers an intelligent strategy to concurrently overcome the high energy barriers of ion desolvation and the kinetic limitations of ion transport for building advanced electrochemical devices.</w:t>
      </w:r>
    </w:p>
    <w:p>
      <w:pPr>
        <w:spacing w:before="120" w:after="120"/>
      </w:pPr>
      <w:r>
        <w:rPr>
          <w:sz w:val="18"/>
        </w:rPr>
        <w:t>——————————————————————————————————————————————————————————————————————</w:t>
      </w:r>
    </w:p>
    <w:p>
      <w:pPr>
        <w:spacing w:before="160" w:after="40" w:line="240" w:lineRule="auto"/>
      </w:pPr>
      <w:r>
        <w:rPr>
          <w:b/>
        </w:rPr>
        <w:t xml:space="preserve">[11] </w:t>
      </w:r>
      <w:hyperlink r:id="rId66">
        <w:r>
          <w:rPr>
            <w:color w:val="1155CC"/>
            <w:u w:val="single"/>
          </w:rPr>
          <w:t>通过软接触预沉积实现硬碳阳极吸附介导的钠补偿</w:t>
        </w:r>
      </w:hyperlink>
    </w:p>
    <w:p>
      <w:pPr>
        <w:spacing w:before="0" w:after="80"/>
      </w:pPr>
      <w:r>
        <w:rPr>
          <w:i/>
          <w:sz w:val="20"/>
        </w:rPr>
        <w:t>EN: Adsorption‐Mediated Sodium Compensation for Hard Carbon Anodes Enabled by Soft‐Contact Presodiation</w:t>
      </w:r>
    </w:p>
    <w:p>
      <w:pPr>
        <w:spacing w:before="0" w:after="120"/>
      </w:pPr>
      <w:r>
        <w:rPr>
          <w:b/>
        </w:rPr>
        <w:t xml:space="preserve">Source: </w:t>
      </w:r>
      <w:r>
        <w:t>Wiley: Angewandte Chemie International Edition: Table of Contents</w:t>
      </w:r>
      <w:r>
        <w:t xml:space="preserve">    </w:t>
      </w:r>
      <w:r>
        <w:rPr>
          <w:b/>
        </w:rPr>
        <w:t xml:space="preserve">Pub date: </w:t>
      </w:r>
      <w:r>
        <w:t>2026-06-30 09:53:12+00:00</w:t>
      </w:r>
      <w:r>
        <w:t xml:space="preserve">    </w:t>
      </w:r>
      <w:r>
        <w:rPr>
          <w:b/>
        </w:rPr>
        <w:t xml:space="preserve">DOI: </w:t>
      </w:r>
      <w:hyperlink r:id="rId67">
        <w:r>
          <w:rPr>
            <w:color w:val="1155CC"/>
            <w:u w:val="single"/>
          </w:rPr>
          <w:t>10.1002/anie.3778349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钠离子电池中的硬碳（HC）负极存在初始库仑效率低和不可逆容量损失的问题，限制了SIB的实际能量密度和循环寿命。虽然HC的直接接触预氧化被提出可以提高SIB的初始库仑效率，但其低利用率会导致HC表面残留Na，导致快速降解甚至安全问题。在此，我们提出了一种软接触预沉淀（SCP）方法，该方法可以去除并回收Na源，从而大大提高Na源的利用率和SIB的安全性。与 NaNi 配对时，经过 SCP 处理的 HC 阳极的 ICE 增加了约 30.0%</w:t>
      </w:r>
      <w:r>
        <w:t xml:space="preserve"> </w:t>
      </w:r>
      <w:r>
        <w:t>1/3</w:t>
      </w:r>
      <w:r>
        <w:t xml:space="preserve"> </w:t>
      </w:r>
      <w:r>
        <w:t>铁</w:t>
      </w:r>
      <w:r>
        <w:t xml:space="preserve"> </w:t>
      </w:r>
      <w:r>
        <w:t>1/3</w:t>
      </w:r>
      <w:r>
        <w:t xml:space="preserve"> </w:t>
      </w:r>
      <w:r>
        <w:t>锰</w:t>
      </w:r>
      <w:r>
        <w:t xml:space="preserve"> </w:t>
      </w:r>
      <w:r>
        <w:t>1/3</w:t>
      </w:r>
      <w:r>
        <w:t xml:space="preserve"> </w:t>
      </w:r>
      <w:r>
        <w:t>氧</w:t>
      </w:r>
      <w:r>
        <w:rPr>
          <w:vertAlign w:val="subscript"/>
        </w:rPr>
        <w:t>2</w:t>
      </w:r>
      <w:r>
        <w:t>阴极，同时保持最小的温升（Δ</w:t>
      </w:r>
      <w:r>
        <w:t xml:space="preserve"> </w:t>
      </w:r>
      <w:r>
        <w:t>时间</w:t>
      </w:r>
      <w:r>
        <w:t xml:space="preserve"> </w:t>
      </w:r>
      <w:r>
        <w:t>约 1.3°C) 治疗期间。由此产生的 SCP-HC 表现出卓越的热稳定性，在 125.0°C 时放热活性可以忽略不计，并且化学稳定性可保持超过 3.0 天。通过多模态分析，我们揭示了一种吸附主导的补偿机制，其中补充的Na参与固体电解质界面形成，同时作为金属簇占据吸附位点。包含 SCP-HC 阳极的软包电池可提供 90.6% 的 ICE，并在 150 次循环后保留 80.0% 的容量。这项工作建立了一个安全、高效、经济的v</w:t>
      </w:r>
    </w:p>
    <w:p>
      <w:pPr>
        <w:spacing w:before="0" w:after="200" w:lineRule="auto" w:line="276"/>
      </w:pPr>
      <w:r>
        <w:rPr>
          <w:b/>
        </w:rPr>
        <w:t xml:space="preserve">Abstract (EN): </w:t>
      </w:r>
      <w:r>
        <w:t>Hard carbon (HC) anode in sodium‐ion batteries suffer from low initial Coulombic efficiency and irreversible capacity loss, limiting practical energy density and cycle life of SIBs. While direct‐contact presodiation of HC has been proposed to increase the initial Coulombic efficiency of SIBs, but its low utilization efficiency can cause residual Na on the HC surface, resulting in rapid degradation and even safety concerns. Herein, we proposed a soft‐contact presodiation (SCP) method, which can remove and recycle Na source and therefore greatly improve the utilization of the Na source and safety of SIBs. The SCP‐treated HC anode achieves a ≈30.0% increase in ICE when paired with a NaNi</w:t>
      </w:r>
      <w:r>
        <w:t xml:space="preserve"> </w:t>
      </w:r>
      <w:r>
        <w:t>1/3</w:t>
      </w:r>
      <w:r>
        <w:t xml:space="preserve"> </w:t>
      </w:r>
      <w:r>
        <w:t>Fe</w:t>
      </w:r>
      <w:r>
        <w:t xml:space="preserve"> </w:t>
      </w:r>
      <w:r>
        <w:t>1/3</w:t>
      </w:r>
      <w:r>
        <w:t xml:space="preserve"> </w:t>
      </w:r>
      <w:r>
        <w:t>Mn</w:t>
      </w:r>
      <w:r>
        <w:t xml:space="preserve"> </w:t>
      </w:r>
      <w:r>
        <w:t>1/3</w:t>
      </w:r>
      <w:r>
        <w:t xml:space="preserve"> </w:t>
      </w:r>
      <w:r>
        <w:t>O</w:t>
      </w:r>
      <w:r>
        <w:rPr>
          <w:vertAlign w:val="subscript"/>
        </w:rPr>
        <w:t>2</w:t>
      </w:r>
      <w:r>
        <w:t>cathode, while maintaining minimal temperature rise (Δ</w:t>
      </w:r>
      <w:r>
        <w:t xml:space="preserve"> </w:t>
      </w:r>
      <w:r>
        <w:t>T</w:t>
      </w:r>
      <w:r>
        <w:t xml:space="preserve"> </w:t>
      </w:r>
      <w:r>
        <w:t>≈1.3°C) during treatment. The resulting SCP‐HC exhibits exceptional thermal stability with negligible exothermic activity at 125.0°C and remains chemically stable for over 3.0 days. Through multimodal analysis, we reveal an adsorption‐dominated compensation mechanism where replenished Na participates in solid electrolyte interphase formation while simultaneously occupying adsorption sites as metallic clusters. The pouch cell incorporating SCP‐HC anode delivers 90.6% ICE and retains 80.0% capacity after 150 cycles. This work establishes a safe, efficient, and economically viable presodiation platform that paves the way for practical high‐energy sodium‐ion batteries.</w:t>
      </w:r>
    </w:p>
    <w:p>
      <w:pPr>
        <w:spacing w:before="120" w:after="120"/>
      </w:pPr>
      <w:r>
        <w:rPr>
          <w:sz w:val="18"/>
        </w:rPr>
        <w:t>——————————————————————————————————————————————————————————————————————</w:t>
      </w:r>
    </w:p>
    <w:p>
      <w:pPr>
        <w:spacing w:before="160" w:after="40" w:line="240" w:lineRule="auto"/>
      </w:pPr>
      <w:r>
        <w:rPr>
          <w:b/>
        </w:rPr>
        <w:t xml:space="preserve">[12] </w:t>
      </w:r>
      <w:hyperlink r:id="rId68">
        <w:r>
          <w:rPr>
            <w:color w:val="1155CC"/>
            <w:u w:val="single"/>
          </w:rPr>
          <w:t>用于保护水性锌电池免遭日历老化的悬浮电解质</w:t>
        </w:r>
      </w:hyperlink>
    </w:p>
    <w:p>
      <w:pPr>
        <w:spacing w:before="0" w:after="80"/>
      </w:pPr>
      <w:r>
        <w:rPr>
          <w:i/>
          <w:sz w:val="20"/>
        </w:rPr>
        <w:t>EN: Suspension Electrolyte for Protecting Aqueous Zinc Batteries From Calendar Aging</w:t>
      </w:r>
    </w:p>
    <w:p>
      <w:pPr>
        <w:spacing w:before="0" w:after="120"/>
      </w:pPr>
      <w:r>
        <w:rPr>
          <w:b/>
        </w:rPr>
        <w:t xml:space="preserve">Source: </w:t>
      </w:r>
      <w:r>
        <w:t>Wiley: Advanced Energy Materials: Table of Contents</w:t>
      </w:r>
      <w:r>
        <w:t xml:space="preserve">    </w:t>
      </w:r>
      <w:r>
        <w:rPr>
          <w:b/>
        </w:rPr>
        <w:t xml:space="preserve">Pub date: </w:t>
      </w:r>
      <w:r>
        <w:t>2026-06-30 12:12:02+00:00</w:t>
      </w:r>
      <w:r>
        <w:t xml:space="preserve">    </w:t>
      </w:r>
      <w:r>
        <w:rPr>
          <w:b/>
        </w:rPr>
        <w:t xml:space="preserve">DOI: </w:t>
      </w:r>
      <w:hyperlink r:id="rId69">
        <w:r>
          <w:rPr>
            <w:color w:val="1155CC"/>
            <w:u w:val="single"/>
          </w:rPr>
          <w:t>10.1002/aenm.71183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锌电池（AZB）为大规模储能提供了安全性和成本效益，但其发展受到水性电解质中锌自发腐蚀引起的日历老化的阻碍。这个问题对于长时间闲置的电网电池来说尤其重要。在这里，我们提出了一种悬浮电解质策略，通过仅分散 3 wt.% 的 Al 来提高 AZB 的压延性能</w:t>
      </w:r>
      <w:r>
        <w:rPr>
          <w:vertAlign w:val="subscript"/>
        </w:rPr>
        <w:t>2</w:t>
      </w:r>
      <w:r>
        <w:t>氧</w:t>
      </w:r>
      <w:r>
        <w:rPr>
          <w:vertAlign w:val="subscript"/>
        </w:rPr>
        <w:t>3</w:t>
      </w:r>
      <w:r>
        <w:t>将纳米颗粒放入传统的 ZnSO 中</w:t>
      </w:r>
      <w:r>
        <w:rPr>
          <w:vertAlign w:val="subscript"/>
        </w:rPr>
        <w:t>4</w:t>
      </w:r>
      <w:r>
        <w:t>电解质。在日历老化方案下，Zn||Cu 电池与 Al</w:t>
      </w:r>
      <w:r>
        <w:rPr>
          <w:vertAlign w:val="subscript"/>
        </w:rPr>
        <w:t>2</w:t>
      </w:r>
      <w:r>
        <w:t>氧</w:t>
      </w:r>
      <w:r>
        <w:rPr>
          <w:vertAlign w:val="subscript"/>
        </w:rPr>
        <w:t>3</w:t>
      </w:r>
      <w:r>
        <w:t>悬浮电解质的日历寿命延长了三倍，库仑效率从 91.7% 显着提高到 97.1%。我们证明了铝</w:t>
      </w:r>
      <w:r>
        <w:rPr>
          <w:vertAlign w:val="subscript"/>
        </w:rPr>
        <w:t>2</w:t>
      </w:r>
      <w:r>
        <w:t>氧</w:t>
      </w:r>
      <w:r>
        <w:rPr>
          <w:vertAlign w:val="subscript"/>
        </w:rPr>
        <w:t>3</w:t>
      </w:r>
      <w:r>
        <w:t>悬浮电解质在 Zn 阳极上形成保护界面层，在吸收水、H 的同时充当物理屏障</w:t>
      </w:r>
      <w:r>
        <w:t xml:space="preserve"> </w:t>
      </w:r>
      <w:r>
        <w:t>+</w:t>
      </w:r>
      <w:r>
        <w:t xml:space="preserve"> </w:t>
      </w:r>
      <w:r>
        <w:t>, 和 OH</w:t>
      </w:r>
      <w:r>
        <w:t xml:space="preserve"> </w:t>
      </w:r>
      <w:r>
        <w:t>-</w:t>
      </w:r>
      <w:r>
        <w:t>离子来减轻水反应性并缓冲pH波动，从而有效抑制寄生腐蚀。此外，Zn||MnO</w:t>
      </w:r>
      <w:r>
        <w:rPr>
          <w:vertAlign w:val="subscript"/>
        </w:rPr>
        <w:t>2</w:t>
      </w:r>
      <w:r>
        <w:t>全电池含铝</w:t>
      </w:r>
      <w:r>
        <w:rPr>
          <w:vertAlign w:val="subscript"/>
        </w:rPr>
        <w:t>2</w:t>
      </w:r>
      <w:r>
        <w:t>氧</w:t>
      </w:r>
      <w:r>
        <w:rPr>
          <w:vertAlign w:val="subscript"/>
        </w:rPr>
        <w:t>3</w:t>
      </w:r>
      <w:r>
        <w:t>悬浮电解质</w:t>
      </w:r>
    </w:p>
    <w:p>
      <w:pPr>
        <w:spacing w:before="0" w:after="200" w:lineRule="auto" w:line="276"/>
      </w:pPr>
      <w:r>
        <w:rPr>
          <w:b/>
        </w:rPr>
        <w:t xml:space="preserve">Abstract (EN): </w:t>
      </w:r>
      <w:r>
        <w:t>Aqueous zinc batteries (AZBs) offer safety and cost‐effectiveness for large‐scale energy storage, yet their development is hindered by calendar aging originating from spontaneous Zn corrosion in aqueous electrolytes. This issue is especially critical for grid batteries, which remain idle for extended periods. Here, we present a strategy of suspension electrolyte to improve the calendar performance of AZBs by dispersing only 3 wt.% of Al</w:t>
      </w:r>
      <w:r>
        <w:rPr>
          <w:vertAlign w:val="subscript"/>
        </w:rPr>
        <w:t>2</w:t>
      </w:r>
      <w:r>
        <w:t>O</w:t>
      </w:r>
      <w:r>
        <w:rPr>
          <w:vertAlign w:val="subscript"/>
        </w:rPr>
        <w:t>3</w:t>
      </w:r>
      <w:r>
        <w:t>nanoparticles into a conventional ZnSO</w:t>
      </w:r>
      <w:r>
        <w:rPr>
          <w:vertAlign w:val="subscript"/>
        </w:rPr>
        <w:t>4</w:t>
      </w:r>
      <w:r>
        <w:t>electrolyte. Under a calendar‐aging protocol, Zn||Cu cells with Al</w:t>
      </w:r>
      <w:r>
        <w:rPr>
          <w:vertAlign w:val="subscript"/>
        </w:rPr>
        <w:t>2</w:t>
      </w:r>
      <w:r>
        <w:t>O</w:t>
      </w:r>
      <w:r>
        <w:rPr>
          <w:vertAlign w:val="subscript"/>
        </w:rPr>
        <w:t>3</w:t>
      </w:r>
      <w:r>
        <w:t>suspension electrolyte achieve a threefold enhancement in calendar lifespan and significantly improve Coulombic efficiency from 91.7% to 97.1%. We demonstrate that the Al</w:t>
      </w:r>
      <w:r>
        <w:rPr>
          <w:vertAlign w:val="subscript"/>
        </w:rPr>
        <w:t>2</w:t>
      </w:r>
      <w:r>
        <w:t>O</w:t>
      </w:r>
      <w:r>
        <w:rPr>
          <w:vertAlign w:val="subscript"/>
        </w:rPr>
        <w:t>3</w:t>
      </w:r>
      <w:r>
        <w:t>suspension electrolyte forms a protective interfacial layer at the Zn anode that serves as a physical barrier while absorbing water, H</w:t>
      </w:r>
      <w:r>
        <w:t xml:space="preserve"> </w:t>
      </w:r>
      <w:r>
        <w:t>+</w:t>
      </w:r>
      <w:r>
        <w:t xml:space="preserve"> </w:t>
      </w:r>
      <w:r>
        <w:t>, and OH</w:t>
      </w:r>
      <w:r>
        <w:t xml:space="preserve"> </w:t>
      </w:r>
      <w:r>
        <w:t>−</w:t>
      </w:r>
      <w:r>
        <w:t>ions to mitigate water reactivity and buffer pH fluctuations, thereby effectively suppressing parasitic corrosion. Furthermore, Zn||MnO</w:t>
      </w:r>
      <w:r>
        <w:rPr>
          <w:vertAlign w:val="subscript"/>
        </w:rPr>
        <w:t>2</w:t>
      </w:r>
      <w:r>
        <w:t>full cells with Al</w:t>
      </w:r>
      <w:r>
        <w:rPr>
          <w:vertAlign w:val="subscript"/>
        </w:rPr>
        <w:t>2</w:t>
      </w:r>
      <w:r>
        <w:t>O</w:t>
      </w:r>
      <w:r>
        <w:rPr>
          <w:vertAlign w:val="subscript"/>
        </w:rPr>
        <w:t>3</w:t>
      </w:r>
      <w:r>
        <w:t>suspension electrolyte exhibit higher specific capacities across all rates and retain over 100 mAh g</w:t>
      </w:r>
      <w:r>
        <w:t xml:space="preserve"> </w:t>
      </w:r>
      <w:r>
        <w:t>−1</w:t>
      </w:r>
      <w:r>
        <w:t xml:space="preserve"> </w:t>
      </w:r>
      <w:r>
        <w:t>at 1 A g</w:t>
      </w:r>
      <w:r>
        <w:t xml:space="preserve"> </w:t>
      </w:r>
      <w:r>
        <w:t>−1</w:t>
      </w:r>
      <w:r>
        <w:t xml:space="preserve"> </w:t>
      </w:r>
      <w:r>
        <w:t>for 1500 cycles. These findings highlight suspension electrolyte as a low‐cost and effective approach to advancing AZBs for long‐duration large‐scale energy storage.</w:t>
      </w:r>
    </w:p>
    <w:p>
      <w:pPr>
        <w:spacing w:before="120" w:after="120"/>
      </w:pPr>
      <w:r>
        <w:rPr>
          <w:sz w:val="18"/>
        </w:rPr>
        <w:t>——————————————————————————————————————————————————————————————————————</w:t>
      </w:r>
    </w:p>
    <w:p>
      <w:pPr>
        <w:spacing w:before="160" w:after="40" w:line="240" w:lineRule="auto"/>
      </w:pPr>
      <w:r>
        <w:rPr>
          <w:b/>
        </w:rPr>
        <w:t xml:space="preserve">[13] </w:t>
      </w:r>
      <w:hyperlink r:id="rId70">
        <w:r>
          <w:rPr>
            <w:color w:val="1155CC"/>
            <w:u w:val="single"/>
          </w:rPr>
          <w:t>来自松树脂的可石墨化沥青使萜烯成为块状石墨</w:t>
        </w:r>
      </w:hyperlink>
    </w:p>
    <w:p>
      <w:pPr>
        <w:spacing w:before="0" w:after="80"/>
      </w:pPr>
      <w:r>
        <w:rPr>
          <w:i/>
          <w:sz w:val="20"/>
        </w:rPr>
        <w:t>EN: Graphitizable pitch from pine resin enables bulk graphite from terpenes</w:t>
      </w:r>
    </w:p>
    <w:p>
      <w:pPr>
        <w:spacing w:before="0" w:after="120"/>
      </w:pPr>
      <w:r>
        <w:rPr>
          <w:b/>
        </w:rPr>
        <w:t xml:space="preserve">Source: </w:t>
      </w:r>
      <w:r>
        <w:t>Physical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生物质衍生碳的石墨化从根本上受到碳化过程中缺乏能够形成中间相的分子结构的限制。与石油衍生的沥青不同，大多数生物质前体缺乏足够的芳族缩合，因此无法进行液相石墨化。在这里，我们展示了一种化学引导策略，通过有意的分子重组将基于萜烯的生物质转化为真正的可石墨化沥青。松树树脂衍生的萜烯通过脱氧-芳构化和受控低聚依次转化，产生本质上杂原子含量较低的芳香沥青。热分析和偏光光学显微镜提供了加热过程中热塑性行为和中间相形成的证据。经过高温处理，所得沥青产生结晶度与天然石墨相当的石墨。这项工作建立了从生物质衍生原料构建可石墨化沥青的分子设计原理。</w:t>
      </w:r>
    </w:p>
    <w:p>
      <w:pPr>
        <w:spacing w:before="0" w:after="200" w:lineRule="auto" w:line="276"/>
      </w:pPr>
      <w:r>
        <w:rPr>
          <w:b/>
        </w:rPr>
        <w:t xml:space="preserve">Abstract (EN): </w:t>
      </w:r>
      <w:r>
        <w:t>Graphitization of biomass-derived carbon is fundamentally constrained by the absence of molecular architectures capable of forming a mesophase during carbonization. Unlike petroleum-derived pitches, most biomass precursors lack sufficient aromatic condensation and therefore fail to undergo liquid-phase graphitization. Here we demonstrate a chemically guided strategy to convert terpene-based biomass into a true graphitizable pitch through deliberate molecular restructuring. Pine-resin–derived terpenes are sequentially transformed via deoxygenation–aromatization and controlled oligomerisation, yielding an aromatic pitch with intrinsically low heteroatom content. Thermal analysis and polarized optical microscopy provide evidence of thermoplastic behavior and mesophase formation during heating. Upon high-temperature treatment, the resulting pitch yields graphite with crystallinity comparable to natural graphite. This work establishes a molecular design principle for constructing graphitizable pitches from biomass-derived feedstocks.</w:t>
      </w:r>
    </w:p>
    <w:p>
      <w:pPr>
        <w:spacing w:before="120" w:after="120"/>
      </w:pPr>
      <w:r>
        <w:rPr>
          <w:sz w:val="18"/>
        </w:rPr>
        <w:t>——————————————————————————————————————————————————————————————————————</w:t>
      </w:r>
    </w:p>
    <w:p>
      <w:pPr>
        <w:spacing w:before="160" w:after="40" w:line="240" w:lineRule="auto"/>
      </w:pPr>
      <w:r>
        <w:rPr>
          <w:b/>
        </w:rPr>
        <w:t xml:space="preserve">[14] </w:t>
      </w:r>
      <w:hyperlink r:id="rId48">
        <w:r>
          <w:rPr>
            <w:color w:val="1155CC"/>
            <w:u w:val="single"/>
          </w:rPr>
          <w:t>衍射异常精细结构精确定位稳健异质结中的电化学活性位点</w:t>
        </w:r>
      </w:hyperlink>
    </w:p>
    <w:p>
      <w:pPr>
        <w:spacing w:before="0" w:after="80"/>
      </w:pPr>
      <w:r>
        <w:rPr>
          <w:i/>
          <w:sz w:val="20"/>
        </w:rPr>
        <w:t>EN: Diffraction anomalous fine structure pinpoints electrochemically active sites in robust heterojunctions</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49">
        <w:r>
          <w:rPr>
            <w:color w:val="1155CC"/>
            <w:u w:val="single"/>
          </w:rPr>
          <w:t>10.1126/sciadv.aec1952</w:t>
        </w:r>
      </w:hyperlink>
    </w:p>
    <w:p>
      <w:pPr>
        <w:spacing w:before="0" w:after="120"/>
      </w:pPr>
      <w:r>
        <w:rPr>
          <w:b/>
        </w:rPr>
        <w:t xml:space="preserve">Notes: </w:t>
      </w:r>
      <w:r>
        <w:t>abstract_source=crossref</w:t>
      </w:r>
    </w:p>
    <w:p>
      <w:pPr>
        <w:spacing w:before="0" w:after="80" w:lineRule="auto" w:line="276"/>
      </w:pPr>
      <w:r>
        <w:rPr>
          <w:b/>
        </w:rPr>
        <w:t xml:space="preserve">摘要（ZH）: </w:t>
      </w:r>
      <w:r>
        <w:t>由相同金属元素组成的异质结具有固有的晶格匹配、可调的成分和低界面电阻，使它们成为电化学应用的有希望的候选者。然而，构建稳健的异质结和关联位点化学仍然具有挑战性。在这里，我们推出一种高度耐用的铌</w:t>
      </w:r>
      <w:r>
        <w:rPr>
          <w:vertAlign w:val="subscript"/>
        </w:rPr>
        <w:t>4</w:t>
      </w:r>
      <w:r>
        <w:t>碳化铜</w:t>
      </w:r>
      <w:r>
        <w:rPr>
          <w:vertAlign w:val="subscript"/>
        </w:rPr>
        <w:t>3</w:t>
      </w:r>
      <w:r>
        <w:t>/铌</w:t>
      </w:r>
      <w:r>
        <w:rPr>
          <w:vertAlign w:val="subscript"/>
        </w:rPr>
        <w:t>4</w:t>
      </w:r>
      <w:r>
        <w:t>C</w:t>
      </w:r>
      <w:r>
        <w:rPr>
          <w:vertAlign w:val="subscript"/>
        </w:rPr>
        <w:t>3</w:t>
      </w:r>
      <w:r>
        <w:t>时间</w:t>
      </w:r>
      <w:r>
        <w:t xml:space="preserve"> </w:t>
      </w:r>
      <w:r>
        <w:t>x</w:t>
      </w:r>
      <w:r>
        <w:t xml:space="preserve"> </w:t>
      </w:r>
      <w:r>
        <w:t>异质结构在锂离子电池中表现出出色的循环稳定性，超过 10,000 次循环（5.0 安培/克）几乎没有容量下降。同步辐射核心级光谱和扫描透射电子显微镜解析了异质结内四种不同的铌 (Nb) 配位环境。重要的是，通过将位点选择性 X 射线分析（衍射异常精细结构）与互补同步加速器技术相结合，确定了 Nb</w:t>
      </w:r>
      <w:r>
        <w:t xml:space="preserve"> </w:t>
      </w:r>
      <w:r>
        <w:t>我</w:t>
      </w:r>
      <w:r>
        <w:t xml:space="preserve"> </w:t>
      </w:r>
      <w:r>
        <w:t>Nb 上的站点</w:t>
      </w:r>
      <w:r>
        <w:rPr>
          <w:vertAlign w:val="subscript"/>
        </w:rPr>
        <w:t>4</w:t>
      </w:r>
      <w:r>
        <w:t>C</w:t>
      </w:r>
      <w:r>
        <w:rPr>
          <w:vertAlign w:val="subscript"/>
        </w:rPr>
        <w:t>3</w:t>
      </w:r>
      <w:r>
        <w:t>时间</w:t>
      </w:r>
      <w:r>
        <w:t xml:space="preserve"> </w:t>
      </w:r>
      <w:r>
        <w:t>x</w:t>
      </w:r>
      <w:r>
        <w:t xml:space="preserve"> </w:t>
      </w:r>
      <w:r>
        <w:t>表面代表真正的电化学活性中心，而 Nb</w:t>
      </w:r>
      <w:r>
        <w:rPr>
          <w:vertAlign w:val="subscript"/>
        </w:rPr>
        <w:t>4</w:t>
      </w:r>
      <w:r>
        <w:t>碳化铜</w:t>
      </w:r>
      <w:r>
        <w:rPr>
          <w:vertAlign w:val="subscript"/>
        </w:rPr>
        <w:t>3</w:t>
      </w:r>
      <w:r>
        <w:t>组件在循环过程中主要充当结构缓冲</w:t>
      </w:r>
    </w:p>
    <w:p>
      <w:pPr>
        <w:spacing w:before="0" w:after="200" w:lineRule="auto" w:line="276"/>
      </w:pPr>
      <w:r>
        <w:rPr>
          <w:b/>
        </w:rPr>
        <w:t xml:space="preserve">Abstract (EN): </w:t>
      </w:r>
      <w:r>
        <w:t>Heterojunctions composed of identical metallic elements have intrinsic lattice-matching, tunable compositions, and low interfacial resistance, positioning them as promising candidates for electrochemical applications. However, constructing robust heterojunctions and correlating site chemistry remain challenging. Here, we present a highly durable Nb</w:t>
      </w:r>
      <w:r>
        <w:rPr>
          <w:vertAlign w:val="subscript"/>
        </w:rPr>
        <w:t>4</w:t>
      </w:r>
      <w:r>
        <w:t>CuC</w:t>
      </w:r>
      <w:r>
        <w:rPr>
          <w:vertAlign w:val="subscript"/>
        </w:rPr>
        <w:t>3</w:t>
      </w:r>
      <w:r>
        <w:t>/Nb</w:t>
      </w:r>
      <w:r>
        <w:rPr>
          <w:vertAlign w:val="subscript"/>
        </w:rPr>
        <w:t>4</w:t>
      </w:r>
      <w:r>
        <w:t>C</w:t>
      </w:r>
      <w:r>
        <w:rPr>
          <w:vertAlign w:val="subscript"/>
        </w:rPr>
        <w:t>3</w:t>
      </w:r>
      <w:r>
        <w:t>T</w:t>
      </w:r>
      <w:r>
        <w:t xml:space="preserve"> </w:t>
      </w:r>
      <w:r>
        <w:t>x</w:t>
      </w:r>
      <w:r>
        <w:t xml:space="preserve"> </w:t>
      </w:r>
      <w:r>
        <w:t>heterostructure that exhibits outstanding cycling stability with virtually no capacity degradation over 10,000 cycles (5.0 amperes per gram) in lithium-ion batteries. Synchrotron radiation core-level spectroscopy and scanning transmission electron microscopy resolved four distinct niobium (Nb) coordination environments within the heterojunction. Critically, by integrating a site-selective x-ray analysis (diffraction anomalous fine structure) with complementary synchrotron techniques, it was pinpointed that the Nb</w:t>
      </w:r>
      <w:r>
        <w:t xml:space="preserve"> </w:t>
      </w:r>
      <w:r>
        <w:t>I</w:t>
      </w:r>
      <w:r>
        <w:t xml:space="preserve"> </w:t>
      </w:r>
      <w:r>
        <w:t>sites on the Nb</w:t>
      </w:r>
      <w:r>
        <w:rPr>
          <w:vertAlign w:val="subscript"/>
        </w:rPr>
        <w:t>4</w:t>
      </w:r>
      <w:r>
        <w:t>C</w:t>
      </w:r>
      <w:r>
        <w:rPr>
          <w:vertAlign w:val="subscript"/>
        </w:rPr>
        <w:t>3</w:t>
      </w:r>
      <w:r>
        <w:t>T</w:t>
      </w:r>
      <w:r>
        <w:t xml:space="preserve"> </w:t>
      </w:r>
      <w:r>
        <w:t>x</w:t>
      </w:r>
      <w:r>
        <w:t xml:space="preserve"> </w:t>
      </w:r>
      <w:r>
        <w:t>surface represent the true electrochemically active centers, while the Nb</w:t>
      </w:r>
      <w:r>
        <w:rPr>
          <w:vertAlign w:val="subscript"/>
        </w:rPr>
        <w:t>4</w:t>
      </w:r>
      <w:r>
        <w:t>CuC</w:t>
      </w:r>
      <w:r>
        <w:rPr>
          <w:vertAlign w:val="subscript"/>
        </w:rPr>
        <w:t>3</w:t>
      </w:r>
      <w:r>
        <w:t>component primarily serves as structural buffer during cycling processes. This work establishes a versatile methodological platform for precisely identifying active sites within complex multisite structures during the working process, thus guiding the rational design of targeted active sites in heterogeneous electrochemical systems for high-performance energy storage.</w:t>
      </w:r>
    </w:p>
    <w:p>
      <w:pPr>
        <w:spacing w:before="120" w:after="120"/>
      </w:pPr>
      <w:r>
        <w:rPr>
          <w:sz w:val="18"/>
        </w:rPr>
        <w:t>——————————————————————————————————————————————————————————————————————</w:t>
      </w:r>
    </w:p>
    <w:p>
      <w:pPr>
        <w:spacing w:before="160" w:after="40" w:line="240" w:lineRule="auto"/>
      </w:pPr>
      <w:r>
        <w:rPr>
          <w:b/>
        </w:rPr>
        <w:t xml:space="preserve">[15] </w:t>
      </w:r>
      <w:hyperlink r:id="rId71">
        <w:r>
          <w:rPr>
            <w:color w:val="1155CC"/>
            <w:u w:val="single"/>
          </w:rPr>
          <w:t>重新设计无阳极电池的中间层：利用连续性和金属库存</w:t>
        </w:r>
      </w:hyperlink>
    </w:p>
    <w:p>
      <w:pPr>
        <w:spacing w:before="0" w:after="80"/>
      </w:pPr>
      <w:r>
        <w:rPr>
          <w:i/>
          <w:sz w:val="20"/>
        </w:rPr>
        <w:t>EN: Redesigning Interlayers for Anode‐Free Batteries: Harnessing Continuity and Metal Inventory</w:t>
      </w:r>
    </w:p>
    <w:p>
      <w:pPr>
        <w:spacing w:before="0" w:after="120"/>
      </w:pPr>
      <w:r>
        <w:rPr>
          <w:b/>
        </w:rPr>
        <w:t xml:space="preserve">Source: </w:t>
      </w:r>
      <w:r>
        <w:t>Wiley: Advanced Energy Materials: Table of Contents</w:t>
      </w:r>
      <w:r>
        <w:t xml:space="preserve">    </w:t>
      </w:r>
      <w:r>
        <w:rPr>
          <w:b/>
        </w:rPr>
        <w:t xml:space="preserve">Pub date: </w:t>
      </w:r>
      <w:r>
        <w:t>2026-07-01 14:42:14+00:00</w:t>
      </w:r>
      <w:r>
        <w:t xml:space="preserve">    </w:t>
      </w:r>
      <w:r>
        <w:rPr>
          <w:b/>
        </w:rPr>
        <w:t xml:space="preserve">DOI: </w:t>
      </w:r>
      <w:hyperlink r:id="rId72">
        <w:r>
          <w:rPr>
            <w:color w:val="1155CC"/>
            <w:u w:val="single"/>
          </w:rPr>
          <w:t>10.1002/aenm.71206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该观点建立了一个设计过滤器来指导无阳极电池中间层的合理设计。粗糙度相关的闭合模型与合金化和转换期间的活性金属库存核算相结合，包括循环期间的不完全恢复。分析表明，层间可行性受形态、化学和沉积物理的狭窄交集控制：涂层必须在实际电池基板上连续，同时保持与有限的阴极衍生金属库存兼容。低吸收合金形成中间层可以在中等厚度下保持库存效率，而转化氧化物和氮化物通常需要超薄设计，除非证明部分转变或高回收效率。沉积路线的选择同样重要：视线 PVD ​​提供了广泛的材料灵活性，但可能需要在粗糙基板上使用库存昂贵的封闭厚度，而 ALD 型生长可以以低得多的标称厚度实现保形覆盖。由此产生的设计图为在有限的可循环金属库存下选择层间化学、厚度、基底粗糙度、阴极负载和沉积路线提供了统一的基础。</w:t>
      </w:r>
    </w:p>
    <w:p>
      <w:pPr>
        <w:spacing w:before="0" w:after="200" w:lineRule="auto" w:line="276"/>
      </w:pPr>
      <w:r>
        <w:rPr>
          <w:b/>
        </w:rPr>
        <w:t xml:space="preserve">Abstract (EN): </w:t>
      </w:r>
      <w:r>
        <w:t>This Perspective establishes a design filter to guide the rational design of interlayers in anode‐free batteries. Roughness‐dependent closure models are combined with active‐metal inventory accounting during alloying and conversion, including incomplete recovery during cycling. The analysis shows that interlayer feasibility is governed by a narrow intersection of morphology, chemistry, and deposition physics: coatings must be continuous on practical battery substrates while remaining compatible with the finite cathode‐derived metal inventory. Low‐uptake alloy‐forming interlayers can remain inventory‐efficient at moderate thicknesses, whereas conversion oxides and nitrides generally require ultrathin designs unless partial transformation or high recovery efficiency is demonstrated. Deposition route selection is equally critical: line‐of‐sight PVD offers broad materials flexibility but may require inventory‐expensive closure thicknesses on rough substrates, whereas ALD‐type growth can enable conformal coverage at much lower nominal thickness. The resulting design maps provide a unified basis for selecting interlayer chemistry, thickness, substrate roughness, cathode loading, and deposition route under a finite cyclable‐metal inventory.</w:t>
      </w:r>
    </w:p>
    <w:p>
      <w:pPr>
        <w:spacing w:before="120" w:after="120"/>
      </w:pPr>
      <w:r>
        <w:rPr>
          <w:sz w:val="18"/>
        </w:rPr>
        <w:t>——————————————————————————————————————————————————————————————————————</w:t>
      </w:r>
    </w:p>
    <w:p>
      <w:pPr>
        <w:spacing w:before="160" w:after="40" w:line="240" w:lineRule="auto"/>
      </w:pPr>
      <w:r>
        <w:rPr>
          <w:b/>
        </w:rPr>
        <w:t xml:space="preserve">[16] </w:t>
      </w:r>
      <w:hyperlink r:id="rId52">
        <w:r>
          <w:rPr>
            <w:color w:val="1155CC"/>
            <w:u w:val="single"/>
          </w:rPr>
          <w:t>用于先进耐用锂电池的非对称离子液体调制阴离子增强双电层</w:t>
        </w:r>
      </w:hyperlink>
    </w:p>
    <w:p>
      <w:pPr>
        <w:spacing w:before="0" w:after="80"/>
      </w:pPr>
      <w:r>
        <w:rPr>
          <w:i/>
          <w:sz w:val="20"/>
        </w:rPr>
        <w:t>EN: Asymmetric Ionic Liquid Modulated Anion‐Reinforced Electric Double Layer for Advanced Durable Lithium Batteries</w:t>
      </w:r>
    </w:p>
    <w:p>
      <w:pPr>
        <w:spacing w:before="0" w:after="120"/>
      </w:pPr>
      <w:r>
        <w:rPr>
          <w:b/>
        </w:rPr>
        <w:t xml:space="preserve">Source: </w:t>
      </w:r>
      <w:r>
        <w:t>Wiley: Angewandte Chemie International Edition: Table of Contents</w:t>
      </w:r>
      <w:r>
        <w:t xml:space="preserve">    </w:t>
      </w:r>
      <w:r>
        <w:rPr>
          <w:b/>
        </w:rPr>
        <w:t xml:space="preserve">Pub date: </w:t>
      </w:r>
      <w:r>
        <w:t>2026-07-02 03:26:25+00:00</w:t>
      </w:r>
      <w:r>
        <w:t xml:space="preserve">    </w:t>
      </w:r>
      <w:r>
        <w:rPr>
          <w:b/>
        </w:rPr>
        <w:t xml:space="preserve">DOI: </w:t>
      </w:r>
      <w:hyperlink r:id="rId53">
        <w:r>
          <w:rPr>
            <w:color w:val="1155CC"/>
            <w:u w:val="single"/>
          </w:rPr>
          <w:t>10.1002/anie.5759017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双电层（EDL）控制局部电解质富集和还原途径，从而指导固体电解质中间相（SEI）的成核和演化。然而，电解质设计仍然在很大程度上受本体溶剂化描述符的指导。在此，一种不对称室温鏻离子液体（2-甲氧基乙氧基）甲基鏻六氟磷酸盐（PMEP）旨在促进阴离子增强 EDL。分子不对称性降低PMEP熔点并促进PF</w:t>
      </w:r>
      <w:r>
        <w:rPr>
          <w:vertAlign w:val="subscript"/>
        </w:rPr>
        <w:t>6</w:t>
      </w:r>
      <w:r>
        <w:t>-</w:t>
      </w:r>
      <w:r>
        <w:t>参与李</w:t>
      </w:r>
      <w:r>
        <w:t xml:space="preserve"> </w:t>
      </w:r>
      <w:r>
        <w:t>+</w:t>
      </w:r>
      <w:r>
        <w:t xml:space="preserve"> </w:t>
      </w:r>
      <w:r>
        <w:t>‐中心溶剂化结构。分子动力学 (MD) 模拟和密度泛函理论 (DFT) 计算表明 PF</w:t>
      </w:r>
      <w:r>
        <w:rPr>
          <w:vertAlign w:val="subscript"/>
        </w:rPr>
        <w:t>6</w:t>
      </w:r>
      <w:r>
        <w:t>-</w:t>
      </w:r>
      <w:r>
        <w:t>可以参加李</w:t>
      </w:r>
      <w:r>
        <w:t xml:space="preserve"> </w:t>
      </w:r>
      <w:r>
        <w:t>+</w:t>
      </w:r>
      <w:r>
        <w:t xml:space="preserve"> </w:t>
      </w:r>
      <w:r>
        <w:t>选定电荷状态下的中心界面溶剂化簇，有助于形成含有有机还原产物和无机物质（例如 LiF 和 Li）的 SEI</w:t>
      </w:r>
      <w:r>
        <w:rPr>
          <w:vertAlign w:val="subscript"/>
        </w:rPr>
        <w:t>2</w:t>
      </w:r>
      <w:r>
        <w:t>O. 这种有机/无机 SEI 结构降低了界面阻抗和 Li 的表观活化势垒</w:t>
      </w:r>
      <w:r>
        <w:t xml:space="preserve"> </w:t>
      </w:r>
      <w:r>
        <w:t>+</w:t>
      </w:r>
      <w:r>
        <w:t xml:space="preserve"> </w:t>
      </w:r>
      <w:r>
        <w:t>转移，实现更均匀的锂沉积和机械坚固的界面。锂|磷酸铁锂</w:t>
      </w:r>
      <w:r>
        <w:rPr>
          <w:vertAlign w:val="subscript"/>
        </w:rPr>
        <w:t>4</w:t>
      </w:r>
      <w:r>
        <w:t>面积负载为 11.3 mg cm 的电池</w:t>
      </w:r>
      <w:r>
        <w:t xml:space="preserve"> </w:t>
      </w:r>
      <w:r>
        <w:t>−2</w:t>
      </w:r>
      <w:r>
        <w:t xml:space="preserve"> </w:t>
      </w:r>
      <w:r>
        <w:t>提供 94.9% 的容量保持率</w:t>
      </w:r>
    </w:p>
    <w:p>
      <w:pPr>
        <w:spacing w:before="0" w:after="200" w:lineRule="auto" w:line="276"/>
      </w:pPr>
      <w:r>
        <w:rPr>
          <w:b/>
        </w:rPr>
        <w:t xml:space="preserve">Abstract (EN): </w:t>
      </w:r>
      <w:r>
        <w:t>The electric double layer (EDL) governs local electrolyte enrichment and reduction pathways, thereby directing the nucleation and evolution of solid electrolyte interphase (SEI). However, electrolyte design is still largely guided by bulk solvation descriptors. Here, an asymmetric room temperature phosphonium ionic liquid, (2‐methoxyethoxy)methyl phosphonium hexafluorophosphate (PMEP), is designed to promote an anion‐reinforced EDL. Molecular asymmetry lowers the melting point of PMEP and promotes PF</w:t>
      </w:r>
      <w:r>
        <w:rPr>
          <w:vertAlign w:val="subscript"/>
        </w:rPr>
        <w:t>6</w:t>
      </w:r>
      <w:r>
        <w:t>−</w:t>
      </w:r>
      <w:r>
        <w:t>participation in Li</w:t>
      </w:r>
      <w:r>
        <w:t xml:space="preserve"> </w:t>
      </w:r>
      <w:r>
        <w:t>+</w:t>
      </w:r>
      <w:r>
        <w:t xml:space="preserve"> </w:t>
      </w:r>
      <w:r>
        <w:t>‐centered solvation structures. Molecular dynamics (MD) simulations and density functional theory (DFT) calculations suggest that PF</w:t>
      </w:r>
      <w:r>
        <w:rPr>
          <w:vertAlign w:val="subscript"/>
        </w:rPr>
        <w:t>6</w:t>
      </w:r>
      <w:r>
        <w:t>−</w:t>
      </w:r>
      <w:r>
        <w:t>can participate in Li</w:t>
      </w:r>
      <w:r>
        <w:t xml:space="preserve"> </w:t>
      </w:r>
      <w:r>
        <w:t>+</w:t>
      </w:r>
      <w:r>
        <w:t xml:space="preserve"> </w:t>
      </w:r>
      <w:r>
        <w:t>‐centered interfacial solvation clusters under selected charge states, which contributes to the formation of an SEI containing both organic reduction products and inorganic species such as LiF and Li</w:t>
      </w:r>
      <w:r>
        <w:rPr>
          <w:vertAlign w:val="subscript"/>
        </w:rPr>
        <w:t>2</w:t>
      </w:r>
      <w:r>
        <w:t>O. This organic/inorganic SEI structure lowers interfacial impedance and the apparent activation barrier for Li</w:t>
      </w:r>
      <w:r>
        <w:t xml:space="preserve"> </w:t>
      </w:r>
      <w:r>
        <w:t>+</w:t>
      </w:r>
      <w:r>
        <w:t xml:space="preserve"> </w:t>
      </w:r>
      <w:r>
        <w:t>transfer, enabling more uniform lithium deposition and a mechanically robust interface. Li|LiFePO</w:t>
      </w:r>
      <w:r>
        <w:rPr>
          <w:vertAlign w:val="subscript"/>
        </w:rPr>
        <w:t>4</w:t>
      </w:r>
      <w:r>
        <w:t>batteries with an areal loading of 11.3 mg cm</w:t>
      </w:r>
      <w:r>
        <w:t xml:space="preserve"> </w:t>
      </w:r>
      <w:r>
        <w:t>−2</w:t>
      </w:r>
      <w:r>
        <w:t xml:space="preserve"> </w:t>
      </w:r>
      <w:r>
        <w:t>deliver 94.9% capacity retention after 600 cycles. The fabricated 1.6 Ah Graphite|LiFePO</w:t>
      </w:r>
      <w:r>
        <w:rPr>
          <w:vertAlign w:val="subscript"/>
        </w:rPr>
        <w:t>4</w:t>
      </w:r>
      <w:r>
        <w:t>cylindrical cell operates stably for over 500 cycles with a Coulombic efficiency above 99.8%. This work demonstrates a shift in electrolyte design from bulk formulations toward interfacial solvation structure engineering for next generation batteries.</w:t>
      </w:r>
    </w:p>
    <w:p>
      <w:pPr>
        <w:spacing w:before="120" w:after="120"/>
      </w:pPr>
      <w:r>
        <w:rPr>
          <w:sz w:val="18"/>
        </w:rPr>
        <w:t>——————————————————————————————————————————————————————————————————————</w:t>
      </w:r>
    </w:p>
    <w:p>
      <w:pPr>
        <w:spacing w:before="160" w:after="40" w:line="240" w:lineRule="auto"/>
      </w:pPr>
      <w:r>
        <w:rPr>
          <w:b/>
        </w:rPr>
        <w:t xml:space="preserve">[17] </w:t>
      </w:r>
      <w:hyperlink r:id="rId73">
        <w:r>
          <w:rPr>
            <w:color w:val="1155CC"/>
            <w:u w:val="single"/>
          </w:rPr>
          <w:t>用于柔性电池的无枝晶锌纤维阳极的连续制造</w:t>
        </w:r>
      </w:hyperlink>
    </w:p>
    <w:p>
      <w:pPr>
        <w:spacing w:before="0" w:after="80"/>
      </w:pPr>
      <w:r>
        <w:rPr>
          <w:i/>
          <w:sz w:val="20"/>
        </w:rPr>
        <w:t>EN: Continuous Fabrication of Dendrite‐Free Zinc Fiber Anodes for Flexible Batteries</w:t>
      </w:r>
    </w:p>
    <w:p>
      <w:pPr>
        <w:spacing w:before="0" w:after="120"/>
      </w:pPr>
      <w:r>
        <w:rPr>
          <w:b/>
        </w:rPr>
        <w:t xml:space="preserve">Source: </w:t>
      </w:r>
      <w:r>
        <w:t>Wiley: Advanced Energy Materials: Table of Contents</w:t>
      </w:r>
      <w:r>
        <w:t xml:space="preserve">    </w:t>
      </w:r>
      <w:r>
        <w:rPr>
          <w:b/>
        </w:rPr>
        <w:t xml:space="preserve">Pub date: </w:t>
      </w:r>
      <w:r>
        <w:t>2026-07-02 07:34:14+00:00</w:t>
      </w:r>
      <w:r>
        <w:t xml:space="preserve">    </w:t>
      </w:r>
      <w:r>
        <w:rPr>
          <w:b/>
        </w:rPr>
        <w:t xml:space="preserve">DOI: </w:t>
      </w:r>
      <w:hyperlink r:id="rId74">
        <w:r>
          <w:rPr>
            <w:color w:val="1155CC"/>
            <w:u w:val="single"/>
          </w:rPr>
          <w:t>10.1002/aenm.71235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不易燃水性电解质和非反应性金属的纤维状锌金属电池（FZB）作为可穿戴电子产品中的安全电源而受到关注。然而，由于圆柱形几何形状上复杂的锌沉积动力学以及实现延长的设备长度的限制，持久的枝晶形成阻碍了实际应用。在这里，我们通过定制设计的米级 FZB (M-FZB) 连续工艺开发基于氧功能化碳纳米管纤维 (OCNTF) 的纤维状锌电极，同时解决这些挑战。排列整齐、高度结晶的 OCNTF 通过与锌的低晶格失配显着减少枝晶的形成。此外，OCNTF 的致密结构在相邻纳米管之间产生明显的谷区，为均匀的锌沉积提供了有利的成核位点。因此，连续生产的Zn@OCNTF表现出优异的耐腐蚀性和耐久性。此外，M-FZB 表现出令人印象深刻的 151.0 µWh tex 能量密度</w:t>
      </w:r>
      <w:r>
        <w:t xml:space="preserve"> </w:t>
      </w:r>
      <w:r>
        <w:t>−1</w:t>
      </w:r>
      <w:r>
        <w:t xml:space="preserve"> </w:t>
      </w:r>
      <w:r>
        <w:t>。我们的研究有效解决了基础性和可扩展性挑战，推进了 FZB 的实际应用。</w:t>
      </w:r>
    </w:p>
    <w:p>
      <w:pPr>
        <w:spacing w:before="0" w:after="200" w:lineRule="auto" w:line="276"/>
      </w:pPr>
      <w:r>
        <w:rPr>
          <w:b/>
        </w:rPr>
        <w:t xml:space="preserve">Abstract (EN): </w:t>
      </w:r>
      <w:r>
        <w:t>Fiber‐shaped zinc metal batteries (FZBs) with non‐flammable aqueous electrolytes and non‐reactive metals are gaining attention as safe power source in wearable electronics However, practical implementation is hindered by persistent dendrite formation due to complex zinc deposition kinetics on cylindrical geometries, as well as limitations in achieving extended device lengths. Here, we simultaneously address these challenges by development of fiber‐shaped zinc electrodes based on oxygen functionalized carbon nanotube fiber (OCNTF) via custom‐designed continuous process for meter‐scale FZBs (M‐FZBs). The aligned, highly crystalline OCNTF significantly mitigate dendrite formation by low lattice misfit with zinc. Additionally, the densely packed structure of OCNTFs generates distinct valley regions between adjacent nanotubes, providing energetically favorable nucleation sites for uniform zinc deposition. Consequently, the continuous produced Zn@OCNTF exhibits superior corrosion resistance and durability. Additionally, the M‐FZBs demonstrate an impressive energy density of 151.0 µWh tex</w:t>
      </w:r>
      <w:r>
        <w:t xml:space="preserve"> </w:t>
      </w:r>
      <w:r>
        <w:t>−1</w:t>
      </w:r>
      <w:r>
        <w:t xml:space="preserve"> </w:t>
      </w:r>
      <w:r>
        <w:t>. Our research effectively addresses fundamental and scalability challenges, advancing practical application of FZBs.</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28">
        <w:r>
          <w:rPr>
            <w:color w:val="1155CC"/>
            <w:u w:val="single"/>
          </w:rPr>
          <w:t>硫化物全固态电池中氧氧化还原与富锂正极界面稳定性之间的相互作用</w:t>
        </w:r>
      </w:hyperlink>
    </w:p>
    <w:p>
      <w:pPr>
        <w:spacing w:before="0" w:after="80"/>
      </w:pPr>
      <w:r>
        <w:rPr>
          <w:i/>
          <w:sz w:val="20"/>
        </w:rPr>
        <w:t>EN: Interplay between oxygen redox and interfacial stability of Li-rich positive electrodes in sulfide-based all-solid-state batteries</w:t>
      </w:r>
    </w:p>
    <w:p>
      <w:pPr>
        <w:spacing w:before="0" w:after="120"/>
      </w:pPr>
      <w:r>
        <w:rPr>
          <w:b/>
        </w:rPr>
        <w:t xml:space="preserve">Source: </w:t>
      </w:r>
      <w:r>
        <w:t>Physical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了解和操纵晶格氧氧化还原与界面稳定性之间的相互作用对于充分发挥全固态锂电池中富锂锰基氧化物正极的潜力至关重要。在此，我们全面研究了硫化物电解质（Li6PS5Cl）体系中富锂锰基正极的界面演化，并报道了高电位下不可逆晶格氧氧化还原诱导严重电解质分解的潜在机制，形成多孔含氧副产物，主导界面阻抗并阻碍阴离子氧化还原反应。放电驱动的这些副产物的还原（特别是在 2.6-2.0 V 之间）可以通过锂掺入促进界面重建，增强离子传输动力学并实现可逆的氧氧化还原。基于这一已确定的机制，我们提出了一种采用氧改性 Li6PS5Cl 的预激活策略（3.9-2.0 V 预循环），可加速相间稳定并在第一个循环期间实现高氧氧化还原利用率。它在 10 mA g−1 时的比容量为 318 mAh g−1，在 200 mA g−1 时的比容量为 226 mAh g−1，在 60 °C 下经过 500 次循环后，其保留率为 83.2%。这项工作有可能提供一种有效的界面重构策略来增强阴离子氧化还原可逆性，为全固态锂电池中的高能富锂正极提供设计框架。</w:t>
      </w:r>
    </w:p>
    <w:p>
      <w:pPr>
        <w:spacing w:before="0" w:after="200" w:lineRule="auto" w:line="276"/>
      </w:pPr>
      <w:r>
        <w:rPr>
          <w:b/>
        </w:rPr>
        <w:t xml:space="preserve">Abstract (EN): </w:t>
      </w:r>
      <w:r>
        <w:t>Understanding and manipulating the interplay between lattice oxygen redox and interfacial stability is critical for realizing the full potential of lithium-rich manganese-based oxide positive electrodes in all-solid-state lithium batteries. Herein, we comprehensively investigate interfacial evolution of Li-rich manganese-based positive electrodes in sulfide electrolyte (Li6PS5Cl) systems and report that a potential mechanism where irreversible lattice oxygen redox at high potential induces severe electrolyte decomposition, forming porous oxygenated by-products that dominate interfacial impedance and hinder anionic redox reactions. Discharge-driven reduction of these by-products—particularly between 2.6-2.0 V—could facilitates interphases reconstruction via lithium incorporation, enhancing ionic transport kinetics and enabling reversible oxygen redox. Building on this identified mechanism, we propose a pre-activation strategy (3.9-2.0 V pre-cycling) with oxygen-modified Li6PS5Cl, which accelerates interphases stabilization and enables high oxygen redox utilization during the first cycle. It delivers a specific capacity of 318 mAh g−1 at 10 mA g−1, and 226 mAh g−1 at 200 mA g−1 with 83.2% retention over 500 cycles at 60 °C. This work has the potential to provide an effective interfacial reconstruction strategy to enhance anionic redox reversibility, providing a design framework for high-energy lithium-rich positive electrodes in all-solid-state lithium batteries.</w:t>
      </w:r>
    </w:p>
    <w:p>
      <w:pPr>
        <w:spacing w:before="120" w:after="120"/>
      </w:pPr>
      <w:r>
        <w:rPr>
          <w:sz w:val="18"/>
        </w:rPr>
        <w:t>——————————————————————————————————————————————————————————————————————</w:t>
      </w:r>
    </w:p>
    <w:p>
      <w:pPr>
        <w:spacing w:before="160" w:after="40" w:line="240" w:lineRule="auto"/>
      </w:pPr>
      <w:r>
        <w:rPr>
          <w:b/>
        </w:rPr>
        <w:t xml:space="preserve">[2] </w:t>
      </w:r>
      <w:hyperlink r:id="rId75">
        <w:r>
          <w:rPr>
            <w:color w:val="1155CC"/>
            <w:u w:val="single"/>
          </w:rPr>
          <w:t>消除石榴石中有害的晶界偏析</w:t>
        </w:r>
      </w:hyperlink>
    </w:p>
    <w:p>
      <w:pPr>
        <w:spacing w:before="0" w:after="80"/>
      </w:pPr>
      <w:r>
        <w:rPr>
          <w:i/>
          <w:sz w:val="20"/>
        </w:rPr>
        <w:t>EN: Elimination of detrimental grain boundary segregation in Garnets</w:t>
      </w:r>
    </w:p>
    <w:p>
      <w:pPr>
        <w:spacing w:before="0" w:after="120"/>
      </w:pPr>
      <w:r>
        <w:rPr>
          <w:b/>
        </w:rPr>
        <w:t xml:space="preserve">Source: </w:t>
      </w:r>
      <w:r>
        <w:t>Physical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石榴石 Li7La3Zr2O12 电解质被认为是锂金属电极固态电池的关键推动者，但晶界会损害其性能。迄今为止，对晶界结构及其对性能的影响的理解仍然难以捉摸。在这里，我们表明 Li7La3Zr2O12 晶界处的元素偏析关键控制着 Li 的传输和成核。在传统烧结过程中，Al、Ta 和 La 在晶界处偏析，局部耗尽 Li 并产生空间电荷层，从而降低总离子电导率。同时，这种偏析导致沿晶界的电子电导率更高，从而促进晶界边缘的锂成核，增加枝晶形成的风险。偏析的基本机制受热力学驱动力和扩散动力学的控制。基于这种理解，我们制定了一种策略，通过利用固态软化开始的快速烧结协议来实现无偏析的晶界。这种方法产生透明的多晶Li7La3Zr2O12，其晶界阻抗可以忽略不计，并且枝晶耐受性增强。通过阐明晶界偏析的结构起源和电化学后果，这项工作为固体电解质的合理优化提供了指导。</w:t>
      </w:r>
    </w:p>
    <w:p>
      <w:pPr>
        <w:spacing w:before="0" w:after="200" w:lineRule="auto" w:line="276"/>
      </w:pPr>
      <w:r>
        <w:rPr>
          <w:b/>
        </w:rPr>
        <w:t xml:space="preserve">Abstract (EN): </w:t>
      </w:r>
      <w:r>
        <w:t>Garnet Li7La3Zr2O12 electrolyte is considered a key enabler of solid-state batteries with Li metal electrodes, but the grain boundaries impair its performance. To date, the understanding of grain boundary structures and its impact on performance remains elusive. Here, we show that element segregation at Li7La3Zr2O12 grain boundaries critically governs Li transport and nucleation. During conventional sintering, Al, Ta, and La segregate at grain boundaries, locally depleting Li and creating space-charge layers that lower total ionic conductivity. Simultaneously, this segregation leads to higher electronic conductivity along grain boundaries, which promotes Li nucleation at grain boundary edges with increased risk of dendrite formation. The underlying mechanism of segregation is governed by both thermodynamic driving forces and diffusion kinetics. Building on this understanding, we develop a strategy to achieve segregation-free grain boundaries through a rapid sintering protocol that utilizes the onset of solid-state softening. This approach yields transparent, polycrystalline Li7La3Zr2O12 with negligible grain boundary impedance and enhanced dendrite tolerance. By elucidating the structural origins and electrochemical consequences of grain boundary segregation, this work provides a guidance for the rational optimization of solid electrolytes.</w:t>
      </w:r>
    </w:p>
    <w:p>
      <w:pPr>
        <w:spacing w:before="120" w:after="120"/>
      </w:pPr>
      <w:r>
        <w:rPr>
          <w:sz w:val="18"/>
        </w:rPr>
        <w:t>——————————————————————————————————————————————————————————————————————</w:t>
      </w:r>
    </w:p>
    <w:p>
      <w:pPr>
        <w:spacing w:before="160" w:after="40" w:line="240" w:lineRule="auto"/>
      </w:pPr>
      <w:r>
        <w:rPr>
          <w:b/>
        </w:rPr>
        <w:t xml:space="preserve">[3] </w:t>
      </w:r>
      <w:hyperlink r:id="rId29">
        <w:r>
          <w:rPr>
            <w:color w:val="1155CC"/>
            <w:u w:val="single"/>
          </w:rPr>
          <w:t>超亲钠混合导体界面实现准固态钠金属电池的均匀顶部沉积</w:t>
        </w:r>
      </w:hyperlink>
    </w:p>
    <w:p>
      <w:pPr>
        <w:spacing w:before="0" w:after="80"/>
      </w:pPr>
      <w:r>
        <w:rPr>
          <w:i/>
          <w:sz w:val="20"/>
        </w:rPr>
        <w:t>EN: Ultra-Sodiophilic Mixed Conductor Interphase Enabling Uniform Top Deposition for Quasi-Solid-State Sodium-Metal Batteries</w:t>
      </w:r>
    </w:p>
    <w:p>
      <w:pPr>
        <w:spacing w:before="0" w:after="120"/>
      </w:pPr>
      <w:r>
        <w:rPr>
          <w:b/>
        </w:rPr>
        <w:t xml:space="preserve">Source: </w:t>
      </w:r>
      <w:r>
        <w:t>Nano-Micro Letters</w:t>
      </w:r>
      <w:r>
        <w:t xml:space="preserve">    </w:t>
      </w:r>
      <w:r>
        <w:rPr>
          <w:b/>
        </w:rPr>
        <w:t xml:space="preserve">Pub date: </w:t>
      </w:r>
      <w:r>
        <w:t>2026-06-29 00:00:00+00:00</w:t>
      </w:r>
      <w:r>
        <w:t xml:space="preserve">    </w:t>
      </w:r>
      <w:r>
        <w:rPr>
          <w:b/>
        </w:rPr>
        <w:t xml:space="preserve">DOI: </w:t>
      </w:r>
      <w:hyperlink r:id="rId30">
        <w:r>
          <w:rPr>
            <w:color w:val="1155CC"/>
            <w:u w:val="single"/>
          </w:rPr>
          <w:t>10.1007/s40820-026-02256-y</w:t>
        </w:r>
      </w:hyperlink>
    </w:p>
    <w:p>
      <w:pPr>
        <w:spacing w:before="0" w:after="120"/>
      </w:pPr>
      <w:r>
        <w:rPr>
          <w:b/>
        </w:rPr>
        <w:t xml:space="preserve">Notes: </w:t>
      </w:r>
      <w:r>
        <w:t>abstract_source=rss_description</w:t>
      </w:r>
    </w:p>
    <w:p>
      <w:pPr>
        <w:spacing w:before="0" w:after="80" w:lineRule="auto" w:line="276"/>
      </w:pPr>
      <w:r>
        <w:rPr>
          <w:b/>
        </w:rPr>
        <w:t xml:space="preserve">摘要（ZH）: </w:t>
      </w:r>
      <w:r>
        <w:t>人工固体电解质界面为提高准固态钠金属电池（QSMB）的寿命和安全性提供了一条有前途的途径，但其有限的离子电导率和聚合物电解质的低流动性往往导致不稳定的钠沉积/剥离动力学和较差的界面耐久性。在此，我们提出了一种表面诱导的“顶部”Na沉积机制，该机制由具有强Na+吸附亲和力的超亲钠离子/电子混合导体界面促进，这确保了快速且无枝晶的Na阳极运行。嵌入的Na3Sb合金相具有高电子电导率和强Na+吸附能，显着加速界面离子扩散和成核动力学，形成光滑致密的Na沉积层，有利于稳定的固体电解质界面形成并保持界面完整性。因此，采用基于 1, 3-二氧戊环的凝胶聚合物电解质的 Na||Na 对称电池在 0.5 mA cm−2 下具有 1000 小时的超长循环寿命，且过电位低至 40 mV。此外，采用改性Na阳极和Na3V2(PO4)3阴极的QSMB表现出出色的循环稳定性（2C下9000次循环后容量保持率为74.1%）和卓越的倍率性能（5C下91.7 mAh g−1）。这项工作提供了调控钠沉积的机制见解和实用策略，为高性能 QSMB 铺平了道路。亮点：1 超亲钠离子/电子混合导体相间成分促进的表面诱导“顶部”Na 沉积机制</w:t>
      </w:r>
    </w:p>
    <w:p>
      <w:pPr>
        <w:spacing w:before="0" w:after="200" w:lineRule="auto" w:line="276"/>
      </w:pPr>
      <w:r>
        <w:rPr>
          <w:b/>
        </w:rPr>
        <w:t xml:space="preserve">Abstract (EN): </w:t>
      </w:r>
      <w:r>
        <w:t>Artificial solid electrolyte interphase offers a promising route to improve the lifespan and safety of quasi-solid-state sodium-metal batteries (QSMBs), yet its limited ion conductivity and the low liquidity of the polymer electrolyte often result in unstable Na plating/stripping kinetics and poor interfacial durability. Herein, we propose a surface-induced “top” Na deposition mechanism facilitated by an ultra-sodiophilic ionic/electronic mixed conductor interphase exhibiting strong Na+ adsorption affinity, which ensures fast and dendrite-free Na anode operation. The embedded Na3Sb alloy phase, featuring high electronic conductivity and strong Na+ adsorption energy, significantly accelerates interfacial ion diffusion and nucleation kinetics, forming a smooth and compact Na deposition layer that facilitates stable solid electrolyte interphase formation and preserves interfacial integrity. Consequently, Na||Na symmetric cells employing a 1, 3-dioxolane-based gel polymer electrolyte deliver an ultra-long-cycling lifespan of 1000 h at 0.5 mA cm−2 with a low overpotential of 40 mV. Moreover, QSMBs incorporating the modified Na anode and Na3V2(PO4)3 cathode demonstrate outstanding cycling stability (74.1% capacity retention after 9000 cycles at 2C) and superior rate capability (91.7 mAh g−1 at 5C). The work provides mechanistic insights and practical strategies for regulating Na deposition, paving the way toward high-performance QSMBs. Highlights:1 A surface-induced “top” Na deposition mechanism facilitated by an ultra-sodiophilic ionic/electronic mixed conductor interphase composed of NaF and Na3Sb is proposed.2 SFC-Na anode exhibits enhanced Na+ affinity force and accelerated ion transport kinetics, Na nucleation kinetics are greatly enhanced while dendrite growth is effectively suppressed.3 The quasi-solid-state sodium-metal batteries with Na3V2(PO4)3 cathode and SFC-Na anode exhibit significantly enhanced cycling stability and superior rate capability.</w:t>
      </w:r>
    </w:p>
    <w:p>
      <w:pPr>
        <w:spacing w:before="120" w:after="120"/>
      </w:pPr>
      <w:r>
        <w:rPr>
          <w:sz w:val="18"/>
        </w:rPr>
        <w:t>——————————————————————————————————————————————————————————————————————</w:t>
      </w:r>
    </w:p>
    <w:p>
      <w:pPr>
        <w:spacing w:before="160" w:after="40" w:line="240" w:lineRule="auto"/>
      </w:pPr>
      <w:r>
        <w:rPr>
          <w:b/>
        </w:rPr>
        <w:t xml:space="preserve">[4] </w:t>
      </w:r>
      <w:hyperlink r:id="rId60">
        <w:r>
          <w:rPr>
            <w:color w:val="1155CC"/>
            <w:u w:val="single"/>
          </w:rPr>
          <w:t>将寄生反应从布拉维定律引导的电氧化还原中解耦到用于 Ah 级电池的高度可逆 (101) 织构锌阳极</w:t>
        </w:r>
      </w:hyperlink>
    </w:p>
    <w:p>
      <w:pPr>
        <w:spacing w:before="0" w:after="80"/>
      </w:pPr>
      <w:r>
        <w:rPr>
          <w:i/>
          <w:sz w:val="20"/>
        </w:rPr>
        <w:t>EN: Decoupling Parasitic Reactions From Bravais Law‐Guided Electroredox Toward Highly Reversible (101)‐Textured Zn Anodes for Ah‐Scale Batteries</w:t>
      </w:r>
    </w:p>
    <w:p>
      <w:pPr>
        <w:spacing w:before="0" w:after="120"/>
      </w:pPr>
      <w:r>
        <w:rPr>
          <w:b/>
        </w:rPr>
        <w:t xml:space="preserve">Source: </w:t>
      </w:r>
      <w:r>
        <w:t>Wiley: Advanced Materials: Table of Contents</w:t>
      </w:r>
      <w:r>
        <w:t xml:space="preserve">    </w:t>
      </w:r>
      <w:r>
        <w:rPr>
          <w:b/>
        </w:rPr>
        <w:t xml:space="preserve">Pub date: </w:t>
      </w:r>
      <w:r>
        <w:t>2026-06-29 08:04:24+00:00</w:t>
      </w:r>
      <w:r>
        <w:t xml:space="preserve">    </w:t>
      </w:r>
      <w:r>
        <w:rPr>
          <w:b/>
        </w:rPr>
        <w:t xml:space="preserve">DOI: </w:t>
      </w:r>
      <w:hyperlink r:id="rId61">
        <w:r>
          <w:rPr>
            <w:color w:val="1155CC"/>
            <w:u w:val="single"/>
          </w:rPr>
          <w:t>10.1002/adma.73893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锌离子电池（AZIB）在电网规模储能方面具有广阔的前景，但由于枝晶生长和水驱动的寄生反应而导致锌阳极可逆性较差，因此受到限制。尽管基于布拉维定律的晶体结构调节可以指导镀锌/剥离，但选择性晶面筛选通常会使未受保护的晶面容易受到寄生副反应的影响。传统的基于布拉维定律的纹理策略中的这种固有的权衡会导致不稳定和瞬态的纹理演化，尤其是在实际条件下。在这项研究中，我们提出了一种解耦电解质设计，使用甲酰胺（FA）共溶剂和微量1-丁基-3-甲基咪唑鎓阳离子（Bmim），同时实现面选择性纹理控制和全局水活度抑制</w:t>
      </w:r>
      <w:r>
        <w:t xml:space="preserve"> </w:t>
      </w:r>
      <w:r>
        <w:t>+</w:t>
      </w:r>
      <w:r>
        <w:t xml:space="preserve"> </w:t>
      </w:r>
      <w:r>
        <w:t>) 添加剂。米姆</w:t>
      </w:r>
      <w:r>
        <w:t xml:space="preserve"> </w:t>
      </w:r>
      <w:r>
        <w:t>+</w:t>
      </w:r>
      <w:r>
        <w:t xml:space="preserve"> </w:t>
      </w:r>
      <w:r>
        <w:t>添加剂优先吸附在 Zn(101) 面上，延缓其生长并将 Zn 电镀/剥离引导至 (101) 织构模式，而 FA 抑制本体/界面水活性，从而抑制非目标面上的界面副反应。这种分层设计确保了持续的 Zn(101) 纹理电氧化还原，并显着提高了可逆性，在 5 mA cm 电流下，Zn||Zn 对称电池的寿命为 1700 小时</w:t>
      </w:r>
      <w:r>
        <w:t xml:space="preserve"> </w:t>
      </w:r>
      <w:r>
        <w:t>−2</w:t>
      </w:r>
      <w:r>
        <w:t xml:space="preserve"> </w:t>
      </w:r>
      <w:r>
        <w:t>, 5 毫安时厘米</w:t>
      </w:r>
      <w:r>
        <w:t xml:space="preserve"> </w:t>
      </w:r>
      <w:r>
        <w:t>−2</w:t>
      </w:r>
      <w:r>
        <w:t xml:space="preserve"> </w:t>
      </w:r>
      <w:r>
        <w:t>，以及 Zn||I 中的 5000 次循环</w:t>
      </w:r>
      <w:r>
        <w:rPr>
          <w:vertAlign w:val="subscript"/>
        </w:rPr>
        <w:t>2</w:t>
      </w:r>
      <w:r>
        <w:t>全电池容量保持率为 79.55%</w:t>
      </w:r>
    </w:p>
    <w:p>
      <w:pPr>
        <w:spacing w:before="0" w:after="200" w:lineRule="auto" w:line="276"/>
      </w:pPr>
      <w:r>
        <w:rPr>
          <w:b/>
        </w:rPr>
        <w:t xml:space="preserve">Abstract (EN): </w:t>
      </w:r>
      <w:r>
        <w:t>Aqueous Zn–ion batteries (AZIBs) are promising for grid‐scale energy storage but are limited by poor Zn anode reversibility due to dendrite growth and water‐driven parasitic reactions. Although crystallographic texture regulation based on Bravais law can guide Zn plating/stripping, selective facet screening often leaves unprotected facets vulnerable to the parasitic side reactions. This inherent trade‐off in conventional Bravais law‐based texturing strategies leads to unstable and transient texture evolution especially under practical conditions. In this study, we propose a decoupled electrolyte design that simultaneously enables facet‐selective texture control and global suppression of water activity using a formamide (FA) cosolvent and a trace 1‐butyl‐3‐methylimidazolium cation (Bmim</w:t>
      </w:r>
      <w:r>
        <w:t xml:space="preserve"> </w:t>
      </w:r>
      <w:r>
        <w:t>+</w:t>
      </w:r>
      <w:r>
        <w:t xml:space="preserve"> </w:t>
      </w:r>
      <w:r>
        <w:t>) additive. Bmim</w:t>
      </w:r>
      <w:r>
        <w:t xml:space="preserve"> </w:t>
      </w:r>
      <w:r>
        <w:t>+</w:t>
      </w:r>
      <w:r>
        <w:t xml:space="preserve"> </w:t>
      </w:r>
      <w:r>
        <w:t>additive preferentially adsorbs on the Zn(101) facet, retarding its growth and directing Zn plating/stripping toward a (101)‐textured mode, while FA suppresses the bulk/interfacial water activity, thereby suppressing interfacial side reactions on non‐targeted facets. This hierarchical design ensures sustained Zn(101)‐textured electroredox with markedly improved reversibility, delivering 1700 h lifespan in Zn||Zn symmetric cells at 5 mA cm</w:t>
      </w:r>
      <w:r>
        <w:t xml:space="preserve"> </w:t>
      </w:r>
      <w:r>
        <w:t>−2</w:t>
      </w:r>
      <w:r>
        <w:t xml:space="preserve"> </w:t>
      </w:r>
      <w:r>
        <w:t>, 5 mAh cm</w:t>
      </w:r>
      <w:r>
        <w:t xml:space="preserve"> </w:t>
      </w:r>
      <w:r>
        <w:t>−2</w:t>
      </w:r>
      <w:r>
        <w:t xml:space="preserve"> </w:t>
      </w:r>
      <w:r>
        <w:t>, and 5000 cycles in Zn||I</w:t>
      </w:r>
      <w:r>
        <w:rPr>
          <w:vertAlign w:val="subscript"/>
        </w:rPr>
        <w:t>2</w:t>
      </w:r>
      <w:r>
        <w:t>full cells with 79.55% capacity retention at 0.5 A g</w:t>
      </w:r>
      <w:r>
        <w:t xml:space="preserve"> </w:t>
      </w:r>
      <w:r>
        <w:t>−1</w:t>
      </w:r>
      <w:r>
        <w:t xml:space="preserve"> </w:t>
      </w:r>
      <w:r>
        <w:t>. Notably, a 1.4 Ah pouch cell further validates the scalability of the proposed decoupling principle for practical AZIBs.</w:t>
      </w:r>
    </w:p>
    <w:p>
      <w:pPr>
        <w:spacing w:before="120" w:after="120"/>
      </w:pPr>
      <w:r>
        <w:rPr>
          <w:sz w:val="18"/>
        </w:rPr>
        <w:t>——————————————————————————————————————————————————————————————————————</w:t>
      </w:r>
    </w:p>
    <w:p>
      <w:pPr>
        <w:spacing w:before="160" w:after="40" w:line="240" w:lineRule="auto"/>
      </w:pPr>
      <w:r>
        <w:rPr>
          <w:b/>
        </w:rPr>
        <w:t xml:space="preserve">[5] </w:t>
      </w:r>
      <w:hyperlink r:id="rId31">
        <w:r>
          <w:rPr>
            <w:color w:val="1155CC"/>
            <w:u w:val="single"/>
          </w:rPr>
          <w:t>采用集成 3D 打印阴极和电解质的无阳极锂电池实现 1300 Wh/L</w:t>
        </w:r>
      </w:hyperlink>
    </w:p>
    <w:p>
      <w:pPr>
        <w:spacing w:before="0" w:after="80"/>
      </w:pPr>
      <w:r>
        <w:rPr>
          <w:i/>
          <w:sz w:val="20"/>
        </w:rPr>
        <w:t>EN: Achieving 1300 Wh/L in Anode‐Free Li Batteries With Integrated 3D Printed Cathode and Electrolyte</w:t>
      </w:r>
    </w:p>
    <w:p>
      <w:pPr>
        <w:spacing w:before="0" w:after="120"/>
      </w:pPr>
      <w:r>
        <w:rPr>
          <w:b/>
        </w:rPr>
        <w:t xml:space="preserve">Source: </w:t>
      </w:r>
      <w:r>
        <w:t>Wiley: Advanced Materials: Table of Contents</w:t>
      </w:r>
      <w:r>
        <w:t xml:space="preserve">    </w:t>
      </w:r>
      <w:r>
        <w:rPr>
          <w:b/>
        </w:rPr>
        <w:t xml:space="preserve">Pub date: </w:t>
      </w:r>
      <w:r>
        <w:t>2026-06-29 13:29:09+00:00</w:t>
      </w:r>
      <w:r>
        <w:t xml:space="preserve">    </w:t>
      </w:r>
      <w:r>
        <w:rPr>
          <w:b/>
        </w:rPr>
        <w:t xml:space="preserve">DOI: </w:t>
      </w:r>
      <w:hyperlink r:id="rId32">
        <w:r>
          <w:rPr>
            <w:color w:val="1155CC"/>
            <w:u w:val="single"/>
          </w:rPr>
          <w:t>10.1002/adma.73891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采用超厚阴极的无阳极锂电池可提供出色的体积能量密度，但受到副反应和有限的锂储库的阻碍。这项研究开发了一种无阳极软包电池，使用 3D 打印的超厚阴极（120 mg cm</w:t>
      </w:r>
      <w:r>
        <w:t xml:space="preserve"> </w:t>
      </w:r>
      <w:r>
        <w:t>−2</w:t>
      </w:r>
      <w:r>
        <w:t xml:space="preserve"> </w:t>
      </w:r>
      <w:r>
        <w:t>）和双盐/双溶剂电解质。该电解质形成富含阴离子的溶剂化结构，形成弹塑性固体电解质中间层，即使在低温条件下，也能在裸铜集流体上实现高度可逆的锂沉积/剥离，并实现稳定的长时间循环。该配置可提供 1,308 Wh L 的能量密度</w:t>
      </w:r>
      <w:r>
        <w:t xml:space="preserve"> </w:t>
      </w:r>
      <w:r>
        <w:t>−1</w:t>
      </w:r>
      <w:r>
        <w:t xml:space="preserve"> </w:t>
      </w:r>
      <w:r>
        <w:t>和 424 Wh 千克</w:t>
      </w:r>
      <w:r>
        <w:t xml:space="preserve"> </w:t>
      </w:r>
      <w:r>
        <w:t>−1</w:t>
      </w:r>
      <w:r>
        <w:t xml:space="preserve"> </w:t>
      </w:r>
      <w:r>
        <w:t>，以及 19.11 mAh cm 的非凡面积容量</w:t>
      </w:r>
      <w:r>
        <w:t xml:space="preserve"> </w:t>
      </w:r>
      <w:r>
        <w:t>−2</w:t>
      </w:r>
      <w:r>
        <w:t xml:space="preserve"> </w:t>
      </w:r>
      <w:r>
        <w:t>。这项工作为高能、安全的无阳极电池建立了一条可扩展且具有成本效益的技术路线，有望加速其在电动航空和快速增长的低空经济领域的商业化。</w:t>
      </w:r>
    </w:p>
    <w:p>
      <w:pPr>
        <w:spacing w:before="0" w:after="200" w:lineRule="auto" w:line="276"/>
      </w:pPr>
      <w:r>
        <w:rPr>
          <w:b/>
        </w:rPr>
        <w:t xml:space="preserve">Abstract (EN): </w:t>
      </w:r>
      <w:r>
        <w:t>Anode‐free Li batteries employing ultra‐thick cathodes offer exceptional volumetric energy density, yet are hindered by side reactions and limited Li reservoirs. This study develops an anode‐free pouch cell using a 3D‐printed ultra‐thick cathode (120 mg cm</w:t>
      </w:r>
      <w:r>
        <w:t xml:space="preserve"> </w:t>
      </w:r>
      <w:r>
        <w:t>‒2</w:t>
      </w:r>
      <w:r>
        <w:t xml:space="preserve"> </w:t>
      </w:r>
      <w:r>
        <w:t>) and a dual‐salt/dual‐solvent electrolyte. The electrolyte forms an anion‐rich solvation structure, fostering an elastic‐plastic solid‐electrolyte interphase layer that enables highly reversible Li plating/stripping on bare Cu current collectors and stable prolonged cycling, even under low temperature conditions. The configuration delivers energy densities of 1,308 Wh L</w:t>
      </w:r>
      <w:r>
        <w:t xml:space="preserve"> </w:t>
      </w:r>
      <w:r>
        <w:t>‒1</w:t>
      </w:r>
      <w:r>
        <w:t xml:space="preserve"> </w:t>
      </w:r>
      <w:r>
        <w:t>and 424 Wh kg</w:t>
      </w:r>
      <w:r>
        <w:t xml:space="preserve"> </w:t>
      </w:r>
      <w:r>
        <w:t>‒1</w:t>
      </w:r>
      <w:r>
        <w:t xml:space="preserve"> </w:t>
      </w:r>
      <w:r>
        <w:t>, alongside a remarkable areal capacity of 19.11 mAh cm</w:t>
      </w:r>
      <w:r>
        <w:t xml:space="preserve"> </w:t>
      </w:r>
      <w:r>
        <w:t>‒2</w:t>
      </w:r>
      <w:r>
        <w:t xml:space="preserve"> </w:t>
      </w:r>
      <w:r>
        <w:t>. This work establishes a scalable and cost‐effective technical route for high‐energy, safe anode‐free batteries, which is expected to expedite their commercialization in electric aviation and the fast‐growing low‐altitude economy.</w:t>
      </w:r>
    </w:p>
    <w:p>
      <w:pPr>
        <w:spacing w:before="120" w:after="120"/>
      </w:pPr>
      <w:r>
        <w:rPr>
          <w:sz w:val="18"/>
        </w:rPr>
        <w:t>——————————————————————————————————————————————————————————————————————</w:t>
      </w:r>
    </w:p>
    <w:p>
      <w:pPr>
        <w:spacing w:before="160" w:after="40" w:line="240" w:lineRule="auto"/>
      </w:pPr>
      <w:r>
        <w:rPr>
          <w:b/>
        </w:rPr>
        <w:t xml:space="preserve">[6] </w:t>
      </w:r>
      <w:hyperlink r:id="rId62">
        <w:r>
          <w:rPr>
            <w:color w:val="1155CC"/>
            <w:u w:val="single"/>
          </w:rPr>
          <w:t>卤化物固态电解质的阳极兼容性</w:t>
        </w:r>
      </w:hyperlink>
    </w:p>
    <w:p>
      <w:pPr>
        <w:spacing w:before="0" w:after="80"/>
      </w:pPr>
      <w:r>
        <w:rPr>
          <w:i/>
          <w:sz w:val="20"/>
        </w:rPr>
        <w:t>EN: Anode Compatibility of Halide Solid‐State Electrolytes</w:t>
      </w:r>
    </w:p>
    <w:p>
      <w:pPr>
        <w:spacing w:before="0" w:after="120"/>
      </w:pPr>
      <w:r>
        <w:rPr>
          <w:b/>
        </w:rPr>
        <w:t xml:space="preserve">Source: </w:t>
      </w:r>
      <w:r>
        <w:t>Wiley: Advanced Materials: Table of Contents</w:t>
      </w:r>
      <w:r>
        <w:t xml:space="preserve">    </w:t>
      </w:r>
      <w:r>
        <w:rPr>
          <w:b/>
        </w:rPr>
        <w:t xml:space="preserve">Pub date: </w:t>
      </w:r>
      <w:r>
        <w:t>2026-06-29 15:32:22+00:00</w:t>
      </w:r>
      <w:r>
        <w:t xml:space="preserve">    </w:t>
      </w:r>
      <w:r>
        <w:rPr>
          <w:b/>
        </w:rPr>
        <w:t xml:space="preserve">DOI: </w:t>
      </w:r>
      <w:hyperlink r:id="rId63">
        <w:r>
          <w:rPr>
            <w:color w:val="1155CC"/>
            <w:u w:val="single"/>
          </w:rPr>
          <w:t>10.1002/adma.73862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最近，锂金属卤化物（Li-M-X）超离子导体因其高Li值而成为全固态锂电池（ASSLB）有前景的固态电解质（SSE）。</w:t>
      </w:r>
      <w:r>
        <w:t xml:space="preserve"> </w:t>
      </w:r>
      <w:r>
        <w:t>+</w:t>
      </w:r>
      <w:r>
        <w:t xml:space="preserve"> </w:t>
      </w:r>
      <w:r>
        <w:t>导电性、与阴极优异的相容性和良好的机械变形性。然而，许多这些导体在与还原阳极接触时表现出化学和电化学不稳定性，这阻碍了锂金属直接用作具有极高比容量的阳极，并限制了卤化物基ASSLB的整体能量密度。因此，提高卤化物SSE的阳极兼容性已成为ASSLB开发的关键任务，并引起了广泛的研究兴趣。在此，基于实验观察和理论计算，阐明了卤化物 SSE 对锂阳极不稳定的潜在机制。总结了旨在提高卤化物 SSE 与锂阳极兼容性的最新策略和进展。此外，还讨论了压力和体积变化对卤化物SSE和锂金属之间界面相容性的影响。此外，还分析了当前的挑战和未来的研究方向，旨在为支持Li-M-X型固态电解质和全固态锂电池的进一步发展提供理论见解和指导。</w:t>
      </w:r>
    </w:p>
    <w:p>
      <w:pPr>
        <w:spacing w:before="0" w:after="200" w:lineRule="auto" w:line="276"/>
      </w:pPr>
      <w:r>
        <w:rPr>
          <w:b/>
        </w:rPr>
        <w:t xml:space="preserve">Abstract (EN): </w:t>
      </w:r>
      <w:r>
        <w:t>Recently, lithium‐metal‐halide (Li‐M‐X) superionic conductors have emerged as promising solid‐state electrolyte (SSEs) for all‐solid‐state lithium batteries (ASSLBs), owing to their high Li</w:t>
      </w:r>
      <w:r>
        <w:t xml:space="preserve"> </w:t>
      </w:r>
      <w:r>
        <w:t>+</w:t>
      </w:r>
      <w:r>
        <w:t xml:space="preserve"> </w:t>
      </w:r>
      <w:r>
        <w:t>conductivity, excellent compatibility with cathodes, and good mechanical deformability. However, many of these conductors exhibit chemical and electrochemical instability when in contact with the reductive anodes, which hinders the direct use of lithium metal as anodes with extraordinarily high specific capacities and limits the overall energy density of halide‐based ASSLBs. Therefore, enhancing the anode compatibility of halide SSEs has become a critical task in ASSLB development and has attracted broad research interest. Herein, the underlying mechanisms responsible for the instability of halide SSEs against the lithium anode are elucidated based on both experimental observations and theoretical calculations. Recent strategies and progress aimed at improving the compatibility of halide SSEs with lithium anodes are summarized. Moreover, the effects of pressure and volume changes on the interfacial compatibility between halide SSE and lithium metal are discussed. In addition, the current challenges and future research directions are analyzed, aiming to provide theoretical insights and guidance to support further advancements in Li‐M‐X type solid‐state electrolytes and all‐solid‐state lithium batteries.</w:t>
      </w:r>
    </w:p>
    <w:p>
      <w:pPr>
        <w:spacing w:before="120" w:after="120"/>
      </w:pPr>
      <w:r>
        <w:rPr>
          <w:sz w:val="18"/>
        </w:rPr>
        <w:t>——————————————————————————————————————————————————————————————————————</w:t>
      </w:r>
    </w:p>
    <w:p>
      <w:pPr>
        <w:spacing w:before="160" w:after="40" w:line="240" w:lineRule="auto"/>
      </w:pPr>
      <w:r>
        <w:rPr>
          <w:b/>
        </w:rPr>
        <w:t xml:space="preserve">[7] </w:t>
      </w:r>
      <w:hyperlink r:id="rId65">
        <w:r>
          <w:rPr>
            <w:color w:val="1155CC"/>
            <w:u w:val="single"/>
          </w:rPr>
          <w:t>通过面对面电子通道调节抑制可持续锌电池的界面电场波动</w:t>
        </w:r>
      </w:hyperlink>
    </w:p>
    <w:p>
      <w:pPr>
        <w:spacing w:before="0" w:after="80"/>
      </w:pPr>
      <w:r>
        <w:rPr>
          <w:i/>
          <w:sz w:val="20"/>
        </w:rPr>
        <w:t>EN: Suppressing the interface electric field fluctuation through faceto-face electronic channel regulation for sustainable zinc batteries</w:t>
      </w:r>
    </w:p>
    <w:p>
      <w:pPr>
        <w:spacing w:before="0" w:after="120"/>
      </w:pPr>
      <w:r>
        <w:rPr>
          <w:b/>
        </w:rPr>
        <w:t xml:space="preserve">Source: </w:t>
      </w:r>
      <w:r>
        <w:t>RSC - Energy Environ. Sci. latest articles</w:t>
      </w:r>
      <w:r>
        <w:t xml:space="preserve">    </w:t>
      </w:r>
      <w:r>
        <w:rPr>
          <w:b/>
        </w:rPr>
        <w:t xml:space="preserve">Pub date: </w:t>
      </w:r>
      <w:r>
        <w:t>2026-06-29 23:00:00+00:00</w:t>
      </w:r>
    </w:p>
    <w:p>
      <w:pPr>
        <w:spacing w:before="0" w:after="120"/>
      </w:pPr>
      <w:r>
        <w:rPr>
          <w:b/>
        </w:rPr>
        <w:t xml:space="preserve">Notes: </w:t>
      </w:r>
      <w:r>
        <w:t>abstract_source=rsc_html</w:t>
      </w:r>
    </w:p>
    <w:p>
      <w:pPr>
        <w:spacing w:before="0" w:after="80" w:lineRule="auto" w:line="276"/>
      </w:pPr>
      <w:r>
        <w:rPr>
          <w:b/>
        </w:rPr>
        <w:t xml:space="preserve">摘要（ZH）: </w:t>
      </w:r>
      <w:r>
        <w:t>由于有限的界面接触和不均匀的电荷聚集而导致的电极-电解质界面相互作用不良，是凝胶电解质在水性锌（Zn）离子电池（ZIB）中实际应用的主要限制。在这里，我们提出了一种面对面的电子通道调节策略，通过简单且可大规模生产的热压策略将聚丙烯酰胺凝胶电解质与商用导电碳布集成，以构建高度可逆的 ZIB。这种工程凝胶电解质有助于电极表面不均匀电荷的快速移动，促进电子和离子通道之间的有效接触，从而有效均匀化界面电场，最小化表面局部电流密度，并操纵Zn 2+ 离子浓度梯度以诱导均匀的Zn 2+ 离子沉积。这些综合优点使锌负极具有超过3700小时的改进循环稳定性，Zn//Zn电池的放电深度高达85.5%，库伦效率高达99.7%，并且Zn//Cu电池在10 mA cm -2 /1 mAh cm -2 下循环超过8000次，累积镀层容量创纪录的8 Ah cm -2 。通过挑战凝胶电解质和水性锌化学的传统设计，该策略可能为开发更好的 ZIB 和相关电池系统提供新的见解。</w:t>
      </w:r>
    </w:p>
    <w:p>
      <w:pPr>
        <w:spacing w:before="0" w:after="200" w:lineRule="auto" w:line="276"/>
      </w:pPr>
      <w:r>
        <w:rPr>
          <w:b/>
        </w:rPr>
        <w:t xml:space="preserve">Abstract (EN): </w:t>
      </w:r>
      <w:r>
        <w:t>The poor electrode-electrolyte interface interaction, which originated from the limited interfacial contact and uneven charge aggregation, represent the primary constraints for the practical application of gel electrolytes in aqueous zinc (Zn)-ion batteries (ZIBs). Here, we propose a face-to-face electronic channel regulation strategy through integrating polyacrylamide gel electrolyte with commercial conductive carbon cloth by a simple and mass-producible hot-pressing strategy for building highly reversible ZIBs. This engineered gel electrolyte contributes to the rapid movement of inhomogeneous charges on the electrode surface and boosts the efficient contact between electron and ion channels, thus effectively homogenizing interfacial electric field, minimizing surface local current density, and manipulating the Zn 2+ ions concentration gradient to induce uniform Zn 2+ ions deposition. These integrated merits endow the Zn anode with an improved cycling stability exceeding 3700 h, a superior depth of discharge of 85.5% in the Zn//Zn cell, and a significant coulombic efficiency of 99.7%, as well as a record cumulative plated capacity of 8 Ah cm -2 in the Zn//Cu cell over 8000 cycles at 10 mA cm -2 /1 mAh cm -2 . By challenging conventional designs in gel electrolytes and aqueous Zn chemistry, this strategy may offer new insights for the development of better ZIBs and related cell systems.</w:t>
      </w:r>
    </w:p>
    <w:p>
      <w:pPr>
        <w:spacing w:before="120" w:after="120"/>
      </w:pPr>
      <w:r>
        <w:rPr>
          <w:sz w:val="18"/>
        </w:rPr>
        <w:t>——————————————————————————————————————————————————————————————————————</w:t>
      </w:r>
    </w:p>
    <w:p>
      <w:pPr>
        <w:spacing w:before="160" w:after="40" w:line="240" w:lineRule="auto"/>
      </w:pPr>
      <w:r>
        <w:rPr>
          <w:b/>
        </w:rPr>
        <w:t xml:space="preserve">[8] </w:t>
      </w:r>
      <w:hyperlink r:id="rId33">
        <w:r>
          <w:rPr>
            <w:color w:val="1155CC"/>
            <w:u w:val="single"/>
          </w:rPr>
          <w:t>具有硫酸基团介导的聚碘化物排斥作用的藻类水凝胶电解质可实现稳定的碘化学</w:t>
        </w:r>
      </w:hyperlink>
    </w:p>
    <w:p>
      <w:pPr>
        <w:spacing w:before="0" w:after="80"/>
      </w:pPr>
      <w:r>
        <w:rPr>
          <w:i/>
          <w:sz w:val="20"/>
        </w:rPr>
        <w:t>EN: Algae-inspired hydrogel electrolytes with sulfate-group-mediated polyiodide repulsion for stable iodine chemistry</w:t>
      </w:r>
    </w:p>
    <w:p>
      <w:pPr>
        <w:spacing w:before="0" w:after="120"/>
      </w:pPr>
      <w:r>
        <w:rPr>
          <w:b/>
        </w:rPr>
        <w:t xml:space="preserve">Source: </w:t>
      </w:r>
      <w:r>
        <w:t>RSC - Energy Environ. Sci. latest articles</w:t>
      </w:r>
      <w:r>
        <w:t xml:space="preserve">    </w:t>
      </w:r>
      <w:r>
        <w:rPr>
          <w:b/>
        </w:rPr>
        <w:t xml:space="preserve">Pub date: </w:t>
      </w:r>
      <w:r>
        <w:t>2026-06-29 23:00:00+00:00</w:t>
      </w:r>
    </w:p>
    <w:p>
      <w:pPr>
        <w:spacing w:before="0" w:after="120"/>
      </w:pPr>
      <w:r>
        <w:rPr>
          <w:b/>
        </w:rPr>
        <w:t xml:space="preserve">Notes: </w:t>
      </w:r>
      <w:r>
        <w:t>abstract_source=rsc_html</w:t>
      </w:r>
    </w:p>
    <w:p>
      <w:pPr>
        <w:spacing w:before="0" w:after="80" w:lineRule="auto" w:line="276"/>
      </w:pPr>
      <w:r>
        <w:rPr>
          <w:b/>
        </w:rPr>
        <w:t xml:space="preserve">摘要（ZH）: </w:t>
      </w:r>
      <w:r>
        <w:t>水系锌碘电池对于大规模储能具有吸引力，但其实际应用受到锌枝晶生长、界面副反应和多碘化物穿梭的阻碍。受海洋褐藻的碘调节能力的启发，我们通过将硫酸多糖岩藻依聚糖（FUC）掺入聚（N-羟乙基丙烯酰胺）（PHEAA）网络中，开发了一种多功能水凝胶电解质。与传统的吸附为主的策略相比，FUC 中丰富的硫酸基团建立了静电排斥势垒，将聚碘化物限制在阴极/电解质界面，从而从源头减轻穿梭效应。同时，PHEAA 中的酰胺基团能够进一步捕获逃逸的聚碘化物，形成协同的“排斥-吸附”机制。此外，硫酸盐基团有助于重建Zn2+溶剂化结构，均匀化Zn2+通量，减弱水引起的寄生反应，从而稳定Zn负极。受益于界面稳定性和离子传输，优化的电解质使 Zn||Zn 电池能够维持运行 4500 小时，而 Zn||I2 全电池能够在 2.0 A g-1 下进行 40,000 次循环。值得注意的是，软包电池在 3500 次循环后仍保留 93.5% 的容量，展示了在苛刻条件下的实际潜力。这项工作强调了硫酸盐基团介导的双界面调节策略，用于构建稳定的水性电池的生物源水凝胶电解质。</w:t>
      </w:r>
    </w:p>
    <w:p>
      <w:pPr>
        <w:spacing w:before="0" w:after="200" w:lineRule="auto" w:line="276"/>
      </w:pPr>
      <w:r>
        <w:rPr>
          <w:b/>
        </w:rPr>
        <w:t xml:space="preserve">Abstract (EN): </w:t>
      </w:r>
      <w:r>
        <w:t>Aqueous zinc–iodine batteries are appealing for large-scale energy storage, yet their practical application is hindered by Zn dendrite growth, interfacial side reaction, and polyiodide shuttle. Inspired by the iodine-regulation capability of marine brown algae, we herein develop a versatile hydrogel electrolyte by incorporating fucoidan (FUC), a sulfated polysaccharide, into a poly (N-hydroxyethyl acrylamide) (PHEAA) network. In contrast to conventional adsorption-dominated tactics, the abundant sulfate groups in FUC establish an electrostatic repulsion barrier to confine polyiodides at the cathode/electrolyte interface, hence mitigating the shuttle effect from the source. Meanwhile, the amide groups in PHEAA manage to further capture escaped polyiodides, rendering a synergistic “repulsion–adsorption” mechanism. In addition, sulfate groups help reconstruct Zn2+ solvation structure, homogenize Zn2+ flux, and weaken water-induced parasitic reactions, thereby stabilizing the Zn anode. Benefiting from the interfacial stability and ion transport, the optimized electrolyte enables Zn||Zn cells to maintain operations for 4500 h and Zn||I2 full cells to deliver 40,000 cycles at 2.0 A g-1. Notably, pouch cells retain 93.5% capacity after 3500 cycles, demonstrating practical potential under demanding conditions. This work highlights a sulfate-group-mediated dual-interfacial regulation strategy for constructing bio-derived hydrogel electrolytes toward stable aqueous batteries.</w:t>
      </w:r>
    </w:p>
    <w:p>
      <w:pPr>
        <w:spacing w:before="120" w:after="120"/>
      </w:pPr>
      <w:r>
        <w:rPr>
          <w:sz w:val="18"/>
        </w:rPr>
        <w:t>——————————————————————————————————————————————————————————————————————</w:t>
      </w:r>
    </w:p>
    <w:p>
      <w:pPr>
        <w:spacing w:before="160" w:after="40" w:line="240" w:lineRule="auto"/>
      </w:pPr>
      <w:r>
        <w:rPr>
          <w:b/>
        </w:rPr>
        <w:t xml:space="preserve">[9] </w:t>
      </w:r>
      <w:hyperlink r:id="rId76">
        <w:r>
          <w:rPr>
            <w:color w:val="1155CC"/>
            <w:u w:val="single"/>
          </w:rPr>
          <w:t>固定电荷中间相同步离子传输以抑制纳升约束下空间电荷驱动的低效率</w:t>
        </w:r>
      </w:hyperlink>
    </w:p>
    <w:p>
      <w:pPr>
        <w:spacing w:before="0" w:after="80"/>
      </w:pPr>
      <w:r>
        <w:rPr>
          <w:i/>
          <w:sz w:val="20"/>
        </w:rPr>
        <w:t>EN: A Fixed‐Charge Interphase Synchronizes Ion Transport to Suppress Space‐Charge‐Driven Inefficiency Under Nanoliter Confinement</w:t>
      </w:r>
    </w:p>
    <w:p>
      <w:pPr>
        <w:spacing w:before="0" w:after="120"/>
      </w:pPr>
      <w:r>
        <w:rPr>
          <w:b/>
        </w:rPr>
        <w:t xml:space="preserve">Source: </w:t>
      </w:r>
      <w:r>
        <w:t>Wiley: Angewandte Chemie International Edition: Table of Contents</w:t>
      </w:r>
      <w:r>
        <w:t xml:space="preserve">    </w:t>
      </w:r>
      <w:r>
        <w:rPr>
          <w:b/>
        </w:rPr>
        <w:t xml:space="preserve">Pub date: </w:t>
      </w:r>
      <w:r>
        <w:t>2026-06-30 07:28:41+00:00</w:t>
      </w:r>
      <w:r>
        <w:t xml:space="preserve">    </w:t>
      </w:r>
      <w:r>
        <w:rPr>
          <w:b/>
        </w:rPr>
        <w:t xml:space="preserve">DOI: </w:t>
      </w:r>
      <w:hyperlink r:id="rId77">
        <w:r>
          <w:rPr>
            <w:color w:val="1155CC"/>
            <w:u w:val="single"/>
          </w:rPr>
          <w:t>10.1002/anie.5195226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带电界面处的离子传输通常通过移动离子的重新分布来描述，以保持局部电中性。然而，在极端电解质限制下，当特征传输长度接近德拜屏蔽长度时，这种假设失效，导致空间电荷积累和缓慢的静电弛豫，从而主导界面动力学。在这里，我们引入了一种固定电荷选择性界面，其中固定阴离子电荷取代移动电解质阴离子作为主要电荷补偿物质，从而建立化学编码的静电边界条件。使用葡萄糖衍生网络作为模型系统，我们表明局部固定电荷能够实现阳离子选择性传输，并通过消除缓慢弛豫路径来抑制扩展空间电荷层（ESCL）。时空传输分析表明，该界面将多时间尺度界面弛豫塌陷为统一的动力学状态。当应用于纳升限制电化学系统 (45 nL) 时，静止引起的库仑效率 (CE) 崩溃从 40% 降低至 5%，证明闲置期间静电弛豫的稳定性，这是在占空比下运行的微型器件固有的故障模式。该概念在 pH 耦合和氧化应激条件下得到进一步验证，以强大的倍率能力维持稳定运行。这些结果定义了通过替换 m 来调节约束下界面离子传输的通用化学策略。</w:t>
      </w:r>
    </w:p>
    <w:p>
      <w:pPr>
        <w:spacing w:before="0" w:after="200" w:lineRule="auto" w:line="276"/>
      </w:pPr>
      <w:r>
        <w:rPr>
          <w:b/>
        </w:rPr>
        <w:t xml:space="preserve">Abstract (EN): </w:t>
      </w:r>
      <w:r>
        <w:t>Ion transport at electrified interfaces is conventionally described by the redistribution of mobile ions to preserve local electroneutrality. Under extreme electrolyte confinement, however, this assumption fails as the characteristic transport length approaches the Debye screening length, giving rise to space‐charge accumulation and slow electrostatic relaxation that dominate interfacial kinetics. Here, we introduce a fixed‐charge‐selective interphase in which immobile anionic charges replace mobile electrolyte anions as the primary charge‐compensating species, thereby establishing a chemically encoded electrostatic boundary condition. Using a glucose‐derived network as a model system, we show that localized fixed charge enables cation‐selective transport and suppresses extended space‐charge layers (ESCLs) by eliminating the slow relaxation pathways. Spatiotemporal transport analysis reveals that this interphase collapses multi‐timescale interfacial relaxation into a unified kinetic regime. When applied to nanoliter‐confined electrochemical systems (45 nL), rest‐induced Coulombic efficiency (CE) collapse is reduced from 40% to 5%, demonstrating stabilization of electrostatic relaxation during idle periods, which is a failure mode intrinsic to microscale devices operating under duty cycles. The concept is further validated under pH‐coupled and oxidative‐stress conditions, sustaining stable operation with strong rate capability. These results define a general chemical strategy for regulating interfacial ion transport under confinement by replacing mobile charge compensation with molecularly fixed charges.</w:t>
      </w:r>
    </w:p>
    <w:p>
      <w:pPr>
        <w:spacing w:before="120" w:after="120"/>
      </w:pPr>
      <w:r>
        <w:rPr>
          <w:sz w:val="18"/>
        </w:rPr>
        <w:t>——————————————————————————————————————————————————————————————————————</w:t>
      </w:r>
    </w:p>
    <w:p>
      <w:pPr>
        <w:spacing w:before="160" w:after="40" w:line="240" w:lineRule="auto"/>
      </w:pPr>
      <w:r>
        <w:rPr>
          <w:b/>
        </w:rPr>
        <w:t xml:space="preserve">[10] </w:t>
      </w:r>
      <w:hyperlink r:id="rId36">
        <w:r>
          <w:rPr>
            <w:color w:val="1155CC"/>
            <w:u w:val="single"/>
          </w:rPr>
          <w:t>自适应离子筛：灵活的氢键有机框架消除了锌离子去溶剂化和传质之间的权衡</w:t>
        </w:r>
      </w:hyperlink>
    </w:p>
    <w:p>
      <w:pPr>
        <w:spacing w:before="0" w:after="80"/>
      </w:pPr>
      <w:r>
        <w:rPr>
          <w:i/>
          <w:sz w:val="20"/>
        </w:rPr>
        <w:t>EN: An Adaptive Ionic Sieve: Flexible Hydrogen‐Bonded Organic Frameworks Decouple the Trade‐Off Between Zn Ions Desolvation and Mass Transfer</w:t>
      </w:r>
    </w:p>
    <w:p>
      <w:pPr>
        <w:spacing w:before="0" w:after="120"/>
      </w:pPr>
      <w:r>
        <w:rPr>
          <w:b/>
        </w:rPr>
        <w:t xml:space="preserve">Source: </w:t>
      </w:r>
      <w:r>
        <w:t>Wiley: Angewandte Chemie International Edition: Table of Contents</w:t>
      </w:r>
      <w:r>
        <w:t xml:space="preserve">    </w:t>
      </w:r>
      <w:r>
        <w:rPr>
          <w:b/>
        </w:rPr>
        <w:t xml:space="preserve">Pub date: </w:t>
      </w:r>
      <w:r>
        <w:t>2026-06-30 07:37:54+00:00</w:t>
      </w:r>
      <w:r>
        <w:t xml:space="preserve">    </w:t>
      </w:r>
      <w:r>
        <w:rPr>
          <w:b/>
        </w:rPr>
        <w:t xml:space="preserve">DOI: </w:t>
      </w:r>
      <w:hyperlink r:id="rId37">
        <w:r>
          <w:rPr>
            <w:color w:val="1155CC"/>
            <w:u w:val="single"/>
          </w:rPr>
          <w:t>10.1002/anie.7428603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效的离子去溶剂化和快速的质量传输对于稳定水性锌离子电池中的锌阳极至关重要，但往往是相互竞争的要求。出现这种困境是因为离子去溶剂化引入了额外的能量势垒，增加了离子扩散阻力。为了协调这种固有的权衡，基于氢键的有机框架（HOF）</w:t>
      </w:r>
      <w:r>
        <w:t xml:space="preserve"> </w:t>
      </w:r>
      <w:r>
        <w:t>C</w:t>
      </w:r>
      <w:r>
        <w:rPr>
          <w:vertAlign w:val="subscript"/>
        </w:rPr>
        <w:t>3</w:t>
      </w:r>
      <w:r>
        <w:t>对称三角羧基配体被设计为离子筛分界面。该设计将精确的孔径控制与定制的化学环境相结合，以调节锌</w:t>
      </w:r>
      <w:r>
        <w:t xml:space="preserve"> </w:t>
      </w:r>
      <w:r>
        <w:t>2+</w:t>
      </w:r>
      <w:r>
        <w:t xml:space="preserve"> </w:t>
      </w:r>
      <w:r>
        <w:t>去溶剂化行为。正如预期的那样，采用缺电子三嗪核心（HOF-TAT）的柔性 HOF 动态剥离溶剂化水分子，同时保持连续的离子通量。该过程形成了梯度固体电解质界面，与自适应多孔框架协同作用，引导致密（101）取向的锌沉积。 HOF-TAT@Zn 对称电池在 5 mA cm 下稳定循环超过 3400 小时</w:t>
      </w:r>
      <w:r>
        <w:t xml:space="preserve"> </w:t>
      </w:r>
      <w:r>
        <w:t>−2</w:t>
      </w:r>
      <w:r>
        <w:t xml:space="preserve"> </w:t>
      </w:r>
      <w:r>
        <w:t>。此外，亲碘多孔框架通过强物理化学相互作用固定穿梭的聚碘化物。当与超薄锌阳极（10 µm）集成时，锌碘电池可提供高倍率容量（142.2 mAh g</w:t>
      </w:r>
      <w:r>
        <w:t xml:space="preserve"> </w:t>
      </w:r>
      <w:r>
        <w:t>−1</w:t>
      </w:r>
      <w:r>
        <w:t xml:space="preserve"> </w:t>
      </w:r>
      <w:r>
        <w:t>5 A g</w:t>
      </w:r>
      <w:r>
        <w:t xml:space="preserve"> </w:t>
      </w:r>
      <w:r>
        <w:t>−1</w:t>
      </w:r>
      <w:r>
        <w:t xml:space="preserve"> </w:t>
      </w:r>
      <w:r>
        <w:t>）和长期使用寿命（50 000 次循环）。这项工作提供了一个明智的策略来同意</w:t>
      </w:r>
    </w:p>
    <w:p>
      <w:pPr>
        <w:spacing w:before="0" w:after="200" w:lineRule="auto" w:line="276"/>
      </w:pPr>
      <w:r>
        <w:rPr>
          <w:b/>
        </w:rPr>
        <w:t xml:space="preserve">Abstract (EN): </w:t>
      </w:r>
      <w:r>
        <w:t>Efficient ion desolvation and rapid mass transport are crucial yet often competing requirements for stabilizing Zn anodes in aqueous Zn‐ion batteries. This dilemma arises because ion desolvation introduces additional energy barriers that increase ion diffusion resistance. To reconcile this inherent trade‐off, a hydrogen‐bonded organic framework (HOF) based on</w:t>
      </w:r>
      <w:r>
        <w:t xml:space="preserve"> </w:t>
      </w:r>
      <w:r>
        <w:t>C</w:t>
      </w:r>
      <w:r>
        <w:rPr>
          <w:vertAlign w:val="subscript"/>
        </w:rPr>
        <w:t>3</w:t>
      </w:r>
      <w:r>
        <w:t>‑symmetric trigonal carboxyl ligands is engineered as an ion‐sieving interface. This design integrates precise pore size control with tailored chemical environment to regulate Zn</w:t>
      </w:r>
      <w:r>
        <w:t xml:space="preserve"> </w:t>
      </w:r>
      <w:r>
        <w:t>2+</w:t>
      </w:r>
      <w:r>
        <w:t xml:space="preserve"> </w:t>
      </w:r>
      <w:r>
        <w:t>desolvation behavior. As expected, the flexible HOF incorporating an electron‐deficient triazine core (HOF‐TAT) dynamically strips solvated water molecules while maintaining continuous ion flux. This process fosters a gradient solid electrolyte interphase that synergizes with the self‐adaptive porous framework to guide dense (101)‐oriented Zn deposition. The HOF‐TAT@Zn symmetric cells stably cycle exceeding 3400 h at 5 mA cm</w:t>
      </w:r>
      <w:r>
        <w:t xml:space="preserve"> </w:t>
      </w:r>
      <w:r>
        <w:t>−2</w:t>
      </w:r>
      <w:r>
        <w:t xml:space="preserve"> </w:t>
      </w:r>
      <w:r>
        <w:t>. Furthermore, the iodophilic porous framework immobilizes shuttling polyiodides through strong physicochemical interactions. When integrated with an ultrathin Zn anode (10 µm), the Zn‐iodine batteries deliver a high‐rate capacity (142.2 mAh g</w:t>
      </w:r>
      <w:r>
        <w:t xml:space="preserve"> </w:t>
      </w:r>
      <w:r>
        <w:t>−1</w:t>
      </w:r>
      <w:r>
        <w:t xml:space="preserve"> </w:t>
      </w:r>
      <w:r>
        <w:t>at 5 A g</w:t>
      </w:r>
      <w:r>
        <w:t xml:space="preserve"> </w:t>
      </w:r>
      <w:r>
        <w:t>−1</w:t>
      </w:r>
      <w:r>
        <w:t xml:space="preserve"> </w:t>
      </w:r>
      <w:r>
        <w:t>) and long‐term lifetime (50 000 cycles). This work offers an intelligent strategy to concurrently overcome the high energy barriers of ion desolvation and the kinetic limitations of ion transport for building advanced electrochemical devices.</w:t>
      </w:r>
    </w:p>
    <w:p>
      <w:pPr>
        <w:spacing w:before="120" w:after="120"/>
      </w:pPr>
      <w:r>
        <w:rPr>
          <w:sz w:val="18"/>
        </w:rPr>
        <w:t>——————————————————————————————————————————————————————————————————————</w:t>
      </w:r>
    </w:p>
    <w:p>
      <w:pPr>
        <w:spacing w:before="160" w:after="40" w:line="240" w:lineRule="auto"/>
      </w:pPr>
      <w:r>
        <w:rPr>
          <w:b/>
        </w:rPr>
        <w:t xml:space="preserve">[11] </w:t>
      </w:r>
      <w:hyperlink r:id="rId38">
        <w:r>
          <w:rPr>
            <w:color w:val="1155CC"/>
            <w:u w:val="single"/>
          </w:rPr>
          <w:t>氧桥诱导的自旋态工程实现了锂硫电池中的无溶剂化势垒硫氧化还原动力学</w:t>
        </w:r>
      </w:hyperlink>
    </w:p>
    <w:p>
      <w:pPr>
        <w:spacing w:before="0" w:after="80"/>
      </w:pPr>
      <w:r>
        <w:rPr>
          <w:i/>
          <w:sz w:val="20"/>
        </w:rPr>
        <w:t>EN: Oxygen Bridge‐Induced Spin‐State Engineering Enables Solvation‐Barrier‐Free Sulfur Redox Kinetics in Lithium‐Sulfur Batteries</w:t>
      </w:r>
    </w:p>
    <w:p>
      <w:pPr>
        <w:spacing w:before="0" w:after="120"/>
      </w:pPr>
      <w:r>
        <w:rPr>
          <w:b/>
        </w:rPr>
        <w:t xml:space="preserve">Source: </w:t>
      </w:r>
      <w:r>
        <w:t>Wiley: Angewandte Chemie International Edition: Table of Contents</w:t>
      </w:r>
      <w:r>
        <w:t xml:space="preserve">    </w:t>
      </w:r>
      <w:r>
        <w:rPr>
          <w:b/>
        </w:rPr>
        <w:t xml:space="preserve">Pub date: </w:t>
      </w:r>
      <w:r>
        <w:t>2026-06-30 07:43:25+00:00</w:t>
      </w:r>
      <w:r>
        <w:t xml:space="preserve">    </w:t>
      </w:r>
      <w:r>
        <w:rPr>
          <w:b/>
        </w:rPr>
        <w:t xml:space="preserve">DOI: </w:t>
      </w:r>
      <w:hyperlink r:id="rId39">
        <w:r>
          <w:rPr>
            <w:color w:val="1155CC"/>
            <w:u w:val="single"/>
          </w:rPr>
          <w:t>10.1002/anie.4944842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硫（Li-S）电池对于下一代储能很有吸引力，但实际部署受到多硫化锂（LiPS）穿梭效应和缓慢的硫氧化还原动力学的阻碍，而溶剂屏蔽阻止LiPS进入催化位点又进一步加剧了这种情况。在这里，我们开发了一种蛋黄壳 MoO</w:t>
      </w:r>
      <w:r>
        <w:rPr>
          <w:vertAlign w:val="subscript"/>
        </w:rPr>
        <w:t>3</w:t>
      </w:r>
      <w:r>
        <w:t>/钴</w:t>
      </w:r>
      <w:r>
        <w:rPr>
          <w:vertAlign w:val="subscript"/>
        </w:rPr>
        <w:t>3</w:t>
      </w:r>
      <w:r>
        <w:t>氧</w:t>
      </w:r>
      <w:r>
        <w:rPr>
          <w:vertAlign w:val="subscript"/>
        </w:rPr>
        <w:t>4</w:t>
      </w:r>
      <w:r>
        <w:t>@C纳米反应器利用氧桥引起的轨道振荡打破溶剂化势垒并加速界面转化。我们发现 Mo-O-Co 氧桥的动态振动促进了通过 4 的定向电子流</w:t>
      </w:r>
      <w:r>
        <w:t xml:space="preserve"> </w:t>
      </w:r>
      <w:r>
        <w:t>d</w:t>
      </w:r>
      <w:r>
        <w:t xml:space="preserve"> </w:t>
      </w:r>
      <w:r>
        <w:t>‐2</w:t>
      </w:r>
      <w:r>
        <w:t xml:space="preserve"> </w:t>
      </w:r>
      <w:r>
        <w:t>p</w:t>
      </w:r>
      <w:r>
        <w:t xml:space="preserve"> </w:t>
      </w:r>
      <w:r>
        <w:t>‐3</w:t>
      </w:r>
      <w:r>
        <w:t xml:space="preserve"> </w:t>
      </w:r>
      <w:r>
        <w:t>d</w:t>
      </w:r>
      <w:r>
        <w:t xml:space="preserve"> </w:t>
      </w:r>
      <w:r>
        <w:t>轨道相互作用途径，从根本上触发Co中心的低自旋到高自旋转变，加强</w:t>
      </w:r>
      <w:r>
        <w:t xml:space="preserve"> </w:t>
      </w:r>
      <w:r>
        <w:t>d</w:t>
      </w:r>
      <w:r>
        <w:t xml:space="preserve"> </w:t>
      </w:r>
      <w:r>
        <w:t>‐</w:t>
      </w:r>
      <w:r>
        <w:t xml:space="preserve"> </w:t>
      </w:r>
      <w:r>
        <w:t>p</w:t>
      </w:r>
      <w:r>
        <w:t xml:space="preserve"> </w:t>
      </w:r>
      <w:r>
        <w:t>轨道杂交并实现 LiPS 的强大化学吸附/催化作用。同时，溶剂化结构从溶剂分离离子对（SSIP）到接触离子对（CIP）/聚集体（AGG）的调节降低了Li</w:t>
      </w:r>
      <w:r>
        <w:t xml:space="preserve"> </w:t>
      </w:r>
      <w:r>
        <w:t>+</w:t>
      </w:r>
      <w:r>
        <w:t xml:space="preserve"> </w:t>
      </w:r>
      <w:r>
        <w:t>去溶剂化能垒并使离子通量均匀化。协同作用，双壳结构限制了可溶性中间体并抑制向外扩散。因此，Li-S 电池可提供 352 mAh g</w:t>
      </w:r>
    </w:p>
    <w:p>
      <w:pPr>
        <w:spacing w:before="0" w:after="200" w:lineRule="auto" w:line="276"/>
      </w:pPr>
      <w:r>
        <w:rPr>
          <w:b/>
        </w:rPr>
        <w:t xml:space="preserve">Abstract (EN): </w:t>
      </w:r>
      <w:r>
        <w:t>Lithium‐sulfur (Li‐S) batteries are attractive for next‐generation energy storage, yet practical deployment is impeded by the lithium polysulfides (LiPSs) shuttle effect and sluggish sulfur redox kinetics, which are further aggravated by solvent shielding that blocks LiPSs from accessing catalytic sites. Here, we develop a yolk‐shell MoO</w:t>
      </w:r>
      <w:r>
        <w:rPr>
          <w:vertAlign w:val="subscript"/>
        </w:rPr>
        <w:t>3</w:t>
      </w:r>
      <w:r>
        <w:t>/Co</w:t>
      </w:r>
      <w:r>
        <w:rPr>
          <w:vertAlign w:val="subscript"/>
        </w:rPr>
        <w:t>3</w:t>
      </w:r>
      <w:r>
        <w:t>O</w:t>
      </w:r>
      <w:r>
        <w:rPr>
          <w:vertAlign w:val="subscript"/>
        </w:rPr>
        <w:t>4</w:t>
      </w:r>
      <w:r>
        <w:t>@C nanoreactor that leverages oxygen bridge‐induced orbital oscillation to break the solvation barrier and accelerate interfacial conversion. We identify that the dynamic vibration of Mo‐O‐Co oxygen bridges facilitates a directional electron flow via a 4</w:t>
      </w:r>
      <w:r>
        <w:t xml:space="preserve"> </w:t>
      </w:r>
      <w:r>
        <w:t>d</w:t>
      </w:r>
      <w:r>
        <w:t xml:space="preserve"> </w:t>
      </w:r>
      <w:r>
        <w:t>‐2</w:t>
      </w:r>
      <w:r>
        <w:t xml:space="preserve"> </w:t>
      </w:r>
      <w:r>
        <w:t>p</w:t>
      </w:r>
      <w:r>
        <w:t xml:space="preserve"> </w:t>
      </w:r>
      <w:r>
        <w:t>‐3</w:t>
      </w:r>
      <w:r>
        <w:t xml:space="preserve"> </w:t>
      </w:r>
      <w:r>
        <w:t>d</w:t>
      </w:r>
      <w:r>
        <w:t xml:space="preserve"> </w:t>
      </w:r>
      <w:r>
        <w:t>orbital interaction pathway, which fundamentally triggers a low‐spin to high‐spin transition of Co centers, strengthening</w:t>
      </w:r>
      <w:r>
        <w:t xml:space="preserve"> </w:t>
      </w:r>
      <w:r>
        <w:t>d</w:t>
      </w:r>
      <w:r>
        <w:t xml:space="preserve"> </w:t>
      </w:r>
      <w:r>
        <w:t>‐</w:t>
      </w:r>
      <w:r>
        <w:t xml:space="preserve"> </w:t>
      </w:r>
      <w:r>
        <w:t>p</w:t>
      </w:r>
      <w:r>
        <w:t xml:space="preserve"> </w:t>
      </w:r>
      <w:r>
        <w:t>orbital hybridization and enabling robust chemisorption/catalysis of LiPSs. Meanwhile, the modulation of solvation structure from solvent‐separated ion pairs (SSIPs) to contact ion pairs (CIPs)/aggregates (AGGs) lowers the Li</w:t>
      </w:r>
      <w:r>
        <w:t xml:space="preserve"> </w:t>
      </w:r>
      <w:r>
        <w:t>+</w:t>
      </w:r>
      <w:r>
        <w:t xml:space="preserve"> </w:t>
      </w:r>
      <w:r>
        <w:t>desolvation energy barrier and homogenizes the ion flux. Synergistically, the double‐shelled architecture confines soluble intermediates and suppresses outward diffusion. Consequently, Li‐S batteries deliver 352 mAh g</w:t>
      </w:r>
      <w:r>
        <w:t xml:space="preserve"> </w:t>
      </w:r>
      <w:r>
        <w:t>−1</w:t>
      </w:r>
      <w:r>
        <w:t xml:space="preserve"> </w:t>
      </w:r>
      <w:r>
        <w:t>at an ultrahigh rate of 15 C, and an initial areal capacity of 11.95 mAh cm</w:t>
      </w:r>
      <w:r>
        <w:t xml:space="preserve"> </w:t>
      </w:r>
      <w:r>
        <w:t>−2</w:t>
      </w:r>
      <w:r>
        <w:t xml:space="preserve"> </w:t>
      </w:r>
      <w:r>
        <w:t>is achieved at an ultrahigh sulfur loading of 13.03 mg cm</w:t>
      </w:r>
      <w:r>
        <w:t xml:space="preserve"> </w:t>
      </w:r>
      <w:r>
        <w:t>−2</w:t>
      </w:r>
      <w:r>
        <w:t xml:space="preserve"> </w:t>
      </w:r>
      <w:r>
        <w:t>. This work proposes a strategy of oxygen‐bridge‐induced high‐spin state to realize desolvation and mass‐transfer reaction of LiPSs within interface catalytic domain.</w:t>
      </w:r>
    </w:p>
    <w:p>
      <w:pPr>
        <w:spacing w:before="120" w:after="120"/>
      </w:pPr>
      <w:r>
        <w:rPr>
          <w:sz w:val="18"/>
        </w:rPr>
        <w:t>——————————————————————————————————————————————————————————————————————</w:t>
      </w:r>
    </w:p>
    <w:p>
      <w:pPr>
        <w:spacing w:before="160" w:after="40" w:line="240" w:lineRule="auto"/>
      </w:pPr>
      <w:r>
        <w:rPr>
          <w:b/>
        </w:rPr>
        <w:t xml:space="preserve">[12] </w:t>
      </w:r>
      <w:hyperlink r:id="rId78">
        <w:r>
          <w:rPr>
            <w:color w:val="1155CC"/>
            <w:u w:val="single"/>
          </w:rPr>
          <w:t>多级多孔聚合物/共价有机框架电解质中的多重强离子-偶极相互作用加速稳定高效的离子传输</w:t>
        </w:r>
      </w:hyperlink>
    </w:p>
    <w:p>
      <w:pPr>
        <w:spacing w:before="0" w:after="80"/>
      </w:pPr>
      <w:r>
        <w:rPr>
          <w:i/>
          <w:sz w:val="20"/>
        </w:rPr>
        <w:t>EN: Multiple Strong Ion–Dipole Interactions in Hierarchical Porous Polymer/Covalent Organic Framework Electrolytes Accelerating Stable and Efficient Ion Transport</w:t>
      </w:r>
    </w:p>
    <w:p>
      <w:pPr>
        <w:spacing w:before="0" w:after="120"/>
      </w:pPr>
      <w:r>
        <w:rPr>
          <w:b/>
        </w:rPr>
        <w:t xml:space="preserve">Source: </w:t>
      </w:r>
      <w:r>
        <w:t>Wiley: Angewandte Chemie International Edition: Table of Contents</w:t>
      </w:r>
      <w:r>
        <w:t xml:space="preserve">    </w:t>
      </w:r>
      <w:r>
        <w:rPr>
          <w:b/>
        </w:rPr>
        <w:t xml:space="preserve">Pub date: </w:t>
      </w:r>
      <w:r>
        <w:t>2026-06-30 07:54:17+00:00</w:t>
      </w:r>
      <w:r>
        <w:t xml:space="preserve">    </w:t>
      </w:r>
      <w:r>
        <w:rPr>
          <w:b/>
        </w:rPr>
        <w:t xml:space="preserve">DOI: </w:t>
      </w:r>
      <w:hyperlink r:id="rId79">
        <w:r>
          <w:rPr>
            <w:color w:val="1155CC"/>
            <w:u w:val="single"/>
          </w:rPr>
          <w:t>10.1002/anie.1155052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态锂金属电池（SSLMB）的发展受到传统固体电解质固有缺陷的严重限制，包括缓慢的离子传导和不稳定的固体电解质界面（SEI）。在此，我们提出了一种构建亚乙烯基连接的共价有机骨架（COF）基多孔复合聚合物电解质（TFP-COF@PNFs CPE）的策略。 TFP-COF 中的强极性 –CeqN 和 –F 部分与 Li 形成显着的离子偶极相互作用</w:t>
      </w:r>
      <w:r>
        <w:t xml:space="preserve"> </w:t>
      </w:r>
      <w:r>
        <w:t>+</w:t>
      </w:r>
      <w:r>
        <w:t xml:space="preserve"> </w:t>
      </w:r>
      <w:r>
        <w:t>，降低了锂盐的解离能垒，引导锂的定向传输</w:t>
      </w:r>
      <w:r>
        <w:t xml:space="preserve"> </w:t>
      </w:r>
      <w:r>
        <w:t>+</w:t>
      </w:r>
      <w:r>
        <w:t xml:space="preserve"> </w:t>
      </w:r>
      <w:r>
        <w:t>，并诱导稳定SEI的形成。因此，优化后的2-TFP-COF@PNFs CPE表现出1.68×10的高室温离子电导率</w:t>
      </w:r>
      <w:r>
        <w:t xml:space="preserve"> </w:t>
      </w:r>
      <w:r>
        <w:t>-</w:t>
      </w:r>
      <w:r>
        <w:rPr>
          <w:vertAlign w:val="subscript"/>
        </w:rPr>
        <w:t>3</w:t>
      </w:r>
      <w:r>
        <w:t>厘米</w:t>
      </w:r>
      <w:r>
        <w:t xml:space="preserve"> </w:t>
      </w:r>
      <w:r>
        <w:t>-</w:t>
      </w:r>
      <w:r>
        <w:rPr>
          <w:vertAlign w:val="subscript"/>
        </w:rPr>
        <w:t>1</w:t>
      </w:r>
      <w:r>
        <w:t>以及超过 8500 小时的超稳定 Li||Li 对称电池循环。有趣的是，精心设计的CPE与层状氧化物和聚阴离子化合物高度相容；特别是Li|2-TFP-COF@PNFs|LiFePO</w:t>
      </w:r>
      <w:r>
        <w:rPr>
          <w:vertAlign w:val="subscript"/>
        </w:rPr>
        <w:t>4</w:t>
      </w:r>
      <w:r>
        <w:t>全电池具有 106 mAh g 的更高初始放电容量</w:t>
      </w:r>
      <w:r>
        <w:t xml:space="preserve"> </w:t>
      </w:r>
      <w:r>
        <w:t>-</w:t>
      </w:r>
      <w:r>
        <w:rPr>
          <w:vertAlign w:val="subscript"/>
        </w:rPr>
        <w:t>1</w:t>
      </w:r>
      <w:r>
        <w:t>在 10 C 下具有 4000 次循环后的长期循环稳定性以及出色的宽温适应性（−40°C 至 60°C）以及与高质量负载的兼容性。令人印象深刻的是，组装好的袋子c</w:t>
      </w:r>
    </w:p>
    <w:p>
      <w:pPr>
        <w:spacing w:before="0" w:after="200" w:lineRule="auto" w:line="276"/>
      </w:pPr>
      <w:r>
        <w:rPr>
          <w:b/>
        </w:rPr>
        <w:t xml:space="preserve">Abstract (EN): </w:t>
      </w:r>
      <w:r>
        <w:t>The development of solid‐state lithium metal batteries (SSLMBs) is severely restricted by the inherent drawbacks of conventional solid electrolytes, including sluggish ionic conduction and unstable solid electrolyte interphase (SEI). Herein, we propose a strategy for constructing vinylene‐linked covalent organic framework (COF)‐based porous composite polymer electrolytes (TFP‐COF@PNFs CPEs). The strongly polar –C≡N and –F moieties in TFP‐COF form prominent ion‐dipole interactions with Li</w:t>
      </w:r>
      <w:r>
        <w:t xml:space="preserve"> </w:t>
      </w:r>
      <w:r>
        <w:t>+</w:t>
      </w:r>
      <w:r>
        <w:t xml:space="preserve"> </w:t>
      </w:r>
      <w:r>
        <w:t>, which reduce the dissociation energy barrier of Li salts, guide the oriented transport of Li</w:t>
      </w:r>
      <w:r>
        <w:t xml:space="preserve"> </w:t>
      </w:r>
      <w:r>
        <w:t>+</w:t>
      </w:r>
      <w:r>
        <w:t xml:space="preserve"> </w:t>
      </w:r>
      <w:r>
        <w:t>, and induce the formation of stable SEI. Therefore, the optimized 2‐TFP‐COF@PNFs CPEs exhibit a high room‐temperature ionic conductivity of 1.68 × 10</w:t>
      </w:r>
      <w:r>
        <w:t xml:space="preserve"> </w:t>
      </w:r>
      <w:r>
        <w:t>−</w:t>
      </w:r>
      <w:r>
        <w:rPr>
          <w:vertAlign w:val="subscript"/>
        </w:rPr>
        <w:t>3</w:t>
      </w:r>
      <w:r>
        <w:t>S cm</w:t>
      </w:r>
      <w:r>
        <w:t xml:space="preserve"> </w:t>
      </w:r>
      <w:r>
        <w:t>−</w:t>
      </w:r>
      <w:r>
        <w:rPr>
          <w:vertAlign w:val="subscript"/>
        </w:rPr>
        <w:t>1</w:t>
      </w:r>
      <w:r>
        <w:t>along with ultra‐stable Li||Li symmetric cell cycling exceeding 8500 h. Interestingly, the well‐designed CPEs are highly compatible with layered oxides and polyanion compounds; especially, the Li|2‐TFP‐COF@PNFs|LiFePO</w:t>
      </w:r>
      <w:r>
        <w:rPr>
          <w:vertAlign w:val="subscript"/>
        </w:rPr>
        <w:t>4</w:t>
      </w:r>
      <w:r>
        <w:t>full cells deliver a higher initial discharge capacity of 106 mAh g</w:t>
      </w:r>
      <w:r>
        <w:t xml:space="preserve"> </w:t>
      </w:r>
      <w:r>
        <w:t>−</w:t>
      </w:r>
      <w:r>
        <w:rPr>
          <w:vertAlign w:val="subscript"/>
        </w:rPr>
        <w:t>1</w:t>
      </w:r>
      <w:r>
        <w:t>at 10 C with long‐term cycling stability after 4000 cycles as well as excellent wide‐temperature adaptability (−40°C to 60°C) and compatibility with high mass loadings. Impressively, the assembled pouch cells realize stable cycling for 100 cycles. This work efficiently addresses the core issues of unstable SEI layers and low ionic transport efficiency, offering a highly promising strategy for designing high‐performance SSLMBs.</w:t>
      </w:r>
    </w:p>
    <w:p>
      <w:pPr>
        <w:spacing w:before="120" w:after="120"/>
      </w:pPr>
      <w:r>
        <w:rPr>
          <w:sz w:val="18"/>
        </w:rPr>
        <w:t>——————————————————————————————————————————————————————————————————————</w:t>
      </w:r>
    </w:p>
    <w:p>
      <w:pPr>
        <w:spacing w:before="160" w:after="40" w:line="240" w:lineRule="auto"/>
      </w:pPr>
      <w:r>
        <w:rPr>
          <w:b/>
        </w:rPr>
        <w:t xml:space="preserve">[13] </w:t>
      </w:r>
      <w:hyperlink r:id="rId80">
        <w:r>
          <w:rPr>
            <w:color w:val="1155CC"/>
            <w:u w:val="single"/>
          </w:rPr>
          <w:t>通过高压全固态电池的可加工有机涂层策略实现硫化物固体电解质的水分和界面稳定性</w:t>
        </w:r>
      </w:hyperlink>
    </w:p>
    <w:p>
      <w:pPr>
        <w:spacing w:before="0" w:after="80"/>
      </w:pPr>
      <w:r>
        <w:rPr>
          <w:i/>
          <w:sz w:val="20"/>
        </w:rPr>
        <w:t>EN: Enabling Moisture and Interfacial Stability in Sulfide Solid Electrolytes via a Processable Organic Coating Strategy for High‐Voltage All‐Solid‐State Batteries</w:t>
      </w:r>
    </w:p>
    <w:p>
      <w:pPr>
        <w:spacing w:before="0" w:after="120"/>
      </w:pPr>
      <w:r>
        <w:rPr>
          <w:b/>
        </w:rPr>
        <w:t xml:space="preserve">Source: </w:t>
      </w:r>
      <w:r>
        <w:t>Wiley: Angewandte Chemie International Edition: Table of Contents</w:t>
      </w:r>
      <w:r>
        <w:t xml:space="preserve">    </w:t>
      </w:r>
      <w:r>
        <w:rPr>
          <w:b/>
        </w:rPr>
        <w:t xml:space="preserve">Pub date: </w:t>
      </w:r>
      <w:r>
        <w:t>2026-06-30 08:11:55+00:00</w:t>
      </w:r>
      <w:r>
        <w:t xml:space="preserve">    </w:t>
      </w:r>
      <w:r>
        <w:rPr>
          <w:b/>
        </w:rPr>
        <w:t xml:space="preserve">DOI: </w:t>
      </w:r>
      <w:hyperlink r:id="rId81">
        <w:r>
          <w:rPr>
            <w:color w:val="1155CC"/>
            <w:u w:val="single"/>
          </w:rPr>
          <w:t>10.1002/anie.9983580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化物固体电解质（SE）是固态电池（SSB）的绝佳候选者，但它们对水分极其敏感，并且未涂覆的高压阴极缺乏氧化稳定性，导致加工复杂性和成本。在这里，我们提出了一种简单且具有成本效益的癸酸脂肪酸（DA）涂层策略，用于银汞矿（Li</w:t>
      </w:r>
      <w:r>
        <w:rPr>
          <w:vertAlign w:val="subscript"/>
        </w:rPr>
        <w:t>6</w:t>
      </w:r>
      <w:r>
        <w:t>聚苯乙烯</w:t>
      </w:r>
      <w:r>
        <w:rPr>
          <w:vertAlign w:val="subscript"/>
        </w:rPr>
        <w:t>5</w:t>
      </w:r>
      <w:r>
        <w:t>Cl、LPSCl），可使其在 39% 相对湿度下稳定暴露长达 2 小时，同时保留其结构、离子电导率并提高其阳极稳定性。采用 2 wt% 涂层 LPSCl (DA-LPSCl) 作为阴极电解液、裸露 NCM85 阴极和 Li-In 阳极的电池可提供 175 mAh.g 的容量</w:t>
      </w:r>
      <w:r>
        <w:t xml:space="preserve"> </w:t>
      </w:r>
      <w:r>
        <w:t>−1</w:t>
      </w:r>
      <w:r>
        <w:t xml:space="preserve"> </w:t>
      </w:r>
      <w:r>
        <w:t>，并且在 0.2 C 下 150 个循环后容量保持率为 96%，而裸 LPSCl 仅保留 61% 的容量。对称 Li|DA–LPSCl|Li 电池循环 1000 小时，而裸露的 LPSCl 电池则在约 230 小时后发生短路。此外，与最先进的 SSB 相比，使用锂金属阳极和 DA-LPSCl SE 的全电池表现出卓越的性能，在 0.2 C 下循环 300 次后仍保留 81% 的容量。高负载电池的面积容量高达 3.2 mAh cm</w:t>
      </w:r>
      <w:r>
        <w:t xml:space="preserve"> </w:t>
      </w:r>
      <w:r>
        <w:t>−2</w:t>
      </w:r>
      <w:r>
        <w:t xml:space="preserve"> </w:t>
      </w:r>
      <w:r>
        <w:t>也都得到了证明。这项工作展示了低成本、可加工且灵活的涂层的潜力，可以解决硫化物 SE 的关键局限性，从而提高 SSB 的商业可行性。</w:t>
      </w:r>
    </w:p>
    <w:p>
      <w:pPr>
        <w:spacing w:before="0" w:after="200" w:lineRule="auto" w:line="276"/>
      </w:pPr>
      <w:r>
        <w:rPr>
          <w:b/>
        </w:rPr>
        <w:t xml:space="preserve">Abstract (EN): </w:t>
      </w:r>
      <w:r>
        <w:t>Sulfide solid electrolytes (SEs) are excellent candidates for solid‐state batteries (SSBs), but their extreme sensitivity to moisture and lack of oxidative stability with uncoated high‐voltage cathodes incur processing complexity and cost. Here, we present a simple and cost‐effective decanoate fatty‐acid (DA) coating strategy for argyrodite (Li</w:t>
      </w:r>
      <w:r>
        <w:rPr>
          <w:vertAlign w:val="subscript"/>
        </w:rPr>
        <w:t>6</w:t>
      </w:r>
      <w:r>
        <w:t>PS</w:t>
      </w:r>
      <w:r>
        <w:rPr>
          <w:vertAlign w:val="subscript"/>
        </w:rPr>
        <w:t>5</w:t>
      </w:r>
      <w:r>
        <w:t>Cl, LPSCl) that stabilizes it to exposure at 39% relative humidity for up to 2 h, while preserving its structure, ionic conductivity, and increasing its anodic stability. Cells employing 2 wt%‐coated LPSCl (DA–LPSCl) as the catholyte, with a bare NCM85 cathode and Li‐In anode, deliver a capacity of 175 mAh.g</w:t>
      </w:r>
      <w:r>
        <w:t xml:space="preserve"> </w:t>
      </w:r>
      <w:r>
        <w:t>−1</w:t>
      </w:r>
      <w:r>
        <w:t xml:space="preserve"> </w:t>
      </w:r>
      <w:r>
        <w:t>, and 96% capacity retention over 150 cycles at 0.2 C, while bare LPSCl retains only 61% capacity. Symmetric Li|DA–LPSCl|Li cells cycle for 1000 h, in contrast to bare LPSCl cells, which short‐circuit after ∼230 h. Moreover, full cells using a lithium metal anode with the DA–LPSCl SE showed remarkable performance compared to state‐of‐the‐art SSBs, retaining 81% of their capacity after 300 cycles at 0.2 C. High‐loading cells with areal capacities up to 3.2 mAh cm</w:t>
      </w:r>
      <w:r>
        <w:t xml:space="preserve"> </w:t>
      </w:r>
      <w:r>
        <w:t>−2</w:t>
      </w:r>
      <w:r>
        <w:t xml:space="preserve"> </w:t>
      </w:r>
      <w:r>
        <w:t>are also demonstrated. This work showcases the potential of a low‐cost, processable, and flexible coating to address key limitations of sulfide SEs, advancing the commercial viability of SSBs.</w:t>
      </w:r>
    </w:p>
    <w:p>
      <w:pPr>
        <w:spacing w:before="120" w:after="120"/>
      </w:pPr>
      <w:r>
        <w:rPr>
          <w:sz w:val="18"/>
        </w:rPr>
        <w:t>——————————————————————————————————————————————————————————————————————</w:t>
      </w:r>
    </w:p>
    <w:p>
      <w:pPr>
        <w:spacing w:before="160" w:after="40" w:line="240" w:lineRule="auto"/>
      </w:pPr>
      <w:r>
        <w:rPr>
          <w:b/>
        </w:rPr>
        <w:t xml:space="preserve">[14] </w:t>
      </w:r>
      <w:hyperlink r:id="rId82">
        <w:r>
          <w:rPr>
            <w:color w:val="1155CC"/>
            <w:u w:val="single"/>
          </w:rPr>
          <w:t>超过 500 Wh Kg−1 高能锂金属电池的先进电解质材料设计</w:t>
        </w:r>
      </w:hyperlink>
    </w:p>
    <w:p>
      <w:pPr>
        <w:spacing w:before="0" w:after="80"/>
      </w:pPr>
      <w:r>
        <w:rPr>
          <w:i/>
          <w:sz w:val="20"/>
        </w:rPr>
        <w:t>EN: Advanced Electrolyte Materials Design for High‐Energy Lithium Metal Batteries Beyond 500 Wh Kg−1</w:t>
      </w:r>
    </w:p>
    <w:p>
      <w:pPr>
        <w:spacing w:before="0" w:after="120"/>
      </w:pPr>
      <w:r>
        <w:rPr>
          <w:b/>
        </w:rPr>
        <w:t xml:space="preserve">Source: </w:t>
      </w:r>
      <w:r>
        <w:t>Wiley: Advanced Materials: Table of Contents</w:t>
      </w:r>
      <w:r>
        <w:t xml:space="preserve">    </w:t>
      </w:r>
      <w:r>
        <w:rPr>
          <w:b/>
        </w:rPr>
        <w:t xml:space="preserve">Pub date: </w:t>
      </w:r>
      <w:r>
        <w:t>2026-06-30 11:12:43+00:00</w:t>
      </w:r>
      <w:r>
        <w:t xml:space="preserve">    </w:t>
      </w:r>
      <w:r>
        <w:rPr>
          <w:b/>
        </w:rPr>
        <w:t xml:space="preserve">DOI: </w:t>
      </w:r>
      <w:hyperlink r:id="rId83">
        <w:r>
          <w:rPr>
            <w:color w:val="1155CC"/>
            <w:u w:val="single"/>
          </w:rPr>
          <w:t>10.1002/adma.73805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高能锂金属电池（LMB）的开发对于推进下一代储能和电动汽车技术至关重要。然而，实现超过 500 Wh kg 的能量密度</w:t>
      </w:r>
      <w:r>
        <w:t xml:space="preserve"> </w:t>
      </w:r>
      <w:r>
        <w:t>−1</w:t>
      </w:r>
      <w:r>
        <w:t xml:space="preserve"> </w:t>
      </w:r>
      <w:r>
        <w:t>传统电解质化学的内在局限性和不利的界面动力学仍然受到阻碍。这些限制会导致锂枝晶的形成、正极结构的退化、电解质的持续分解和相间的逐渐恶化，最终损害LMB的电化学可逆性、稳定性和安全性。在这篇综述中，我们总结了限制 LMB 的基本挑战，并描述了理想电解质化学和界面稳定性的基本特征。在此基础上，系统地讨论了不同电解质系统的最新进展，以阐明合理的电解质设计如何决定溶剂化结构和界面动力学，进而控制离子传输、相间稳定性以及LMB的整体电化学和实用性能。此外，这篇综述强调了人工智能驱动的电解质发现与原位表征的整合，并进一步总结了它们在高能软包电池和电池装置中的实际验证的最新进展，从而加速了电解质设计并加深了机理理解。最后，概述了电解液的设计原则和未来展望，以推动电解液的发展</w:t>
      </w:r>
    </w:p>
    <w:p>
      <w:pPr>
        <w:spacing w:before="0" w:after="200" w:lineRule="auto" w:line="276"/>
      </w:pPr>
      <w:r>
        <w:rPr>
          <w:b/>
        </w:rPr>
        <w:t xml:space="preserve">Abstract (EN): </w:t>
      </w:r>
      <w:r>
        <w:t>The development of high‐energy lithium metal batteries (LMBs) is crucial for advancing next‐generation energy storage and electric vehicle technologies. However, the realization of energy densities beyond 500 Wh kg</w:t>
      </w:r>
      <w:r>
        <w:t xml:space="preserve"> </w:t>
      </w:r>
      <w:r>
        <w:t>−1</w:t>
      </w:r>
      <w:r>
        <w:t xml:space="preserve"> </w:t>
      </w:r>
      <w:r>
        <w:t>remains hindered by the intrinsic limitations of conventional electrolyte chemistry and unfavorable interfacial dynamics. These limitations induce Li dendrite formation, cathode structural degradation, continuous electrolyte decomposition, and progressive interphase deterioration, ultimately compromising the electrochemical reversibility, stability, and safety of LMBs. In this review, we summarize the fundamental challenges limiting LMBs and delineate the essential characteristics of ideal electrolyte chemistry and interfacial stability. Building upon these foundations, recent advances in diverse electrolyte systems are systematically discussed to elucidate how rational electrolyte design dictates solvation structures and interfacial dynamics, which in turn govern ion transport, interphase stability, and the overall electrochemical and practical performance of LMBs. Furthermore, this review highlights the integration of AI‐driven electrolyte discovery, in situ characterization, and further summarizes recent progress in their practical validation in high‐energy pouch cells and battery devices, thereby accelerating electrolyte design and deepening mechanistic understanding. Finally, electrolyte design principles and future perspectives are outlined to promote the development of practical, safe, and high‐energy batteries.</w:t>
      </w:r>
    </w:p>
    <w:p>
      <w:pPr>
        <w:spacing w:before="120" w:after="120"/>
      </w:pPr>
      <w:r>
        <w:rPr>
          <w:sz w:val="18"/>
        </w:rPr>
        <w:t>——————————————————————————————————————————————————————————————————————</w:t>
      </w:r>
    </w:p>
    <w:p>
      <w:pPr>
        <w:spacing w:before="160" w:after="40" w:line="240" w:lineRule="auto"/>
      </w:pPr>
      <w:r>
        <w:rPr>
          <w:b/>
        </w:rPr>
        <w:t xml:space="preserve">[15] </w:t>
      </w:r>
      <w:hyperlink r:id="rId68">
        <w:r>
          <w:rPr>
            <w:color w:val="1155CC"/>
            <w:u w:val="single"/>
          </w:rPr>
          <w:t>用于保护水性锌电池免遭日历老化的悬浮电解质</w:t>
        </w:r>
      </w:hyperlink>
    </w:p>
    <w:p>
      <w:pPr>
        <w:spacing w:before="0" w:after="80"/>
      </w:pPr>
      <w:r>
        <w:rPr>
          <w:i/>
          <w:sz w:val="20"/>
        </w:rPr>
        <w:t>EN: Suspension Electrolyte for Protecting Aqueous Zinc Batteries From Calendar Aging</w:t>
      </w:r>
    </w:p>
    <w:p>
      <w:pPr>
        <w:spacing w:before="0" w:after="120"/>
      </w:pPr>
      <w:r>
        <w:rPr>
          <w:b/>
        </w:rPr>
        <w:t xml:space="preserve">Source: </w:t>
      </w:r>
      <w:r>
        <w:t>Wiley: Advanced Energy Materials: Table of Contents</w:t>
      </w:r>
      <w:r>
        <w:t xml:space="preserve">    </w:t>
      </w:r>
      <w:r>
        <w:rPr>
          <w:b/>
        </w:rPr>
        <w:t xml:space="preserve">Pub date: </w:t>
      </w:r>
      <w:r>
        <w:t>2026-06-30 12:12:02+00:00</w:t>
      </w:r>
      <w:r>
        <w:t xml:space="preserve">    </w:t>
      </w:r>
      <w:r>
        <w:rPr>
          <w:b/>
        </w:rPr>
        <w:t xml:space="preserve">DOI: </w:t>
      </w:r>
      <w:hyperlink r:id="rId69">
        <w:r>
          <w:rPr>
            <w:color w:val="1155CC"/>
            <w:u w:val="single"/>
          </w:rPr>
          <w:t>10.1002/aenm.71183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锌电池（AZB）为大规模储能提供了安全性和成本效益，但其发展受到水性电解质中锌自发腐蚀引起的日历老化的阻碍。这个问题对于长时间闲置的电网电池来说尤其重要。在这里，我们提出了一种悬浮电解质策略，通过仅分散 3 wt.% 的 Al 来提高 AZB 的压延性能</w:t>
      </w:r>
      <w:r>
        <w:rPr>
          <w:vertAlign w:val="subscript"/>
        </w:rPr>
        <w:t>2</w:t>
      </w:r>
      <w:r>
        <w:t>氧</w:t>
      </w:r>
      <w:r>
        <w:rPr>
          <w:vertAlign w:val="subscript"/>
        </w:rPr>
        <w:t>3</w:t>
      </w:r>
      <w:r>
        <w:t>将纳米颗粒放入传统的 ZnSO 中</w:t>
      </w:r>
      <w:r>
        <w:rPr>
          <w:vertAlign w:val="subscript"/>
        </w:rPr>
        <w:t>4</w:t>
      </w:r>
      <w:r>
        <w:t>电解质。在日历老化方案下，Zn||Cu 电池与 Al</w:t>
      </w:r>
      <w:r>
        <w:rPr>
          <w:vertAlign w:val="subscript"/>
        </w:rPr>
        <w:t>2</w:t>
      </w:r>
      <w:r>
        <w:t>氧</w:t>
      </w:r>
      <w:r>
        <w:rPr>
          <w:vertAlign w:val="subscript"/>
        </w:rPr>
        <w:t>3</w:t>
      </w:r>
      <w:r>
        <w:t>悬浮电解质的日历寿命延长了三倍，库仑效率从 91.7% 显着提高到 97.1%。我们证明了铝</w:t>
      </w:r>
      <w:r>
        <w:rPr>
          <w:vertAlign w:val="subscript"/>
        </w:rPr>
        <w:t>2</w:t>
      </w:r>
      <w:r>
        <w:t>氧</w:t>
      </w:r>
      <w:r>
        <w:rPr>
          <w:vertAlign w:val="subscript"/>
        </w:rPr>
        <w:t>3</w:t>
      </w:r>
      <w:r>
        <w:t>悬浮电解质在 Zn 阳极上形成保护界面层，在吸收水、H 的同时充当物理屏障</w:t>
      </w:r>
      <w:r>
        <w:t xml:space="preserve"> </w:t>
      </w:r>
      <w:r>
        <w:t>+</w:t>
      </w:r>
      <w:r>
        <w:t xml:space="preserve"> </w:t>
      </w:r>
      <w:r>
        <w:t>, 和 OH</w:t>
      </w:r>
      <w:r>
        <w:t xml:space="preserve"> </w:t>
      </w:r>
      <w:r>
        <w:t>-</w:t>
      </w:r>
      <w:r>
        <w:t>离子来减轻水反应性并缓冲pH波动，从而有效抑制寄生腐蚀。此外，Zn||MnO</w:t>
      </w:r>
      <w:r>
        <w:rPr>
          <w:vertAlign w:val="subscript"/>
        </w:rPr>
        <w:t>2</w:t>
      </w:r>
      <w:r>
        <w:t>全电池含铝</w:t>
      </w:r>
      <w:r>
        <w:rPr>
          <w:vertAlign w:val="subscript"/>
        </w:rPr>
        <w:t>2</w:t>
      </w:r>
      <w:r>
        <w:t>氧</w:t>
      </w:r>
      <w:r>
        <w:rPr>
          <w:vertAlign w:val="subscript"/>
        </w:rPr>
        <w:t>3</w:t>
      </w:r>
      <w:r>
        <w:t>悬浮电解质</w:t>
      </w:r>
    </w:p>
    <w:p>
      <w:pPr>
        <w:spacing w:before="0" w:after="200" w:lineRule="auto" w:line="276"/>
      </w:pPr>
      <w:r>
        <w:rPr>
          <w:b/>
        </w:rPr>
        <w:t xml:space="preserve">Abstract (EN): </w:t>
      </w:r>
      <w:r>
        <w:t>Aqueous zinc batteries (AZBs) offer safety and cost‐effectiveness for large‐scale energy storage, yet their development is hindered by calendar aging originating from spontaneous Zn corrosion in aqueous electrolytes. This issue is especially critical for grid batteries, which remain idle for extended periods. Here, we present a strategy of suspension electrolyte to improve the calendar performance of AZBs by dispersing only 3 wt.% of Al</w:t>
      </w:r>
      <w:r>
        <w:rPr>
          <w:vertAlign w:val="subscript"/>
        </w:rPr>
        <w:t>2</w:t>
      </w:r>
      <w:r>
        <w:t>O</w:t>
      </w:r>
      <w:r>
        <w:rPr>
          <w:vertAlign w:val="subscript"/>
        </w:rPr>
        <w:t>3</w:t>
      </w:r>
      <w:r>
        <w:t>nanoparticles into a conventional ZnSO</w:t>
      </w:r>
      <w:r>
        <w:rPr>
          <w:vertAlign w:val="subscript"/>
        </w:rPr>
        <w:t>4</w:t>
      </w:r>
      <w:r>
        <w:t>electrolyte. Under a calendar‐aging protocol, Zn||Cu cells with Al</w:t>
      </w:r>
      <w:r>
        <w:rPr>
          <w:vertAlign w:val="subscript"/>
        </w:rPr>
        <w:t>2</w:t>
      </w:r>
      <w:r>
        <w:t>O</w:t>
      </w:r>
      <w:r>
        <w:rPr>
          <w:vertAlign w:val="subscript"/>
        </w:rPr>
        <w:t>3</w:t>
      </w:r>
      <w:r>
        <w:t>suspension electrolyte achieve a threefold enhancement in calendar lifespan and significantly improve Coulombic efficiency from 91.7% to 97.1%. We demonstrate that the Al</w:t>
      </w:r>
      <w:r>
        <w:rPr>
          <w:vertAlign w:val="subscript"/>
        </w:rPr>
        <w:t>2</w:t>
      </w:r>
      <w:r>
        <w:t>O</w:t>
      </w:r>
      <w:r>
        <w:rPr>
          <w:vertAlign w:val="subscript"/>
        </w:rPr>
        <w:t>3</w:t>
      </w:r>
      <w:r>
        <w:t>suspension electrolyte forms a protective interfacial layer at the Zn anode that serves as a physical barrier while absorbing water, H</w:t>
      </w:r>
      <w:r>
        <w:t xml:space="preserve"> </w:t>
      </w:r>
      <w:r>
        <w:t>+</w:t>
      </w:r>
      <w:r>
        <w:t xml:space="preserve"> </w:t>
      </w:r>
      <w:r>
        <w:t>, and OH</w:t>
      </w:r>
      <w:r>
        <w:t xml:space="preserve"> </w:t>
      </w:r>
      <w:r>
        <w:t>−</w:t>
      </w:r>
      <w:r>
        <w:t>ions to mitigate water reactivity and buffer pH fluctuations, thereby effectively suppressing parasitic corrosion. Furthermore, Zn||MnO</w:t>
      </w:r>
      <w:r>
        <w:rPr>
          <w:vertAlign w:val="subscript"/>
        </w:rPr>
        <w:t>2</w:t>
      </w:r>
      <w:r>
        <w:t>full cells with Al</w:t>
      </w:r>
      <w:r>
        <w:rPr>
          <w:vertAlign w:val="subscript"/>
        </w:rPr>
        <w:t>2</w:t>
      </w:r>
      <w:r>
        <w:t>O</w:t>
      </w:r>
      <w:r>
        <w:rPr>
          <w:vertAlign w:val="subscript"/>
        </w:rPr>
        <w:t>3</w:t>
      </w:r>
      <w:r>
        <w:t>suspension electrolyte exhibit higher specific capacities across all rates and retain over 100 mAh g</w:t>
      </w:r>
      <w:r>
        <w:t xml:space="preserve"> </w:t>
      </w:r>
      <w:r>
        <w:t>−1</w:t>
      </w:r>
      <w:r>
        <w:t xml:space="preserve"> </w:t>
      </w:r>
      <w:r>
        <w:t>at 1 A g</w:t>
      </w:r>
      <w:r>
        <w:t xml:space="preserve"> </w:t>
      </w:r>
      <w:r>
        <w:t>−1</w:t>
      </w:r>
      <w:r>
        <w:t xml:space="preserve"> </w:t>
      </w:r>
      <w:r>
        <w:t>for 1500 cycles. These findings highlight suspension electrolyte as a low‐cost and effective approach to advancing AZBs for long‐duration large‐scale energy storage.</w:t>
      </w:r>
    </w:p>
    <w:p>
      <w:pPr>
        <w:spacing w:before="120" w:after="120"/>
      </w:pPr>
      <w:r>
        <w:rPr>
          <w:sz w:val="18"/>
        </w:rPr>
        <w:t>——————————————————————————————————————————————————————————————————————</w:t>
      </w:r>
    </w:p>
    <w:p>
      <w:pPr>
        <w:spacing w:before="160" w:after="40" w:line="240" w:lineRule="auto"/>
      </w:pPr>
      <w:r>
        <w:rPr>
          <w:b/>
        </w:rPr>
        <w:t xml:space="preserve">[16] </w:t>
      </w:r>
      <w:hyperlink r:id="rId84">
        <w:r>
          <w:rPr>
            <w:color w:val="1155CC"/>
            <w:u w:val="single"/>
          </w:rPr>
          <w:t>双轴应力固体电解质中的枝晶萌生和偏转</w:t>
        </w:r>
      </w:hyperlink>
    </w:p>
    <w:p>
      <w:pPr>
        <w:spacing w:before="0" w:after="80"/>
      </w:pPr>
      <w:r>
        <w:rPr>
          <w:i/>
          <w:sz w:val="20"/>
        </w:rPr>
        <w:t>EN: Dendrite initiation and deflection in biaxially stressed solid electrolytes</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85">
        <w:r>
          <w:rPr>
            <w:color w:val="1155CC"/>
            <w:u w:val="single"/>
          </w:rPr>
          <w:t>10.1038/s41586-026-10734-x</w:t>
        </w:r>
      </w:hyperlink>
    </w:p>
    <w:p>
      <w:pPr>
        <w:spacing w:before="0" w:after="120"/>
      </w:pPr>
      <w:r>
        <w:rPr>
          <w:b/>
        </w:rPr>
        <w:t xml:space="preserve">Notes: </w:t>
      </w:r>
      <w:r>
        <w:t>abstract_source=nature_html</w:t>
      </w:r>
    </w:p>
    <w:p>
      <w:pPr>
        <w:spacing w:before="0" w:after="80" w:lineRule="auto" w:line="276"/>
      </w:pPr>
      <w:r>
        <w:rPr>
          <w:b/>
        </w:rPr>
        <w:t xml:space="preserve">摘要（ZH）: </w:t>
      </w:r>
      <w:r>
        <w:t>与锂离子电池相比，锂金属固态电池具有能量密度高、安全性更高的优点1,2。然而，即使在低充电速率（小于 1 mA cm−2）下，由于锂枝晶的引发和增长，固态电池也会因短路而失效3,4,5。枝晶引发的位置存在争议，特别是关于引发是否发生在固体电解质内部6,7,8,9 还是在表面10,11,12,13,14。在这里，我们开发了一种面内双轴压缩方法，该方法提供了直接证据，表明在长期循环过程中，当表面引发机制对电池短路无效时，枝晶引发发生在石榴石Li6.6La3Zr1.6Ta0.4O12固体电解质的内部。双轴压缩使枝晶传播偏转，使其垂直于电场方向，从而产生前所未有的高密度枝晶而不会短路，即使在 100 mA cm−2 的极快充电速率下也是如此。经过长期循环后，枝晶最终出现在固体电解质的整个厚度上。在极端循环条件下，在晶界连接处和孔隙处观察到孤立的锂沉积物，这些沉积物充当枝晶起始位点。这项工作协调了石榴石固体电解质的表面和内部引发机制，并证明面内双轴压应力可以防止电池短路。</w:t>
      </w:r>
    </w:p>
    <w:p>
      <w:pPr>
        <w:spacing w:before="0" w:after="200" w:lineRule="auto" w:line="276"/>
      </w:pPr>
      <w:r>
        <w:rPr>
          <w:b/>
        </w:rPr>
        <w:t xml:space="preserve">Abstract (EN): </w:t>
      </w:r>
      <w:r>
        <w:t>Lithium-metal solid-state batteries offer advantages of high energy density and improved safety compared with lithium-ion batteries1,2. However, solid-state batteries fail through short-circuiting even at low charging rates (less than 1 mA cm−2) due to lithium dendrite initiation and propagation3,4,5. The location of dendrite initiation is under debate, particularly regarding whether initiation occurs within the interior of the solid electrolyte6,7,8,9 or at the surface10,11,12,13,14. Here we develop an in-plane biaxial compression method that provides direct evidence that dendrite initiation occurs within the interior of garnet Li6.6La3Zr1.6Ta0.4O12 solid electrolytes during long-term cycling when the surface initiation mechanisms are rendered ineffective in shorting the cell. The biaxial compression deflects dendrite propagation so that it is perpendicular to the electric field direction, leading to the generation of an unprecedentedly high density of dendrites without short-circuiting, even at an extreme fast-charging rate of 100 mA cm−2. After long-term cycling, dendrites eventually appeared throughout the entire thickness of the solid electrolyte. Under extreme cycling conditions, isolated lithium deposits are observed at grain-boundary junctions and pores, and these act as the dendrite initiation sites. This work reconciles the surface and interior initiation mechanisms in garnet solid electrolytes and demonstrates that in-plane biaxial compressive stress can prevent both from short-circuiting the cell.</w:t>
      </w:r>
    </w:p>
    <w:p>
      <w:pPr>
        <w:spacing w:before="120" w:after="120"/>
      </w:pPr>
      <w:r>
        <w:rPr>
          <w:sz w:val="18"/>
        </w:rPr>
        <w:t>——————————————————————————————————————————————————————————————————————</w:t>
      </w:r>
    </w:p>
    <w:p>
      <w:pPr>
        <w:spacing w:before="160" w:after="40" w:line="240" w:lineRule="auto"/>
      </w:pPr>
      <w:r>
        <w:rPr>
          <w:b/>
        </w:rPr>
        <w:t xml:space="preserve">[17] </w:t>
      </w:r>
      <w:hyperlink r:id="rId86">
        <w:r>
          <w:rPr>
            <w:color w:val="1155CC"/>
            <w:u w:val="single"/>
          </w:rPr>
          <w:t>安全、高性能、湿气激活电池，为下一代物联网设备供电</w:t>
        </w:r>
      </w:hyperlink>
    </w:p>
    <w:p>
      <w:pPr>
        <w:spacing w:before="0" w:after="80"/>
      </w:pPr>
      <w:r>
        <w:rPr>
          <w:i/>
          <w:sz w:val="20"/>
        </w:rPr>
        <w:t>EN: Safe, high-performance, moisture-activated batteries for powering next-generation Internet-of-Things devices</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87">
        <w:r>
          <w:rPr>
            <w:color w:val="1155CC"/>
            <w:u w:val="single"/>
          </w:rPr>
          <w:t>10.1126/sciadv.aee2065</w:t>
        </w:r>
      </w:hyperlink>
    </w:p>
    <w:p>
      <w:pPr>
        <w:spacing w:before="0" w:after="120"/>
      </w:pPr>
      <w:r>
        <w:rPr>
          <w:b/>
        </w:rPr>
        <w:t xml:space="preserve">Notes: </w:t>
      </w:r>
      <w:r>
        <w:t>abstract_source=crossref</w:t>
      </w:r>
    </w:p>
    <w:p>
      <w:pPr>
        <w:spacing w:before="0" w:after="80" w:lineRule="auto" w:line="276"/>
      </w:pPr>
      <w:r>
        <w:rPr>
          <w:b/>
        </w:rPr>
        <w:t xml:space="preserve">摘要（ZH）: </w:t>
      </w:r>
      <w:r>
        <w:t>传统电池笨重、非保形且有毒，而能量采集器的功率低/可变，这使得它们不适合新兴的可穿戴设备、机器人和其他物联网 (IoT) 设备。在这里，我们介绍了一种无毒的薄膜电池，其性能优于几种商用电池，其灵感源自集水技术的进步。它清除周围的水分作为电解质，结合了能量收集器的特点和电池的吸引人的特点（稳定和高功率）。它可在多种环境下工作，开路电压约为 1.6 伏，比容量约为每克 52 毫安时，比能量约为每克 81 毫瓦时。独特的仿穿山甲皮肤设计赋予电池高灵活性、拉伸性和填充系数，确保舒适性而不影响容量。实验和计算机模拟研究揭示了电池令人印象深刻的性能的独特材料和设计特征。无线可穿戴脉搏血氧计和监控监视器的示例具有独特的终止开关，可确保其免受未经授权的访问，展示了电池为各种物联网设备供电的多功能性。</w:t>
      </w:r>
    </w:p>
    <w:p>
      <w:pPr>
        <w:spacing w:before="0" w:after="200" w:lineRule="auto" w:line="276"/>
      </w:pPr>
      <w:r>
        <w:rPr>
          <w:b/>
        </w:rPr>
        <w:t xml:space="preserve">Abstract (EN): </w:t>
      </w:r>
      <w:r>
        <w:t>Conventional batteries are heavy, nonconformal, and toxic, while energy harvesters offer low/variable power, rendering them unsuitable for emerging wearable, robotic, and other Internet-of-Things (IoT) devices. Here, we introduce a nontoxic, thin-film battery superior to several commercial batteries inspired by advances in water harvesting techniques. It scavenges ambient moisture to serve as its electrolyte, combining features of an energy harvester with attractive features of a battery (stable and high power). It functions in a wide range of environments and offers an open-circuit voltage of ~1.6 volts, specific capacity of ~52 milliampere-hours per gram, and specific energy of ~81 milliwatt-hours per gram. Unique pangolin skin–mimicking design imparts high flexibility, stretchability, and fill factor to the battery, ensuring conformability without compromising on capacity. Experimental and computer simulation studies reveal the distinctive materials and design features responsible for the battery’s impressive performance. Examples of a wireless wearable pulse oximeter and surveillance monitor with a unique kill switch that secures it from unauthorized access demonstrate the versatility of the battery to power various IoT devices.</w:t>
      </w:r>
    </w:p>
    <w:p>
      <w:pPr>
        <w:spacing w:before="120" w:after="120"/>
      </w:pPr>
      <w:r>
        <w:rPr>
          <w:sz w:val="18"/>
        </w:rPr>
        <w:t>——————————————————————————————————————————————————————————————————————</w:t>
      </w:r>
    </w:p>
    <w:p>
      <w:pPr>
        <w:spacing w:before="160" w:after="40" w:line="240" w:lineRule="auto"/>
      </w:pPr>
      <w:r>
        <w:rPr>
          <w:b/>
        </w:rPr>
        <w:t xml:space="preserve">[18] </w:t>
      </w:r>
      <w:hyperlink r:id="rId50">
        <w:r>
          <w:rPr>
            <w:color w:val="1155CC"/>
            <w:u w:val="single"/>
          </w:rPr>
          <w:t>走向实用的高镍阴极固态锂电池：以界面为中心的视角</w:t>
        </w:r>
      </w:hyperlink>
    </w:p>
    <w:p>
      <w:pPr>
        <w:spacing w:before="0" w:after="80"/>
      </w:pPr>
      <w:r>
        <w:rPr>
          <w:i/>
          <w:sz w:val="20"/>
        </w:rPr>
        <w:t>EN: Toward Practical Solid‐State Lithium Batteries With High‐Nickel Cathodes: An Interface‐Centered Perspective</w:t>
      </w:r>
    </w:p>
    <w:p>
      <w:pPr>
        <w:spacing w:before="0" w:after="120"/>
      </w:pPr>
      <w:r>
        <w:rPr>
          <w:b/>
        </w:rPr>
        <w:t xml:space="preserve">Source: </w:t>
      </w:r>
      <w:r>
        <w:t>Wiley: Advanced Materials: Table of Contents</w:t>
      </w:r>
      <w:r>
        <w:t xml:space="preserve">    </w:t>
      </w:r>
      <w:r>
        <w:rPr>
          <w:b/>
        </w:rPr>
        <w:t xml:space="preserve">Pub date: </w:t>
      </w:r>
      <w:r>
        <w:t>2026-07-01 10:40:27+00:00</w:t>
      </w:r>
      <w:r>
        <w:t xml:space="preserve">    </w:t>
      </w:r>
      <w:r>
        <w:rPr>
          <w:b/>
        </w:rPr>
        <w:t xml:space="preserve">DOI: </w:t>
      </w:r>
      <w:hyperlink r:id="rId51">
        <w:r>
          <w:rPr>
            <w:color w:val="1155CC"/>
            <w:u w:val="single"/>
          </w:rPr>
          <w:t>10.1002/adma.73888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球向可再生能源和碳中和的转型急剧增加了对具有更高能量密度、更高安全性和更长使用寿命的储能系统的需求。尽管锂离子电池占据主导地位，但其发展受到液体电解质的易燃性和电化学不稳定性的极大限制。固态锂电池（SSLB）提供了一种有前途的替代方案，因为固态电解质（SSE）可以消除电解质泄漏，增强热稳定性，并可以使用高压阴极和锂金属阳极。在候选正极材料中，高镍层状氧化物（LiNi</w:t>
      </w:r>
      <w:r>
        <w:t xml:space="preserve"> </w:t>
      </w:r>
      <w:r>
        <w:t>x</w:t>
      </w:r>
      <w:r>
        <w:t xml:space="preserve"> </w:t>
      </w:r>
      <w:r>
        <w:t>钴</w:t>
      </w:r>
      <w:r>
        <w:t xml:space="preserve"> </w:t>
      </w:r>
      <w:r>
        <w:t>y</w:t>
      </w:r>
      <w:r>
        <w:t xml:space="preserve"> </w:t>
      </w:r>
      <w:r>
        <w:t>锰</w:t>
      </w:r>
      <w:r>
        <w:t xml:space="preserve"> </w:t>
      </w:r>
      <w:r>
        <w:t>1‐</w:t>
      </w:r>
      <w:r>
        <w:t xml:space="preserve"> </w:t>
      </w:r>
      <w:r>
        <w:t>x</w:t>
      </w:r>
      <w:r>
        <w:t xml:space="preserve"> </w:t>
      </w:r>
      <w:r>
        <w:t>‐</w:t>
      </w:r>
      <w:r>
        <w:t xml:space="preserve"> </w:t>
      </w:r>
      <w:r>
        <w:t>y</w:t>
      </w:r>
      <w:r>
        <w:t xml:space="preserve"> </w:t>
      </w:r>
      <w:r>
        <w:t>氧</w:t>
      </w:r>
      <w:r>
        <w:rPr>
          <w:vertAlign w:val="subscript"/>
        </w:rPr>
        <w:t>2</w:t>
      </w:r>
      <w:r>
        <w:t>,</w:t>
      </w:r>
      <w:r>
        <w:t xml:space="preserve"> </w:t>
      </w:r>
      <w:r>
        <w:t>x</w:t>
      </w:r>
      <w:r>
        <w:t xml:space="preserve"> </w:t>
      </w:r>
      <w:r>
        <w:t>≥ 0.8）由于其高比容量、适中的成本和工业成熟度，是最适合实际部署的。然而，它们与 SSE 的集成带来了严峻的挑战，包括结构降解、氧释放和界面不稳定性，这些都共同阻碍了锂离子传输并损害了循环耐久性。这篇综述总结了高镍 SSLB 的最新进展</w:t>
      </w:r>
    </w:p>
    <w:p>
      <w:pPr>
        <w:spacing w:before="0" w:after="200" w:lineRule="auto" w:line="276"/>
      </w:pPr>
      <w:r>
        <w:rPr>
          <w:b/>
        </w:rPr>
        <w:t xml:space="preserve">Abstract (EN): </w:t>
      </w:r>
      <w:r>
        <w:t>The global transition toward renewable energy and carbon neutrality has sharply increased the demand for energy‐storage systems with higher energy density, improved safety, and extended service life. Despite the dominance of lithium‐ion batteries, their development is greatly limited by the flammability and electrochemical instability of liquid electrolytes. Solid‐state lithium batteries (SSLBs) provide a promising alternative because solid‐state electrolytes (SSEs) eliminate electrolyte leakage, enhance thermal stability, and enable the use of high‐voltage cathodes and lithium‐metal anodes. Among candidate cathode materials, high‐nickel layered oxides (LiNi</w:t>
      </w:r>
      <w:r>
        <w:t xml:space="preserve"> </w:t>
      </w:r>
      <w:r>
        <w:t>x</w:t>
      </w:r>
      <w:r>
        <w:t xml:space="preserve"> </w:t>
      </w:r>
      <w:r>
        <w:t>Co</w:t>
      </w:r>
      <w:r>
        <w:t xml:space="preserve"> </w:t>
      </w:r>
      <w:r>
        <w:t>y</w:t>
      </w:r>
      <w:r>
        <w:t xml:space="preserve"> </w:t>
      </w:r>
      <w:r>
        <w:t>Mn</w:t>
      </w:r>
      <w:r>
        <w:t xml:space="preserve"> </w:t>
      </w:r>
      <w:r>
        <w:t>1‐</w:t>
      </w:r>
      <w:r>
        <w:t xml:space="preserve"> </w:t>
      </w:r>
      <w:r>
        <w:t>x</w:t>
      </w:r>
      <w:r>
        <w:t xml:space="preserve"> </w:t>
      </w:r>
      <w:r>
        <w:t>‐</w:t>
      </w:r>
      <w:r>
        <w:t xml:space="preserve"> </w:t>
      </w:r>
      <w:r>
        <w:t>y</w:t>
      </w:r>
      <w:r>
        <w:t xml:space="preserve"> </w:t>
      </w:r>
      <w:r>
        <w:t>O</w:t>
      </w:r>
      <w:r>
        <w:rPr>
          <w:vertAlign w:val="subscript"/>
        </w:rPr>
        <w:t>2</w:t>
      </w:r>
      <w:r>
        <w:t>,</w:t>
      </w:r>
      <w:r>
        <w:t xml:space="preserve"> </w:t>
      </w:r>
      <w:r>
        <w:t>x</w:t>
      </w:r>
      <w:r>
        <w:t xml:space="preserve"> </w:t>
      </w:r>
      <w:r>
        <w:t>≥ 0.8) are the most viable for practical deployment, owing to their high specific capacity, moderate cost, and industrial maturity. However, their integration with SSEs introduces severe challenges, including structural degradation, oxygen release, and interfacial instability, which collectively impede lithium‐ion transport and compromise cycling durability. This review summarizes recent progress in SSLBs with high‐nickel cathodes, focusing on (1) structural and surface engineering of high‐nickel cathodes, (2) optimization of oxide‐, sulfide‐, halide‐, and polymer‐based SSEs, and (3) interface‐engineering strategies, including buffer layers and in situ interfacial design. Finally, perspectives are provided on material innovation, interfacial characterization, and scalable manufacturing, aiming to guide the development of next‐generation SSLBs that combine high energy density with intrinsic safety.</w:t>
      </w:r>
    </w:p>
    <w:p>
      <w:pPr>
        <w:spacing w:before="120" w:after="120"/>
      </w:pPr>
      <w:r>
        <w:rPr>
          <w:sz w:val="18"/>
        </w:rPr>
        <w:t>——————————————————————————————————————————————————————————————————————</w:t>
      </w:r>
    </w:p>
    <w:p>
      <w:pPr>
        <w:spacing w:before="160" w:after="40" w:line="240" w:lineRule="auto"/>
      </w:pPr>
      <w:r>
        <w:rPr>
          <w:b/>
        </w:rPr>
        <w:t xml:space="preserve">[19] </w:t>
      </w:r>
      <w:hyperlink r:id="rId52">
        <w:r>
          <w:rPr>
            <w:color w:val="1155CC"/>
            <w:u w:val="single"/>
          </w:rPr>
          <w:t>用于先进耐用锂电池的非对称离子液体调制阴离子增强双电层</w:t>
        </w:r>
      </w:hyperlink>
    </w:p>
    <w:p>
      <w:pPr>
        <w:spacing w:before="0" w:after="80"/>
      </w:pPr>
      <w:r>
        <w:rPr>
          <w:i/>
          <w:sz w:val="20"/>
        </w:rPr>
        <w:t>EN: Asymmetric Ionic Liquid Modulated Anion‐Reinforced Electric Double Layer for Advanced Durable Lithium Batteries</w:t>
      </w:r>
    </w:p>
    <w:p>
      <w:pPr>
        <w:spacing w:before="0" w:after="120"/>
      </w:pPr>
      <w:r>
        <w:rPr>
          <w:b/>
        </w:rPr>
        <w:t xml:space="preserve">Source: </w:t>
      </w:r>
      <w:r>
        <w:t>Wiley: Angewandte Chemie International Edition: Table of Contents</w:t>
      </w:r>
      <w:r>
        <w:t xml:space="preserve">    </w:t>
      </w:r>
      <w:r>
        <w:rPr>
          <w:b/>
        </w:rPr>
        <w:t xml:space="preserve">Pub date: </w:t>
      </w:r>
      <w:r>
        <w:t>2026-07-02 03:26:25+00:00</w:t>
      </w:r>
      <w:r>
        <w:t xml:space="preserve">    </w:t>
      </w:r>
      <w:r>
        <w:rPr>
          <w:b/>
        </w:rPr>
        <w:t xml:space="preserve">DOI: </w:t>
      </w:r>
      <w:hyperlink r:id="rId53">
        <w:r>
          <w:rPr>
            <w:color w:val="1155CC"/>
            <w:u w:val="single"/>
          </w:rPr>
          <w:t>10.1002/anie.5759017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双电层（EDL）控制局部电解质富集和还原途径，从而指导固体电解质中间相（SEI）的成核和演化。然而，电解质设计仍然在很大程度上受本体溶剂化描述符的指导。在此，一种不对称室温鏻离子液体（2-甲氧基乙氧基）甲基鏻六氟磷酸盐（PMEP）旨在促进阴离子增强 EDL。分子不对称性降低PMEP熔点并促进PF</w:t>
      </w:r>
      <w:r>
        <w:rPr>
          <w:vertAlign w:val="subscript"/>
        </w:rPr>
        <w:t>6</w:t>
      </w:r>
      <w:r>
        <w:t>-</w:t>
      </w:r>
      <w:r>
        <w:t>参与李</w:t>
      </w:r>
      <w:r>
        <w:t xml:space="preserve"> </w:t>
      </w:r>
      <w:r>
        <w:t>+</w:t>
      </w:r>
      <w:r>
        <w:t xml:space="preserve"> </w:t>
      </w:r>
      <w:r>
        <w:t>‐中心溶剂化结构。分子动力学 (MD) 模拟和密度泛函理论 (DFT) 计算表明 PF</w:t>
      </w:r>
      <w:r>
        <w:rPr>
          <w:vertAlign w:val="subscript"/>
        </w:rPr>
        <w:t>6</w:t>
      </w:r>
      <w:r>
        <w:t>-</w:t>
      </w:r>
      <w:r>
        <w:t>可以参加李</w:t>
      </w:r>
      <w:r>
        <w:t xml:space="preserve"> </w:t>
      </w:r>
      <w:r>
        <w:t>+</w:t>
      </w:r>
      <w:r>
        <w:t xml:space="preserve"> </w:t>
      </w:r>
      <w:r>
        <w:t>选定电荷状态下的中心界面溶剂化簇，有助于形成含有有机还原产物和无机物质（例如 LiF 和 Li）的 SEI</w:t>
      </w:r>
      <w:r>
        <w:rPr>
          <w:vertAlign w:val="subscript"/>
        </w:rPr>
        <w:t>2</w:t>
      </w:r>
      <w:r>
        <w:t>O. 这种有机/无机 SEI 结构降低了界面阻抗和 Li 的表观活化势垒</w:t>
      </w:r>
      <w:r>
        <w:t xml:space="preserve"> </w:t>
      </w:r>
      <w:r>
        <w:t>+</w:t>
      </w:r>
      <w:r>
        <w:t xml:space="preserve"> </w:t>
      </w:r>
      <w:r>
        <w:t>转移，实现更均匀的锂沉积和机械坚固的界面。锂|磷酸铁锂</w:t>
      </w:r>
      <w:r>
        <w:rPr>
          <w:vertAlign w:val="subscript"/>
        </w:rPr>
        <w:t>4</w:t>
      </w:r>
      <w:r>
        <w:t>面积负载为 11.3 mg cm 的电池</w:t>
      </w:r>
      <w:r>
        <w:t xml:space="preserve"> </w:t>
      </w:r>
      <w:r>
        <w:t>−2</w:t>
      </w:r>
      <w:r>
        <w:t xml:space="preserve"> </w:t>
      </w:r>
      <w:r>
        <w:t>提供 94.9% 的容量保持率</w:t>
      </w:r>
    </w:p>
    <w:p>
      <w:pPr>
        <w:spacing w:before="0" w:after="200" w:lineRule="auto" w:line="276"/>
      </w:pPr>
      <w:r>
        <w:rPr>
          <w:b/>
        </w:rPr>
        <w:t xml:space="preserve">Abstract (EN): </w:t>
      </w:r>
      <w:r>
        <w:t>The electric double layer (EDL) governs local electrolyte enrichment and reduction pathways, thereby directing the nucleation and evolution of solid electrolyte interphase (SEI). However, electrolyte design is still largely guided by bulk solvation descriptors. Here, an asymmetric room temperature phosphonium ionic liquid, (2‐methoxyethoxy)methyl phosphonium hexafluorophosphate (PMEP), is designed to promote an anion‐reinforced EDL. Molecular asymmetry lowers the melting point of PMEP and promotes PF</w:t>
      </w:r>
      <w:r>
        <w:rPr>
          <w:vertAlign w:val="subscript"/>
        </w:rPr>
        <w:t>6</w:t>
      </w:r>
      <w:r>
        <w:t>−</w:t>
      </w:r>
      <w:r>
        <w:t>participation in Li</w:t>
      </w:r>
      <w:r>
        <w:t xml:space="preserve"> </w:t>
      </w:r>
      <w:r>
        <w:t>+</w:t>
      </w:r>
      <w:r>
        <w:t xml:space="preserve"> </w:t>
      </w:r>
      <w:r>
        <w:t>‐centered solvation structures. Molecular dynamics (MD) simulations and density functional theory (DFT) calculations suggest that PF</w:t>
      </w:r>
      <w:r>
        <w:rPr>
          <w:vertAlign w:val="subscript"/>
        </w:rPr>
        <w:t>6</w:t>
      </w:r>
      <w:r>
        <w:t>−</w:t>
      </w:r>
      <w:r>
        <w:t>can participate in Li</w:t>
      </w:r>
      <w:r>
        <w:t xml:space="preserve"> </w:t>
      </w:r>
      <w:r>
        <w:t>+</w:t>
      </w:r>
      <w:r>
        <w:t xml:space="preserve"> </w:t>
      </w:r>
      <w:r>
        <w:t>‐centered interfacial solvation clusters under selected charge states, which contributes to the formation of an SEI containing both organic reduction products and inorganic species such as LiF and Li</w:t>
      </w:r>
      <w:r>
        <w:rPr>
          <w:vertAlign w:val="subscript"/>
        </w:rPr>
        <w:t>2</w:t>
      </w:r>
      <w:r>
        <w:t>O. This organic/inorganic SEI structure lowers interfacial impedance and the apparent activation barrier for Li</w:t>
      </w:r>
      <w:r>
        <w:t xml:space="preserve"> </w:t>
      </w:r>
      <w:r>
        <w:t>+</w:t>
      </w:r>
      <w:r>
        <w:t xml:space="preserve"> </w:t>
      </w:r>
      <w:r>
        <w:t>transfer, enabling more uniform lithium deposition and a mechanically robust interface. Li|LiFePO</w:t>
      </w:r>
      <w:r>
        <w:rPr>
          <w:vertAlign w:val="subscript"/>
        </w:rPr>
        <w:t>4</w:t>
      </w:r>
      <w:r>
        <w:t>batteries with an areal loading of 11.3 mg cm</w:t>
      </w:r>
      <w:r>
        <w:t xml:space="preserve"> </w:t>
      </w:r>
      <w:r>
        <w:t>−2</w:t>
      </w:r>
      <w:r>
        <w:t xml:space="preserve"> </w:t>
      </w:r>
      <w:r>
        <w:t>deliver 94.9% capacity retention after 600 cycles. The fabricated 1.6 Ah Graphite|LiFePO</w:t>
      </w:r>
      <w:r>
        <w:rPr>
          <w:vertAlign w:val="subscript"/>
        </w:rPr>
        <w:t>4</w:t>
      </w:r>
      <w:r>
        <w:t>cylindrical cell operates stably for over 500 cycles with a Coulombic efficiency above 99.8%. This work demonstrates a shift in electrolyte design from bulk formulations toward interfacial solvation structure engineering for next generation batteries.</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88">
        <w:r>
          <w:rPr>
            <w:color w:val="1155CC"/>
            <w:u w:val="single"/>
          </w:rPr>
          <w:t>使用区块链的分布式电动汽车智能充电调度方法</w:t>
        </w:r>
      </w:hyperlink>
    </w:p>
    <w:p>
      <w:pPr>
        <w:spacing w:before="0" w:after="80"/>
      </w:pPr>
      <w:r>
        <w:rPr>
          <w:i/>
          <w:sz w:val="20"/>
        </w:rPr>
        <w:t>EN: A distributed approach for electric vehicle smart charging scheduling using blockchain</w:t>
      </w:r>
    </w:p>
    <w:p>
      <w:pPr>
        <w:spacing w:before="0" w:after="120"/>
      </w:pPr>
      <w:r>
        <w:rPr>
          <w:b/>
        </w:rPr>
        <w:t xml:space="preserve">Source: </w:t>
      </w:r>
      <w:r>
        <w:t>ScienceDirect Publication: Applied Energy</w:t>
      </w:r>
      <w:r>
        <w:t xml:space="preserve">    </w:t>
      </w:r>
      <w:r>
        <w:rPr>
          <w:b/>
        </w:rPr>
        <w:t xml:space="preserve">Pub date: </w:t>
      </w:r>
      <w:r>
        <w:t>2026-06-27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89">
        <w:r>
          <w:rPr>
            <w:color w:val="1155CC"/>
            <w:u w:val="single"/>
          </w:rPr>
          <w:t>使用电化学阻抗谱预测锂离子电池的自适应容量轨迹</w:t>
        </w:r>
      </w:hyperlink>
    </w:p>
    <w:p>
      <w:pPr>
        <w:spacing w:before="0" w:after="80"/>
      </w:pPr>
      <w:r>
        <w:rPr>
          <w:i/>
          <w:sz w:val="20"/>
        </w:rPr>
        <w:t>EN: Adaptive capacity trajectory prediction for lithium-ion batteries using electrochemical impedance spectroscopy</w:t>
      </w:r>
    </w:p>
    <w:p>
      <w:pPr>
        <w:spacing w:before="0" w:after="120"/>
      </w:pPr>
      <w:r>
        <w:rPr>
          <w:b/>
        </w:rPr>
        <w:t xml:space="preserve">Source: </w:t>
      </w:r>
      <w:r>
        <w:t>ScienceDirect Publication: Applied Energy</w:t>
      </w:r>
      <w:r>
        <w:t xml:space="preserve">    </w:t>
      </w:r>
      <w:r>
        <w:rPr>
          <w:b/>
        </w:rPr>
        <w:t xml:space="preserve">Pub date: </w:t>
      </w:r>
      <w:r>
        <w:t>2026-06-27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90">
        <w:r>
          <w:rPr>
            <w:color w:val="1155CC"/>
            <w:u w:val="single"/>
          </w:rPr>
          <w:t>用于深海电力应用的压力补偿浸没式电池系统综述</w:t>
        </w:r>
      </w:hyperlink>
    </w:p>
    <w:p>
      <w:pPr>
        <w:spacing w:before="0" w:after="80"/>
      </w:pPr>
      <w:r>
        <w:rPr>
          <w:i/>
          <w:sz w:val="20"/>
        </w:rPr>
        <w:t>EN: Review of pressure compensated immersion battery systems for deep-sea power applications</w:t>
      </w:r>
    </w:p>
    <w:p>
      <w:pPr>
        <w:spacing w:before="0" w:after="120"/>
      </w:pPr>
      <w:r>
        <w:rPr>
          <w:b/>
        </w:rPr>
        <w:t xml:space="preserve">Source: </w:t>
      </w:r>
      <w:r>
        <w:t>ScienceDirect Publication: Applied Energy</w:t>
      </w:r>
      <w:r>
        <w:t xml:space="preserve">    </w:t>
      </w:r>
      <w:r>
        <w:rPr>
          <w:b/>
        </w:rPr>
        <w:t xml:space="preserve">Pub date: </w:t>
      </w:r>
      <w:r>
        <w:t>2026-06-27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91">
        <w:r>
          <w:rPr>
            <w:color w:val="1155CC"/>
            <w:u w:val="single"/>
          </w:rPr>
          <w:t>从线性到循环：废旧电池回收网络优化回顾与未来议程</w:t>
        </w:r>
      </w:hyperlink>
    </w:p>
    <w:p>
      <w:pPr>
        <w:spacing w:before="0" w:after="80"/>
      </w:pPr>
      <w:r>
        <w:rPr>
          <w:i/>
          <w:sz w:val="20"/>
        </w:rPr>
        <w:t>EN: From linear to circular: review and future agenda of waste battery recycling network optimization</w:t>
      </w:r>
    </w:p>
    <w:p>
      <w:pPr>
        <w:spacing w:before="0" w:after="120"/>
      </w:pPr>
      <w:r>
        <w:rPr>
          <w:b/>
        </w:rPr>
        <w:t xml:space="preserve">Source: </w:t>
      </w:r>
      <w:r>
        <w:t>ScienceDirect Publication: Applied Energy</w:t>
      </w:r>
      <w:r>
        <w:t xml:space="preserve">    </w:t>
      </w:r>
      <w:r>
        <w:rPr>
          <w:b/>
        </w:rPr>
        <w:t xml:space="preserve">Pub date: </w:t>
      </w:r>
      <w:r>
        <w:t>2026-06-27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92">
        <w:r>
          <w:rPr>
            <w:color w:val="1155CC"/>
            <w:u w:val="single"/>
          </w:rPr>
          <w:t>使用神经网络集成增强并联电池模块中的电流分布估计</w:t>
        </w:r>
      </w:hyperlink>
    </w:p>
    <w:p>
      <w:pPr>
        <w:spacing w:before="0" w:after="80"/>
      </w:pPr>
      <w:r>
        <w:rPr>
          <w:i/>
          <w:sz w:val="20"/>
        </w:rPr>
        <w:t>EN: Enhancing current distribution estimation in parallel battery modules using neural network ensembles</w:t>
      </w:r>
    </w:p>
    <w:p>
      <w:pPr>
        <w:spacing w:before="0" w:after="120"/>
      </w:pPr>
      <w:r>
        <w:rPr>
          <w:b/>
        </w:rPr>
        <w:t xml:space="preserve">Source: </w:t>
      </w:r>
      <w:r>
        <w:t>ScienceDirect Publication: Applied Energy</w:t>
      </w:r>
      <w:r>
        <w:t xml:space="preserve">    </w:t>
      </w:r>
      <w:r>
        <w:rPr>
          <w:b/>
        </w:rPr>
        <w:t xml:space="preserve">Pub date: </w:t>
      </w:r>
      <w:r>
        <w:t>2026-06-28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93">
        <w:r>
          <w:rPr>
            <w:color w:val="1155CC"/>
            <w:u w:val="single"/>
          </w:rPr>
          <w:t>电化学过程驱动的锂离子电池回收和再生技术综述</w:t>
        </w:r>
      </w:hyperlink>
    </w:p>
    <w:p>
      <w:pPr>
        <w:spacing w:before="0" w:after="80"/>
      </w:pPr>
      <w:r>
        <w:rPr>
          <w:i/>
          <w:sz w:val="20"/>
        </w:rPr>
        <w:t>EN: A review of electrochemical process-driven recycling and regeneration technologies for lithium-ion batteries</w:t>
      </w:r>
    </w:p>
    <w:p>
      <w:pPr>
        <w:spacing w:before="0" w:after="120"/>
      </w:pPr>
      <w:r>
        <w:rPr>
          <w:b/>
        </w:rPr>
        <w:t xml:space="preserve">Source: </w:t>
      </w:r>
      <w:r>
        <w:t>ScienceDirect Publication: Applied Energy</w:t>
      </w:r>
      <w:r>
        <w:t xml:space="preserve">    </w:t>
      </w:r>
      <w:r>
        <w:rPr>
          <w:b/>
        </w:rPr>
        <w:t xml:space="preserve">Pub date: </w:t>
      </w:r>
      <w:r>
        <w:t>2026-06-28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94">
        <w:r>
          <w:rPr>
            <w:color w:val="1155CC"/>
            <w:u w:val="single"/>
          </w:rPr>
          <w:t>电池能量与容量之间关系的机理研究</w:t>
        </w:r>
      </w:hyperlink>
    </w:p>
    <w:p>
      <w:pPr>
        <w:spacing w:before="0" w:after="80"/>
      </w:pPr>
      <w:r>
        <w:rPr>
          <w:i/>
          <w:sz w:val="20"/>
        </w:rPr>
        <w:t>EN: A mechanistic investigation of the relationship between battery energy and capacity</w:t>
      </w:r>
    </w:p>
    <w:p>
      <w:pPr>
        <w:spacing w:before="0" w:after="120"/>
      </w:pPr>
      <w:r>
        <w:rPr>
          <w:b/>
        </w:rPr>
        <w:t xml:space="preserve">Source: </w:t>
      </w:r>
      <w:r>
        <w:t>Joule</w:t>
      </w:r>
      <w:r>
        <w:t xml:space="preserve">    </w:t>
      </w:r>
      <w:r>
        <w:rPr>
          <w:b/>
        </w:rPr>
        <w:t xml:space="preserve">Pub date: </w:t>
      </w:r>
      <w:r>
        <w:t>2026-06-29 00:00:00+00:00</w:t>
      </w:r>
      <w:r>
        <w:t xml:space="preserve">    </w:t>
      </w:r>
      <w:r>
        <w:rPr>
          <w:b/>
        </w:rPr>
        <w:t xml:space="preserve">DOI: </w:t>
      </w:r>
      <w:hyperlink r:id="rId95">
        <w:r>
          <w:rPr>
            <w:color w:val="1155CC"/>
            <w:u w:val="single"/>
          </w:rPr>
          <w:t>10.1016/j.joule.2026.102540</w:t>
        </w:r>
      </w:hyperlink>
    </w:p>
    <w:p>
      <w:pPr>
        <w:spacing w:before="0" w:after="120"/>
      </w:pPr>
      <w:r>
        <w:rPr>
          <w:b/>
        </w:rPr>
        <w:t xml:space="preserve">Notes: </w:t>
      </w:r>
      <w:r>
        <w:t>abstract_source=rss_cell</w:t>
      </w:r>
    </w:p>
    <w:p>
      <w:pPr>
        <w:spacing w:before="0" w:after="80" w:lineRule="auto" w:line="276"/>
      </w:pPr>
      <w:r>
        <w:rPr>
          <w:b/>
        </w:rPr>
        <w:t xml:space="preserve">摘要（ZH）: </w:t>
      </w:r>
      <w:r>
        <w:t>电池的健康状态通常通过容量 (Ah) 来跟踪，但能量 (Wh) 是实际应用的关键指标。这两个指标经常存在差异，导致寿命预测不准确并可能出现安全问题。这项工作建立并验证了一个理论框架，将这种差异与特定的降解模式与电极化学、操作方式、动力学和放电深度的影响联系起来。</w:t>
      </w:r>
    </w:p>
    <w:p>
      <w:pPr>
        <w:spacing w:before="0" w:after="200" w:lineRule="auto" w:line="276"/>
      </w:pPr>
      <w:r>
        <w:rPr>
          <w:b/>
        </w:rPr>
        <w:t xml:space="preserve">Abstract (EN): </w:t>
      </w:r>
      <w:r>
        <w:t>Battery state of health is conventionally tracked by capacity (Ah), yet energy (Wh) is the critical metric for real-world applications. These two metrics often diverge, leading to inaccurate lifetime predictions and possible safety concerns. This work establishes and validates a theoretical framework linking this divergence to specific degradation modes with an impact of the electrode chemistry, the operating regime, the kinetics, and the depth of discharge.</w:t>
      </w:r>
    </w:p>
    <w:p>
      <w:pPr>
        <w:spacing w:before="120" w:after="120"/>
      </w:pPr>
      <w:r>
        <w:rPr>
          <w:sz w:val="18"/>
        </w:rPr>
        <w:t>——————————————————————————————————————————————————————————————————————</w:t>
      </w:r>
    </w:p>
    <w:p>
      <w:pPr>
        <w:spacing w:before="160" w:after="40" w:line="240" w:lineRule="auto"/>
      </w:pPr>
      <w:r>
        <w:rPr>
          <w:b/>
        </w:rPr>
        <w:t xml:space="preserve">[8] </w:t>
      </w:r>
      <w:hyperlink r:id="rId96">
        <w:r>
          <w:rPr>
            <w:color w:val="1155CC"/>
            <w:u w:val="single"/>
          </w:rPr>
          <w:t>锂离子电池堆压力、机械膨胀和退化途径之间的相互作用</w:t>
        </w:r>
      </w:hyperlink>
    </w:p>
    <w:p>
      <w:pPr>
        <w:spacing w:before="0" w:after="80"/>
      </w:pPr>
      <w:r>
        <w:rPr>
          <w:i/>
          <w:sz w:val="20"/>
        </w:rPr>
        <w:t>EN: The interplay between stack pressure, mechanical expansion and degradation pathways in lithium-ion batteries</w:t>
      </w:r>
    </w:p>
    <w:p>
      <w:pPr>
        <w:spacing w:before="0" w:after="120"/>
      </w:pPr>
      <w:r>
        <w:rPr>
          <w:b/>
        </w:rPr>
        <w:t xml:space="preserve">Source: </w:t>
      </w:r>
      <w:r>
        <w:t>Nature Energy</w:t>
      </w:r>
      <w:r>
        <w:t xml:space="preserve">    </w:t>
      </w:r>
      <w:r>
        <w:rPr>
          <w:b/>
        </w:rPr>
        <w:t xml:space="preserve">Pub date: </w:t>
      </w:r>
      <w:r>
        <w:t>2026-06-29 00:00:00+00:00</w:t>
      </w:r>
      <w:r>
        <w:t xml:space="preserve">    </w:t>
      </w:r>
      <w:r>
        <w:rPr>
          <w:b/>
        </w:rPr>
        <w:t xml:space="preserve">DOI: </w:t>
      </w:r>
      <w:hyperlink r:id="rId97">
        <w:r>
          <w:rPr>
            <w:color w:val="1155CC"/>
            <w:u w:val="single"/>
          </w:rPr>
          <w:t>10.1038/s41560-026-02087-6</w:t>
        </w:r>
      </w:hyperlink>
    </w:p>
    <w:p>
      <w:pPr>
        <w:spacing w:before="0" w:after="120"/>
      </w:pPr>
      <w:r>
        <w:rPr>
          <w:b/>
        </w:rPr>
        <w:t xml:space="preserve">Notes: </w:t>
      </w:r>
      <w:r>
        <w:t>abstract_source=nature_html</w:t>
      </w:r>
    </w:p>
    <w:p>
      <w:pPr>
        <w:spacing w:before="0" w:after="80" w:lineRule="auto" w:line="276"/>
      </w:pPr>
      <w:r>
        <w:rPr>
          <w:b/>
        </w:rPr>
        <w:t xml:space="preserve">摘要（ZH）: </w:t>
      </w:r>
      <w:r>
        <w:t>尽管人们对锂离子电池的电化学降解机制进行了深入研究，但对机械因素的影响仍知之甚少。在这里，我们介绍了一种高精度叠加压力控制和膨胀测量工具，可以在电极上施加均匀且恒定的叠加压力，而不受电极膨胀的影响。通过将电堆压力增加到典型初始值的四倍，我们将石墨 ‖ LiNi0.8Mn0.1Co0.1O2 电池（一种工业相关电池化学物质）的寿命延长了一倍，而无需改变活性材料或电解质。这表明许多锂离子电池在次优的电池堆压力条件下运行，从而导致使用寿命缩短。我们证明了在最佳压力窗口之外会出现不同的降解机制：低堆压会加速阴极破裂，而高压会促进锂沉积。我们的研究结果强调了机械-电化学耦合降解机制，并将堆压优化确定为提高循环稳定性的实用解决方案。</w:t>
      </w:r>
    </w:p>
    <w:p>
      <w:pPr>
        <w:spacing w:before="0" w:after="200" w:lineRule="auto" w:line="276"/>
      </w:pPr>
      <w:r>
        <w:rPr>
          <w:b/>
        </w:rPr>
        <w:t xml:space="preserve">Abstract (EN): </w:t>
      </w:r>
      <w:r>
        <w:t>While electrochemical degradation mechanisms in lithium-ion batteries are well studied, the influence of mechanical factors remains poorly understood. Here we introduce a high-precision stack-pressure control and dilatometry tool to apply a uniform and constant stack pressure on electrodes independent of electrode swelling. By increasing stack pressure fourfold over typical initial values, we double the lifetime of graphite ‖ LiNi0.8Mn0.1Co0.1O2 cells, an industrially relevant battery chemistry, without altering active materials or electrolytes. This suggests that many lithium-ion batteries operate under sub-optimal stack-pressure conditions, leading to curtailed lifetimes. We demonstrate that different degradation mechanisms emerge outside the optimal pressure window: low stack pressure accelerates cathode cracking, whereas high pressure promotes lithium plating. Our findings highlight coupled mechanical–electrochemical degradation mechanisms and identify stack-pressure optimization as a practical solution for increasing cycling stability.</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98">
        <w:r>
          <w:rPr>
            <w:color w:val="1155CC"/>
            <w:u w:val="single"/>
          </w:rPr>
          <w:t>超支化介电聚合物网络在 250 °C 下表现出巨大的能量存储密度</w:t>
        </w:r>
      </w:hyperlink>
    </w:p>
    <w:p>
      <w:pPr>
        <w:spacing w:before="0" w:after="80"/>
      </w:pPr>
      <w:r>
        <w:rPr>
          <w:i/>
          <w:sz w:val="20"/>
        </w:rPr>
        <w:t>EN: Hyperbranched dielectric polymer networks exhibiting giant energy storage density at 250 °C</w:t>
      </w:r>
    </w:p>
    <w:p>
      <w:pPr>
        <w:spacing w:before="0" w:after="120"/>
      </w:pPr>
      <w:r>
        <w:rPr>
          <w:b/>
        </w:rPr>
        <w:t xml:space="preserve">Source: </w:t>
      </w:r>
      <w:r>
        <w:t>Physical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电气和电子系统的恶劣环境要求需要先进的电介质在高温下具有高能量存储密度。耐热聚合物通常设计有密集的分子链以保持结构完整性。不幸的是，狭窄的链间距会在高电热场下导致严重的电荷转移，从而阻止电容式能量存储超过 200°C。在这里，我们报告超支化介电聚合物网络作为应对持续挑战的解决方案。超支化拓扑连接不仅将线性聚合物链转变为坚固的网络以承受热应力，而且还扩大了链间距以抑制电荷转移。结果表明，超支化网络表现出二级链松弛受到抑制，自由体积扩大。此外，超支化中心的可定制化学结构使该方法适用于电容聚合物设计。超支化聚合物网络在 250 °C 时表现出 4.9 J/cm3 的极高放电能量密度，效率高于 90%，超过了现有的聚合物电介质。</w:t>
      </w:r>
    </w:p>
    <w:p>
      <w:pPr>
        <w:spacing w:before="0" w:after="200" w:lineRule="auto" w:line="276"/>
      </w:pPr>
      <w:r>
        <w:rPr>
          <w:b/>
        </w:rPr>
        <w:t xml:space="preserve">Abstract (EN): </w:t>
      </w:r>
      <w:r>
        <w:t>Harsh-environment requirements of electrical and electronic systems demand advanced dielectrics with high energy storage density at elevated temperatures. Heat-resistant polymers are usually designed with densely packed molecular chains to maintain structural integrity. Unfortunately, the narrowed inter-chain spacing causes severe charge transfer under high electro-thermal fields, prohibiting capacitive energy storage beyond 200 °C. Here we report hyperbranched dielectric polymer networks as a solution to the persistent challenge. The hyperbranched topological junctions not only transform the linear polymer chains into a robust network to tolerate thermal stress, but also expand the inter-chain spacing to inhibit charge transfer. Results suggest that the hyperbranched networks exhibit suppressed secondary chain relaxation alongside expanded free volume. Moreover, the customizable chemical structure of hyperbranched centers renders this method general to capacitive polymer design. The hyperbranched polymer networks exhibit an exceptionally high discharged energy density of 4.9 J/cm3 above 90% efficiency at 250 °C, surpassing the existing polymeric dielectrics.</w:t>
      </w:r>
    </w:p>
    <w:p>
      <w:pPr>
        <w:spacing w:before="120" w:after="120"/>
      </w:pPr>
      <w:r>
        <w:rPr>
          <w:sz w:val="18"/>
        </w:rPr>
        <w:t>——————————————————————————————————————————————————————————————————————</w:t>
      </w:r>
    </w:p>
    <w:p>
      <w:pPr>
        <w:spacing w:before="160" w:after="40" w:line="240" w:lineRule="auto"/>
      </w:pPr>
      <w:r>
        <w:rPr>
          <w:b/>
        </w:rPr>
        <w:t xml:space="preserve">[2] </w:t>
      </w:r>
      <w:hyperlink r:id="rId99">
        <w:r>
          <w:rPr>
            <w:color w:val="1155CC"/>
            <w:u w:val="single"/>
          </w:rPr>
          <w:t>配电网共享储能的自适应风险差网络定价</w:t>
        </w:r>
      </w:hyperlink>
    </w:p>
    <w:p>
      <w:pPr>
        <w:spacing w:before="0" w:after="80"/>
      </w:pPr>
      <w:r>
        <w:rPr>
          <w:i/>
          <w:sz w:val="20"/>
        </w:rPr>
        <w:t>EN: Adaptive risk-difference-based network pricing for shared energy storage in distribution networks</w:t>
      </w:r>
    </w:p>
    <w:p>
      <w:pPr>
        <w:spacing w:before="0" w:after="120"/>
      </w:pPr>
      <w:r>
        <w:rPr>
          <w:b/>
        </w:rPr>
        <w:t xml:space="preserve">Source: </w:t>
      </w:r>
      <w:r>
        <w:t>ScienceDirect Publication: Applied Energy</w:t>
      </w:r>
      <w:r>
        <w:t xml:space="preserve">    </w:t>
      </w:r>
      <w:r>
        <w:rPr>
          <w:b/>
        </w:rPr>
        <w:t xml:space="preserve">Pub date: </w:t>
      </w:r>
      <w:r>
        <w:t>2026-06-28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00">
        <w:r>
          <w:rPr>
            <w:color w:val="1155CC"/>
            <w:u w:val="single"/>
          </w:rPr>
          <w:t>数字孪生驱动的深度强化学习分布式储能集群协调调度与状态预测</w:t>
        </w:r>
      </w:hyperlink>
    </w:p>
    <w:p>
      <w:pPr>
        <w:spacing w:before="0" w:after="80"/>
      </w:pPr>
      <w:r>
        <w:rPr>
          <w:i/>
          <w:sz w:val="20"/>
        </w:rPr>
        <w:t>EN: Digital twin-driven deep reinforcement learning for coordinated scheduling and state prediction of distributed energy storage clusters</w:t>
      </w:r>
    </w:p>
    <w:p>
      <w:pPr>
        <w:spacing w:before="0" w:after="120"/>
      </w:pPr>
      <w:r>
        <w:rPr>
          <w:b/>
        </w:rPr>
        <w:t xml:space="preserve">Source: </w:t>
      </w:r>
      <w:r>
        <w:t>ScienceDirect Publication: Applied Energy</w:t>
      </w:r>
      <w:r>
        <w:t xml:space="preserve">    </w:t>
      </w:r>
      <w:r>
        <w:rPr>
          <w:b/>
        </w:rPr>
        <w:t xml:space="preserve">Pub date: </w:t>
      </w:r>
      <w:r>
        <w:t>2026-06-28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01">
        <w:r>
          <w:rPr>
            <w:color w:val="1155CC"/>
            <w:u w:val="single"/>
          </w:rPr>
          <w:t>半硫靛蓝分子马达中的偶然扭曲实现了能量存储</w:t>
        </w:r>
      </w:hyperlink>
    </w:p>
    <w:p>
      <w:pPr>
        <w:spacing w:before="0" w:after="80"/>
      </w:pPr>
      <w:r>
        <w:rPr>
          <w:i/>
          <w:sz w:val="20"/>
        </w:rPr>
        <w:t>EN: Serendipitous twist in a hemithioindigo molecular motor enables energy storage</w:t>
      </w:r>
    </w:p>
    <w:p>
      <w:pPr>
        <w:spacing w:before="0" w:after="120"/>
      </w:pPr>
      <w:r>
        <w:rPr>
          <w:b/>
        </w:rPr>
        <w:t xml:space="preserve">Source: </w:t>
      </w:r>
      <w:r>
        <w:t>Nature Chemistry</w:t>
      </w:r>
      <w:r>
        <w:t xml:space="preserve">    </w:t>
      </w:r>
      <w:r>
        <w:rPr>
          <w:b/>
        </w:rPr>
        <w:t xml:space="preserve">Pub date: </w:t>
      </w:r>
      <w:r>
        <w:t>2026-06-29 00:00:00+00:00</w:t>
      </w:r>
      <w:r>
        <w:t xml:space="preserve">    </w:t>
      </w:r>
      <w:r>
        <w:rPr>
          <w:b/>
        </w:rPr>
        <w:t xml:space="preserve">DOI: </w:t>
      </w:r>
      <w:hyperlink r:id="rId102">
        <w:r>
          <w:rPr>
            <w:color w:val="1155CC"/>
            <w:u w:val="single"/>
          </w:rPr>
          <w:t>10.1038/s41557-026-02191-w</w:t>
        </w:r>
      </w:hyperlink>
    </w:p>
    <w:p>
      <w:pPr>
        <w:spacing w:before="0" w:after="120"/>
      </w:pPr>
      <w:r>
        <w:rPr>
          <w:b/>
        </w:rPr>
        <w:t xml:space="preserve">Notes: </w:t>
      </w:r>
      <w:r>
        <w:t>abstract_source=nature_html</w:t>
      </w:r>
    </w:p>
    <w:p>
      <w:pPr>
        <w:spacing w:before="0" w:after="80" w:lineRule="auto" w:line="276"/>
      </w:pPr>
      <w:r>
        <w:rPr>
          <w:b/>
        </w:rPr>
        <w:t xml:space="preserve">摘要（ZH）: </w:t>
      </w:r>
      <w:r>
        <w:t>基于半硫靛蓝的分子马达由可见光驱动，其旋转被称为“阳光驱动”，但十年来这种能力一直未被开发。现在，它们的结构发生了微妙的变化，从而产生了一种偶然的“增压”中间体，准备好储存太阳的能量。</w:t>
      </w:r>
    </w:p>
    <w:p>
      <w:pPr>
        <w:spacing w:before="0" w:after="200" w:lineRule="auto" w:line="276"/>
      </w:pPr>
      <w:r>
        <w:rPr>
          <w:b/>
        </w:rPr>
        <w:t xml:space="preserve">Abstract (EN): </w:t>
      </w:r>
      <w:r>
        <w:t>Hemithioindigo-based molecular motors are driven by visible light and their rotation has been branded as ‘sunlight-powered’, but for a decade this ability has remained unexploited. Now, a subtle change in their structure leads to a serendipitous ‘supercharged’ intermediate, ready to store the Sun’s energy.</w:t>
      </w:r>
    </w:p>
    <w:p>
      <w:pPr>
        <w:spacing w:before="120" w:after="120"/>
      </w:pPr>
      <w:r>
        <w:rPr>
          <w:sz w:val="18"/>
        </w:rPr>
        <w:t>——————————————————————————————————————————————————————————————————————</w:t>
      </w:r>
    </w:p>
    <w:p>
      <w:pPr>
        <w:spacing w:before="160" w:after="40" w:line="240" w:lineRule="auto"/>
      </w:pPr>
      <w:r>
        <w:rPr>
          <w:b/>
        </w:rPr>
        <w:t xml:space="preserve">[5] </w:t>
      </w:r>
      <w:hyperlink r:id="rId103">
        <w:r>
          <w:rPr>
            <w:color w:val="1155CC"/>
            <w:u w:val="single"/>
          </w:rPr>
          <w:t>机器学习引导的化学成分简单的介电电容器中的高效热稳定电容储能</w:t>
        </w:r>
      </w:hyperlink>
    </w:p>
    <w:p>
      <w:pPr>
        <w:spacing w:before="0" w:after="80"/>
      </w:pPr>
      <w:r>
        <w:rPr>
          <w:i/>
          <w:sz w:val="20"/>
        </w:rPr>
        <w:t>EN: Machine Learning‐Guided High‐Efficiency and Thermally Stable Capacitive Energy Storage in Dielectric Capacitors With a Simple Chemical Composition</w:t>
      </w:r>
    </w:p>
    <w:p>
      <w:pPr>
        <w:spacing w:before="0" w:after="120"/>
      </w:pPr>
      <w:r>
        <w:rPr>
          <w:b/>
        </w:rPr>
        <w:t xml:space="preserve">Source: </w:t>
      </w:r>
      <w:r>
        <w:t>Wiley: Advanced Materials: Table of Contents</w:t>
      </w:r>
      <w:r>
        <w:t xml:space="preserve">    </w:t>
      </w:r>
      <w:r>
        <w:rPr>
          <w:b/>
        </w:rPr>
        <w:t xml:space="preserve">Pub date: </w:t>
      </w:r>
      <w:r>
        <w:t>2026-06-29 15:38:44+00:00</w:t>
      </w:r>
      <w:r>
        <w:t xml:space="preserve">    </w:t>
      </w:r>
      <w:r>
        <w:rPr>
          <w:b/>
        </w:rPr>
        <w:t xml:space="preserve">DOI: </w:t>
      </w:r>
      <w:hyperlink r:id="rId104">
        <w:r>
          <w:rPr>
            <w:color w:val="1155CC"/>
            <w:u w:val="single"/>
          </w:rPr>
          <w:t>10.1002/adma.73852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超快充放电能力和卓越可靠性的介电电容器对于先进电子系统至关重要，但在简单且环保的成分中实现高能量密度和效率仍然是一个巨大的挑战。在这里，在机器学习的指导下，我们在钛酸锶基陶瓷中实现了高效且热稳定的电容储能。通过协同局部结构工程和优化的制造工艺，该材料表现出增强的极化、降低的磁滞损耗和提高的击穿强度。设计的材料具有 10.69 J cm 的超高能量密度</w:t>
      </w:r>
      <w:r>
        <w:t xml:space="preserve"> </w:t>
      </w:r>
      <w:r>
        <w:t>−3</w:t>
      </w:r>
      <w:r>
        <w:t xml:space="preserve"> </w:t>
      </w:r>
      <w:r>
        <w:t>近乎理想的效率约为 97%，品质因数创历史新高 392 J cm</w:t>
      </w:r>
      <w:r>
        <w:t xml:space="preserve"> </w:t>
      </w:r>
      <w:r>
        <w:t>−3</w:t>
      </w:r>
      <w:r>
        <w:t xml:space="preserve"> </w:t>
      </w:r>
      <w:r>
        <w:t>在室温下，并在 150°C 下保持高性能，品质因数为 152 J cm</w:t>
      </w:r>
      <w:r>
        <w:t xml:space="preserve"> </w:t>
      </w:r>
      <w:r>
        <w:t>−3</w:t>
      </w:r>
      <w:r>
        <w:t xml:space="preserve"> </w:t>
      </w:r>
      <w:r>
        <w:t>效率约为 94%。这一非凡的业绩源于Bi的加入</w:t>
      </w:r>
      <w:r>
        <w:t xml:space="preserve"> </w:t>
      </w:r>
      <w:r>
        <w:t>3+</w:t>
      </w:r>
      <w:r>
        <w:t xml:space="preserve"> </w:t>
      </w:r>
      <w:r>
        <w:t>钛酸锶量子顺电体的A位具有高极化率的离子，打破了结构对称性并引起晶格和八面体畸变，导致形成具有高度动态波动的纳米级极性簇。这些发现建立了一种成分简单、环境友好的途径，用于开发具有卓越储能能力和热稳定性的电介质，提供了n</w:t>
      </w:r>
    </w:p>
    <w:p>
      <w:pPr>
        <w:spacing w:before="0" w:after="200" w:lineRule="auto" w:line="276"/>
      </w:pPr>
      <w:r>
        <w:rPr>
          <w:b/>
        </w:rPr>
        <w:t xml:space="preserve">Abstract (EN): </w:t>
      </w:r>
      <w:r>
        <w:t>Dielectric capacitors offering ultrafast charge–discharge capability and superior reliability are essential for advanced electronic systems, but achieving both high energy density and efficiency within simple and eco‐friendly compositions remains a great challenge. Here, guided by machine learning, we achieve high‐efficiency and thermally stable capacitive energy storage in strontium titanate‐based ceramics. Through synergistic local structural engineering and optimized fabrication process, the materials exhibit enhanced polarization, reduced hysteresis loss, and improved breakdown strength. The designed materials deliver an ultrahigh energy density of 10.69 J cm</w:t>
      </w:r>
      <w:r>
        <w:t xml:space="preserve"> </w:t>
      </w:r>
      <w:r>
        <w:t>−3</w:t>
      </w:r>
      <w:r>
        <w:t xml:space="preserve"> </w:t>
      </w:r>
      <w:r>
        <w:t>with a near‐ideal efficiency of ∼97% and a record high figure of merit of 392 J cm</w:t>
      </w:r>
      <w:r>
        <w:t xml:space="preserve"> </w:t>
      </w:r>
      <w:r>
        <w:t>−3</w:t>
      </w:r>
      <w:r>
        <w:t xml:space="preserve"> </w:t>
      </w:r>
      <w:r>
        <w:t>at room temperature, and retains high performance at 150°C with a figure of merit of 152 J cm</w:t>
      </w:r>
      <w:r>
        <w:t xml:space="preserve"> </w:t>
      </w:r>
      <w:r>
        <w:t>−3</w:t>
      </w:r>
      <w:r>
        <w:t xml:space="preserve"> </w:t>
      </w:r>
      <w:r>
        <w:t>and an efficiency of ∼94%. This remarkable performance arises from the incorporation of Bi</w:t>
      </w:r>
      <w:r>
        <w:t xml:space="preserve"> </w:t>
      </w:r>
      <w:r>
        <w:t>3+</w:t>
      </w:r>
      <w:r>
        <w:t xml:space="preserve"> </w:t>
      </w:r>
      <w:r>
        <w:t>ions with high polarizability at the A‐sites of strontium titanate quantum paraelectrics, which breaks structural symmetry and induces lattice and octahedral distortions, leading to the formation of nanoscale polar clusters with highly dynamic fluctuations. These findings establish a compositionally simple, environmentally benign pathway for developing dielectrics with superior energy storage capability and thermal stability, offering new opportunities for high‐performance capacitive energy storage systems.</w:t>
      </w:r>
    </w:p>
    <w:p>
      <w:pPr>
        <w:spacing w:before="120" w:after="120"/>
      </w:pPr>
      <w:r>
        <w:rPr>
          <w:sz w:val="18"/>
        </w:rPr>
        <w:t>——————————————————————————————————————————————————————————————————————</w:t>
      </w:r>
    </w:p>
    <w:p>
      <w:pPr>
        <w:spacing w:before="160" w:after="40" w:line="240" w:lineRule="auto"/>
      </w:pPr>
      <w:r>
        <w:rPr>
          <w:b/>
        </w:rPr>
        <w:t xml:space="preserve">[6] </w:t>
      </w:r>
      <w:hyperlink r:id="rId105">
        <w:r>
          <w:rPr>
            <w:color w:val="1155CC"/>
            <w:u w:val="single"/>
          </w:rPr>
          <w:t>通过配位和电荷调制进行轨道杂化以实现高效稳定的铁单原子催化剂以实现卓越的氧还原</w:t>
        </w:r>
      </w:hyperlink>
    </w:p>
    <w:p>
      <w:pPr>
        <w:spacing w:before="0" w:after="80"/>
      </w:pPr>
      <w:r>
        <w:rPr>
          <w:i/>
          <w:sz w:val="20"/>
        </w:rPr>
        <w:t>EN: Engineering Orbital Hybridization via Coordination and Charging Modulation Toward Efficient and Stable Fe Single‐Atom Catalysts for Superior Oxygen Reduction</w:t>
      </w:r>
    </w:p>
    <w:p>
      <w:pPr>
        <w:spacing w:before="0" w:after="120"/>
      </w:pPr>
      <w:r>
        <w:rPr>
          <w:b/>
        </w:rPr>
        <w:t xml:space="preserve">Source: </w:t>
      </w:r>
      <w:r>
        <w:t>Wiley: Angewandte Chemie International Edition: Table of Contents</w:t>
      </w:r>
      <w:r>
        <w:t xml:space="preserve">    </w:t>
      </w:r>
      <w:r>
        <w:rPr>
          <w:b/>
        </w:rPr>
        <w:t xml:space="preserve">Pub date: </w:t>
      </w:r>
      <w:r>
        <w:t>2026-06-30 08:08:03+00:00</w:t>
      </w:r>
      <w:r>
        <w:t xml:space="preserve">    </w:t>
      </w:r>
      <w:r>
        <w:rPr>
          <w:b/>
        </w:rPr>
        <w:t xml:space="preserve">DOI: </w:t>
      </w:r>
      <w:hyperlink r:id="rId106">
        <w:r>
          <w:rPr>
            <w:color w:val="1155CC"/>
            <w:u w:val="single"/>
          </w:rPr>
          <w:t>10.1002/anie.1920552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单原子催化剂的战略微环境工程提供了一种同时增强氧还原反应（ORR）活性和稳定性的方法。在这里，我们在具有碳空位的S掺杂空心碳基体上合成了Fe单原子（Fe SAs/NSC</w:t>
      </w:r>
      <w:r>
        <w:t xml:space="preserve"> </w:t>
      </w:r>
      <w:r>
        <w:t>V</w:t>
      </w:r>
      <w:r>
        <w:t xml:space="preserve"> </w:t>
      </w:r>
      <w:r>
        <w:t>）通过拓扑变换策略。由此产生的 Fe SAs/NSC</w:t>
      </w:r>
      <w:r>
        <w:t xml:space="preserve"> </w:t>
      </w:r>
      <w:r>
        <w:t>V</w:t>
      </w:r>
      <w:r>
        <w:t xml:space="preserve"> </w:t>
      </w:r>
      <w:r>
        <w:t>表现出卓越的 ORR 性能，并使水性锌空气电池 (ZAB) 具有极高的功率密度。原位光谱分析证实 FeN 第二配位层中存在 S 杂原子</w:t>
      </w:r>
      <w:r>
        <w:rPr>
          <w:vertAlign w:val="subscript"/>
        </w:rPr>
        <w:t>4</w:t>
      </w:r>
      <w:r>
        <w:t>位点以及相邻的碳空位共同加速含氧中间体的转化，同时稳定 FeN</w:t>
      </w:r>
      <w:r>
        <w:rPr>
          <w:vertAlign w:val="subscript"/>
        </w:rPr>
        <w:t>4</w:t>
      </w:r>
      <w:r>
        <w:t>Fe SAs/NSC 的活性位点配置</w:t>
      </w:r>
      <w:r>
        <w:t xml:space="preserve"> </w:t>
      </w:r>
      <w:r>
        <w:t>V</w:t>
      </w:r>
      <w:r>
        <w:t xml:space="preserve"> </w:t>
      </w:r>
      <w:r>
        <w:t>。理论计算进一步表明引入的S物种和相邻的碳空位协同微调Fe 3 的杂化</w:t>
      </w:r>
      <w:r>
        <w:t xml:space="preserve"> </w:t>
      </w:r>
      <w:r>
        <w:t>d</w:t>
      </w:r>
      <w:r>
        <w:t xml:space="preserve"> </w:t>
      </w:r>
      <w:r>
        <w:t>z</w:t>
      </w:r>
      <w:r>
        <w:rPr>
          <w:vertAlign w:val="subscript"/>
        </w:rPr>
        <w:t>2</w:t>
      </w:r>
      <w:r>
        <w:t>和氧气2</w:t>
      </w:r>
      <w:r>
        <w:t xml:space="preserve"> </w:t>
      </w:r>
      <w:r>
        <w:t>p</w:t>
      </w:r>
      <w:r>
        <w:t xml:space="preserve"> </w:t>
      </w:r>
      <w:r>
        <w:t>轨道，增加费米能级附近反键轨道的占据，从而促进 *OH 解吸。同时，这种杂原子缺陷协同作用增强了碳基体中 Fe 位点的锚定，并增强了这些位点的热力学稳定性，表明对</w:t>
      </w:r>
    </w:p>
    <w:p>
      <w:pPr>
        <w:spacing w:before="0" w:after="200" w:lineRule="auto" w:line="276"/>
      </w:pPr>
      <w:r>
        <w:rPr>
          <w:b/>
        </w:rPr>
        <w:t xml:space="preserve">Abstract (EN): </w:t>
      </w:r>
      <w:r>
        <w:t>Strategic microenvironment engineering of single‐atom catalysts offers a method for simultaneously enhancing oxygen reduction reaction (ORR) activity and stability. Herein, we synthesize Fe single atoms on an S‐doped hollow carbon matrix with carbon vacancies (Fe SAs/NSC</w:t>
      </w:r>
      <w:r>
        <w:t xml:space="preserve"> </w:t>
      </w:r>
      <w:r>
        <w:t>V</w:t>
      </w:r>
      <w:r>
        <w:t xml:space="preserve"> </w:t>
      </w:r>
      <w:r>
        <w:t>) via a topological transformation strategy. The resulting Fe SAs/NSC</w:t>
      </w:r>
      <w:r>
        <w:t xml:space="preserve"> </w:t>
      </w:r>
      <w:r>
        <w:t>V</w:t>
      </w:r>
      <w:r>
        <w:t xml:space="preserve"> </w:t>
      </w:r>
      <w:r>
        <w:t>exhibits exceptional ORR performance and enables aqueous zinc–air batteries (ZABs) with remarkably highpower density. In situ spectroscopic analyses confirm that S heteroatoms in the second coordination shell of FeN</w:t>
      </w:r>
      <w:r>
        <w:rPr>
          <w:vertAlign w:val="subscript"/>
        </w:rPr>
        <w:t>4</w:t>
      </w:r>
      <w:r>
        <w:t>sites, along with adjacent carbon vacancies, collectively accelerate the conversion of oxygenated intermediates and simultaneously stabilize the FeN</w:t>
      </w:r>
      <w:r>
        <w:rPr>
          <w:vertAlign w:val="subscript"/>
        </w:rPr>
        <w:t>4</w:t>
      </w:r>
      <w:r>
        <w:t>active site configuration of Fe SAs/NSC</w:t>
      </w:r>
      <w:r>
        <w:t xml:space="preserve"> </w:t>
      </w:r>
      <w:r>
        <w:t>V</w:t>
      </w:r>
      <w:r>
        <w:t xml:space="preserve"> </w:t>
      </w:r>
      <w:r>
        <w:t>. Theoretical calculations further reveal that introduced S species and adjacent carbon vacancies cooperatively fine‐tune the hybridization of Fe 3</w:t>
      </w:r>
      <w:r>
        <w:t xml:space="preserve"> </w:t>
      </w:r>
      <w:r>
        <w:t>d</w:t>
      </w:r>
      <w:r>
        <w:t xml:space="preserve"> </w:t>
      </w:r>
      <w:r>
        <w:t>z</w:t>
      </w:r>
      <w:r>
        <w:rPr>
          <w:vertAlign w:val="subscript"/>
        </w:rPr>
        <w:t>2</w:t>
      </w:r>
      <w:r>
        <w:t>and O 2</w:t>
      </w:r>
      <w:r>
        <w:t xml:space="preserve"> </w:t>
      </w:r>
      <w:r>
        <w:t>p</w:t>
      </w:r>
      <w:r>
        <w:t xml:space="preserve"> </w:t>
      </w:r>
      <w:r>
        <w:t>orbitals, increasing the occupancy of antibonding orbitals near the Fermi level and thereby promoting *OH desorption. Meanwhile, this heteroatom‐defect synergy strengthens the anchoring of Fe sites within the carbon matrix and enhances the thermodynamic stability of these sites, indicating robust resistance to demetallation under operating conditions. Overall, this work establishes atomic‐level heteroatom‐defect cooperation as an effective strategy for the concurrent optimization of activity and stability in multi‐electron electrocatalysis.</w:t>
      </w:r>
    </w:p>
    <w:p>
      <w:pPr>
        <w:spacing w:before="120" w:after="120"/>
      </w:pPr>
      <w:r>
        <w:rPr>
          <w:sz w:val="18"/>
        </w:rPr>
        <w:t>——————————————————————————————————————————————————————————————————————</w:t>
      </w:r>
    </w:p>
    <w:p>
      <w:pPr>
        <w:spacing w:before="160" w:after="40" w:line="240" w:lineRule="auto"/>
      </w:pPr>
      <w:r>
        <w:rPr>
          <w:b/>
        </w:rPr>
        <w:t xml:space="preserve">[7] </w:t>
      </w:r>
      <w:hyperlink r:id="rId107">
        <w:r>
          <w:rPr>
            <w:color w:val="1155CC"/>
            <w:u w:val="single"/>
          </w:rPr>
          <w:t>打破线性比例关系：S桥Fe-Fe双位点中的仿生电子耦合可有效还原氧气</w:t>
        </w:r>
      </w:hyperlink>
    </w:p>
    <w:p>
      <w:pPr>
        <w:spacing w:before="0" w:after="80"/>
      </w:pPr>
      <w:r>
        <w:rPr>
          <w:i/>
          <w:sz w:val="20"/>
        </w:rPr>
        <w:t>EN: Breaking the Linear Scaling Relationship: Bioinspired Electronic Coupling in S‐Bridged Fe−Fe Dual Sites for Efficient Oxygen Reduction</w:t>
      </w:r>
    </w:p>
    <w:p>
      <w:pPr>
        <w:spacing w:before="0" w:after="120"/>
      </w:pPr>
      <w:r>
        <w:rPr>
          <w:b/>
        </w:rPr>
        <w:t xml:space="preserve">Source: </w:t>
      </w:r>
      <w:r>
        <w:t>Wiley: Angewandte Chemie International Edition: Table of Contents</w:t>
      </w:r>
      <w:r>
        <w:t xml:space="preserve">    </w:t>
      </w:r>
      <w:r>
        <w:rPr>
          <w:b/>
        </w:rPr>
        <w:t xml:space="preserve">Pub date: </w:t>
      </w:r>
      <w:r>
        <w:t>2026-06-30 10:18:14+00:00</w:t>
      </w:r>
      <w:r>
        <w:t xml:space="preserve">    </w:t>
      </w:r>
      <w:r>
        <w:rPr>
          <w:b/>
        </w:rPr>
        <w:t xml:space="preserve">DOI: </w:t>
      </w:r>
      <w:hyperlink r:id="rId108">
        <w:r>
          <w:rPr>
            <w:color w:val="1155CC"/>
            <w:u w:val="single"/>
          </w:rPr>
          <w:t>10.1002/anie.1831149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双原子催化剂（DAC）提供了一种有前途的方法来克服限制单原子催化剂氧还原反应（ORR）活性的线性比例关系。然而，两个位点之间缺乏直接的电子桥，加上过渡金属3d轨道固有的局域特征，常常阻碍相干的电子调节和与反应中间体的有效轨道重叠。在这里，受天然铁硫簇的启发，我们设计了一种S桥接的Fe−Fe DAC（Fe</w:t>
      </w:r>
      <w:r>
        <w:rPr>
          <w:vertAlign w:val="subscript"/>
        </w:rPr>
        <w:t>2</w:t>
      </w:r>
      <w:r>
        <w:t>氮</w:t>
      </w:r>
      <w:r>
        <w:rPr>
          <w:vertAlign w:val="subscript"/>
        </w:rPr>
        <w:t>6</w:t>
      </w:r>
      <w:r>
        <w:t>‐S/SNC）。硫桥充当内在的电荷转移通道，使 Fe 中心之间具有强电子耦合。结合实验和理论分析表明，这种配置促进动态电荷重新分布并增强 Fe 3d-S 2p 轨道杂化，从而协同优化氧中间体吸附并增强 ORR 动力学。因此，铁</w:t>
      </w:r>
      <w:r>
        <w:rPr>
          <w:vertAlign w:val="subscript"/>
        </w:rPr>
        <w:t>2</w:t>
      </w:r>
      <w:r>
        <w:t>氮</w:t>
      </w:r>
      <w:r>
        <w:rPr>
          <w:vertAlign w:val="subscript"/>
        </w:rPr>
        <w:t>6</w:t>
      </w:r>
      <w:r>
        <w:t>‐S/SNC 表现出出色的碱性 ORR 性能，半波电位为 0.93 V，动电流为 35.40 A g</w:t>
      </w:r>
      <w:r>
        <w:t xml:space="preserve"> </w:t>
      </w:r>
      <w:r>
        <w:t>−1</w:t>
      </w:r>
      <w:r>
        <w:t xml:space="preserve"> </w:t>
      </w:r>
      <w:r>
        <w:t>，以及 2.49 e 的高周转频率</w:t>
      </w:r>
      <w:r>
        <w:t xml:space="preserve"> </w:t>
      </w:r>
      <w:r>
        <w:t>-</w:t>
      </w:r>
      <w:r>
        <w:t>站点</w:t>
      </w:r>
      <w:r>
        <w:t xml:space="preserve"> </w:t>
      </w:r>
      <w:r>
        <w:t>−1</w:t>
      </w:r>
      <w:r>
        <w:t xml:space="preserve"> </w:t>
      </w:r>
      <w:r>
        <w:t>s</w:t>
      </w:r>
      <w:r>
        <w:t xml:space="preserve"> </w:t>
      </w:r>
      <w:r>
        <w:t>−1</w:t>
      </w:r>
      <w:r>
        <w:t xml:space="preserve"> </w:t>
      </w:r>
      <w:r>
        <w:t>。当集成到安时级锌空气电池中时，它可以提供放电容量</w:t>
      </w:r>
    </w:p>
    <w:p>
      <w:pPr>
        <w:spacing w:before="0" w:after="200" w:lineRule="auto" w:line="276"/>
      </w:pPr>
      <w:r>
        <w:rPr>
          <w:b/>
        </w:rPr>
        <w:t xml:space="preserve">Abstract (EN): </w:t>
      </w:r>
      <w:r>
        <w:t>Dual‐atom catalysts (DACs) provide a promising approach to overcome the linear scaling relationship that limits the activity of single‐atom catalysts for oxygen reduction reactions (ORR). However, the lack of a direct electronic bridge between the two sites, along with the inherently localized character of transition‐metal 3d orbitals, often hinders coherent electronic regulation and efficient orbital overlap with reaction intermediates. Herein, inspired by the natural iron‐sulfur clusters, we design an S‐bridged Fe−Fe DAC (Fe</w:t>
      </w:r>
      <w:r>
        <w:rPr>
          <w:vertAlign w:val="subscript"/>
        </w:rPr>
        <w:t>2</w:t>
      </w:r>
      <w:r>
        <w:t>N</w:t>
      </w:r>
      <w:r>
        <w:rPr>
          <w:vertAlign w:val="subscript"/>
        </w:rPr>
        <w:t>6</w:t>
      </w:r>
      <w:r>
        <w:t>‐S/SNC). The sulfur bridge acts as an intrinsic charge‐transfer channel, enabling strong electronic coupling between the Fe centers. Combined experimental and theoretical analyses demonstrate that this configuration promotes dynamic charge redistribution and enhances Fe 3d‐S 2p orbital hybridization, which cooperatively optimizes oxygen intermediate adsorption and enhances the ORR kinetics. Consequently, Fe</w:t>
      </w:r>
      <w:r>
        <w:rPr>
          <w:vertAlign w:val="subscript"/>
        </w:rPr>
        <w:t>2</w:t>
      </w:r>
      <w:r>
        <w:t>N</w:t>
      </w:r>
      <w:r>
        <w:rPr>
          <w:vertAlign w:val="subscript"/>
        </w:rPr>
        <w:t>6</w:t>
      </w:r>
      <w:r>
        <w:t>‐S/SNC exhibits outstanding alkaline ORR performance with a half‐wave potential of 0.93 V, a kinetic current of 35.40 A g</w:t>
      </w:r>
      <w:r>
        <w:t xml:space="preserve"> </w:t>
      </w:r>
      <w:r>
        <w:t>−1</w:t>
      </w:r>
      <w:r>
        <w:t xml:space="preserve"> </w:t>
      </w:r>
      <w:r>
        <w:t>, and a high turnover frequency of 2.49 e</w:t>
      </w:r>
      <w:r>
        <w:t xml:space="preserve"> </w:t>
      </w:r>
      <w:r>
        <w:t>−</w:t>
      </w:r>
      <w:r>
        <w:t>site</w:t>
      </w:r>
      <w:r>
        <w:t xml:space="preserve"> </w:t>
      </w:r>
      <w:r>
        <w:t>−1</w:t>
      </w:r>
      <w:r>
        <w:t xml:space="preserve"> </w:t>
      </w:r>
      <w:r>
        <w:t>s</w:t>
      </w:r>
      <w:r>
        <w:t xml:space="preserve"> </w:t>
      </w:r>
      <w:r>
        <w:t>−1</w:t>
      </w:r>
      <w:r>
        <w:t xml:space="preserve"> </w:t>
      </w:r>
      <w:r>
        <w:t>. When integrated into an ampere‐hour‐scale zinc‐air battery, it delivers a discharge capacity of 4.76 Ah and a peak power of 2.67 W. This work demonstrates a bio‐inspired bridging strategy to create electronically coherent dual‐atom sites, offering fresh perspectives on the rational design of high‐performance DACs for energy conversion devices.</w:t>
      </w:r>
    </w:p>
    <w:p>
      <w:pPr>
        <w:spacing w:before="120" w:after="120"/>
      </w:pPr>
      <w:r>
        <w:rPr>
          <w:sz w:val="18"/>
        </w:rPr>
        <w:t>——————————————————————————————————————————————————————————————————————</w:t>
      </w:r>
    </w:p>
    <w:p>
      <w:pPr>
        <w:spacing w:before="160" w:after="40" w:line="240" w:lineRule="auto"/>
      </w:pPr>
      <w:r>
        <w:rPr>
          <w:b/>
        </w:rPr>
        <w:t xml:space="preserve">[8] </w:t>
      </w:r>
      <w:hyperlink r:id="rId109">
        <w:r>
          <w:rPr>
            <w:color w:val="1155CC"/>
            <w:u w:val="single"/>
          </w:rPr>
          <w:t>使用电化学二维红外光谱关联普鲁士蓝中的皮秒电子转移和承压水动力学</w:t>
        </w:r>
      </w:hyperlink>
    </w:p>
    <w:p>
      <w:pPr>
        <w:spacing w:before="0" w:after="80"/>
      </w:pPr>
      <w:r>
        <w:rPr>
          <w:i/>
          <w:sz w:val="20"/>
        </w:rPr>
        <w:t>EN: Correlating picosecond electron transfer and confined water dynamics in Prussian Blue using electrochemical two-dimensional infrared spectroscopy</w:t>
      </w:r>
    </w:p>
    <w:p>
      <w:pPr>
        <w:spacing w:before="0" w:after="120"/>
      </w:pPr>
      <w:r>
        <w:rPr>
          <w:b/>
        </w:rPr>
        <w:t xml:space="preserve">Source: </w:t>
      </w:r>
      <w:r>
        <w:t>Proceedings of the National Academy of Sciences: Keyword search for query</w:t>
      </w:r>
      <w:r>
        <w:t xml:space="preserve">    </w:t>
      </w:r>
      <w:r>
        <w:rPr>
          <w:b/>
        </w:rPr>
        <w:t xml:space="preserve">Pub date: </w:t>
      </w:r>
      <w:r>
        <w:t>2026-07-01 07:00:00+00:00</w:t>
      </w:r>
      <w:r>
        <w:t xml:space="preserve">    </w:t>
      </w:r>
      <w:r>
        <w:rPr>
          <w:b/>
        </w:rPr>
        <w:t xml:space="preserve">DOI: </w:t>
      </w:r>
      <w:hyperlink r:id="rId110">
        <w:r>
          <w:rPr>
            <w:color w:val="1155CC"/>
            <w:u w:val="single"/>
          </w:rPr>
          <w:t>10.1073/pnas.2600644123</w:t>
        </w:r>
      </w:hyperlink>
    </w:p>
    <w:p>
      <w:pPr>
        <w:spacing w:before="0" w:after="120"/>
      </w:pPr>
      <w:r>
        <w:rPr>
          <w:b/>
        </w:rPr>
        <w:t xml:space="preserve">Notes: </w:t>
      </w:r>
      <w:r>
        <w:t>abstract_source=crossref</w:t>
      </w:r>
    </w:p>
    <w:p>
      <w:pPr>
        <w:spacing w:before="0" w:after="80" w:lineRule="auto" w:line="276"/>
      </w:pPr>
      <w:r>
        <w:rPr>
          <w:b/>
        </w:rPr>
        <w:t xml:space="preserve">摘要（ZH）: </w:t>
      </w:r>
      <w:r>
        <w:t>普鲁士蓝不仅是最古老的合成颜料，而且是一种电化学活性材料，因其电致变色特性和在能量存储方面的应用而具有现代技术相关性。在这项工作中，我们研究了这种材料中电子传输过程的基本机制，以及当材料从普鲁士白逐渐氧化为普鲁士蓝时它如何变化。最近开发的光谱电化学超快二维红外光谱方法使我们能够测量沉积在电化学电池工作电极上的普鲁士蓝薄膜内的电子转移速率，作为所施加偏压的函数。固有的 CN 拉伸模式可作为 Fe 氧化态的局部探针，并可作为水分子并入沸石晶格子晶格引起的溶剂化动力学的测量。我们观察到快速的 ps 级电子转移过程，其速率随材料状态的变化而变化，揭示了与 K+ 离子的缓慢扩散解耦的电子的固有迁移率。通过借助晶格模型将这些观察结果与 FeIII 位点、K+ 离子和水分子的局部结构分布的变化相关联，我们深入了解了该材料中的电子传输机制。这些结果展示了一种观察快速电子转移并将其与核运动关联起来的方法，并提供了一种研究电化学界面化学转变的方法。</w:t>
      </w:r>
    </w:p>
    <w:p>
      <w:pPr>
        <w:spacing w:before="0" w:after="200" w:lineRule="auto" w:line="276"/>
      </w:pPr>
      <w:r>
        <w:rPr>
          <w:b/>
        </w:rPr>
        <w:t xml:space="preserve">Abstract (EN): </w:t>
      </w:r>
      <w:r>
        <w:t>Prussian Blue is not only the oldest synthetic pigment, but also an electrochemically active material with modern technological relevance for its electrochromic properties and applications in energy storage. In this work, we study the fundamental mechanism of electron transport processes in this material, and how it varies as the material is progressively oxidized from Prussian White to Prussian Blue. Recently developed methods in spectroelectrochemical ultrafast 2D infrared spectroscopy allow us to measure the electron transfer rate within a film of Prussian Blue deposited onto the working electrode in an electrochemical cell as a function of applied bias potential. The intrinsic CN stretching modes serve as a local probe of the Fe oxidation state and as a measure for the solvation dynamics induced by water molecules incorporated into the subcells of the zeolitic lattice. We observe a fast, ps-scale electron transfer process with a rate that varies with the state of the material, revealing the intrinsic mobility of electrons decoupled from the slow diffusion of K+ ions. By correlating these observations to changes in the local structural distributions of FeIII sites, K+ ions and water molecules with the aid of a lattice model, we obtain insight into the mechanism of electron transport in this material. These results demonstrate a method for observing fast electron transfer and correlating them with nuclear motions, and provide a way to study chemical transformations at the electrochemical interface.</w:t>
      </w:r>
    </w:p>
    <w:p>
      <w:pPr>
        <w:spacing w:before="120" w:after="120"/>
      </w:pPr>
      <w:r>
        <w:rPr>
          <w:sz w:val="18"/>
        </w:rPr>
        <w:t>——————————————————————————————————————————————————————————————————————</w:t>
      </w:r>
    </w:p>
    <w:p>
      <w:pPr>
        <w:spacing w:before="160" w:after="40" w:line="240" w:lineRule="auto"/>
      </w:pPr>
      <w:r>
        <w:rPr>
          <w:b/>
        </w:rPr>
        <w:t xml:space="preserve">[9] </w:t>
      </w:r>
      <w:hyperlink r:id="rId86">
        <w:r>
          <w:rPr>
            <w:color w:val="1155CC"/>
            <w:u w:val="single"/>
          </w:rPr>
          <w:t>安全、高性能、湿气激活电池，为下一代物联网设备供电</w:t>
        </w:r>
      </w:hyperlink>
    </w:p>
    <w:p>
      <w:pPr>
        <w:spacing w:before="0" w:after="80"/>
      </w:pPr>
      <w:r>
        <w:rPr>
          <w:i/>
          <w:sz w:val="20"/>
        </w:rPr>
        <w:t>EN: Safe, high-performance, moisture-activated batteries for powering next-generation Internet-of-Things devices</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87">
        <w:r>
          <w:rPr>
            <w:color w:val="1155CC"/>
            <w:u w:val="single"/>
          </w:rPr>
          <w:t>10.1126/sciadv.aee2065</w:t>
        </w:r>
      </w:hyperlink>
    </w:p>
    <w:p>
      <w:pPr>
        <w:spacing w:before="0" w:after="120"/>
      </w:pPr>
      <w:r>
        <w:rPr>
          <w:b/>
        </w:rPr>
        <w:t xml:space="preserve">Notes: </w:t>
      </w:r>
      <w:r>
        <w:t>abstract_source=crossref</w:t>
      </w:r>
    </w:p>
    <w:p>
      <w:pPr>
        <w:spacing w:before="0" w:after="80" w:lineRule="auto" w:line="276"/>
      </w:pPr>
      <w:r>
        <w:rPr>
          <w:b/>
        </w:rPr>
        <w:t xml:space="preserve">摘要（ZH）: </w:t>
      </w:r>
      <w:r>
        <w:t>传统电池笨重、非保形且有毒，而能量采集器的功率低/可变，这使得它们不适合新兴的可穿戴设备、机器人和其他物联网 (IoT) 设备。在这里，我们介绍了一种无毒的薄膜电池，其性能优于几种商用电池，其灵感源自集水技术的进步。它清除周围的水分作为电解质，结合了能量收集器的特点和电池的吸引人的特点（稳定和高功率）。它可在多种环境下工作，开路电压约为 1.6 伏，比容量约为每克 52 毫安时，比能量约为每克 81 毫瓦时。独特的仿穿山甲皮肤设计赋予电池高灵活性、拉伸性和填充系数，确保舒适性而不影响容量。实验和计算机模拟研究揭示了电池令人印象深刻的性能的独特材料和设计特征。无线可穿戴脉搏血氧计和监控监视器的示例具有独特的终止开关，可确保其免受未经授权的访问，展示了电池为各种物联网设备供电的多功能性。</w:t>
      </w:r>
    </w:p>
    <w:p>
      <w:pPr>
        <w:spacing w:before="0" w:after="200" w:lineRule="auto" w:line="276"/>
      </w:pPr>
      <w:r>
        <w:rPr>
          <w:b/>
        </w:rPr>
        <w:t xml:space="preserve">Abstract (EN): </w:t>
      </w:r>
      <w:r>
        <w:t>Conventional batteries are heavy, nonconformal, and toxic, while energy harvesters offer low/variable power, rendering them unsuitable for emerging wearable, robotic, and other Internet-of-Things (IoT) devices. Here, we introduce a nontoxic, thin-film battery superior to several commercial batteries inspired by advances in water harvesting techniques. It scavenges ambient moisture to serve as its electrolyte, combining features of an energy harvester with attractive features of a battery (stable and high power). It functions in a wide range of environments and offers an open-circuit voltage of ~1.6 volts, specific capacity of ~52 milliampere-hours per gram, and specific energy of ~81 milliwatt-hours per gram. Unique pangolin skin–mimicking design imparts high flexibility, stretchability, and fill factor to the battery, ensuring conformability without compromising on capacity. Experimental and computer simulation studies reveal the distinctive materials and design features responsible for the battery’s impressive performance. Examples of a wireless wearable pulse oximeter and surveillance monitor with a unique kill switch that secures it from unauthorized access demonstrate the versatility of the battery to power various IoT devices.</w:t>
      </w:r>
    </w:p>
    <w:p>
      <w:pPr>
        <w:spacing w:before="120" w:after="120"/>
      </w:pPr>
      <w:r>
        <w:rPr>
          <w:sz w:val="18"/>
        </w:rPr>
        <w:t>——————————————————————————————————————————————————————————————————————</w:t>
      </w:r>
    </w:p>
    <w:p>
      <w:pPr>
        <w:spacing w:before="160" w:after="40" w:line="240" w:lineRule="auto"/>
      </w:pPr>
      <w:r>
        <w:rPr>
          <w:b/>
        </w:rPr>
        <w:t xml:space="preserve">[10] </w:t>
      </w:r>
      <w:hyperlink r:id="rId111">
        <w:r>
          <w:rPr>
            <w:color w:val="1155CC"/>
            <w:u w:val="single"/>
          </w:rPr>
          <w:t>嵌入铁电开关环的反铁电薄膜可产生巨大的负电热效应</w:t>
        </w:r>
      </w:hyperlink>
    </w:p>
    <w:p>
      <w:pPr>
        <w:spacing w:before="0" w:after="80"/>
      </w:pPr>
      <w:r>
        <w:rPr>
          <w:i/>
          <w:sz w:val="20"/>
        </w:rPr>
        <w:t>EN: Antiferroelectric thin films embedded with ferroelectric switching loop for giant negative electrocaloric effect</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112">
        <w:r>
          <w:rPr>
            <w:color w:val="1155CC"/>
            <w:u w:val="single"/>
          </w:rPr>
          <w:t>10.1126/sciadv.aed5447</w:t>
        </w:r>
      </w:hyperlink>
    </w:p>
    <w:p>
      <w:pPr>
        <w:spacing w:before="0" w:after="120"/>
      </w:pPr>
      <w:r>
        <w:rPr>
          <w:b/>
        </w:rPr>
        <w:t xml:space="preserve">Notes: </w:t>
      </w:r>
      <w:r>
        <w:t>abstract_source=crossref</w:t>
      </w:r>
    </w:p>
    <w:p>
      <w:pPr>
        <w:spacing w:before="0" w:after="80" w:lineRule="auto" w:line="276"/>
      </w:pPr>
      <w:r>
        <w:rPr>
          <w:b/>
        </w:rPr>
        <w:t xml:space="preserve">摘要（ZH）: </w:t>
      </w:r>
      <w:r>
        <w:t>铁磁性材料将铁电体的单磁滞回线与反铁电体的双磁滞回线结合起来，形成多个磁滞回线，这可以大大推进能量存储、电热冷却和非易失性多态存储技术。然而，有意稳定连接铁电体非易失性和反铁电体场致相变行为的中间态仍然是一个基本挑战。在这里，我们提出了一种制备锆酸铅（PbZrO</w:t>
      </w:r>
      <w:r>
        <w:rPr>
          <w:vertAlign w:val="subscript"/>
        </w:rPr>
        <w:t>3</w:t>
      </w:r>
      <w:r>
        <w:t>）低温下形成薄膜，在反铁电体中引入稳定的铁电相，实现大电场下的三磁滞回线。微观结构特征表明这种行为归因于 Pb 的存在</w:t>
      </w:r>
      <w:r>
        <w:t xml:space="preserve"> </w:t>
      </w:r>
      <w:r>
        <w:t>锆</w:t>
      </w:r>
      <w:r>
        <w:t xml:space="preserve"> </w:t>
      </w:r>
      <w:r>
        <w:t>反位缺陷充当极序的种子，引起独特的三重（↑↑↓）偶极子调制周期配置。为了证明其应用潜力，我们评估了三磁滞 PbZrO 的电热效应</w:t>
      </w:r>
      <w:r>
        <w:rPr>
          <w:vertAlign w:val="subscript"/>
        </w:rPr>
        <w:t>3</w:t>
      </w:r>
      <w:r>
        <w:t>基于麦克斯韦关系式的薄膜，预测温度变化Δ</w:t>
      </w:r>
      <w:r>
        <w:t xml:space="preserve"> </w:t>
      </w:r>
      <w:r>
        <w:t>时间</w:t>
      </w:r>
      <w:r>
        <w:t xml:space="preserve"> </w:t>
      </w:r>
      <w:r>
        <w:t>可以达到 -23.76 开尔文，与双磁滞 PbZrO 相比增强了约 600%</w:t>
      </w:r>
      <w:r>
        <w:rPr>
          <w:vertAlign w:val="subscript"/>
        </w:rPr>
        <w:t>3</w:t>
      </w:r>
      <w:r>
        <w:t>反铁电薄膜。这些发现建立了一种在反铁电体中嵌入稳定铁电开关的设计范式，这可能会释放更多机会</w:t>
      </w:r>
    </w:p>
    <w:p>
      <w:pPr>
        <w:spacing w:before="0" w:after="200" w:lineRule="auto" w:line="276"/>
      </w:pPr>
      <w:r>
        <w:rPr>
          <w:b/>
        </w:rPr>
        <w:t xml:space="preserve">Abstract (EN): </w:t>
      </w:r>
      <w:r>
        <w:t>The ferroics combine the single-hysteresis loop of ferroelectrics with the double-hysteresis loop of antiferroelectrics to form multiple hysteresis loops, which could substantially advance energy storage, electrocaloric cooling, and nonvolatile multistate memory technologies. However, the intentional stabilization of intermediate states that bridge the nonvolatility of ferroelectrics and the field-induced phase transition behavior of antiferroelectrics remains a fundamental challenge. Here, we propose a strategy for preparing lead zirconate (PbZrO</w:t>
      </w:r>
      <w:r>
        <w:rPr>
          <w:vertAlign w:val="subscript"/>
        </w:rPr>
        <w:t>3</w:t>
      </w:r>
      <w:r>
        <w:t>) thin film at low temperature, introducing a stable ferrielectric phase within the antiferroelectric to achieve triple-hysteresis loop under large electric fields. Microstructural features reveal that this behavior is attributable to the presence of Pb</w:t>
      </w:r>
      <w:r>
        <w:t xml:space="preserve"> </w:t>
      </w:r>
      <w:r>
        <w:t>Zr</w:t>
      </w:r>
      <w:r>
        <w:t xml:space="preserve"> </w:t>
      </w:r>
      <w:r>
        <w:t>antisite defects acting as seeds for polar order, which induce the distinctive triple (↑↑↓) dipole modulation period configuration. To demonstrate the application potential, we evaluated the electrocaloric effect of triple-hysteresis PbZrO</w:t>
      </w:r>
      <w:r>
        <w:rPr>
          <w:vertAlign w:val="subscript"/>
        </w:rPr>
        <w:t>3</w:t>
      </w:r>
      <w:r>
        <w:t>thin film based on Maxwell’s relations, the predicted temperature change Δ</w:t>
      </w:r>
      <w:r>
        <w:t xml:space="preserve"> </w:t>
      </w:r>
      <w:r>
        <w:t>T</w:t>
      </w:r>
      <w:r>
        <w:t xml:space="preserve"> </w:t>
      </w:r>
      <w:r>
        <w:t>can reach −23.76 kelvins, which is ~600% enhancement compared to double-hysteresis PbZrO</w:t>
      </w:r>
      <w:r>
        <w:rPr>
          <w:vertAlign w:val="subscript"/>
        </w:rPr>
        <w:t>3</w:t>
      </w:r>
      <w:r>
        <w:t>antiferroelectric thin films. These findings establish a design paradigm for embedding stable ferroelectric switching within antiferroelectrics, which may unlock opportunities for developing high-density energy storage, nonvolatile multistate memory, and highly efficient switching devices.</w:t>
      </w:r>
    </w:p>
    <w:p>
      <w:pPr>
        <w:spacing w:before="120" w:after="120"/>
      </w:pPr>
      <w:r>
        <w:rPr>
          <w:sz w:val="18"/>
        </w:rPr>
        <w:t>——————————————————————————————————————————————————————————————————————</w:t>
      </w:r>
    </w:p>
    <w:p>
      <w:pPr>
        <w:spacing w:before="160" w:after="40" w:line="240" w:lineRule="auto"/>
      </w:pPr>
      <w:r>
        <w:rPr>
          <w:b/>
        </w:rPr>
        <w:t xml:space="preserve">[11] </w:t>
      </w:r>
      <w:hyperlink r:id="rId113">
        <w:r>
          <w:rPr>
            <w:color w:val="1155CC"/>
            <w:u w:val="single"/>
          </w:rPr>
          <w:t>用于可持续双途径 H2O2 生产的界面酸位介导 ZnO 基电催化剂和可充电 Zn-H2O2 电化学电池</w:t>
        </w:r>
      </w:hyperlink>
    </w:p>
    <w:p>
      <w:pPr>
        <w:spacing w:before="0" w:after="80"/>
      </w:pPr>
      <w:r>
        <w:rPr>
          <w:i/>
          <w:sz w:val="20"/>
        </w:rPr>
        <w:t>EN: Interfacial Acid Sites‐Mediated ZnO‐Based Electrocatalysts for Sustainable Dual‐Pathway H2O2 Production and Rechargeable Zn‐H2O2 Electrochemical Cell</w:t>
      </w:r>
    </w:p>
    <w:p>
      <w:pPr>
        <w:spacing w:before="0" w:after="120"/>
      </w:pPr>
      <w:r>
        <w:rPr>
          <w:b/>
        </w:rPr>
        <w:t xml:space="preserve">Source: </w:t>
      </w:r>
      <w:r>
        <w:t>Wiley: Advanced Materials: Table of Contents</w:t>
      </w:r>
      <w:r>
        <w:t xml:space="preserve">    </w:t>
      </w:r>
      <w:r>
        <w:rPr>
          <w:b/>
        </w:rPr>
        <w:t xml:space="preserve">Pub date: </w:t>
      </w:r>
      <w:r>
        <w:t>2026-07-02 05:55:44+00:00</w:t>
      </w:r>
      <w:r>
        <w:t xml:space="preserve">    </w:t>
      </w:r>
      <w:r>
        <w:rPr>
          <w:b/>
        </w:rPr>
        <w:t xml:space="preserve">DOI: </w:t>
      </w:r>
      <w:hyperlink r:id="rId114">
        <w:r>
          <w:rPr>
            <w:color w:val="1155CC"/>
            <w:u w:val="single"/>
          </w:rPr>
          <w:t>10.1002/adma.73786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面临实现高效且可持续的过氧化氢（H</w:t>
      </w:r>
      <w:r>
        <w:rPr>
          <w:vertAlign w:val="subscript"/>
        </w:rPr>
        <w:t>2</w:t>
      </w:r>
      <w:r>
        <w:t>氧</w:t>
      </w:r>
      <w:r>
        <w:rPr>
          <w:vertAlign w:val="subscript"/>
        </w:rPr>
        <w:t>2</w:t>
      </w:r>
      <w:r>
        <w:t>）生产中，一个有前途的策略是开发具有可控合成、结构设计和性能优化的高选择性电催化剂。在此，合成了界面酸位介导的 ZnSe/ZnO 异质结，用于针对 H 的高选择性双电子氧还原反应（ORR）</w:t>
      </w:r>
      <w:r>
        <w:rPr>
          <w:vertAlign w:val="subscript"/>
        </w:rPr>
        <w:t>2</w:t>
      </w:r>
      <w:r>
        <w:t>氧</w:t>
      </w:r>
      <w:r>
        <w:rPr>
          <w:vertAlign w:val="subscript"/>
        </w:rPr>
        <w:t>2</w:t>
      </w:r>
      <w:r>
        <w:t>生产。实验和理论结果表明，表面硒化诱导重构，与内置电场和定制氧空位（Ovs）形成协同界面，协同优化电子结构并加速双电子ORR的反应动力学。此外，界面不饱和Zn</w:t>
      </w:r>
      <w:r>
        <w:t xml:space="preserve"> </w:t>
      </w:r>
      <w:r>
        <w:t>2+</w:t>
      </w:r>
      <w:r>
        <w:t xml:space="preserve"> </w:t>
      </w:r>
      <w:r>
        <w:t>位点和 OV 作为路易斯酸位点以增强 O</w:t>
      </w:r>
      <w:r>
        <w:rPr>
          <w:vertAlign w:val="subscript"/>
        </w:rPr>
        <w:t>2</w:t>
      </w:r>
      <w:r>
        <w:t>吸附和活化，而 Br</w:t>
      </w:r>
      <w:r>
        <w:t xml:space="preserve"> </w:t>
      </w:r>
      <w:r>
        <w:t>Ø</w:t>
      </w:r>
      <w:r>
        <w:t xml:space="preserve"> </w:t>
      </w:r>
      <w:r>
        <w:t>nsted 酸位点易于贡献质子以促进 *OOH 的形成。因此，ZnSe/ZnO ‖ ZnO 流通池能够同时进行配对电解 H</w:t>
      </w:r>
      <w:r>
        <w:rPr>
          <w:vertAlign w:val="subscript"/>
        </w:rPr>
        <w:t>2</w:t>
      </w:r>
      <w:r>
        <w:t>氧</w:t>
      </w:r>
      <w:r>
        <w:rPr>
          <w:vertAlign w:val="subscript"/>
        </w:rPr>
        <w:t>2</w:t>
      </w:r>
      <w:r>
        <w:t>高H生产</w:t>
      </w:r>
      <w:r>
        <w:rPr>
          <w:vertAlign w:val="subscript"/>
        </w:rPr>
        <w:t>2</w:t>
      </w:r>
      <w:r>
        <w:t>氧</w:t>
      </w:r>
      <w:r>
        <w:rPr>
          <w:vertAlign w:val="subscript"/>
        </w:rPr>
        <w:t>2</w:t>
      </w:r>
      <w:r>
        <w:t>产量 754.4 M g</w:t>
      </w:r>
      <w:r>
        <w:t xml:space="preserve"> </w:t>
      </w:r>
      <w:r>
        <w:t>猫</w:t>
      </w:r>
    </w:p>
    <w:p>
      <w:pPr>
        <w:spacing w:before="0" w:after="200" w:lineRule="auto" w:line="276"/>
      </w:pPr>
      <w:r>
        <w:rPr>
          <w:b/>
        </w:rPr>
        <w:t xml:space="preserve">Abstract (EN): </w:t>
      </w:r>
      <w:r>
        <w:t>Facing the challenge of achieving efficient and sustainable hydrogen peroxide (H</w:t>
      </w:r>
      <w:r>
        <w:rPr>
          <w:vertAlign w:val="subscript"/>
        </w:rPr>
        <w:t>2</w:t>
      </w:r>
      <w:r>
        <w:t>O</w:t>
      </w:r>
      <w:r>
        <w:rPr>
          <w:vertAlign w:val="subscript"/>
        </w:rPr>
        <w:t>2</w:t>
      </w:r>
      <w:r>
        <w:t>) production, a promising strategy is developing highly selective electrocatalysts with controllable synthesis, structural design and performance optimization. Herein, an interfacial acid sites‐mediated ZnSe/ZnO heterojunction is synthesized for highly selective two‐electron oxygen reduction reaction (ORR) toward H</w:t>
      </w:r>
      <w:r>
        <w:rPr>
          <w:vertAlign w:val="subscript"/>
        </w:rPr>
        <w:t>2</w:t>
      </w:r>
      <w:r>
        <w:t>O</w:t>
      </w:r>
      <w:r>
        <w:rPr>
          <w:vertAlign w:val="subscript"/>
        </w:rPr>
        <w:t>2</w:t>
      </w:r>
      <w:r>
        <w:t>production. Experimental and theoretical results reveal that surface selenization induced reconstruction, forming a synergistic interface with a built‐in electric field and tailored oxygen vacancies (Ovs), which collaboratively optimize the electronic structure and accelerate reaction kinetics of two‐electron ORR. Moreover, interfacial unsaturated Zn</w:t>
      </w:r>
      <w:r>
        <w:t xml:space="preserve"> </w:t>
      </w:r>
      <w:r>
        <w:t>2+</w:t>
      </w:r>
      <w:r>
        <w:t xml:space="preserve"> </w:t>
      </w:r>
      <w:r>
        <w:t>sites and OVs served as Lewis acids sites to enhance O</w:t>
      </w:r>
      <w:r>
        <w:rPr>
          <w:vertAlign w:val="subscript"/>
        </w:rPr>
        <w:t>2</w:t>
      </w:r>
      <w:r>
        <w:t>adsorption and activation, while Br</w:t>
      </w:r>
      <w:r>
        <w:t xml:space="preserve"> </w:t>
      </w:r>
      <w:r>
        <w:t>ø</w:t>
      </w:r>
      <w:r>
        <w:t xml:space="preserve"> </w:t>
      </w:r>
      <w:r>
        <w:t>nsted acids sites were liable to donate protons to promote *OOH formation. Consequently, a ZnSe/ZnO ‖ ZnO flow cell enabled paired electrolysis for concurrent H</w:t>
      </w:r>
      <w:r>
        <w:rPr>
          <w:vertAlign w:val="subscript"/>
        </w:rPr>
        <w:t>2</w:t>
      </w:r>
      <w:r>
        <w:t>O</w:t>
      </w:r>
      <w:r>
        <w:rPr>
          <w:vertAlign w:val="subscript"/>
        </w:rPr>
        <w:t>2</w:t>
      </w:r>
      <w:r>
        <w:t>production with a high H</w:t>
      </w:r>
      <w:r>
        <w:rPr>
          <w:vertAlign w:val="subscript"/>
        </w:rPr>
        <w:t>2</w:t>
      </w:r>
      <w:r>
        <w:t>O</w:t>
      </w:r>
      <w:r>
        <w:rPr>
          <w:vertAlign w:val="subscript"/>
        </w:rPr>
        <w:t>2</w:t>
      </w:r>
      <w:r>
        <w:t>yield of 754.4 M g</w:t>
      </w:r>
      <w:r>
        <w:t xml:space="preserve"> </w:t>
      </w:r>
      <w:r>
        <w:t>cat</w:t>
      </w:r>
      <w:r>
        <w:t xml:space="preserve"> </w:t>
      </w:r>
      <w:r>
        <w:t>−1</w:t>
      </w:r>
      <w:r>
        <w:t xml:space="preserve"> </w:t>
      </w:r>
      <w:r>
        <w:t>over 12 h. A rechargeable Zn‐H</w:t>
      </w:r>
      <w:r>
        <w:rPr>
          <w:vertAlign w:val="subscript"/>
        </w:rPr>
        <w:t>2</w:t>
      </w:r>
      <w:r>
        <w:t>O</w:t>
      </w:r>
      <w:r>
        <w:rPr>
          <w:vertAlign w:val="subscript"/>
        </w:rPr>
        <w:t>2</w:t>
      </w:r>
      <w:r>
        <w:t>cell using ZnSe/ZnO cathode delivered a power density of 11.99 mW cm</w:t>
      </w:r>
      <w:r>
        <w:t xml:space="preserve"> </w:t>
      </w:r>
      <w:r>
        <w:t>−2</w:t>
      </w:r>
      <w:r>
        <w:t xml:space="preserve"> </w:t>
      </w:r>
      <w:r>
        <w:t>as a self‐sustaining process for simultaneous on‐site H</w:t>
      </w:r>
      <w:r>
        <w:rPr>
          <w:vertAlign w:val="subscript"/>
        </w:rPr>
        <w:t>2</w:t>
      </w:r>
      <w:r>
        <w:t>O</w:t>
      </w:r>
      <w:r>
        <w:rPr>
          <w:vertAlign w:val="subscript"/>
        </w:rPr>
        <w:t>2</w:t>
      </w:r>
      <w:r>
        <w:t>production and electrical energy generation. This work offers a sustainable route for on‐site H</w:t>
      </w:r>
      <w:r>
        <w:rPr>
          <w:vertAlign w:val="subscript"/>
        </w:rPr>
        <w:t>2</w:t>
      </w:r>
      <w:r>
        <w:t>O</w:t>
      </w:r>
      <w:r>
        <w:rPr>
          <w:vertAlign w:val="subscript"/>
        </w:rPr>
        <w:t>2</w:t>
      </w:r>
      <w:r>
        <w:t>synthesis with improved energy efficiency, advancing green chemistry and circular economy.</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115">
        <w:r>
          <w:rPr>
            <w:color w:val="1155CC"/>
            <w:u w:val="single"/>
          </w:rPr>
          <w:t>通过分散工程超表面抑制宽带辐射传热</w:t>
        </w:r>
      </w:hyperlink>
    </w:p>
    <w:p>
      <w:pPr>
        <w:spacing w:before="0" w:after="80"/>
      </w:pPr>
      <w:r>
        <w:rPr>
          <w:i/>
          <w:sz w:val="20"/>
        </w:rPr>
        <w:t>EN: Broadband Radiative Heat Transfer Suppression via Dispersion-Engineered Metasurfaces</w:t>
      </w:r>
    </w:p>
    <w:p>
      <w:pPr>
        <w:spacing w:before="0" w:after="120"/>
      </w:pPr>
      <w:r>
        <w:rPr>
          <w:b/>
        </w:rPr>
        <w:t xml:space="preserve">Source: </w:t>
      </w:r>
      <w:r>
        <w:t>Physical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在导电或材料不兼容的情况下，使用金属反射器抑制辐射传热会失败，而依赖传统热光子方法的非金属替代品则面临着基本的性能与带宽权衡，受到 Bode-Fano 极限的限制。在这里，我们通过利用介电超表面对中的互补色散工程重新定义了宽带辐射抑制策略。利用随机梯度下降 (SGD) 优化，我们共同设计了非周期性分布式布拉格反射器 (DBR) 对，在感兴趣的宽热带上故意错位通带，从而在较小的厚度和制造预算内实现有效的宽带热解耦，超出了传统方法的限制。实验验证表明，与熔融石英基准相比，我们优化的 7 层 (7-L) 超表面对显着减少了辐射热交换，这通过角度分辨发射率测量（减少 82%）和直接辐射功率量化（减少 62.5%）得到证实。重要的是，我们的紧凑型系统在设计和制造公差以及工作温度漂移 (320–500 K) 方面表现出强大的鲁棒性。这项工作为带宽不受限制的热辐射工程建立了一个通用框架，并应用于节能系统、隔热和热管理。通过规避对金属部件的需求，我们的方法为控制全模具中的辐射传热开辟了新的可能性</w:t>
      </w:r>
    </w:p>
    <w:p>
      <w:pPr>
        <w:spacing w:before="0" w:after="200" w:lineRule="auto" w:line="276"/>
      </w:pPr>
      <w:r>
        <w:rPr>
          <w:b/>
        </w:rPr>
        <w:t xml:space="preserve">Abstract (EN): </w:t>
      </w:r>
      <w:r>
        <w:t>Suppressing radiative heat transfer using metallic reflectors fails where electrical conduction or material incompatibility are prohibitive, whereas non-metallic alternatives that rely on conventional thermophotonic approaches face fundamental performance-bandwidth trade-offs, bounded by the Bode-Fano limit. Here, we redefine the strategy for broadband radiative suppression by leveraging complementary dispersion engineering in a dielectric metasurface pair. Using stochastic gradient descent (SGD) optimization, we co-design aperiodic distributed Bragg reflector (DBR) pairs with deliberately misaligned passbands across the broad thermal band of interest, enabling effective broadband thermal decoupling within a small thickness and fabrication budget, beyond the limits of conventional approaches. Experimental validation reveals that our optimized 7-layered (7-L) metasurface pair reduces radiative heat exchange significantly compared to fused silica benchmarks, as confirmed through both angle-resolved emissivity measurements (82% reduction) and direct radiometric power quantification (62.5% reduction). Importantly, our compact system exhibits strong robustness against design and fabrication tolerance and operational temperature drift (320–500 K). This work establishes a generalizable framework for bandwidth-unconstrained thermal radiation engineering, with applications in energy-efficient systems, thermal insulation and thermal management. By circumventing the need for metallic components, our approach opens new possibilities for controlling radiative heat transfer in an all-dielectric ultrathin platform.</w:t>
      </w:r>
    </w:p>
    <w:p>
      <w:pPr>
        <w:spacing w:before="120" w:after="120"/>
      </w:pPr>
      <w:r>
        <w:rPr>
          <w:sz w:val="18"/>
        </w:rPr>
        <w:t>——————————————————————————————————————————————————————————————————————</w:t>
      </w:r>
    </w:p>
    <w:p>
      <w:pPr>
        <w:spacing w:before="160" w:after="40" w:line="240" w:lineRule="auto"/>
      </w:pPr>
      <w:r>
        <w:rPr>
          <w:b/>
        </w:rPr>
        <w:t xml:space="preserve">[2] </w:t>
      </w:r>
      <w:hyperlink r:id="rId116">
        <w:r>
          <w:rPr>
            <w:color w:val="1155CC"/>
            <w:u w:val="single"/>
          </w:rPr>
          <w:t>热电制冷技术的进展、挑战与前景</w:t>
        </w:r>
      </w:hyperlink>
    </w:p>
    <w:p>
      <w:pPr>
        <w:spacing w:before="0" w:after="80"/>
      </w:pPr>
      <w:r>
        <w:rPr>
          <w:i/>
          <w:sz w:val="20"/>
        </w:rPr>
        <w:t>EN: Advances, challenges and prospects in thermoelectric cooling technology</w:t>
      </w:r>
    </w:p>
    <w:p>
      <w:pPr>
        <w:spacing w:before="0" w:after="120"/>
      </w:pPr>
      <w:r>
        <w:rPr>
          <w:b/>
        </w:rPr>
        <w:t xml:space="preserve">Source: </w:t>
      </w:r>
      <w:r>
        <w:t>ScienceDirect Publication: Applied Energy</w:t>
      </w:r>
      <w:r>
        <w:t xml:space="preserve">    </w:t>
      </w:r>
      <w:r>
        <w:rPr>
          <w:b/>
        </w:rPr>
        <w:t xml:space="preserve">Pub date: </w:t>
      </w:r>
      <w:r>
        <w:t>2026-06-27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17">
        <w:r>
          <w:rPr>
            <w:color w:val="1155CC"/>
            <w:u w:val="single"/>
          </w:rPr>
          <w:t>反向特斯拉阀调节高效水蒸发和冷却</w:t>
        </w:r>
      </w:hyperlink>
    </w:p>
    <w:p>
      <w:pPr>
        <w:spacing w:before="0" w:after="80"/>
      </w:pPr>
      <w:r>
        <w:rPr>
          <w:i/>
          <w:sz w:val="20"/>
        </w:rPr>
        <w:t>EN: Reverse Tesla valve modulated efficient water evaporation and cooling</w:t>
      </w:r>
    </w:p>
    <w:p>
      <w:pPr>
        <w:spacing w:before="0" w:after="120"/>
      </w:pPr>
      <w:r>
        <w:rPr>
          <w:b/>
        </w:rPr>
        <w:t xml:space="preserve">Source: </w:t>
      </w:r>
      <w:r>
        <w:t>Physical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水蒸发是一种有效驱动自然水文循环的物理过程，长期以来在工业应用中受到速率限制。特别是在太阳能蒸汽产生和蒸发冷却等场景中，由于液-气界面处的边界层阻力尚未解决，传统蒸发器的蒸发速率难以满足实际要求。在这里，我们将尼古拉特斯拉的流体二极管改造为反向特斯拉阀调制体效蒸发系统（BEES）。通过利用结构引起的涡流气流破坏传热和传质边界层，BEES 解锁了内部液-气界面以前无法实现的蒸发动力学，并实现了 21.29 kg m−2 h−1 的蒸发速率，总能源/太阳能效率为 627%。我们的 BEES 可实现全天淡水收集和高效蒸发冷却，实现 414 GJ m−3 Month−1 的节能。这项工作建立了一个与传统界面工程互补的体效蒸发框架，以解决水与能源的关系。</w:t>
      </w:r>
    </w:p>
    <w:p>
      <w:pPr>
        <w:spacing w:before="0" w:after="200" w:lineRule="auto" w:line="276"/>
      </w:pPr>
      <w:r>
        <w:rPr>
          <w:b/>
        </w:rPr>
        <w:t xml:space="preserve">Abstract (EN): </w:t>
      </w:r>
      <w:r>
        <w:t>Water evaporation, a physical process effectively driving natural hydrological cycles, has long suffered from rate limitations in industrial applications. Particularly in scenarios such as solar steam generation and evaporation cooling, the evaporation rate of conventional evaporators struggles to meet the practical request, due to the unresolved boundary layer resistance at the liquid-air interface. Here, we reinvent Nikola Tesla’s fluidic diode into a reverse Tesla valve modulated bulk-effect evaporation system (BEES). By leveraging structure-induced vortex airflow to disrupt thermal and mass transfer boundary layers, BEES unlocks previously unattainable evaporation dynamics at the inner liquid-air interface and achieves an evaporation rate of 21.29 kg m−2 h−1, with a total energy/solar efficiency of 627%. Our BEES enables all-day freshwater harvesting and efficient evaporative cooling, achieving energy savings of 414 GJ m−3 month−1. This work establishes a bulk-effect evaporation framework complementary to traditional interfacial engineering for addressing the water-energy nexus.</w:t>
      </w:r>
    </w:p>
    <w:p>
      <w:pPr>
        <w:spacing w:before="120" w:after="120"/>
      </w:pPr>
      <w:r>
        <w:rPr>
          <w:sz w:val="18"/>
        </w:rPr>
        <w:t>——————————————————————————————————————————————————————————————————————</w:t>
      </w:r>
    </w:p>
    <w:p>
      <w:pPr>
        <w:spacing w:before="160" w:after="40" w:line="240" w:lineRule="auto"/>
      </w:pPr>
      <w:r>
        <w:rPr>
          <w:b/>
        </w:rPr>
        <w:t xml:space="preserve">[4] </w:t>
      </w:r>
      <w:hyperlink r:id="rId118">
        <w:r>
          <w:rPr>
            <w:color w:val="1155CC"/>
            <w:u w:val="single"/>
          </w:rPr>
          <w:t>柔性 Ag2Se 热电材料：基础知识、加工和器件应用</w:t>
        </w:r>
      </w:hyperlink>
    </w:p>
    <w:p>
      <w:pPr>
        <w:spacing w:before="0" w:after="80"/>
      </w:pPr>
      <w:r>
        <w:rPr>
          <w:i/>
          <w:sz w:val="20"/>
        </w:rPr>
        <w:t>EN: Flexible Ag2Se‐Based Thermoelectrics: Fundamentals, Processing, and Device Applications</w:t>
      </w:r>
    </w:p>
    <w:p>
      <w:pPr>
        <w:spacing w:before="0" w:after="120"/>
      </w:pPr>
      <w:r>
        <w:rPr>
          <w:b/>
        </w:rPr>
        <w:t xml:space="preserve">Source: </w:t>
      </w:r>
      <w:r>
        <w:t>Wiley: Advanced Materials: Table of Contents</w:t>
      </w:r>
      <w:r>
        <w:t xml:space="preserve">    </w:t>
      </w:r>
      <w:r>
        <w:rPr>
          <w:b/>
        </w:rPr>
        <w:t xml:space="preserve">Pub date: </w:t>
      </w:r>
      <w:r>
        <w:t>2026-06-29 11:29:20+00:00</w:t>
      </w:r>
      <w:r>
        <w:t xml:space="preserve">    </w:t>
      </w:r>
      <w:r>
        <w:rPr>
          <w:b/>
        </w:rPr>
        <w:t xml:space="preserve">DOI: </w:t>
      </w:r>
      <w:hyperlink r:id="rId119">
        <w:r>
          <w:rPr>
            <w:color w:val="1155CC"/>
            <w:u w:val="single"/>
          </w:rPr>
          <w:t>10.1002/adma.202518096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银</w:t>
      </w:r>
      <w:r>
        <w:rPr>
          <w:vertAlign w:val="subscript"/>
        </w:rPr>
        <w:t>2</w:t>
      </w:r>
      <w:r>
        <w:t>由于其窄带隙、固有的低晶格热导率和异常的室温塑性，硒被广泛认为是用于柔性和可穿戴应用的领先n型热电材料。这篇综述系统地总结了Ag的最新进展</w:t>
      </w:r>
      <w:r>
        <w:rPr>
          <w:vertAlign w:val="subscript"/>
        </w:rPr>
        <w:t>2</w:t>
      </w:r>
      <w:r>
        <w:t>硒基热电材料，从其基本晶体结构、缺陷化学和控制其半导体和超离子输运行为的电子能带特征开始。详细讨论了先进的性能增强策略，包括纳米结构、化学计量调整、掺杂以及无机或有机第二相的掺入。真空辅助过滤、丝网印刷、磁控溅射、热蒸发和增材制造等制造技术的进步也得到了强调。强调可扩展性、灵活性和机械耐用性。此外，Ag的组装和应用</w:t>
      </w:r>
      <w:r>
        <w:rPr>
          <w:vertAlign w:val="subscript"/>
        </w:rPr>
        <w:t>2</w:t>
      </w:r>
      <w:r>
        <w:t>综述了硒基柔性热电器件，包括热电发电机、珀耳帖冷却器、电子皮肤和光热电混合器件。这些设备在能量​​收集、局部冷却和智能传感方面表现出巨大的潜力。此外，还评估了器件稳定性、大面积集成和多功能系统设计的挑战。这篇评论将材料级见解与设备级应用联系起来</w:t>
      </w:r>
    </w:p>
    <w:p>
      <w:pPr>
        <w:spacing w:before="0" w:after="200" w:lineRule="auto" w:line="276"/>
      </w:pPr>
      <w:r>
        <w:rPr>
          <w:b/>
        </w:rPr>
        <w:t xml:space="preserve">Abstract (EN): </w:t>
      </w:r>
      <w:r>
        <w:t>Ag</w:t>
      </w:r>
      <w:r>
        <w:rPr>
          <w:vertAlign w:val="subscript"/>
        </w:rPr>
        <w:t>2</w:t>
      </w:r>
      <w:r>
        <w:t>Se is widely recognized as a leading n‐type thermoelectric material for flexible and wearable applications owing to its narrow band gap, intrinsically low lattice thermal conductivity, and unusual room‐temperature plasticity. This review systematically summarizes recent advances in Ag</w:t>
      </w:r>
      <w:r>
        <w:rPr>
          <w:vertAlign w:val="subscript"/>
        </w:rPr>
        <w:t>2</w:t>
      </w:r>
      <w:r>
        <w:t>Se‐based thermoelectrics, beginning with its fundamental crystal structures, defect chemistry, and electronic band features that govern its semiconducting and superionic transport behavior. Advanced performance‐enhancement strategies are discussed in detail, including nanostructuring, stoichiometry tuning, doping, and the incorporation of inorganic or organic second phases. The progress in fabrication techniques, including vacuum‐assisted filtration, screen printing, magnetron sputtering, thermal evaporation, and additive manufacturing, has also been highlighted. Scalability, flexibility, and mechanical durability are emphasized. Furthermore, the assembly and application of Ag</w:t>
      </w:r>
      <w:r>
        <w:rPr>
          <w:vertAlign w:val="subscript"/>
        </w:rPr>
        <w:t>2</w:t>
      </w:r>
      <w:r>
        <w:t>Se‐based flexible thermoelectric devices are reviewed, covering thermoelectric generators, Peltier coolers, electronic skins, and photo‐thermoelectric hybrids. These devices demonstrate strong potential for energy harvesting, localized cooling, and smart sensing. Additionally, the challenges of device stability, large‐area integration, and multifunctional system design are assessed. This review links material‐level insights with device‐level applications to accelerate the deployment of Ag</w:t>
      </w:r>
      <w:r>
        <w:rPr>
          <w:vertAlign w:val="subscript"/>
        </w:rPr>
        <w:t>2</w:t>
      </w:r>
      <w:r>
        <w:t>Se‐based thermoelectrics in sustainable energy and wearable electronics.</w:t>
      </w:r>
    </w:p>
    <w:p>
      <w:pPr>
        <w:spacing w:before="120" w:after="120"/>
      </w:pPr>
      <w:r>
        <w:rPr>
          <w:sz w:val="18"/>
        </w:rPr>
        <w:t>——————————————————————————————————————————————————————————————————————</w:t>
      </w:r>
    </w:p>
    <w:p>
      <w:pPr>
        <w:spacing w:before="160" w:after="40" w:line="240" w:lineRule="auto"/>
      </w:pPr>
      <w:r>
        <w:rPr>
          <w:b/>
        </w:rPr>
        <w:t xml:space="preserve">[5] </w:t>
      </w:r>
      <w:hyperlink r:id="rId120">
        <w:r>
          <w:rPr>
            <w:color w:val="1155CC"/>
            <w:u w:val="single"/>
          </w:rPr>
          <w:t>熵启用的分层缺陷结构可双重增强 SnTe 合金的热电和机械性能</w:t>
        </w:r>
      </w:hyperlink>
    </w:p>
    <w:p>
      <w:pPr>
        <w:spacing w:before="0" w:after="80"/>
      </w:pPr>
      <w:r>
        <w:rPr>
          <w:i/>
          <w:sz w:val="20"/>
        </w:rPr>
        <w:t>EN: Entropy‐Enabled Hierarchical Defect Architecture for Dual Enhancement of Thermoelectric and Mechanical Performance in SnTe Alloys</w:t>
      </w:r>
    </w:p>
    <w:p>
      <w:pPr>
        <w:spacing w:before="0" w:after="120"/>
      </w:pPr>
      <w:r>
        <w:rPr>
          <w:b/>
        </w:rPr>
        <w:t xml:space="preserve">Source: </w:t>
      </w:r>
      <w:r>
        <w:t>Wiley: Advanced Materials: Table of Contents</w:t>
      </w:r>
      <w:r>
        <w:t xml:space="preserve">    </w:t>
      </w:r>
      <w:r>
        <w:rPr>
          <w:b/>
        </w:rPr>
        <w:t xml:space="preserve">Pub date: </w:t>
      </w:r>
      <w:r>
        <w:t>2026-06-29 15:48:27+00:00</w:t>
      </w:r>
      <w:r>
        <w:t xml:space="preserve">    </w:t>
      </w:r>
      <w:r>
        <w:rPr>
          <w:b/>
        </w:rPr>
        <w:t xml:space="preserve">DOI: </w:t>
      </w:r>
      <w:hyperlink r:id="rId121">
        <w:r>
          <w:rPr>
            <w:color w:val="1155CC"/>
            <w:u w:val="single"/>
          </w:rPr>
          <w:t>10.1002/adma.73653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设计将高转换效率与机械鲁棒性相结合的热电材料仍然具有挑战性，尤其是在元价键硫族化物中，其中弱键产生本质上较低的晶格导热率，但会损害机械完整性。在这里，我们提出了一种在 SnTe 基合金中启用熵的缺陷结构，它可以引导分层缺陷演化——从 0D 替代簇到 1D 位错和 3D 相干纳米沉淀物——从而实现声子输运和强化机制的多尺度调控。宽带声子散射将晶格热导率降低至 0.26 W·m</w:t>
      </w:r>
      <w:r>
        <w:t xml:space="preserve"> </w:t>
      </w:r>
      <w:r>
        <w:t>−1</w:t>
      </w:r>
      <w:r>
        <w:t xml:space="preserve"> </w:t>
      </w:r>
      <w:r>
        <w:t>·K</w:t>
      </w:r>
      <w:r>
        <w:t xml:space="preserve"> </w:t>
      </w:r>
      <w:r>
        <w:t>−1</w:t>
      </w:r>
      <w:r>
        <w:t xml:space="preserve"> </w:t>
      </w:r>
      <w:r>
        <w:t>在 873 K 时，相干 (Cd,Ge)Se 纳米沉淀和位错网络建立了有效的载荷传递和钉扎路径，将屈服强度提高到 220 MPa，相对于原始 SnTe (120 MPa) 提高了约 100 MPa (约 83%)，同时保留了合理的塑性。与此同时，通过熵稳定基体中成分复杂的合金化进行适度的能带结构优化可以提高功率因数。受益于这些协同作用，优化的成分 Sn</w:t>
      </w:r>
      <w:r>
        <w:t xml:space="preserve"> </w:t>
      </w:r>
      <w:r>
        <w:t>0.91</w:t>
      </w:r>
      <w:r>
        <w:t xml:space="preserve"> </w:t>
      </w:r>
      <w:r>
        <w:t>镉</w:t>
      </w:r>
      <w:r>
        <w:t xml:space="preserve"> </w:t>
      </w:r>
      <w:r>
        <w:t>0.03</w:t>
      </w:r>
      <w:r>
        <w:t xml:space="preserve"> </w:t>
      </w:r>
      <w:r>
        <w:t>锑</w:t>
      </w:r>
      <w:r>
        <w:t xml:space="preserve"> </w:t>
      </w:r>
      <w:r>
        <w:t>0.09</w:t>
      </w:r>
      <w:r>
        <w:t xml:space="preserve"> </w:t>
      </w:r>
      <w:r>
        <w:t>碲（硒化镓）</w:t>
      </w:r>
      <w:r>
        <w:t xml:space="preserve"> </w:t>
      </w:r>
      <w:r>
        <w:t>0.25</w:t>
      </w:r>
      <w:r>
        <w:t xml:space="preserve"> </w:t>
      </w:r>
      <w:r>
        <w:t>峰值品质因数为 1.7，器件效率为 7.2%（单腿）和 5.7%（多腿）。这项工作建立了一个g</w:t>
      </w:r>
    </w:p>
    <w:p>
      <w:pPr>
        <w:spacing w:before="0" w:after="200" w:lineRule="auto" w:line="276"/>
      </w:pPr>
      <w:r>
        <w:rPr>
          <w:b/>
        </w:rPr>
        <w:t xml:space="preserve">Abstract (EN): </w:t>
      </w:r>
      <w:r>
        <w:t>Designing thermoelectric materials that combine high conversion efficiency with mechanical robustness remains challenging—especially in metavalent‐bonded chalcogenides, where weak bonds yield intrinsically low lattice thermal conductivity yet compromise mechanical integrity. Here we present an entropy‐enabled defect architecture in SnTe‐based alloys that steers hierarchical defect evolution—from 0D substitutional clusters to 1D dislocations and 3D coherent nanoprecipitates—enabling multiscale regulation of phonon transport and strengthening mechanisms. Broadband phonon scattering depresses lattice thermal conductivity to 0.26 W·m</w:t>
      </w:r>
      <w:r>
        <w:t xml:space="preserve"> </w:t>
      </w:r>
      <w:r>
        <w:t>−1</w:t>
      </w:r>
      <w:r>
        <w:t xml:space="preserve"> </w:t>
      </w:r>
      <w:r>
        <w:t>·K</w:t>
      </w:r>
      <w:r>
        <w:t xml:space="preserve"> </w:t>
      </w:r>
      <w:r>
        <w:t>−1</w:t>
      </w:r>
      <w:r>
        <w:t xml:space="preserve"> </w:t>
      </w:r>
      <w:r>
        <w:t>at 873 K, while coherent (Cd,Ge)Se nanoprecipitates and dislocation networks establish effective load‐transfer and pinning pathways, elevating the yield strength to 220 MPa, an improvement of ∼100 MPa (≈83%) relative to pristine SnTe (120 MPa), while retaining reasonable plasticity. In parallel, modest band‐structure optimization through compositionally complex alloying within the entropy‐stabilized matrix improves the power factor. Benefiting from these synergies, the optimized composition Sn</w:t>
      </w:r>
      <w:r>
        <w:t xml:space="preserve"> </w:t>
      </w:r>
      <w:r>
        <w:t>0.91</w:t>
      </w:r>
      <w:r>
        <w:t xml:space="preserve"> </w:t>
      </w:r>
      <w:r>
        <w:t>Cd</w:t>
      </w:r>
      <w:r>
        <w:t xml:space="preserve"> </w:t>
      </w:r>
      <w:r>
        <w:t>0.03</w:t>
      </w:r>
      <w:r>
        <w:t xml:space="preserve"> </w:t>
      </w:r>
      <w:r>
        <w:t>Sb</w:t>
      </w:r>
      <w:r>
        <w:t xml:space="preserve"> </w:t>
      </w:r>
      <w:r>
        <w:t>0.09</w:t>
      </w:r>
      <w:r>
        <w:t xml:space="preserve"> </w:t>
      </w:r>
      <w:r>
        <w:t>Te(GeSe)</w:t>
      </w:r>
      <w:r>
        <w:t xml:space="preserve"> </w:t>
      </w:r>
      <w:r>
        <w:t>0.25</w:t>
      </w:r>
      <w:r>
        <w:t xml:space="preserve"> </w:t>
      </w:r>
      <w:r>
        <w:t>delivers a peak figure of merit of 1.7 and device efficiencies of 7.2% (single‐leg) and 5.7% (multi‐leg). This work establishes a generalizable pathway to strong, efficient thermoelectric materials, particularly applicable to metavalent bonding systems.</w:t>
      </w:r>
    </w:p>
    <w:p>
      <w:pPr>
        <w:spacing w:before="120" w:after="120"/>
      </w:pPr>
      <w:r>
        <w:rPr>
          <w:sz w:val="18"/>
        </w:rPr>
        <w:t>——————————————————————————————————————————————————————————————————————</w:t>
      </w:r>
    </w:p>
    <w:p>
      <w:pPr>
        <w:spacing w:before="160" w:after="40" w:line="240" w:lineRule="auto"/>
      </w:pPr>
      <w:r>
        <w:rPr>
          <w:b/>
        </w:rPr>
        <w:t xml:space="preserve">[6] </w:t>
      </w:r>
      <w:hyperlink r:id="rId122">
        <w:r>
          <w:rPr>
            <w:color w:val="1155CC"/>
            <w:u w:val="single"/>
          </w:rPr>
          <w:t>自清洁太阳能蒸发促进水电解从海水中产生氢气</w:t>
        </w:r>
      </w:hyperlink>
    </w:p>
    <w:p>
      <w:pPr>
        <w:spacing w:before="0" w:after="80"/>
      </w:pPr>
      <w:r>
        <w:rPr>
          <w:i/>
          <w:sz w:val="20"/>
        </w:rPr>
        <w:t>EN: Self‐Cleaning Solar Evaporation Facilitating Water Electrolysis for Hydrogen Generation From Seawater</w:t>
      </w:r>
    </w:p>
    <w:p>
      <w:pPr>
        <w:spacing w:before="0" w:after="120"/>
      </w:pPr>
      <w:r>
        <w:rPr>
          <w:b/>
        </w:rPr>
        <w:t xml:space="preserve">Source: </w:t>
      </w:r>
      <w:r>
        <w:t>Wiley: Angewandte Chemie International Edition: Table of Contents</w:t>
      </w:r>
      <w:r>
        <w:t xml:space="preserve">    </w:t>
      </w:r>
      <w:r>
        <w:rPr>
          <w:b/>
        </w:rPr>
        <w:t xml:space="preserve">Pub date: </w:t>
      </w:r>
      <w:r>
        <w:t>2026-06-30 09:58:59+00:00</w:t>
      </w:r>
      <w:r>
        <w:t xml:space="preserve">    </w:t>
      </w:r>
      <w:r>
        <w:rPr>
          <w:b/>
        </w:rPr>
        <w:t xml:space="preserve">DOI: </w:t>
      </w:r>
      <w:hyperlink r:id="rId123">
        <w:r>
          <w:rPr>
            <w:color w:val="1155CC"/>
            <w:u w:val="single"/>
          </w:rPr>
          <w:t>10.1002/anie.3652353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清洁能源需求和零碳承诺激发了对稳定海水电解的渴望，但设备腐蚀和催化剂失活严重阻碍了工业规模部署。在这里，我们提出了一个将光热蒸发和淡化水电解结合在一起的创新集成平台。依靠氢键交联机制和阴离子诱导的霍夫迈斯特效应，设计了一种均匀涂覆改性针状焦凝胶膜的轻质球形蒸发器，表现出有吸引力的连续海水淡化性能（2.32 kg m</w:t>
      </w:r>
      <w:r>
        <w:t xml:space="preserve"> </w:t>
      </w:r>
      <w:r>
        <w:t>−2</w:t>
      </w:r>
      <w:r>
        <w:t xml:space="preserve"> </w:t>
      </w:r>
      <w:r>
        <w:t>小时</w:t>
      </w:r>
      <w:r>
        <w:t xml:space="preserve"> </w:t>
      </w:r>
      <w:r>
        <w:t>−1</w:t>
      </w:r>
      <w:r>
        <w:t xml:space="preserve"> </w:t>
      </w:r>
      <w:r>
        <w:t>3.5 wt%）和耐盐自洁能力。随后，两个独立改进的蒸发收集系统在扩展的全天候户外实验中优于传统配置。尤其是气提辅助蒸发系统具有强大的抗恶劣天气能力，雨天产水量可增加5倍。重要的是，它们对阴离子/阳离子交换膜电解系统的无缝适应开创了先进膜电极在淡化水电解中的长期应用，巧妙地解决了腐蚀和催化剂失活障碍。这种综合策略为节能和大规模海水提氢提供了一条可行的途径。</w:t>
      </w:r>
    </w:p>
    <w:p>
      <w:pPr>
        <w:spacing w:before="0" w:after="200" w:lineRule="auto" w:line="276"/>
      </w:pPr>
      <w:r>
        <w:rPr>
          <w:b/>
        </w:rPr>
        <w:t xml:space="preserve">Abstract (EN): </w:t>
      </w:r>
      <w:r>
        <w:t>Clean energy demands and zero‐carbon commitments have stimulated the desire for stable seawater electrolysis, yet device corrosion and catalyst deactivation seriously hinder industrial‐scale deployment. Here we present an innovative integrated platform that couples photothermal evaporation and desalinated water electrolysis. Relying on a hydrogen‐bonding crosslinking mechanism and anion‐induced Hofmeister effects, a lightweight spherical evaporator uniformly coated with a modified needle coke gel film is designed, exhibiting attractive continuous desalination performance (2.32 kg m</w:t>
      </w:r>
      <w:r>
        <w:t xml:space="preserve"> </w:t>
      </w:r>
      <w:r>
        <w:t>−2</w:t>
      </w:r>
      <w:r>
        <w:t xml:space="preserve"> </w:t>
      </w:r>
      <w:r>
        <w:t>h</w:t>
      </w:r>
      <w:r>
        <w:t xml:space="preserve"> </w:t>
      </w:r>
      <w:r>
        <w:t>−1</w:t>
      </w:r>
      <w:r>
        <w:t xml:space="preserve"> </w:t>
      </w:r>
      <w:r>
        <w:t>in 3.5 wt%) and salt‐resistant self‐cleaning capabilities. Subsequently, two independently improved evaporation‐collection systems outperform the traditional configuration during extended all‐weather outdoor experiments. Especially, the gas‐stripping assisted evaporation system holds powerful resistance capacity to adverse weather, achieving 5 times more water yield on a rainy day. Importantly, their seamless adaptation to anion/cation exchange membrane electrolysis systems has pioneered the long‐term application of advanced membrane electrodes in desalinated water electrolysis, cleverly addressing corrosion and catalyst deactivation barriers. This integrated strategy provides a practicable route for energy‐saving and large‐scale hydrogen extraction from seawater.</w:t>
      </w:r>
    </w:p>
    <w:p>
      <w:pPr>
        <w:spacing w:before="120" w:after="120"/>
      </w:pPr>
      <w:r>
        <w:rPr>
          <w:sz w:val="18"/>
        </w:rPr>
        <w:t>——————————————————————————————————————————————————————————————————————</w:t>
      </w:r>
    </w:p>
    <w:p>
      <w:pPr>
        <w:spacing w:before="160" w:after="40" w:line="240" w:lineRule="auto"/>
      </w:pPr>
      <w:r>
        <w:rPr>
          <w:b/>
        </w:rPr>
        <w:t xml:space="preserve">[7] </w:t>
      </w:r>
      <w:hyperlink r:id="rId124">
        <w:r>
          <w:rPr>
            <w:color w:val="1155CC"/>
            <w:u w:val="single"/>
          </w:rPr>
          <w:t>勘误表：金属中非互易等离激元阻力的横向热光伏发电 [物理。莱特牧师。 136, 176901 (2026)]</w:t>
        </w:r>
      </w:hyperlink>
    </w:p>
    <w:p>
      <w:pPr>
        <w:spacing w:before="0" w:after="80"/>
      </w:pPr>
      <w:r>
        <w:rPr>
          <w:i/>
          <w:sz w:val="20"/>
        </w:rPr>
        <w:t>EN: Erratum: Transverse Thermophotovoltaics from Nonreciprocal Plasmon Drag in Metal [Phys. Rev. Lett. 136, 176901 (2026)]</w:t>
      </w:r>
    </w:p>
    <w:p>
      <w:pPr>
        <w:spacing w:before="0" w:after="120"/>
      </w:pPr>
      <w:r>
        <w:rPr>
          <w:b/>
        </w:rPr>
        <w:t xml:space="preserve">Source: </w:t>
      </w:r>
      <w:r>
        <w:t>Recent Articles in Phys. Rev. Lett.</w:t>
      </w:r>
      <w:r>
        <w:t xml:space="preserve">    </w:t>
      </w:r>
      <w:r>
        <w:rPr>
          <w:b/>
        </w:rPr>
        <w:t xml:space="preserve">Pub date: </w:t>
      </w:r>
      <w:r>
        <w:t>2026-06-30 10:00:00+00:00</w:t>
      </w:r>
      <w:r>
        <w:t xml:space="preserve">    </w:t>
      </w:r>
      <w:r>
        <w:rPr>
          <w:b/>
        </w:rPr>
        <w:t xml:space="preserve">DOI: </w:t>
      </w:r>
      <w:hyperlink r:id="rId125">
        <w:r>
          <w:rPr>
            <w:color w:val="1155CC"/>
            <w:u w:val="single"/>
          </w:rPr>
          <w:t>10.1103/qq98-z7gq</w:t>
        </w:r>
      </w:hyperlink>
    </w:p>
    <w:p>
      <w:pPr>
        <w:spacing w:before="0" w:after="120"/>
      </w:pPr>
      <w:r>
        <w:rPr>
          <w:b/>
        </w:rPr>
        <w:t xml:space="preserve">Notes: </w:t>
      </w:r>
      <w:r>
        <w:t>abstract_source=rss_description</w:t>
      </w:r>
    </w:p>
    <w:p>
      <w:pPr>
        <w:spacing w:before="0" w:after="80" w:lineRule="auto" w:line="276"/>
      </w:pPr>
      <w:r>
        <w:rPr>
          <w:b/>
        </w:rPr>
        <w:t xml:space="preserve">摘要（ZH）: </w:t>
      </w:r>
      <w:r>
        <w:t>作者：何定伟、唐高民[Phys.莱特牧师。 137, 019901] 2026 年 6 月 30 日星期二发布</w:t>
      </w:r>
    </w:p>
    <w:p>
      <w:pPr>
        <w:spacing w:before="0" w:after="200" w:lineRule="auto" w:line="276"/>
      </w:pPr>
      <w:r>
        <w:rPr>
          <w:b/>
        </w:rPr>
        <w:t xml:space="preserve">Abstract (EN): </w:t>
      </w:r>
      <w:r>
        <w:t>Author(s): Dingwei He and Gaomin Tang[Phys. Rev. Lett. 137, 019901] Published Tue Jun 30, 2026</w:t>
      </w:r>
    </w:p>
    <w:p>
      <w:pPr>
        <w:spacing w:before="120" w:after="120"/>
      </w:pPr>
      <w:r>
        <w:rPr>
          <w:sz w:val="18"/>
        </w:rPr>
        <w:t>——————————————————————————————————————————————————————————————————————</w:t>
      </w:r>
    </w:p>
    <w:p>
      <w:pPr>
        <w:spacing w:before="160" w:after="40" w:line="240" w:lineRule="auto"/>
      </w:pPr>
      <w:r>
        <w:rPr>
          <w:b/>
        </w:rPr>
        <w:t xml:space="preserve">[8] </w:t>
      </w:r>
      <w:hyperlink r:id="rId126">
        <w:r>
          <w:rPr>
            <w:color w:val="1155CC"/>
            <w:u w:val="single"/>
          </w:rPr>
          <w:t>富含硫空位的 Cu4SnS4−x 纳米片可实现协同 Cuprotosis、光热电催化和免疫治疗</w:t>
        </w:r>
      </w:hyperlink>
    </w:p>
    <w:p>
      <w:pPr>
        <w:spacing w:before="0" w:after="80"/>
      </w:pPr>
      <w:r>
        <w:rPr>
          <w:i/>
          <w:sz w:val="20"/>
        </w:rPr>
        <w:t>EN: Sulfur Vacancy‐Enriched Cu4SnS4−x Nanosheets Enable Synergistic Cuproptosis, Photothermoelectric Catalytic and Immunotherapy</w:t>
      </w:r>
    </w:p>
    <w:p>
      <w:pPr>
        <w:spacing w:before="0" w:after="120"/>
      </w:pPr>
      <w:r>
        <w:rPr>
          <w:b/>
        </w:rPr>
        <w:t xml:space="preserve">Source: </w:t>
      </w:r>
      <w:r>
        <w:t>Wiley: Angewandte Chemie International Edition: Table of Contents</w:t>
      </w:r>
      <w:r>
        <w:t xml:space="preserve">    </w:t>
      </w:r>
      <w:r>
        <w:rPr>
          <w:b/>
        </w:rPr>
        <w:t xml:space="preserve">Pub date: </w:t>
      </w:r>
      <w:r>
        <w:t>2026-06-30 10:01:56+00:00</w:t>
      </w:r>
      <w:r>
        <w:t xml:space="preserve">    </w:t>
      </w:r>
      <w:r>
        <w:rPr>
          <w:b/>
        </w:rPr>
        <w:t xml:space="preserve">DOI: </w:t>
      </w:r>
      <w:hyperlink r:id="rId127">
        <w:r>
          <w:rPr>
            <w:color w:val="1155CC"/>
            <w:u w:val="single"/>
          </w:rPr>
          <w:t>10.1002/anie.1499416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光热电催化疗法（PTECT）面临热电活性受限和肿瘤复发等挑战。在这项研究中，我们引入了一种缺陷工程策略来合成硫空位（S</w:t>
      </w:r>
      <w:r>
        <w:t xml:space="preserve"> </w:t>
      </w:r>
      <w:r>
        <w:t>v</w:t>
      </w:r>
      <w:r>
        <w:t xml:space="preserve"> </w:t>
      </w:r>
      <w:r>
        <w:t>) 富集铜</w:t>
      </w:r>
      <w:r>
        <w:rPr>
          <w:vertAlign w:val="subscript"/>
        </w:rPr>
        <w:t>4</w:t>
      </w:r>
      <w:r>
        <w:t>硫化锡</w:t>
      </w:r>
      <w:r>
        <w:t xml:space="preserve"> </w:t>
      </w:r>
      <w:r>
        <w:t>4−x</w:t>
      </w:r>
      <w:r>
        <w:t xml:space="preserve"> </w:t>
      </w:r>
      <w:r>
        <w:t>具有良好热电性能的纳米片，然后负载小分子抑制剂 NLG919。球差校正透射电子显微镜和X射线吸收精细结构揭示了S的精细结构特征</w:t>
      </w:r>
      <w:r>
        <w:t xml:space="preserve"> </w:t>
      </w:r>
      <w:r>
        <w:t>v</w:t>
      </w:r>
      <w:r>
        <w:t xml:space="preserve"> </w:t>
      </w:r>
      <w:r>
        <w:t>，这使得纳米片在808 nm激光照射下具有64.7%的超高光热转换效率。这会产生局部温度梯度，诱导内部电场，从而增强载流子分离，增强过氧化物酶和过氧化氢酶样活性，并产生大量活性氧 (ROS)，从而实现协同 PTECT 和多酶催化治疗。密度泛函理论计算表明 S</w:t>
      </w:r>
      <w:r>
        <w:t xml:space="preserve"> </w:t>
      </w:r>
      <w:r>
        <w:t>v</w:t>
      </w:r>
      <w:r>
        <w:t xml:space="preserve"> </w:t>
      </w:r>
      <w:r>
        <w:t>降低热导率，从而提高品质因数和 PTECT 效果。 Cu 离子、ROS 和热量的积累会引发铜凋亡、线粒体凋亡和基于内质网的免疫原性细胞死亡。释放的 NLG919 破坏了 IDO 诱导的 Trp/Kyn 代谢途径，逆转了肿瘤免疫抑制微环境。</w:t>
      </w:r>
    </w:p>
    <w:p>
      <w:pPr>
        <w:spacing w:before="0" w:after="200" w:lineRule="auto" w:line="276"/>
      </w:pPr>
      <w:r>
        <w:rPr>
          <w:b/>
        </w:rPr>
        <w:t xml:space="preserve">Abstract (EN): </w:t>
      </w:r>
      <w:r>
        <w:t>Photothermoelectric catalytic therapy (PTECT) faces challenges like restricted thermoelectric activity and tumor recurrence. In this study, we introduce a defect engineering strategy to synthesize sulfur vacancies (S</w:t>
      </w:r>
      <w:r>
        <w:t xml:space="preserve"> </w:t>
      </w:r>
      <w:r>
        <w:t>v</w:t>
      </w:r>
      <w:r>
        <w:t xml:space="preserve"> </w:t>
      </w:r>
      <w:r>
        <w:t>) enriched Cu</w:t>
      </w:r>
      <w:r>
        <w:rPr>
          <w:vertAlign w:val="subscript"/>
        </w:rPr>
        <w:t>4</w:t>
      </w:r>
      <w:r>
        <w:t>SnS</w:t>
      </w:r>
      <w:r>
        <w:t xml:space="preserve"> </w:t>
      </w:r>
      <w:r>
        <w:t>4−x</w:t>
      </w:r>
      <w:r>
        <w:t xml:space="preserve"> </w:t>
      </w:r>
      <w:r>
        <w:t>nanosheets with promising thermoelectric properties, followed by loading small‐molecule inhibitor NLG919. Spherical aberration corrected transmission electron microscopy and X‐ray absorption fine structure reveal the fine structural characteristics of S</w:t>
      </w:r>
      <w:r>
        <w:t xml:space="preserve"> </w:t>
      </w:r>
      <w:r>
        <w:t>v</w:t>
      </w:r>
      <w:r>
        <w:t xml:space="preserve"> </w:t>
      </w:r>
      <w:r>
        <w:t>, which make the nanosheets possess an ultra‐high photothermal conversion efficiency of 64.7% under 808 nm laser irradiation. This generates a localized temperature gradient that induces an internal electric field, which enhances carrier separation, boosts peroxidase‐ and catalase‐like activities, and produces substantial amounts of reactive oxygen species (ROS), enabling cooperative PTECT and multi‐enzymatic catalytic therapy. Density functional theory calculations show that S</w:t>
      </w:r>
      <w:r>
        <w:t xml:space="preserve"> </w:t>
      </w:r>
      <w:r>
        <w:t>v</w:t>
      </w:r>
      <w:r>
        <w:t xml:space="preserve"> </w:t>
      </w:r>
      <w:r>
        <w:t>reduces the thermal conductivity, thus enhancing the figure of merit value and the PTECT effect. Accumulation of Cu ions, ROS, and heat triggers cuproptosis, mitochondrial apoptosis, and endoplasmic reticulum‐based immunogenic cell death. The released NLG919 disrupts the IDO‐induced Trp/Kyn metabolic pathway, reversing the tumor immune suppressive microenvironment. This integrated approach achieves high efficiency (96%) and long‐term anticancer efficacy. These findings may provide valuable insights for advancing thermoelectric materials in tumor therapy.</w:t>
      </w:r>
    </w:p>
    <w:p>
      <w:pPr>
        <w:spacing w:before="120" w:after="120"/>
      </w:pPr>
      <w:r>
        <w:rPr>
          <w:sz w:val="18"/>
        </w:rPr>
        <w:t>——————————————————————————————————————————————————————————————————————</w:t>
      </w:r>
    </w:p>
    <w:p>
      <w:pPr>
        <w:spacing w:before="160" w:after="40" w:line="240" w:lineRule="auto"/>
      </w:pPr>
      <w:r>
        <w:rPr>
          <w:b/>
        </w:rPr>
        <w:t xml:space="preserve">[9] </w:t>
      </w:r>
      <w:hyperlink r:id="rId128">
        <w:r>
          <w:rPr>
            <w:color w:val="1155CC"/>
            <w:u w:val="single"/>
          </w:rPr>
          <w:t>通过 PST 多层陶瓷中的 B 位中熵设计进行巨宽温电热冷却</w:t>
        </w:r>
      </w:hyperlink>
    </w:p>
    <w:p>
      <w:pPr>
        <w:spacing w:before="0" w:after="80"/>
      </w:pPr>
      <w:r>
        <w:rPr>
          <w:i/>
          <w:sz w:val="20"/>
        </w:rPr>
        <w:t>EN: Giant and Broad‐Temperature Electrocaloric Cooling via B‐Site Medium‐Entropy Design in PST‐Based Multilayer Ceramics</w:t>
      </w:r>
    </w:p>
    <w:p>
      <w:pPr>
        <w:spacing w:before="0" w:after="120"/>
      </w:pPr>
      <w:r>
        <w:rPr>
          <w:b/>
        </w:rPr>
        <w:t xml:space="preserve">Source: </w:t>
      </w:r>
      <w:r>
        <w:t>Wiley: Advanced Energy Materials: Table of Contents</w:t>
      </w:r>
      <w:r>
        <w:t xml:space="preserve">    </w:t>
      </w:r>
      <w:r>
        <w:rPr>
          <w:b/>
        </w:rPr>
        <w:t xml:space="preserve">Pub date: </w:t>
      </w:r>
      <w:r>
        <w:t>2026-06-30 12:11:59+00:00</w:t>
      </w:r>
      <w:r>
        <w:t xml:space="preserve">    </w:t>
      </w:r>
      <w:r>
        <w:rPr>
          <w:b/>
        </w:rPr>
        <w:t xml:space="preserve">DOI: </w:t>
      </w:r>
      <w:hyperlink r:id="rId129">
        <w:r>
          <w:rPr>
            <w:color w:val="1155CC"/>
            <w:u w:val="single"/>
          </w:rPr>
          <w:t>10.1002/aenm.71192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电热固态冷却的实际部署受到关键材料挑战的阻碍：实现大尺寸</w:t>
      </w:r>
      <w:r>
        <w:t xml:space="preserve"> </w:t>
      </w:r>
      <w:r>
        <w:t>ΔT</w:t>
      </w:r>
      <w:r>
        <w:t xml:space="preserve"> </w:t>
      </w:r>
      <w:r>
        <w:t>广告</w:t>
      </w:r>
      <w:r>
        <w:t xml:space="preserve"> </w:t>
      </w:r>
      <w:r>
        <w:t>在宽广、稳定的温度范围内，无需过多的电场。在这里，我们通过弛豫铁电多层陶瓷电容器 (MLCC) 中的 B 位介质熵工程克服了这一限制。设计的Pb(Sc</w:t>
      </w:r>
      <w:r>
        <w:t xml:space="preserve"> </w:t>
      </w:r>
      <w:r>
        <w:t>0.25</w:t>
      </w:r>
      <w:r>
        <w:t xml:space="preserve"> </w:t>
      </w:r>
      <w:r>
        <w:t>塔</w:t>
      </w:r>
      <w:r>
        <w:t xml:space="preserve"> </w:t>
      </w:r>
      <w:r>
        <w:t>0.25</w:t>
      </w:r>
      <w:r>
        <w:t xml:space="preserve"> </w:t>
      </w:r>
      <w:r>
        <w:t>在</w:t>
      </w:r>
      <w:r>
        <w:t xml:space="preserve"> </w:t>
      </w:r>
      <w:r>
        <w:t>0.25</w:t>
      </w:r>
      <w:r>
        <w:t xml:space="preserve"> </w:t>
      </w:r>
      <w:r>
        <w:t>铌</w:t>
      </w:r>
      <w:r>
        <w:t xml:space="preserve"> </w:t>
      </w:r>
      <w:r>
        <w:t>0.25</w:t>
      </w:r>
      <w:r>
        <w:t xml:space="preserve"> </w:t>
      </w:r>
      <w:r>
        <w:t>)O</w:t>
      </w:r>
      <w:r>
        <w:rPr>
          <w:vertAlign w:val="subscript"/>
        </w:rPr>
        <w:t>3</w:t>
      </w:r>
      <w:r>
        <w:t>MLCC 展示了一个巨大的直接测量</w:t>
      </w:r>
      <w:r>
        <w:t xml:space="preserve"> </w:t>
      </w:r>
      <w:r>
        <w:t>ΔT</w:t>
      </w:r>
      <w:r>
        <w:t xml:space="preserve"> </w:t>
      </w:r>
      <w:r>
        <w:t>广告</w:t>
      </w:r>
      <w:r>
        <w:t xml:space="preserve"> </w:t>
      </w:r>
      <w:r>
        <w:t>在 370 kV cm 的中等磁场下为 9.34 K</w:t>
      </w:r>
      <w:r>
        <w:t xml:space="preserve"> </w:t>
      </w:r>
      <w:r>
        <w:t>−1</w:t>
      </w:r>
      <w:r>
        <w:t xml:space="preserve"> </w:t>
      </w:r>
      <w:r>
        <w:t>，在 90 K 温度窗口内保持稳定，并可承受超过 10</w:t>
      </w:r>
      <w:r>
        <w:rPr>
          <w:vertAlign w:val="subscript"/>
        </w:rPr>
        <w:t>6</w:t>
      </w:r>
      <w:r>
        <w:t>场循环。这一性能为铅基电介质 MLCC 树立了新的基准。通过原子尺度成像和相场模拟，我们揭示了等摩尔中等熵构型会引起协同八面体畸变和偏振纳米区域（PNR），使自由能景观变得平坦并显着降低偏振切换势垒。这项工作建立了一种可推广的策略，即 B 位点中熵来解耦高 EC</w:t>
      </w:r>
    </w:p>
    <w:p>
      <w:pPr>
        <w:spacing w:before="0" w:after="200" w:lineRule="auto" w:line="276"/>
      </w:pPr>
      <w:r>
        <w:rPr>
          <w:b/>
        </w:rPr>
        <w:t xml:space="preserve">Abstract (EN): </w:t>
      </w:r>
      <w:r>
        <w:t>The practical deployment of electrocaloric solid‐state cooling is hindered by a critical materials challenge: achieving a large</w:t>
      </w:r>
      <w:r>
        <w:t xml:space="preserve"> </w:t>
      </w:r>
      <w:r>
        <w:t>ΔT</w:t>
      </w:r>
      <w:r>
        <w:t xml:space="preserve"> </w:t>
      </w:r>
      <w:r>
        <w:t>ad</w:t>
      </w:r>
      <w:r>
        <w:t xml:space="preserve"> </w:t>
      </w:r>
      <w:r>
        <w:t>over a broad, stable temperature range without requiring excessive electric fields. Here, we overcome this limitation through B‐site medium‐entropy engineering in a relaxor ferroelectric multilayer ceramic capacitor (MLCC). The designed Pb(Sc</w:t>
      </w:r>
      <w:r>
        <w:t xml:space="preserve"> </w:t>
      </w:r>
      <w:r>
        <w:t>0.25</w:t>
      </w:r>
      <w:r>
        <w:t xml:space="preserve"> </w:t>
      </w:r>
      <w:r>
        <w:t>Ta</w:t>
      </w:r>
      <w:r>
        <w:t xml:space="preserve"> </w:t>
      </w:r>
      <w:r>
        <w:t>0.25</w:t>
      </w:r>
      <w:r>
        <w:t xml:space="preserve"> </w:t>
      </w:r>
      <w:r>
        <w:t>In</w:t>
      </w:r>
      <w:r>
        <w:t xml:space="preserve"> </w:t>
      </w:r>
      <w:r>
        <w:t>0.25</w:t>
      </w:r>
      <w:r>
        <w:t xml:space="preserve"> </w:t>
      </w:r>
      <w:r>
        <w:t>Nb</w:t>
      </w:r>
      <w:r>
        <w:t xml:space="preserve"> </w:t>
      </w:r>
      <w:r>
        <w:t>0.25</w:t>
      </w:r>
      <w:r>
        <w:t xml:space="preserve"> </w:t>
      </w:r>
      <w:r>
        <w:t>)O</w:t>
      </w:r>
      <w:r>
        <w:rPr>
          <w:vertAlign w:val="subscript"/>
        </w:rPr>
        <w:t>3</w:t>
      </w:r>
      <w:r>
        <w:t>MLCC exhibits a giant directly‐measured</w:t>
      </w:r>
      <w:r>
        <w:t xml:space="preserve"> </w:t>
      </w:r>
      <w:r>
        <w:t>ΔT</w:t>
      </w:r>
      <w:r>
        <w:t xml:space="preserve"> </w:t>
      </w:r>
      <w:r>
        <w:t>ad</w:t>
      </w:r>
      <w:r>
        <w:t xml:space="preserve"> </w:t>
      </w:r>
      <w:r>
        <w:t>of 9.34 K under a moderate field of 370 kV cm</w:t>
      </w:r>
      <w:r>
        <w:t xml:space="preserve"> </w:t>
      </w:r>
      <w:r>
        <w:t>−1</w:t>
      </w:r>
      <w:r>
        <w:t xml:space="preserve"> </w:t>
      </w:r>
      <w:r>
        <w:t>, which remains stable across a 90 K temperature window and withstands over 10</w:t>
      </w:r>
      <w:r>
        <w:rPr>
          <w:vertAlign w:val="subscript"/>
        </w:rPr>
        <w:t>6</w:t>
      </w:r>
      <w:r>
        <w:t>field cycles. This performance sets a new benchmark for lead‐based dielectric MLCCs. Through atomic‐scale imaging and phase‐field simulation, we reveal that the equimolar medium‐entropy configuration induces synergistic octahedral distortions and polarization nanoregions (PNRs), flattening the free‐energy landscape and significantly reducing the polarization‐switching barrier. This work establishes a generalizable strategy that B‐site medium‐entropy to decouple high EC strength from thermal instability, paving the way for high‐performance, practical solid‐state cooling devices.</w:t>
      </w:r>
    </w:p>
    <w:p>
      <w:pPr>
        <w:spacing w:before="120" w:after="120"/>
      </w:pPr>
      <w:r>
        <w:rPr>
          <w:sz w:val="18"/>
        </w:rPr>
        <w:t>——————————————————————————————————————————————————————————————————————</w:t>
      </w:r>
    </w:p>
    <w:p>
      <w:pPr>
        <w:spacing w:before="160" w:after="40" w:line="240" w:lineRule="auto"/>
      </w:pPr>
      <w:r>
        <w:rPr>
          <w:b/>
        </w:rPr>
        <w:t xml:space="preserve">[10] </w:t>
      </w:r>
      <w:hyperlink r:id="rId111">
        <w:r>
          <w:rPr>
            <w:color w:val="1155CC"/>
            <w:u w:val="single"/>
          </w:rPr>
          <w:t>嵌入铁电开关环的反铁电薄膜可产生巨大的负电热效应</w:t>
        </w:r>
      </w:hyperlink>
    </w:p>
    <w:p>
      <w:pPr>
        <w:spacing w:before="0" w:after="80"/>
      </w:pPr>
      <w:r>
        <w:rPr>
          <w:i/>
          <w:sz w:val="20"/>
        </w:rPr>
        <w:t>EN: Antiferroelectric thin films embedded with ferroelectric switching loop for giant negative electrocaloric effect</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112">
        <w:r>
          <w:rPr>
            <w:color w:val="1155CC"/>
            <w:u w:val="single"/>
          </w:rPr>
          <w:t>10.1126/sciadv.aed5447</w:t>
        </w:r>
      </w:hyperlink>
    </w:p>
    <w:p>
      <w:pPr>
        <w:spacing w:before="0" w:after="120"/>
      </w:pPr>
      <w:r>
        <w:rPr>
          <w:b/>
        </w:rPr>
        <w:t xml:space="preserve">Notes: </w:t>
      </w:r>
      <w:r>
        <w:t>abstract_source=crossref</w:t>
      </w:r>
    </w:p>
    <w:p>
      <w:pPr>
        <w:spacing w:before="0" w:after="80" w:lineRule="auto" w:line="276"/>
      </w:pPr>
      <w:r>
        <w:rPr>
          <w:b/>
        </w:rPr>
        <w:t xml:space="preserve">摘要（ZH）: </w:t>
      </w:r>
      <w:r>
        <w:t>铁磁性材料将铁电体的单磁滞回线与反铁电体的双磁滞回线结合起来，形成多个磁滞回线，这可以大大推进能量存储、电热冷却和非易失性多态存储技术。然而，有意稳定连接铁电体非易失性和反铁电体场致相变行为的中间态仍然是一个基本挑战。在这里，我们提出了一种制备锆酸铅（PbZrO</w:t>
      </w:r>
      <w:r>
        <w:rPr>
          <w:vertAlign w:val="subscript"/>
        </w:rPr>
        <w:t>3</w:t>
      </w:r>
      <w:r>
        <w:t>）低温下形成薄膜，在反铁电体中引入稳定的铁电相，实现大电场下的三磁滞回线。微观结构特征表明这种行为归因于 Pb 的存在</w:t>
      </w:r>
      <w:r>
        <w:t xml:space="preserve"> </w:t>
      </w:r>
      <w:r>
        <w:t>锆</w:t>
      </w:r>
      <w:r>
        <w:t xml:space="preserve"> </w:t>
      </w:r>
      <w:r>
        <w:t>反位缺陷充当极序的种子，引起独特的三重（↑↑↓）偶极子调制周期配置。为了证明其应用潜力，我们评估了三磁滞 PbZrO 的电热效应</w:t>
      </w:r>
      <w:r>
        <w:rPr>
          <w:vertAlign w:val="subscript"/>
        </w:rPr>
        <w:t>3</w:t>
      </w:r>
      <w:r>
        <w:t>基于麦克斯韦关系式的薄膜，预测温度变化Δ</w:t>
      </w:r>
      <w:r>
        <w:t xml:space="preserve"> </w:t>
      </w:r>
      <w:r>
        <w:t>时间</w:t>
      </w:r>
      <w:r>
        <w:t xml:space="preserve"> </w:t>
      </w:r>
      <w:r>
        <w:t>可以达到 -23.76 开尔文，与双磁滞 PbZrO 相比增强了约 600%</w:t>
      </w:r>
      <w:r>
        <w:rPr>
          <w:vertAlign w:val="subscript"/>
        </w:rPr>
        <w:t>3</w:t>
      </w:r>
      <w:r>
        <w:t>反铁电薄膜。这些发现建立了一种在反铁电体中嵌入稳定铁电开关的设计范式，这可能会释放更多机会</w:t>
      </w:r>
    </w:p>
    <w:p>
      <w:pPr>
        <w:spacing w:before="0" w:after="200" w:lineRule="auto" w:line="276"/>
      </w:pPr>
      <w:r>
        <w:rPr>
          <w:b/>
        </w:rPr>
        <w:t xml:space="preserve">Abstract (EN): </w:t>
      </w:r>
      <w:r>
        <w:t>The ferroics combine the single-hysteresis loop of ferroelectrics with the double-hysteresis loop of antiferroelectrics to form multiple hysteresis loops, which could substantially advance energy storage, electrocaloric cooling, and nonvolatile multistate memory technologies. However, the intentional stabilization of intermediate states that bridge the nonvolatility of ferroelectrics and the field-induced phase transition behavior of antiferroelectrics remains a fundamental challenge. Here, we propose a strategy for preparing lead zirconate (PbZrO</w:t>
      </w:r>
      <w:r>
        <w:rPr>
          <w:vertAlign w:val="subscript"/>
        </w:rPr>
        <w:t>3</w:t>
      </w:r>
      <w:r>
        <w:t>) thin film at low temperature, introducing a stable ferrielectric phase within the antiferroelectric to achieve triple-hysteresis loop under large electric fields. Microstructural features reveal that this behavior is attributable to the presence of Pb</w:t>
      </w:r>
      <w:r>
        <w:t xml:space="preserve"> </w:t>
      </w:r>
      <w:r>
        <w:t>Zr</w:t>
      </w:r>
      <w:r>
        <w:t xml:space="preserve"> </w:t>
      </w:r>
      <w:r>
        <w:t>antisite defects acting as seeds for polar order, which induce the distinctive triple (↑↑↓) dipole modulation period configuration. To demonstrate the application potential, we evaluated the electrocaloric effect of triple-hysteresis PbZrO</w:t>
      </w:r>
      <w:r>
        <w:rPr>
          <w:vertAlign w:val="subscript"/>
        </w:rPr>
        <w:t>3</w:t>
      </w:r>
      <w:r>
        <w:t>thin film based on Maxwell’s relations, the predicted temperature change Δ</w:t>
      </w:r>
      <w:r>
        <w:t xml:space="preserve"> </w:t>
      </w:r>
      <w:r>
        <w:t>T</w:t>
      </w:r>
      <w:r>
        <w:t xml:space="preserve"> </w:t>
      </w:r>
      <w:r>
        <w:t>can reach −23.76 kelvins, which is ~600% enhancement compared to double-hysteresis PbZrO</w:t>
      </w:r>
      <w:r>
        <w:rPr>
          <w:vertAlign w:val="subscript"/>
        </w:rPr>
        <w:t>3</w:t>
      </w:r>
      <w:r>
        <w:t>antiferroelectric thin films. These findings establish a design paradigm for embedding stable ferroelectric switching within antiferroelectrics, which may unlock opportunities for developing high-density energy storage, nonvolatile multistate memory, and highly efficient switching devices.</w:t>
      </w:r>
    </w:p>
    <w:p>
      <w:pPr>
        <w:spacing w:before="120" w:after="120"/>
      </w:pPr>
      <w:r>
        <w:rPr>
          <w:sz w:val="18"/>
        </w:rPr>
        <w:t>——————————————————————————————————————————————————————————————————————</w:t>
      </w:r>
    </w:p>
    <w:p>
      <w:pPr>
        <w:spacing w:before="160" w:after="40" w:line="240" w:lineRule="auto"/>
      </w:pPr>
      <w:r>
        <w:rPr>
          <w:b/>
        </w:rPr>
        <w:t xml:space="preserve">[11] </w:t>
      </w:r>
      <w:hyperlink r:id="rId130">
        <w:r>
          <w:rPr>
            <w:color w:val="1155CC"/>
            <w:u w:val="single"/>
          </w:rPr>
          <w:t>具有亚晶格软化功能的卓越稀土半赫斯勒热电材料</w:t>
        </w:r>
      </w:hyperlink>
    </w:p>
    <w:p>
      <w:pPr>
        <w:spacing w:before="0" w:after="80"/>
      </w:pPr>
      <w:r>
        <w:rPr>
          <w:i/>
          <w:sz w:val="20"/>
        </w:rPr>
        <w:t>EN: Exceptional Rare‐Earth Half‐Heusler Thermoelectrics With Sublattice Softening</w:t>
      </w:r>
    </w:p>
    <w:p>
      <w:pPr>
        <w:spacing w:before="0" w:after="120"/>
      </w:pPr>
      <w:r>
        <w:rPr>
          <w:b/>
        </w:rPr>
        <w:t xml:space="preserve">Source: </w:t>
      </w:r>
      <w:r>
        <w:t>Wiley: Advanced Materials: Table of Contents</w:t>
      </w:r>
      <w:r>
        <w:t xml:space="preserve">    </w:t>
      </w:r>
      <w:r>
        <w:rPr>
          <w:b/>
        </w:rPr>
        <w:t xml:space="preserve">Pub date: </w:t>
      </w:r>
      <w:r>
        <w:t>2026-07-01 10:36:04+00:00</w:t>
      </w:r>
      <w:r>
        <w:t xml:space="preserve">    </w:t>
      </w:r>
      <w:r>
        <w:rPr>
          <w:b/>
        </w:rPr>
        <w:t xml:space="preserve">DOI: </w:t>
      </w:r>
      <w:hyperlink r:id="rId131">
        <w:r>
          <w:rPr>
            <w:color w:val="1155CC"/>
            <w:u w:val="single"/>
          </w:rPr>
          <w:t>10.1002/adma.73841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Half-Heusler (HH) 化合物是有前景的热电 (TE) 材料，但其本质上具有较高的晶格热导率（</w:t>
      </w:r>
      <w:r>
        <w:t xml:space="preserve"> </w:t>
      </w:r>
      <w:r>
        <w:t>κ</w:t>
      </w:r>
      <w:r>
        <w:t xml:space="preserve"> </w:t>
      </w:r>
      <w:r>
        <w:t>L</w:t>
      </w:r>
      <w:r>
        <w:t xml:space="preserve"> </w:t>
      </w:r>
      <w:r>
        <w:t>) 限制了 TE 性能。在这里，我们报告了亚晶格软化引起的本质上低</w:t>
      </w:r>
      <w:r>
        <w:t xml:space="preserve"> </w:t>
      </w:r>
      <w:r>
        <w:t>κ</w:t>
      </w:r>
      <w:r>
        <w:t xml:space="preserve"> </w:t>
      </w:r>
      <w:r>
        <w:t>L</w:t>
      </w:r>
      <w:r>
        <w:t xml:space="preserve"> </w:t>
      </w:r>
      <w:r>
        <w:t>以及先前未充分开发的含有稀土 (RE) 的 HH 中的特殊热电特性。与传统的非稀土 HH 不同，RE-HH 中软化的稀土基晶格框架能够使 4c 亚晶格内的原子剧烈振动，从而增强晶格非谐性和声子阻尼。当较重的元素占据 4c 子晶格时，这种效应可以进一步放大，有效地抑制声学和光学声子传播，并导致显着降低</w:t>
      </w:r>
      <w:r>
        <w:t xml:space="preserve"> </w:t>
      </w:r>
      <w:r>
        <w:t>κ</w:t>
      </w:r>
      <w:r>
        <w:t xml:space="preserve"> </w:t>
      </w:r>
      <w:r>
        <w:t>L</w:t>
      </w:r>
      <w:r>
        <w:t xml:space="preserve"> </w:t>
      </w:r>
      <w:r>
        <w:t>。借力低位</w:t>
      </w:r>
      <w:r>
        <w:t xml:space="preserve"> </w:t>
      </w:r>
      <w:r>
        <w:t>κ</w:t>
      </w:r>
      <w:r>
        <w:t xml:space="preserve"> </w:t>
      </w:r>
      <w:r>
        <w:t>L</w:t>
      </w:r>
      <w:r>
        <w:t xml:space="preserve"> </w:t>
      </w:r>
      <w:r>
        <w:t>，我们确定了四种 RE-HH——DyPtSb、Y</w:t>
      </w:r>
      <w:r>
        <w:t xml:space="preserve"> </w:t>
      </w:r>
      <w:r>
        <w:t>0.7</w:t>
      </w:r>
      <w:r>
        <w:t xml:space="preserve"> </w:t>
      </w:r>
      <w:r>
        <w:t>卢</w:t>
      </w:r>
      <w:r>
        <w:t xml:space="preserve"> </w:t>
      </w:r>
      <w:r>
        <w:t>0.3</w:t>
      </w:r>
      <w:r>
        <w:t xml:space="preserve"> </w:t>
      </w:r>
      <w:r>
        <w:t>铂锑、钪</w:t>
      </w:r>
      <w:r>
        <w:t xml:space="preserve"> </w:t>
      </w:r>
      <w:r>
        <w:t>0.6</w:t>
      </w:r>
      <w:r>
        <w:t xml:space="preserve"> </w:t>
      </w:r>
      <w:r>
        <w:t>卢</w:t>
      </w:r>
      <w:r>
        <w:t xml:space="preserve"> </w:t>
      </w:r>
      <w:r>
        <w:t>0.4</w:t>
      </w:r>
      <w:r>
        <w:t xml:space="preserve"> </w:t>
      </w:r>
      <w:r>
        <w:t>PtSb 和 Dy</w:t>
      </w:r>
      <w:r>
        <w:t xml:space="preserve"> </w:t>
      </w:r>
      <w:r>
        <w:t>0.7</w:t>
      </w:r>
      <w:r>
        <w:t xml:space="preserve"> </w:t>
      </w:r>
      <w:r>
        <w:t>是</w:t>
      </w:r>
      <w:r>
        <w:t xml:space="preserve"> </w:t>
      </w:r>
      <w:r>
        <w:t>0.3</w:t>
      </w:r>
      <w:r>
        <w:t xml:space="preserve"> </w:t>
      </w:r>
      <w:r>
        <w:t>PtSb—有峰</w:t>
      </w:r>
      <w:r>
        <w:t xml:space="preserve"> </w:t>
      </w:r>
      <w:r>
        <w:t>zT</w:t>
      </w:r>
      <w:r>
        <w:t xml:space="preserve"> </w:t>
      </w:r>
      <w:r>
        <w:t>值超过 1.0。值得注意的是，戴</w:t>
      </w:r>
      <w:r>
        <w:t xml:space="preserve"> </w:t>
      </w:r>
      <w:r>
        <w:t>0.7</w:t>
      </w:r>
      <w:r>
        <w:t xml:space="preserve"> </w:t>
      </w:r>
      <w:r>
        <w:t>是</w:t>
      </w:r>
      <w:r>
        <w:t xml:space="preserve"> </w:t>
      </w:r>
      <w:r>
        <w:t>0.3</w:t>
      </w:r>
      <w:r>
        <w:t xml:space="preserve"> </w:t>
      </w:r>
      <w:r>
        <w:t>PtSb 达到最大值</w:t>
      </w:r>
      <w:r>
        <w:t xml:space="preserve"> </w:t>
      </w:r>
      <w:r>
        <w:t>zT</w:t>
      </w:r>
    </w:p>
    <w:p>
      <w:pPr>
        <w:spacing w:before="0" w:after="200" w:lineRule="auto" w:line="276"/>
      </w:pPr>
      <w:r>
        <w:rPr>
          <w:b/>
        </w:rPr>
        <w:t xml:space="preserve">Abstract (EN): </w:t>
      </w:r>
      <w:r>
        <w:t>Half‐Heusler (HH) compounds are promising thermoelectric (TE) materials, but their intrinsically high lattice thermal conductivity (</w:t>
      </w:r>
      <w:r>
        <w:t xml:space="preserve"> </w:t>
      </w:r>
      <w:r>
        <w:t>κ</w:t>
      </w:r>
      <w:r>
        <w:t xml:space="preserve"> </w:t>
      </w:r>
      <w:r>
        <w:t>L</w:t>
      </w:r>
      <w:r>
        <w:t xml:space="preserve"> </w:t>
      </w:r>
      <w:r>
        <w:t>) limits TE performance. Here, we report sublattice softening‐induced intrinsically low</w:t>
      </w:r>
      <w:r>
        <w:t xml:space="preserve"> </w:t>
      </w:r>
      <w:r>
        <w:t>κ</w:t>
      </w:r>
      <w:r>
        <w:t xml:space="preserve"> </w:t>
      </w:r>
      <w:r>
        <w:t>L</w:t>
      </w:r>
      <w:r>
        <w:t xml:space="preserve"> </w:t>
      </w:r>
      <w:r>
        <w:t>and exceptional thermoelectricity in the previously underexplored rare‐earth (RE) containing HHs. Unlike conventional non‐RE HHs, the softened RE‐based lattice framework in RE‐HHs enables vigorous atom vibration within the 4c sublattice, strengthening lattice anharmonicity and phonon damping. This effect can be further amplified when heavier elements occupy the 4c sublattice, effectively suppressing both acoustic and optical phonon propagation and resulting in a pronounced reduction in</w:t>
      </w:r>
      <w:r>
        <w:t xml:space="preserve"> </w:t>
      </w:r>
      <w:r>
        <w:t>κ</w:t>
      </w:r>
      <w:r>
        <w:t xml:space="preserve"> </w:t>
      </w:r>
      <w:r>
        <w:t>L</w:t>
      </w:r>
      <w:r>
        <w:t xml:space="preserve"> </w:t>
      </w:r>
      <w:r>
        <w:t>. Leveraging the low</w:t>
      </w:r>
      <w:r>
        <w:t xml:space="preserve"> </w:t>
      </w:r>
      <w:r>
        <w:t>κ</w:t>
      </w:r>
      <w:r>
        <w:t xml:space="preserve"> </w:t>
      </w:r>
      <w:r>
        <w:t>L</w:t>
      </w:r>
      <w:r>
        <w:t xml:space="preserve"> </w:t>
      </w:r>
      <w:r>
        <w:t>, we identify four RE‐HHs—DyPtSb, Y</w:t>
      </w:r>
      <w:r>
        <w:t xml:space="preserve"> </w:t>
      </w:r>
      <w:r>
        <w:t>0.7</w:t>
      </w:r>
      <w:r>
        <w:t xml:space="preserve"> </w:t>
      </w:r>
      <w:r>
        <w:t>Lu</w:t>
      </w:r>
      <w:r>
        <w:t xml:space="preserve"> </w:t>
      </w:r>
      <w:r>
        <w:t>0.3</w:t>
      </w:r>
      <w:r>
        <w:t xml:space="preserve"> </w:t>
      </w:r>
      <w:r>
        <w:t>PtSb, Sc</w:t>
      </w:r>
      <w:r>
        <w:t xml:space="preserve"> </w:t>
      </w:r>
      <w:r>
        <w:t>0.6</w:t>
      </w:r>
      <w:r>
        <w:t xml:space="preserve"> </w:t>
      </w:r>
      <w:r>
        <w:t>Lu</w:t>
      </w:r>
      <w:r>
        <w:t xml:space="preserve"> </w:t>
      </w:r>
      <w:r>
        <w:t>0.4</w:t>
      </w:r>
      <w:r>
        <w:t xml:space="preserve"> </w:t>
      </w:r>
      <w:r>
        <w:t>PtSb, and Dy</w:t>
      </w:r>
      <w:r>
        <w:t xml:space="preserve"> </w:t>
      </w:r>
      <w:r>
        <w:t>0.7</w:t>
      </w:r>
      <w:r>
        <w:t xml:space="preserve"> </w:t>
      </w:r>
      <w:r>
        <w:t>Y</w:t>
      </w:r>
      <w:r>
        <w:t xml:space="preserve"> </w:t>
      </w:r>
      <w:r>
        <w:t>0.3</w:t>
      </w:r>
      <w:r>
        <w:t xml:space="preserve"> </w:t>
      </w:r>
      <w:r>
        <w:t>PtSb—with peak</w:t>
      </w:r>
      <w:r>
        <w:t xml:space="preserve"> </w:t>
      </w:r>
      <w:r>
        <w:t>zT</w:t>
      </w:r>
      <w:r>
        <w:t xml:space="preserve"> </w:t>
      </w:r>
      <w:r>
        <w:t>values exceeding 1.0. Notably, Dy</w:t>
      </w:r>
      <w:r>
        <w:t xml:space="preserve"> </w:t>
      </w:r>
      <w:r>
        <w:t>0.7</w:t>
      </w:r>
      <w:r>
        <w:t xml:space="preserve"> </w:t>
      </w:r>
      <w:r>
        <w:t>Y</w:t>
      </w:r>
      <w:r>
        <w:t xml:space="preserve"> </w:t>
      </w:r>
      <w:r>
        <w:t>0.3</w:t>
      </w:r>
      <w:r>
        <w:t xml:space="preserve"> </w:t>
      </w:r>
      <w:r>
        <w:t>PtSb achieves a maximum</w:t>
      </w:r>
      <w:r>
        <w:t xml:space="preserve"> </w:t>
      </w:r>
      <w:r>
        <w:t>zT</w:t>
      </w:r>
      <w:r>
        <w:t xml:space="preserve"> </w:t>
      </w:r>
      <w:r>
        <w:t>of 1.33 at 875 K. These findings underscore the promising potential of sublattice‐softened RE‐HHs as highly efficient thermoelectrics with broad compositional tunability.</w:t>
      </w:r>
    </w:p>
    <w:p>
      <w:pPr>
        <w:spacing w:before="120" w:after="120"/>
      </w:pPr>
      <w:r>
        <w:rPr>
          <w:sz w:val="18"/>
        </w:rPr>
        <w:t>——————————————————————————————————————————————————————————————————————</w:t>
      </w:r>
    </w:p>
    <w:p>
      <w:pPr>
        <w:spacing w:before="160" w:after="40" w:line="240" w:lineRule="auto"/>
      </w:pPr>
      <w:r>
        <w:rPr>
          <w:b/>
        </w:rPr>
        <w:t xml:space="preserve">[12] </w:t>
      </w:r>
      <w:hyperlink r:id="rId132">
        <w:r>
          <w:rPr>
            <w:color w:val="1155CC"/>
            <w:u w:val="single"/>
          </w:rPr>
          <w:t>建筑环境的被动冷却</w:t>
        </w:r>
      </w:hyperlink>
    </w:p>
    <w:p>
      <w:pPr>
        <w:spacing w:before="0" w:after="80"/>
      </w:pPr>
      <w:r>
        <w:rPr>
          <w:i/>
          <w:sz w:val="20"/>
        </w:rPr>
        <w:t>EN: Passive cooling for the built environment</w:t>
      </w:r>
    </w:p>
    <w:p>
      <w:pPr>
        <w:spacing w:before="0" w:after="120"/>
      </w:pPr>
      <w:r>
        <w:rPr>
          <w:b/>
        </w:rPr>
        <w:t xml:space="preserve">Source: </w:t>
      </w:r>
      <w:r>
        <w:t>Nature Reviews Clean Technology</w:t>
      </w:r>
      <w:r>
        <w:t xml:space="preserve">    </w:t>
      </w:r>
      <w:r>
        <w:rPr>
          <w:b/>
        </w:rPr>
        <w:t xml:space="preserve">Pub date: </w:t>
      </w:r>
      <w:r>
        <w:t>2026-07-02 00:00:00+00:00</w:t>
      </w:r>
      <w:r>
        <w:t xml:space="preserve">    </w:t>
      </w:r>
      <w:r>
        <w:rPr>
          <w:b/>
        </w:rPr>
        <w:t xml:space="preserve">DOI: </w:t>
      </w:r>
      <w:hyperlink r:id="rId133">
        <w:r>
          <w:rPr>
            <w:color w:val="1155CC"/>
            <w:u w:val="single"/>
          </w:rPr>
          <w:t>10.1038/s44359-026-00177-y</w:t>
        </w:r>
      </w:hyperlink>
    </w:p>
    <w:p>
      <w:pPr>
        <w:spacing w:before="0" w:after="120"/>
      </w:pPr>
      <w:r>
        <w:rPr>
          <w:b/>
        </w:rPr>
        <w:t xml:space="preserve">Notes: </w:t>
      </w:r>
      <w:r>
        <w:t>abstract_source=nature_html</w:t>
      </w:r>
    </w:p>
    <w:p>
      <w:pPr>
        <w:spacing w:before="0" w:after="80" w:lineRule="auto" w:line="276"/>
      </w:pPr>
      <w:r>
        <w:rPr>
          <w:b/>
        </w:rPr>
        <w:t xml:space="preserve">摘要（ZH）: </w:t>
      </w:r>
      <w:r>
        <w:t>被动冷却技术可减少建筑物和公共空间的热量和太阳能增益，同时消散多余的热量。这种方法可以减少机械空调的影响，机械空调会影响环境并消耗电力，从而导致高峰需求和电网压力。在这篇综述中，我们讨论了被动冷却技术的进展，重点关注智能太阳能控制、通风以及辐射、蒸发和混合耗散系统。这些技术处于不同的开发和部署阶段，从通风冷却和太阳能控制等技术成熟的方法到用于被动和辐射冷却的新兴材料。每种技术都有优点和缺点。通风、辐射和蒸发冷却的能源消耗较低，但其有效性取决于气候、时间和空气质量。太阳能控制可提高热舒适度，但需要维护或具有设计限制。这些技术的实施可以减少与制冷相关的能源消耗，并为那些负担得起的制冷资源有限的社区提供热舒适度。然而，温度和湿度变化的增加可能会挑战它们的有效性。需要制定政策来鼓励目前依赖机械冷却的社区采用被动冷却方法，并为那些缺乏冷却途径的社区提供支持。</w:t>
      </w:r>
    </w:p>
    <w:p>
      <w:pPr>
        <w:spacing w:before="0" w:after="200" w:lineRule="auto" w:line="276"/>
      </w:pPr>
      <w:r>
        <w:rPr>
          <w:b/>
        </w:rPr>
        <w:t xml:space="preserve">Abstract (EN): </w:t>
      </w:r>
      <w:r>
        <w:t>Passive cooling technologies reduce heat and solar gains in buildings and public spaces while dissipating excess heat. This approach could reduce impacts of mechanical air conditioning, which has environmental impacts and consumes electricity, contributing to peak demand and grid stress. In this Review, we discuss advances in passive cooling technologies, focusing on smart solar control, ventilation, and radiative, evaporative and hybrid dissipation systems. These technologies are at different stages of development and deployment, ranging from technologically mature approaches such as ventilative cooling and solar control to emerging materials for passive and radiative cooling. Each technology has benefits and trade-offs. Ventilative, radiative and evaporative cooling have low energy use, but their effectiveness is dependent on climate, timing and air quality. Solar control improves thermal comfort, requires maintenance or has design constraints. Implementation of these technologies can reduce cooling-related energy consumption and provide thermal comfort in communities where access to affordable cooling is limited. However, increasing temperatures and humidity changes could challenge their effectiveness. Policies are needed to encourage uptake of passive cooling approaches in communities that currently rely on mechanical cooling and enable uptake for those that lack cooling access.</w:t>
      </w:r>
    </w:p>
    <w:p>
      <w:pPr>
        <w:spacing w:before="120" w:after="120"/>
      </w:pPr>
      <w:r>
        <w:rPr>
          <w:sz w:val="18"/>
        </w:rPr>
        <w:t>——————————————————————————————————————————————————————————————————————</w:t>
      </w:r>
    </w:p>
    <w:p>
      <w:pPr>
        <w:spacing w:before="160" w:after="120"/>
      </w:pPr>
      <w:r>
        <w:rPr>
          <w:b/>
          <w:sz w:val="28"/>
        </w:rPr>
        <w:t>【核能】</w:t>
      </w:r>
    </w:p>
    <w:p>
      <w:pPr>
        <w:spacing w:before="160" w:after="40" w:line="240" w:lineRule="auto"/>
      </w:pPr>
      <w:r>
        <w:rPr>
          <w:b/>
        </w:rPr>
        <w:t xml:space="preserve">[1] </w:t>
      </w:r>
      <w:hyperlink r:id="rId134">
        <w:r>
          <w:rPr>
            <w:color w:val="1155CC"/>
            <w:u w:val="single"/>
          </w:rPr>
          <w:t>基于深度学习的核电厂健康监测和预测：系统评价</w:t>
        </w:r>
      </w:hyperlink>
    </w:p>
    <w:p>
      <w:pPr>
        <w:spacing w:before="0" w:after="80"/>
      </w:pPr>
      <w:r>
        <w:rPr>
          <w:i/>
          <w:sz w:val="20"/>
        </w:rPr>
        <w:t>EN: Deep learning-based health monitoring and prognostics for nuclear power plants: a systematic review</w:t>
      </w:r>
    </w:p>
    <w:p>
      <w:pPr>
        <w:spacing w:before="0" w:after="120"/>
      </w:pPr>
      <w:r>
        <w:rPr>
          <w:b/>
        </w:rPr>
        <w:t xml:space="preserve">Source: </w:t>
      </w:r>
      <w:r>
        <w:t>ScienceDirect Publication: Applied Energy</w:t>
      </w:r>
      <w:r>
        <w:t xml:space="preserve">    </w:t>
      </w:r>
      <w:r>
        <w:rPr>
          <w:b/>
        </w:rPr>
        <w:t xml:space="preserve">Pub date: </w:t>
      </w:r>
      <w:r>
        <w:t>2026-06-28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35">
        <w:r>
          <w:rPr>
            <w:color w:val="1155CC"/>
            <w:u w:val="single"/>
          </w:rPr>
          <w:t>大型螺旋装置等离子体控制和物理研究的最新进展</w:t>
        </w:r>
      </w:hyperlink>
    </w:p>
    <w:p>
      <w:pPr>
        <w:spacing w:before="0" w:after="80"/>
      </w:pPr>
      <w:r>
        <w:rPr>
          <w:i/>
          <w:sz w:val="20"/>
        </w:rPr>
        <w:t>EN: Recent advances in plasma control and physics research in the Large Helical Device</w:t>
      </w:r>
    </w:p>
    <w:p>
      <w:pPr>
        <w:spacing w:before="0" w:after="120"/>
      </w:pPr>
      <w:r>
        <w:rPr>
          <w:b/>
        </w:rPr>
        <w:t xml:space="preserve">Source: </w:t>
      </w:r>
      <w:r>
        <w:t>Nuclear Fusion - latest papers</w:t>
      </w:r>
      <w:r>
        <w:t xml:space="preserve">    </w:t>
      </w:r>
      <w:r>
        <w:rPr>
          <w:b/>
        </w:rPr>
        <w:t xml:space="preserve">Pub date: </w:t>
      </w:r>
      <w:r>
        <w:t>2026-06-28 23:00:00+00:00</w:t>
      </w:r>
      <w:r>
        <w:t xml:space="preserve">    </w:t>
      </w:r>
      <w:r>
        <w:rPr>
          <w:b/>
        </w:rPr>
        <w:t xml:space="preserve">DOI: </w:t>
      </w:r>
      <w:hyperlink r:id="rId136">
        <w:r>
          <w:rPr>
            <w:color w:val="1155CC"/>
            <w:u w:val="single"/>
          </w:rPr>
          <w:t>10.1088/1741-4326/ae71eb</w:t>
        </w:r>
      </w:hyperlink>
    </w:p>
    <w:p>
      <w:pPr>
        <w:spacing w:before="0" w:after="120"/>
      </w:pPr>
      <w:r>
        <w:rPr>
          <w:b/>
        </w:rPr>
        <w:t xml:space="preserve">Notes: </w:t>
      </w:r>
      <w:r>
        <w:t>abstract_source=rss_description</w:t>
      </w:r>
    </w:p>
    <w:p>
      <w:pPr>
        <w:spacing w:before="0" w:after="80" w:lineRule="auto" w:line="276"/>
      </w:pPr>
      <w:r>
        <w:rPr>
          <w:b/>
        </w:rPr>
        <w:t xml:space="preserve">摘要（ZH）: </w:t>
      </w:r>
      <w:r>
        <w:t>大型螺旋装置（LHD）是世界上最大的超导螺旋系统，配备了先进的加热和诊断工具，促进等离子体控制和物理研究。使用实时汤姆逊散射系统和实时预测代码，采用数据同化来控制电子温度。虚拟 LHD 环境能够可视化逃逸的高能氚离子，并证明这些离子会撞击偏滤器板的后侧。还取得了对等离子体控制至关重要的开创性成果。使用锂颗粒滴落的实时壁调节改善了本体离子能量和颗粒传输，同时增强了重杂质传输。湍流驱动的运输的研究也取得了进展。在约束分岔处，离子尺度湍流减少，而电子尺度湍流增加。在约束分叉处还观察到湍流涡流各向异性的变化。在电子尺度湍流中发现了局部和非局部湍流的共存。非局部湍流表现出扰动在整个等离子体中的快速空间传播，而局部湍流则遵循温度梯度。观察到漂移波湍流和磁流体动力学 (MHD) 湍流之间的转变，并且在转变条件下湍流最小化。采用机器学习分析来评估这种湍流转变的温度和密度条件。然后，对加油和加热进行实时控制。</w:t>
      </w:r>
    </w:p>
    <w:p>
      <w:pPr>
        <w:spacing w:before="0" w:after="200" w:lineRule="auto" w:line="276"/>
      </w:pPr>
      <w:r>
        <w:rPr>
          <w:b/>
        </w:rPr>
        <w:t xml:space="preserve">Abstract (EN): </w:t>
      </w:r>
      <w:r>
        <w:t>The Large Helical Device (LHD), the largest superconducting helical system in the world, is equipped with advanced heating and diagnostic tools, facilitating plasma control and physics research. Data assimilation was employed for electron temperature control using a real-time Thomson scattering system and real time prediction code. A virtual LHD environment enabled visualization of escaping high-energy tritium ions and demonstrated that these ions impact the rear side of the divertor plate. Pioneering results crucial to plasma control have also been achieved. Real-time wall conditioning using Lithium granule dropping improved bulk ion energy and particle transport while simultaneously enhancing the heavy impurity transport. Progress has also been made in the investigation of turbulence-driven transport. At the confinement bifurcation, ion-scale turbulence decreased, while electron-scale turbulence increased. A change in the anisotropy of turbulent eddies was also observed at the confinement bifurcation. Coexistence of local and non-local turbulence was identified in electron-scale turbulence. Non-local turbulence exhibited the rapid spatial propagation of perturbations throughout the plasma, while local turbulence followed the temperature gradient. A transition between drift-wave turbulence and magnetohydrodynamics (MHD) turbulence was observed with the turbulence minimized at the transition condition. Machine learning analysis was employed to evaluate the temperate and density conditions of this turbulence transition. Then, real-time control of fueling and heating was applied to maintain the turbulence transition condition, improving the energy confinement enhancement factor by 20%. In addition, evidence was obtained for collisionless ion heating by energetic-ion-driven geodesic acoustic modes and MHD bursts. These achievements represent unique contributions to the development of fusion reactors.</w:t>
      </w:r>
    </w:p>
    <w:p>
      <w:pPr>
        <w:spacing w:before="120" w:after="120"/>
      </w:pPr>
      <w:r>
        <w:rPr>
          <w:sz w:val="18"/>
        </w:rPr>
        <w:t>——————————————————————————————————————————————————————————————————————</w:t>
      </w:r>
    </w:p>
    <w:p>
      <w:pPr>
        <w:spacing w:before="160" w:after="40" w:line="240" w:lineRule="auto"/>
      </w:pPr>
      <w:r>
        <w:rPr>
          <w:b/>
        </w:rPr>
        <w:t xml:space="preserve">[3] </w:t>
      </w:r>
      <w:hyperlink r:id="rId137">
        <w:r>
          <w:rPr>
            <w:color w:val="1155CC"/>
            <w:u w:val="single"/>
          </w:rPr>
          <w:t>HL-2A托卡马克边缘等离子体多尺度波动之间的非线性能量传递</w:t>
        </w:r>
      </w:hyperlink>
    </w:p>
    <w:p>
      <w:pPr>
        <w:spacing w:before="0" w:after="80"/>
      </w:pPr>
      <w:r>
        <w:rPr>
          <w:i/>
          <w:sz w:val="20"/>
        </w:rPr>
        <w:t>EN: Nonlinear energy transfer between multi-scale fluctuations in HL-2A tokamak edge plasmas</w:t>
      </w:r>
    </w:p>
    <w:p>
      <w:pPr>
        <w:spacing w:before="0" w:after="120"/>
      </w:pPr>
      <w:r>
        <w:rPr>
          <w:b/>
        </w:rPr>
        <w:t xml:space="preserve">Source: </w:t>
      </w:r>
      <w:r>
        <w:t>Nuclear Fusion - latest papers</w:t>
      </w:r>
      <w:r>
        <w:t xml:space="preserve">    </w:t>
      </w:r>
      <w:r>
        <w:rPr>
          <w:b/>
        </w:rPr>
        <w:t xml:space="preserve">Pub date: </w:t>
      </w:r>
      <w:r>
        <w:t>2026-06-28 23:00:00+00:00</w:t>
      </w:r>
      <w:r>
        <w:t xml:space="preserve">    </w:t>
      </w:r>
      <w:r>
        <w:rPr>
          <w:b/>
        </w:rPr>
        <w:t xml:space="preserve">DOI: </w:t>
      </w:r>
      <w:hyperlink r:id="rId138">
        <w:r>
          <w:rPr>
            <w:color w:val="1155CC"/>
            <w:u w:val="single"/>
          </w:rPr>
          <w:t>10.1088/1741-4326/ae7a8f</w:t>
        </w:r>
      </w:hyperlink>
    </w:p>
    <w:p>
      <w:pPr>
        <w:spacing w:before="0" w:after="120"/>
      </w:pPr>
      <w:r>
        <w:rPr>
          <w:b/>
        </w:rPr>
        <w:t xml:space="preserve">Notes: </w:t>
      </w:r>
      <w:r>
        <w:t>abstract_source=rss_description</w:t>
      </w:r>
    </w:p>
    <w:p>
      <w:pPr>
        <w:spacing w:before="0" w:after="80" w:lineRule="auto" w:line="276"/>
      </w:pPr>
      <w:r>
        <w:rPr>
          <w:b/>
        </w:rPr>
        <w:t xml:space="preserve">摘要（ZH）: </w:t>
      </w:r>
      <w:r>
        <w:t>等离子体湍流是决定等离子体传输行为的关键因素。本研究基于HL-2A边缘等离子体湍流实验，通过观察湍流系统内的逆能量级联、能量级联和双级联等现象，研究多尺度波动之间的非线性能量传递。这是托卡马克边缘等离子体湍流中非线性能量传递的全面图景。采用两点法对湍流谱数据进行实验测量，并采用双谱分析进行数据分析。在边缘等离子体中，一个典型的情况是能量从小尺度（高频区域）级联到大尺度结构（低频区域）。所谓逆向能量转移可以引发或加强大规模波动。在另一种情况下，低频湍流中的一定部分（约25%）能量级联到高频湍流，表明宽带自由能通过非线性和大尺度势涨落的耦合传递到更小的尺度，导致涡量减少并转变为高频湍流。在第三种情况下，在两个频率区域中，相对低频和相对高频湍流中的能量分别级联和反向级联到中频湍流，促进了后者的发展。观察到集中的三波耦合区域，它沿对角线分布在平面周围，其中 和 代表模式频率。最后，一些布里</w:t>
      </w:r>
    </w:p>
    <w:p>
      <w:pPr>
        <w:spacing w:before="0" w:after="200" w:lineRule="auto" w:line="276"/>
      </w:pPr>
      <w:r>
        <w:rPr>
          <w:b/>
        </w:rPr>
        <w:t xml:space="preserve">Abstract (EN): </w:t>
      </w:r>
      <w:r>
        <w:t>Plasma turbulence is a key factor in determining plasma transport behavior. Based on HL-2A edge plasma turbulence experiments, this study investigates nonlinear energy transfers among multi-scale fluctuations by observing phenomena such as inverse energy cascade, energy cascade, and dual cascade within turbulent systems. This is a comprehensive picture of the nonlinear energy transfer in tokamak edge-plasma turbulence. The turbulence spectral data were measured experimentally using the two-point method, and bispectral analysis was applied for data analysis. In edge plasma, a typical case is that the energy cascades from small-scale (in the high-frequency region) to large-scale structures (in the low-frequency region). The so-called inverse energy transfer can trigger or strengthen large-scale fluctuations. In another case, a certain portion (approximately 25%) of the energy in low-frequency turbulence cascades to higher-frequency turbulence, indicating that broadband free energy is transmitted to smaller scales through the coupling of nonlinearity and large-scale potential fluctuations, causing the vortices to decrease and transform into higher-frequency turbulence. In the third case, in the two frequency regions, the energy in the relatively low-frequency and relatively high-frequency turbulence cascades and inversely cascades to medium-frequency turbulence, respectively, promotes the development of the latter. A concentrated three-wave coupling region is observed and it is distributed diagonally around the plane, where and represent the mode frequencies. Finally, some brief discussions were held on the relevant results.</w:t>
      </w:r>
    </w:p>
    <w:p>
      <w:pPr>
        <w:spacing w:before="120" w:after="120"/>
      </w:pPr>
      <w:r>
        <w:rPr>
          <w:sz w:val="18"/>
        </w:rPr>
        <w:t>——————————————————————————————————————————————————————————————————————</w:t>
      </w:r>
    </w:p>
    <w:p>
      <w:pPr>
        <w:spacing w:before="160" w:after="40" w:line="240" w:lineRule="auto"/>
      </w:pPr>
      <w:r>
        <w:rPr>
          <w:b/>
        </w:rPr>
        <w:t xml:space="preserve">[4] </w:t>
      </w:r>
      <w:hyperlink r:id="rId139">
        <w:r>
          <w:rPr>
            <w:color w:val="1155CC"/>
            <w:u w:val="single"/>
          </w:rPr>
          <w:t>中性束注入快离子与 ICRF 波协同对鱼骨不稳定性的影响</w:t>
        </w:r>
      </w:hyperlink>
    </w:p>
    <w:p>
      <w:pPr>
        <w:spacing w:before="0" w:after="80"/>
      </w:pPr>
      <w:r>
        <w:rPr>
          <w:i/>
          <w:sz w:val="20"/>
        </w:rPr>
        <w:t>EN: Influences of fast ions from neutral beam injection in synergy with ICRF waves on fishbone instability</w:t>
      </w:r>
    </w:p>
    <w:p>
      <w:pPr>
        <w:spacing w:before="0" w:after="120"/>
      </w:pPr>
      <w:r>
        <w:rPr>
          <w:b/>
        </w:rPr>
        <w:t xml:space="preserve">Source: </w:t>
      </w:r>
      <w:r>
        <w:t>Nuclear Fusion - latest papers</w:t>
      </w:r>
      <w:r>
        <w:t xml:space="preserve">    </w:t>
      </w:r>
      <w:r>
        <w:rPr>
          <w:b/>
        </w:rPr>
        <w:t xml:space="preserve">Pub date: </w:t>
      </w:r>
      <w:r>
        <w:t>2026-06-28 23:00:00+00:00</w:t>
      </w:r>
      <w:r>
        <w:t xml:space="preserve">    </w:t>
      </w:r>
      <w:r>
        <w:rPr>
          <w:b/>
        </w:rPr>
        <w:t xml:space="preserve">DOI: </w:t>
      </w:r>
      <w:hyperlink r:id="rId140">
        <w:r>
          <w:rPr>
            <w:color w:val="1155CC"/>
            <w:u w:val="single"/>
          </w:rPr>
          <w:t>10.1088/1741-4326/ae72a5</w:t>
        </w:r>
      </w:hyperlink>
    </w:p>
    <w:p>
      <w:pPr>
        <w:spacing w:before="0" w:after="120"/>
      </w:pPr>
      <w:r>
        <w:rPr>
          <w:b/>
        </w:rPr>
        <w:t xml:space="preserve">Notes: </w:t>
      </w:r>
      <w:r>
        <w:t>abstract_source=rss_description</w:t>
      </w:r>
    </w:p>
    <w:p>
      <w:pPr>
        <w:spacing w:before="0" w:after="80" w:lineRule="auto" w:line="276"/>
      </w:pPr>
      <w:r>
        <w:rPr>
          <w:b/>
        </w:rPr>
        <w:t xml:space="preserve">摘要（ZH）: </w:t>
      </w:r>
      <w:r>
        <w:t>使用离子回旋加速器频率范围 (ICRF) 波和中性束注入 (NBI) 的协同加热可以产生能量明显高于束离子的快离子 (FI)。使用 M3D-K 代码研究了 NBI-ICRF 协同 (NIS) FI 对 NBI 快离子驱动的鱼骨不稳定性的影响。当忽略 NIS FI 引起的平衡修改时，NIS 群体对鱼骨模式产生稳定影响。这种稳定效果随着 NIS FI 的垂直温度和 beta 的增加而增强。此外，当超过起始阈值时，会驱动高频鱼骨分支。当考虑 NIS FI 的平衡修改时，净效应会变得较大时稳定，较小时变得不稳定。广义能量原理表明，稳定作用主要源自 NIS FI 的非共振动力学响应，这取决于 。相反，对应于平衡修改的绝热贡献是不稳定的并且独立于 。因此，NIS FI 的总体影响是由绝热效应和动力学效应之间的竞争决定的。</w:t>
      </w:r>
    </w:p>
    <w:p>
      <w:pPr>
        <w:spacing w:before="0" w:after="200" w:lineRule="auto" w:line="276"/>
      </w:pPr>
      <w:r>
        <w:rPr>
          <w:b/>
        </w:rPr>
        <w:t xml:space="preserve">Abstract (EN): </w:t>
      </w:r>
      <w:r>
        <w:t>Synergistic heating using Ion Cyclotron Range of Frequencies (ICRFs) waves and Neutral Beam Injection (NBI) can produce fast ions (FIs) with energies significantly higher than those of the beam ions. The effects of NBI-ICRF synergy (NIS) FIs on NBI-fast-ion-driven fishbone instabilities are investigated using the M3D-K code. When the equilibrium modification induced by NIS FIs is neglected, the NIS population exerts a stabilizing influence on the fishbone mode. This stabilizing effect is enhanced with the increasing perpendicular temperature and beta of the NIS FIs. In addition, a high-frequency fishbone branch is driven when exceeds an onset threshold. When the equilibrium modification by NIS FIs is taken into account, the net effect becomes stabilizing for larger and destabilizing for smaller . The generalized energy principle indicates that the stabilizing contribution mainly originates from the non-resonant kinetic response of the NIS FIs, which depends on . In contrast, the adiabatic contribution, corresponding to the equilibrium modification, is destabilizing and is independent of . Therefore, the overall impact of NIS FIs is determined by the competition between the adiabatic and kinetic effects.</w:t>
      </w:r>
    </w:p>
    <w:p>
      <w:pPr>
        <w:spacing w:before="120" w:after="120"/>
      </w:pPr>
      <w:r>
        <w:rPr>
          <w:sz w:val="18"/>
        </w:rPr>
        <w:t>——————————————————————————————————————————————————————————————————————</w:t>
      </w:r>
    </w:p>
    <w:p>
      <w:pPr>
        <w:spacing w:before="160" w:after="40" w:line="240" w:lineRule="auto"/>
      </w:pPr>
      <w:r>
        <w:rPr>
          <w:b/>
        </w:rPr>
        <w:t xml:space="preserve">[5] </w:t>
      </w:r>
      <w:hyperlink r:id="rId141">
        <w:r>
          <w:rPr>
            <w:color w:val="1155CC"/>
            <w:u w:val="single"/>
          </w:rPr>
          <w:t>HL-2A ITB 等离子体中静电湍流的回旋模拟</w:t>
        </w:r>
      </w:hyperlink>
    </w:p>
    <w:p>
      <w:pPr>
        <w:spacing w:before="0" w:after="80"/>
      </w:pPr>
      <w:r>
        <w:rPr>
          <w:i/>
          <w:sz w:val="20"/>
        </w:rPr>
        <w:t>EN: Gyrokinetic simulation of electrostatic turbulence in HL-2A ITB plasma</w:t>
      </w:r>
    </w:p>
    <w:p>
      <w:pPr>
        <w:spacing w:before="0" w:after="120"/>
      </w:pPr>
      <w:r>
        <w:rPr>
          <w:b/>
        </w:rPr>
        <w:t xml:space="preserve">Source: </w:t>
      </w:r>
      <w:r>
        <w:t>Nuclear Fusion - latest papers</w:t>
      </w:r>
      <w:r>
        <w:t xml:space="preserve">    </w:t>
      </w:r>
      <w:r>
        <w:rPr>
          <w:b/>
        </w:rPr>
        <w:t xml:space="preserve">Pub date: </w:t>
      </w:r>
      <w:r>
        <w:t>2026-06-28 23:00:00+00:00</w:t>
      </w:r>
      <w:r>
        <w:t xml:space="preserve">    </w:t>
      </w:r>
      <w:r>
        <w:rPr>
          <w:b/>
        </w:rPr>
        <w:t xml:space="preserve">DOI: </w:t>
      </w:r>
      <w:hyperlink r:id="rId142">
        <w:r>
          <w:rPr>
            <w:color w:val="1155CC"/>
            <w:u w:val="single"/>
          </w:rPr>
          <w:t>10.1088/1741-4326/ae78e7</w:t>
        </w:r>
      </w:hyperlink>
    </w:p>
    <w:p>
      <w:pPr>
        <w:spacing w:before="0" w:after="120"/>
      </w:pPr>
      <w:r>
        <w:rPr>
          <w:b/>
        </w:rPr>
        <w:t xml:space="preserve">Notes: </w:t>
      </w:r>
      <w:r>
        <w:t>abstract_source=rss_description</w:t>
      </w:r>
    </w:p>
    <w:p>
      <w:pPr>
        <w:spacing w:before="0" w:after="80" w:lineRule="auto" w:line="276"/>
      </w:pPr>
      <w:r>
        <w:rPr>
          <w:b/>
        </w:rPr>
        <w:t xml:space="preserve">摘要（ZH）: </w:t>
      </w:r>
      <w:r>
        <w:t>利用数值李变换代码进行了全面的回旋运动模拟，以研究 HL-2A 托卡马克中离子内部传输势垒 (ITB) 的动力学，重点关注漂移波湍流和纬向流 (ZF) 之间的相互作用。模拟揭示了负责 ITB 维持的自我调节循环，其中离子温度梯度湍流驱动 ZF，进而抑制湍流。在这个循环中，一个重要的发现是，ZF 主要由湍流离子能量流驱动，而不是经典捕食者-猎物模型中的极向雷诺应力 (PRS)。这一结果为HL-2A中实验观察到的湍流PRS对径向电场的微弱影响提供了自洽的解释，并验证了Wang等人于2017年提出的ZF驱动理论。此外，ITB塌缩归因于电子回旋共振加热触发的强俘获电子模式（TEM）湍流的转变，因为短波长TEM湍流在驱动ZF抑制输运方面效率低下。最后，我们证明了 ITB 恢复可以通过增强核心离子加热来实现，这同时减少了不稳定性的线性驱动并增强了非线性 ZF 剪切。这些发现提供了 ITB 生命周期的全面物理图景，并为聚变等离子体中的 ITB 控制提供了宝贵的见解。</w:t>
      </w:r>
    </w:p>
    <w:p>
      <w:pPr>
        <w:spacing w:before="0" w:after="200" w:lineRule="auto" w:line="276"/>
      </w:pPr>
      <w:r>
        <w:rPr>
          <w:b/>
        </w:rPr>
        <w:t xml:space="preserve">Abstract (EN): </w:t>
      </w:r>
      <w:r>
        <w:t>Comprehensive gyrokinetic simulations have been performed utilizing the numerical Lie transform code to investigate the dynamics of ion internal transport barrier (ITB) in the HL-2A tokamak, with a focus on the interaction between drift wave turbulence and zonal flow (ZF). The simulations reveal a self-regulatory cycle responsible for ITB sustainment, in which ion temperature gradient turbulence drives ZF that in turn suppresses the turbulence. Within this cycle, a key finding is that the ZF is primarily driven by the turbulent ion energy flux, rather than the poloidal Reynolds stress (PRS) as held in the classical predator–prey model. This result provides a self-consistent explanation for the experimentally observed weak effect of turbulent PRS on radial electric field in HL-2A and validates the ZF drive theory proposed by Wang et al in 2017. Furthermore, the ITB collapse is attributed to the transition to strong trapped electron mode (TEM) turbulence triggered by electron cyclotron resonance heating, as the short wavelength TEM turbulence is inefficient at driving ZF to suppress transport. Finally, we demonstrate that ITB recovery can be achieved by enhancing core ion heating, which simultaneously reduces the linear drive of instabilities and strengthens the nonlinear ZF shear. These findings offer a comprehensive physical picture of the ITB lifecycle and provide valuable insights for ITB control in fusion plasmas.</w:t>
      </w:r>
    </w:p>
    <w:p>
      <w:pPr>
        <w:spacing w:before="120" w:after="120"/>
      </w:pPr>
      <w:r>
        <w:rPr>
          <w:sz w:val="18"/>
        </w:rPr>
        <w:t>——————————————————————————————————————————————————————————————————————</w:t>
      </w:r>
    </w:p>
    <w:p>
      <w:pPr>
        <w:spacing w:before="160" w:after="40" w:line="240" w:lineRule="auto"/>
      </w:pPr>
      <w:r>
        <w:rPr>
          <w:b/>
        </w:rPr>
        <w:t xml:space="preserve">[6] </w:t>
      </w:r>
      <w:hyperlink r:id="rId143">
        <w:r>
          <w:rPr>
            <w:color w:val="1155CC"/>
            <w:u w:val="single"/>
          </w:rPr>
          <w:t>氢减少金属中的间隙空位团簇复合</w:t>
        </w:r>
      </w:hyperlink>
    </w:p>
    <w:p>
      <w:pPr>
        <w:spacing w:before="0" w:after="80"/>
      </w:pPr>
      <w:r>
        <w:rPr>
          <w:i/>
          <w:sz w:val="20"/>
        </w:rPr>
        <w:t>EN: Hydrogen reduced interstitial-vacancy cluster recombination in metals</w:t>
      </w:r>
    </w:p>
    <w:p>
      <w:pPr>
        <w:spacing w:before="0" w:after="120"/>
      </w:pPr>
      <w:r>
        <w:rPr>
          <w:b/>
        </w:rPr>
        <w:t xml:space="preserve">Source: </w:t>
      </w:r>
      <w:r>
        <w:t>Physical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位移缺陷之间的相互作用控制着材料中辐照损伤的演变，从微电子工业到先进核系统，具有重大的根本利益和重要的实际意义。氢是一种普遍存在的杂质，已知会与空位分离，但其在改变空位-间隙复合（缺陷消灭的关键过程）中的作用尚未确定。在这里，使用钨作为模型系统，我们发现空位簇内表面上的氢吸附显着抑制了与自填隙原子的复合，从而抑制了缺陷湮灭。我们确定了一种应力介导的机制，其中氢吸附改变了空位簇的局部应力场，削弱了它们对自填隙原子的远程吸引力。基于这种机制，我们开发了一个预测模型，该模型将重组半径的相对减小与氢内表面密度定量关联，而与团簇尺寸无关。通过将原子参数化与多尺度模拟相结合，我们研究了氢和置换缺陷的共同演化，这与最近的实验（包括氢同位素保留、分布和解吸）显示出定量一致。我们的结果建立了杂质-缺陷相互作用和缺陷-缺陷复合之间的直接联系，为理解和控制结构材料中的辐照损伤提供了一个物理基础框架。</w:t>
      </w:r>
    </w:p>
    <w:p>
      <w:pPr>
        <w:spacing w:before="0" w:after="200" w:lineRule="auto" w:line="276"/>
      </w:pPr>
      <w:r>
        <w:rPr>
          <w:b/>
        </w:rPr>
        <w:t xml:space="preserve">Abstract (EN): </w:t>
      </w:r>
      <w:r>
        <w:t>The interplay between displacement defects governs the evolution of irradiation damage in materials and is of great fundamental interests with important practical implications, from microelectronics industry to advanced nuclear system. Hydrogen, a ubiquitous impurity, is known to segregate to vacancies, but its role in altering vacancy-interstitial recombination—the key process underlying defect annihilation—has not been established. Here, using tungsten as a model system, we show that hydrogen adsorption on the inner surfaces of vacancy clusters significantly suppresses recombination with self-interstitial atoms, thereby inhibiting defect annihilation. We identify a stress-mediated mechanism in which hydrogen adsorption transforms the local stress field of vacancy clusters, weakening their long-range attraction to self-interstitial atoms. Based on this mechanism, we develop a predictive model that quantitatively relates the relative reduction of recombination radius to the hydrogen inner surface density, independent of cluster size. By integrating atomistic parametrization with multiscale simulations, we investigate the co-evolution of hydrogen and displacement defects, which show quantitative agreement with recent experiments, including the hydrogen isotope retention, distribution and desorption. Our results establish a direct link between impurity-defect interactions and defect-defect recombination, providing a physically grounded framework for understanding and controlling irradiation damage in structural materials.</w:t>
      </w:r>
    </w:p>
    <w:p>
      <w:pPr>
        <w:spacing w:before="120" w:after="120"/>
      </w:pPr>
      <w:r>
        <w:rPr>
          <w:sz w:val="18"/>
        </w:rPr>
        <w:t>——————————————————————————————————————————————————————————————————————</w:t>
      </w:r>
    </w:p>
    <w:p>
      <w:pPr>
        <w:spacing w:before="160" w:after="40" w:line="240" w:lineRule="auto"/>
      </w:pPr>
      <w:r>
        <w:rPr>
          <w:b/>
        </w:rPr>
        <w:t xml:space="preserve">[7] </w:t>
      </w:r>
      <w:hyperlink r:id="rId144">
        <w:r>
          <w:rPr>
            <w:color w:val="1155CC"/>
            <w:u w:val="single"/>
          </w:rPr>
          <w:t>使用 $γ$ 射线符合光谱在 $^{238}\mathrm{U}$ 上进行非弹性中子散射</w:t>
        </w:r>
      </w:hyperlink>
    </w:p>
    <w:p>
      <w:pPr>
        <w:spacing w:before="0" w:after="80"/>
      </w:pPr>
      <w:r>
        <w:rPr>
          <w:i/>
          <w:sz w:val="20"/>
        </w:rPr>
        <w:t>EN: Inelastic neutron scattering on $^{238}\mathrm{U}$ with $γ$-ray coincidence spectroscopy</w:t>
      </w:r>
    </w:p>
    <w:p>
      <w:pPr>
        <w:spacing w:before="0" w:after="120"/>
      </w:pPr>
      <w:r>
        <w:rPr>
          <w:b/>
        </w:rPr>
        <w:t xml:space="preserve">Source: </w:t>
      </w:r>
      <w:r>
        <w:t>Recent Articles in Phys. Rev. C</w:t>
      </w:r>
      <w:r>
        <w:t xml:space="preserve">    </w:t>
      </w:r>
      <w:r>
        <w:rPr>
          <w:b/>
        </w:rPr>
        <w:t xml:space="preserve">Pub date: </w:t>
      </w:r>
      <w:r>
        <w:t>2026-06-30 10:00:00+00:00</w:t>
      </w:r>
      <w:r>
        <w:t xml:space="preserve">    </w:t>
      </w:r>
      <w:r>
        <w:rPr>
          <w:b/>
        </w:rPr>
        <w:t xml:space="preserve">DOI: </w:t>
      </w:r>
      <w:hyperlink r:id="rId145">
        <w:r>
          <w:rPr>
            <w:color w:val="1155CC"/>
            <w:u w:val="single"/>
          </w:rPr>
          <w:t>10.1103/jrh6-rh6h</w:t>
        </w:r>
      </w:hyperlink>
    </w:p>
    <w:p>
      <w:pPr>
        <w:spacing w:before="0" w:after="120"/>
      </w:pPr>
      <w:r>
        <w:rPr>
          <w:b/>
        </w:rPr>
        <w:t xml:space="preserve">Notes: </w:t>
      </w:r>
      <w:r>
        <w:t>abstract_source=rss_description</w:t>
      </w:r>
    </w:p>
    <w:p>
      <w:pPr>
        <w:spacing w:before="0" w:after="80" w:lineRule="auto" w:line="276"/>
      </w:pPr>
      <w:r>
        <w:rPr>
          <w:b/>
        </w:rPr>
        <w:t xml:space="preserve">摘要（ZH）: </w:t>
      </w:r>
      <w:r>
        <w:t>作者：Carole Chatel 等人。 （Nu-Ball 合作）提高实际或未来反应堆设计的中子学模拟的准确性至关重要，并且需要更好地了解核心中子数量。反应堆中子数量部分由 $(n,xn)$ 反应驱动，这些反应改变中子数量并降低中子能量……[Phys. Rev. C 113, 064320] 于 2026 年 6 月 30 日星期二发布</w:t>
      </w:r>
    </w:p>
    <w:p>
      <w:pPr>
        <w:spacing w:before="0" w:after="200" w:lineRule="auto" w:line="276"/>
      </w:pPr>
      <w:r>
        <w:rPr>
          <w:b/>
        </w:rPr>
        <w:t xml:space="preserve">Abstract (EN): </w:t>
      </w:r>
      <w:r>
        <w:t>Author(s): Carole Chatel et al. (Nu-Ball Collaboration)Improvement of the accuracy of neutronics simulation of actual or future reactor designs is essential and requires a better knowledge of the core neutron population. The reactor neutron population is partially driven by $(n,xn)$ reactions that change the number and decrease the energy of the neutron…[Phys. Rev. C 113, 064320] Published Tue Jun 30, 2026</w:t>
      </w:r>
    </w:p>
    <w:p>
      <w:pPr>
        <w:spacing w:before="120" w:after="120"/>
      </w:pPr>
      <w:r>
        <w:rPr>
          <w:sz w:val="18"/>
        </w:rPr>
        <w:t>——————————————————————————————————————————————————————————————————————</w:t>
      </w:r>
    </w:p>
    <w:p>
      <w:pPr>
        <w:spacing w:before="160" w:after="40" w:line="240" w:lineRule="auto"/>
      </w:pPr>
      <w:r>
        <w:rPr>
          <w:b/>
        </w:rPr>
        <w:t xml:space="preserve">[8] </w:t>
      </w:r>
      <w:hyperlink r:id="rId146">
        <w:r>
          <w:rPr>
            <w:color w:val="1155CC"/>
            <w:u w:val="single"/>
          </w:rPr>
          <w:t>物理嵌入式贝叶斯神经网络可预测精细结构裂变产物产量的能量依赖性</w:t>
        </w:r>
      </w:hyperlink>
    </w:p>
    <w:p>
      <w:pPr>
        <w:spacing w:before="0" w:after="80"/>
      </w:pPr>
      <w:r>
        <w:rPr>
          <w:i/>
          <w:sz w:val="20"/>
        </w:rPr>
        <w:t>EN: Physics-embedded Bayesian neural network to predict energy dependence of fission product yields with fine structures</w:t>
      </w:r>
    </w:p>
    <w:p>
      <w:pPr>
        <w:spacing w:before="0" w:after="120"/>
      </w:pPr>
      <w:r>
        <w:rPr>
          <w:b/>
        </w:rPr>
        <w:t xml:space="preserve">Source: </w:t>
      </w:r>
      <w:r>
        <w:t>Recent Articles in Phys. Rev. C</w:t>
      </w:r>
      <w:r>
        <w:t xml:space="preserve">    </w:t>
      </w:r>
      <w:r>
        <w:rPr>
          <w:b/>
        </w:rPr>
        <w:t xml:space="preserve">Pub date: </w:t>
      </w:r>
      <w:r>
        <w:t>2026-06-30 10:00:00+00:00</w:t>
      </w:r>
      <w:r>
        <w:t xml:space="preserve">    </w:t>
      </w:r>
      <w:r>
        <w:rPr>
          <w:b/>
        </w:rPr>
        <w:t xml:space="preserve">DOI: </w:t>
      </w:r>
      <w:hyperlink r:id="rId147">
        <w:r>
          <w:rPr>
            <w:color w:val="1155CC"/>
            <w:u w:val="single"/>
          </w:rPr>
          <w:t>10.1103/w3y1-6xw1</w:t>
        </w:r>
      </w:hyperlink>
    </w:p>
    <w:p>
      <w:pPr>
        <w:spacing w:before="0" w:after="120"/>
      </w:pPr>
      <w:r>
        <w:rPr>
          <w:b/>
        </w:rPr>
        <w:t xml:space="preserve">Notes: </w:t>
      </w:r>
      <w:r>
        <w:t>abstract_source=rss_description</w:t>
      </w:r>
    </w:p>
    <w:p>
      <w:pPr>
        <w:spacing w:before="0" w:after="80" w:lineRule="auto" w:line="276"/>
      </w:pPr>
      <w:r>
        <w:rPr>
          <w:b/>
        </w:rPr>
        <w:t xml:space="preserve">摘要（ZH）: </w:t>
      </w:r>
      <w:r>
        <w:t>作者：Jingde Chen、Yuta Mukobara、Kazuki Fujio、Satoshi Chiba、Tatsuya Katabuchi 和 Chikako Ishizuka 我们提出了一种物理嵌入式贝叶斯神经网络（PE-BNN）框架，该框架将裂变产物产量（FPY）与先前的核物理知识相结合，以预测具有精细结构的能量依赖的 FPY 数据。通过将现象学壳相关的输入特征与激励烯相结合......[物理。 Rev. C 113, 064623] 2026 年 6 月 30 日星期二发布</w:t>
      </w:r>
    </w:p>
    <w:p>
      <w:pPr>
        <w:spacing w:before="0" w:after="200" w:lineRule="auto" w:line="276"/>
      </w:pPr>
      <w:r>
        <w:rPr>
          <w:b/>
        </w:rPr>
        <w:t xml:space="preserve">Abstract (EN): </w:t>
      </w:r>
      <w:r>
        <w:t>Author(s): Jingde Chen, Yuta Mukobara, Kazuki Fujio, Satoshi Chiba, Tatsuya Katabuchi, and Chikako IshizukaWe present a physics-embedded Bayesian neural-network (PE-BNN) framework that integrates fission product yields (FPYs) with prior nuclear physics knowledge to predict energy-dependent FPY data with fine structure. By incorporating a phenomenological shell-related input feature with an excitation-ene…[Phys. Rev. C 113, 064623] Published Tue Jun 30, 2026</w:t>
      </w:r>
    </w:p>
    <w:p>
      <w:pPr>
        <w:spacing w:before="120" w:after="120"/>
      </w:pPr>
      <w:r>
        <w:rPr>
          <w:sz w:val="18"/>
        </w:rPr>
        <w:t>——————————————————————————————————————————————————————————————————————</w:t>
      </w:r>
    </w:p>
    <w:p>
      <w:pPr>
        <w:spacing w:before="160" w:after="40" w:line="240" w:lineRule="auto"/>
      </w:pPr>
      <w:r>
        <w:rPr>
          <w:b/>
        </w:rPr>
        <w:t xml:space="preserve">[9] </w:t>
      </w:r>
      <w:hyperlink r:id="rId148">
        <w:r>
          <w:rPr>
            <w:color w:val="1155CC"/>
            <w:u w:val="single"/>
          </w:rPr>
          <w:t>在 JET-ILW 中将 D 离子加热至最佳 D-T 聚变能量</w:t>
        </w:r>
      </w:hyperlink>
    </w:p>
    <w:p>
      <w:pPr>
        <w:spacing w:before="0" w:after="80"/>
      </w:pPr>
      <w:r>
        <w:rPr>
          <w:i/>
          <w:sz w:val="20"/>
        </w:rPr>
        <w:t>EN: Heating D ions to optimal D–T fusion energies in JET-ILW</w:t>
      </w:r>
    </w:p>
    <w:p>
      <w:pPr>
        <w:spacing w:before="0" w:after="120"/>
      </w:pPr>
      <w:r>
        <w:rPr>
          <w:b/>
        </w:rPr>
        <w:t xml:space="preserve">Source: </w:t>
      </w:r>
      <w:r>
        <w:t>Nuclear Fusion - latest papers</w:t>
      </w:r>
      <w:r>
        <w:t xml:space="preserve">    </w:t>
      </w:r>
      <w:r>
        <w:rPr>
          <w:b/>
        </w:rPr>
        <w:t xml:space="preserve">Pub date: </w:t>
      </w:r>
      <w:r>
        <w:t>2026-06-30 23:00:00+00:00</w:t>
      </w:r>
      <w:r>
        <w:t xml:space="preserve">    </w:t>
      </w:r>
      <w:r>
        <w:rPr>
          <w:b/>
        </w:rPr>
        <w:t xml:space="preserve">DOI: </w:t>
      </w:r>
      <w:hyperlink r:id="rId149">
        <w:r>
          <w:rPr>
            <w:color w:val="1155CC"/>
            <w:u w:val="single"/>
          </w:rPr>
          <w:t>10.1088/1741-4326/ae7986</w:t>
        </w:r>
      </w:hyperlink>
    </w:p>
    <w:p>
      <w:pPr>
        <w:spacing w:before="0" w:after="120"/>
      </w:pPr>
      <w:r>
        <w:rPr>
          <w:b/>
        </w:rPr>
        <w:t xml:space="preserve">Notes: </w:t>
      </w:r>
      <w:r>
        <w:t>abstract_source=rss_description</w:t>
      </w:r>
    </w:p>
    <w:p>
      <w:pPr>
        <w:spacing w:before="0" w:after="80" w:lineRule="auto" w:line="276"/>
      </w:pPr>
      <w:r>
        <w:rPr>
          <w:b/>
        </w:rPr>
        <w:t xml:space="preserve">摘要（ZH）: </w:t>
      </w:r>
      <w:r>
        <w:t>在 JET-ILW 中，束靶反应贡献了氘-氚 (D-T) 等离子体中产生的聚变功率的很大一部分，核心离子温度为 10-12 keV，中性束注入 (NBI) 功率较大。之前为 JET 最近的 D-T 活动做准备而进行的建模表明，在富 T 等离子体中注入能量约为 120 keV 的 D 束离子可产生比 50:50 D:T 等离子体更大的 14 MeV 聚变产率，但这种情况在过去的 D-T 实验中从未经过测试。此外，模拟表明，D 离子的基本离子回旋共振加热 (ICRH) 可以显着提高净聚变反应性，因为 D 体离子和快速 D 束离子都被加速到最适合 D-T 反应发生的能量范围。在最近的 JET D-T 活动（DTE2 和 DTE3）中，专门的实验首次证实了具有高 D-NBI 功率的富 T 等离子体的聚变性能得到改善，并强调了基本 D ICRH 对聚变性能的关键影响。这一新方案创造了聚变装置有史以来创下的全球 D-T 聚变能量记录，并允许在 5 秒内平均维持超过 12 MW 的聚变功率。将展示这些前所未有的实验的主要结果，并通过数值建模强调实现高聚变性能的 NBI + ICRF 物理原理。</w:t>
      </w:r>
    </w:p>
    <w:p>
      <w:pPr>
        <w:spacing w:before="0" w:after="200" w:lineRule="auto" w:line="276"/>
      </w:pPr>
      <w:r>
        <w:rPr>
          <w:b/>
        </w:rPr>
        <w:t xml:space="preserve">Abstract (EN): </w:t>
      </w:r>
      <w:r>
        <w:t>In JET-ILW, beam-target reactions contribute to a large fraction of the fusion power generated in deuterium–tritium (D–T) plasmas, with core ion temperatures of 10–12 keV and large neutral-beam injection (NBI) power. Previous modelling done in preparation for the recent D–T campaigns in JET have shown that injecting D beam ions with energies of ∼120 keV in T–rich plasmas produces larger 14 MeV fusion yield than in 50:50 D:T plasmas, but such scenario had never been tested in past D–T experiments. In addition, the simulations showed that fundamental ion cyclotron resonance heating (ICRH) of the D ions can significantly boost the net fusion reactivity, since both the D-bulk ions and the fast D-beam ions are accelerated to energy ranges that are optimal for the D–T reactions to take place. In the last JET D–T campaigns (DTE2 and DTE3), dedicated experiments confirmed—for the first time—the improved fusion performance of T-rich plasmas with high D-NBI power and highlighted the key impact of fundamental D ICRH on the fusion performance. This new scenario led to the world-wide D–T fusion energy record ever achieved in a fusion device and allowed to sustain more than 12 MW of fusion power averaged over 5 s. The main results of these unprecedented experiments will be presented and the NBI + ICRF physics responsible for the high fusion performance achieved will be highlighted through numerical modelling.</w:t>
      </w:r>
    </w:p>
    <w:p>
      <w:pPr>
        <w:spacing w:before="120" w:after="120"/>
      </w:pPr>
      <w:r>
        <w:rPr>
          <w:sz w:val="18"/>
        </w:rPr>
        <w:t>——————————————————————————————————————————————————————————————————————</w:t>
      </w:r>
    </w:p>
    <w:p>
      <w:pPr>
        <w:spacing w:before="160" w:after="40" w:line="240" w:lineRule="auto"/>
      </w:pPr>
      <w:r>
        <w:rPr>
          <w:b/>
        </w:rPr>
        <w:t xml:space="preserve">[10] </w:t>
      </w:r>
      <w:hyperlink r:id="rId150">
        <w:r>
          <w:rPr>
            <w:color w:val="1155CC"/>
            <w:u w:val="single"/>
          </w:rPr>
          <w:t>BABY 1L：第一次氚育种活动结果</w:t>
        </w:r>
      </w:hyperlink>
    </w:p>
    <w:p>
      <w:pPr>
        <w:spacing w:before="0" w:after="80"/>
      </w:pPr>
      <w:r>
        <w:rPr>
          <w:i/>
          <w:sz w:val="20"/>
        </w:rPr>
        <w:t>EN: BABY 1L: first tritium breeding campaign results</w:t>
      </w:r>
    </w:p>
    <w:p>
      <w:pPr>
        <w:spacing w:before="0" w:after="120"/>
      </w:pPr>
      <w:r>
        <w:rPr>
          <w:b/>
        </w:rPr>
        <w:t xml:space="preserve">Source: </w:t>
      </w:r>
      <w:r>
        <w:t>Nuclear Fusion - latest papers</w:t>
      </w:r>
      <w:r>
        <w:t xml:space="preserve">    </w:t>
      </w:r>
      <w:r>
        <w:rPr>
          <w:b/>
        </w:rPr>
        <w:t xml:space="preserve">Pub date: </w:t>
      </w:r>
      <w:r>
        <w:t>2026-06-30 23:00:00+00:00</w:t>
      </w:r>
      <w:r>
        <w:t xml:space="preserve">    </w:t>
      </w:r>
      <w:r>
        <w:rPr>
          <w:b/>
        </w:rPr>
        <w:t xml:space="preserve">DOI: </w:t>
      </w:r>
      <w:hyperlink r:id="rId151">
        <w:r>
          <w:rPr>
            <w:color w:val="1155CC"/>
            <w:u w:val="single"/>
          </w:rPr>
          <w:t>10.1088/1741-4326/ae6f31</w:t>
        </w:r>
      </w:hyperlink>
    </w:p>
    <w:p>
      <w:pPr>
        <w:spacing w:before="0" w:after="120"/>
      </w:pPr>
      <w:r>
        <w:rPr>
          <w:b/>
        </w:rPr>
        <w:t xml:space="preserve">Notes: </w:t>
      </w:r>
      <w:r>
        <w:t>abstract_source=rss_description</w:t>
      </w:r>
    </w:p>
    <w:p>
      <w:pPr>
        <w:spacing w:before="0" w:after="80" w:lineRule="auto" w:line="276"/>
      </w:pPr>
      <w:r>
        <w:rPr>
          <w:b/>
        </w:rPr>
        <w:t xml:space="preserve">摘要（ZH）: </w:t>
      </w:r>
      <w:r>
        <w:t>实现氚自给自足是未来聚变发电厂面临的关键挑战。 BABY 1 L 实验是麻省理工学院 LIBRA 项目的一部分，旨在对氘-氚 (DT) 中子辐照下熔盐增殖系统中的氚增殖和释放进行基准测试。在最初的 100 毫升活动的基础上，BABY 1 L 将增殖器体积增加了十倍，改进了热和气体处理系统，并增强了中子诊断功能，包括质子反冲望远镜。我们报告了使用密封管 DT 中子发生器进行的四次辐照实验的结果，其中通过液体闪烁计数测量水起泡器收集的氚。将实验确定的氚增殖比 (TBR) 与 OpenMC 中子学模拟进行比较，显示出非常好的一致性。测量的 TBR 值比 100 ml 实验提高了六倍，这主要归功于立体角的增加和测量保真度的提高。我们还研究了氚释放动力学，并确定扩散限制传输是惰性气氛下 630 C–750 C 温度范围内盐体积的主要状态。此外，我们观察到，在氦载气中引入氢气显着加速了氚的释放，这与同位素交换机制一致，从而摆脱了扩散限制状态。所有分析均通过开源 Libra 工具箱（Delaporte-Mathurin 2025 Zenodo (https://doi.org/10.5281/zenodo.17143485)）进行，该工具箱简化了模拟、数据处理和验证</w:t>
      </w:r>
    </w:p>
    <w:p>
      <w:pPr>
        <w:spacing w:before="0" w:after="200" w:lineRule="auto" w:line="276"/>
      </w:pPr>
      <w:r>
        <w:rPr>
          <w:b/>
        </w:rPr>
        <w:t xml:space="preserve">Abstract (EN): </w:t>
      </w:r>
      <w:r>
        <w:t>Achieving tritium self-sufficiency is a critical challenge for future fusion power plants. The BABY 1 L experiment, part of the LIBRA project at MIT, aims to benchmark tritium breeding and release in molten salt breeder systems under deuterium–tritium (DT) neutron irradiation. Building on the initial 100 ml campaign, BABY 1 L introduces a tenfold increase in breeder volume, improved thermal and gas handling systems, and enhanced neutron diagnostics, including a proton recoil telescope. We report on results from four irradiation experiments using sealed-tube DT neutron generators, with tritium collected by water bubblers measured via liquid scintillation counting. Experimentally determined tritium breeding ratios (TBRs) were compared to OpenMC neutronics simulations, showing very good agreement. The measured TBR values demonstrate a six-fold improvement over the 100 ml experiments, largely attributed to the increased solid angle and improved measurement fidelity. We also investigate tritium release dynamics and identify diffusion-limited transport as the dominant regime in the salt volume in the temperature range 630 C–750 C under an inert atmosphere. Additionally, we observe that the introduction of hydrogen in the helium carrier gas significantly accelerates tritium release, consistent with an isotopic exchange mechanism, thus transitioning out of the diffusion-limited regime. All analysis is conducted through the open-source libra-toolbox (Delaporte-Mathurin 2025 Zenodo (https://doi.org/10.5281/zenodo.17143485)), which streamlines simulation, data processing, and validation across experimental campaigns. These results provide critical insights into the design and operation of future liquid breeder systems and demonstrate the maturity of the BABY platform as a testbed for tritium breeding studies.</w:t>
      </w:r>
    </w:p>
    <w:p>
      <w:pPr>
        <w:spacing w:before="120" w:after="120"/>
      </w:pPr>
      <w:r>
        <w:rPr>
          <w:sz w:val="18"/>
        </w:rPr>
        <w:t>——————————————————————————————————————————————————————————————————————</w:t>
      </w:r>
    </w:p>
    <w:p>
      <w:pPr>
        <w:spacing w:before="160" w:after="40" w:line="240" w:lineRule="auto"/>
      </w:pPr>
      <w:r>
        <w:rPr>
          <w:b/>
        </w:rPr>
        <w:t xml:space="preserve">[11] </w:t>
      </w:r>
      <w:hyperlink r:id="rId152">
        <w:r>
          <w:rPr>
            <w:color w:val="1155CC"/>
            <w:u w:val="single"/>
          </w:rPr>
          <w:t>ADITYA-U 碰撞中漂移波湍流的电磁回旋模拟</w:t>
        </w:r>
      </w:hyperlink>
    </w:p>
    <w:p>
      <w:pPr>
        <w:spacing w:before="0" w:after="80"/>
      </w:pPr>
      <w:r>
        <w:rPr>
          <w:i/>
          <w:sz w:val="20"/>
        </w:rPr>
        <w:t>EN: Electromagnetic gyrokinetic simulation of drift wave turbulence in ADITYA-U with collisions</w:t>
      </w:r>
    </w:p>
    <w:p>
      <w:pPr>
        <w:spacing w:before="0" w:after="120"/>
      </w:pPr>
      <w:r>
        <w:rPr>
          <w:b/>
        </w:rPr>
        <w:t xml:space="preserve">Source: </w:t>
      </w:r>
      <w:r>
        <w:t>Nuclear Fusion - latest papers</w:t>
      </w:r>
      <w:r>
        <w:t xml:space="preserve">    </w:t>
      </w:r>
      <w:r>
        <w:rPr>
          <w:b/>
        </w:rPr>
        <w:t xml:space="preserve">Pub date: </w:t>
      </w:r>
      <w:r>
        <w:t>2026-06-30 23:00:00+00:00</w:t>
      </w:r>
      <w:r>
        <w:t xml:space="preserve">    </w:t>
      </w:r>
      <w:r>
        <w:rPr>
          <w:b/>
        </w:rPr>
        <w:t xml:space="preserve">DOI: </w:t>
      </w:r>
      <w:hyperlink r:id="rId153">
        <w:r>
          <w:rPr>
            <w:color w:val="1155CC"/>
            <w:u w:val="single"/>
          </w:rPr>
          <w:t>10.1088/1741-4326/ae7c14</w:t>
        </w:r>
      </w:hyperlink>
    </w:p>
    <w:p>
      <w:pPr>
        <w:spacing w:before="0" w:after="120"/>
      </w:pPr>
      <w:r>
        <w:rPr>
          <w:b/>
        </w:rPr>
        <w:t xml:space="preserve">Notes: </w:t>
      </w:r>
      <w:r>
        <w:t>abstract_source=rss_description</w:t>
      </w:r>
    </w:p>
    <w:p>
      <w:pPr>
        <w:spacing w:before="0" w:after="80" w:lineRule="auto" w:line="276"/>
      </w:pPr>
      <w:r>
        <w:rPr>
          <w:b/>
        </w:rPr>
        <w:t xml:space="preserve">摘要（ZH）: </w:t>
      </w:r>
      <w:r>
        <w:t>在这项工作中，我们扩展了 Singh 等人 (2023 Nucl. Fusion 63 086029、Singh 等人 (2024 Nucl. Fusion 64 106005) 之前的研究，通过执行全局电磁回旋模拟，包括使用 ORB5 粒子内代码碰撞，跨越从磁轴到分界线的等离子体。分析重点是离子温度梯度 (ITG) 和俘获电子模式 (TEM) ADITYA-U 托卡马克实验相关剖面和参数的线性和非线性状态下的湍流，采用具有圆形 ( ) 和细长 ( ) 磁几何形状的真实 MHD 平衡。线性模拟表明，有限效应 ( ) 使 ITG 增长率降低了大约 10%。对三种情况进行了非线性模拟：(i) 无碰撞的静电，(ii) 无碰撞的电磁，以及 (iii) 有碰撞的电磁。结果表明，与圆形平衡相比，单独的磁整形可将离子热通量减少约 25%。此外，相对于静电情况，碰撞会导致离子热通量减少约 25%。进一步减少 25%–30%，主要通过抑制 TEM 湍流和修改湍流饱和度 dyn</w:t>
      </w:r>
    </w:p>
    <w:p>
      <w:pPr>
        <w:spacing w:before="0" w:after="200" w:lineRule="auto" w:line="276"/>
      </w:pPr>
      <w:r>
        <w:rPr>
          <w:b/>
        </w:rPr>
        <w:t xml:space="preserve">Abstract (EN): </w:t>
      </w:r>
      <w:r>
        <w:t>In this work, we extend our previous studies Singh et al (2023 Nucl. Fusion 63 086029, Singh et al (2024 Nucl. Fusion 64 106005) by performing global electromagnetic gyrokinetic simulations including collisions using the ORB5 particle-in-cell code, spanning the plasma from magnetic axis to separatrix. The analysis focuses on ion temperature gradient (ITG) and trapped electron mode (TEM) turbulence in both linear and nonlinear regimes for experimentally relevant profiles and parameters of the ADITYA-U tokamak, employing realistic MHD equilibria with circular ( ) and elongated ( ) magnetic geometries. Linear simulations show that finite- effects ( ) reduce the ITG growth rates by approximately 10%. Owing to the relatively high collisionality of ADITYA-U plasmas, resulting from low electron temperatures, TEMs are strongly suppressed, leaving ITG and short-wavelength ITG modes as the dominant instabilities. Nonlinear simulations are performed for three cases: (i) electrostatic without collisions, (ii) electromagnetic without collisions, and (iii) electromagnetic with collisions. The results demonstrate that different physical mechanisms contribute distinctly to the reduction of turbulent transport. Magnetic shaping alone ( ) is found to reduce the ion heat flux by approximately 25% compared to the circular equilibrium. Electromagnetic effects further reduce the transport by about 10% relative to the electrostatic case. In addition, collisions lead to a further reduction of 25%–30%, primarily through the suppression of TEM turbulence and modification of turbulence saturation dynamics. These reductions are obtained from separate comparisons between simulations including or excluding the corresponding physical effects. In particular, collisions modify the electron response and suppress the trapped-electron contribution, leading to changes in both turbulence amplitude and saturation dynamics. Overall, the combined effect of magnetic shaping, finite- , and collisions leads to a substantial reduction in turbulent transport in ADITYA-U, with ITG-dominated turbulence governing the transport in the high-collisionality regime.</w:t>
      </w:r>
    </w:p>
    <w:p>
      <w:pPr>
        <w:spacing w:before="120" w:after="120"/>
      </w:pPr>
      <w:r>
        <w:rPr>
          <w:sz w:val="18"/>
        </w:rPr>
        <w:t>——————————————————————————————————————————————————————————————————————</w:t>
      </w:r>
    </w:p>
    <w:p>
      <w:pPr>
        <w:spacing w:before="160" w:after="40" w:line="240" w:lineRule="auto"/>
      </w:pPr>
      <w:r>
        <w:rPr>
          <w:b/>
        </w:rPr>
        <w:t xml:space="preserve">[12] </w:t>
      </w:r>
      <w:hyperlink r:id="rId154">
        <w:r>
          <w:rPr>
            <w:color w:val="1155CC"/>
            <w:u w:val="single"/>
          </w:rPr>
          <w:t>JET 氘和氚 L 模式等离子体之间热和粒子传输的维度同位素标度</w:t>
        </w:r>
      </w:hyperlink>
    </w:p>
    <w:p>
      <w:pPr>
        <w:spacing w:before="0" w:after="80"/>
      </w:pPr>
      <w:r>
        <w:rPr>
          <w:i/>
          <w:sz w:val="20"/>
        </w:rPr>
        <w:t>EN: Dimensional isotope scaling of heat and particle transport between JET deuterium and tritium L-mode plasmas</w:t>
      </w:r>
    </w:p>
    <w:p>
      <w:pPr>
        <w:spacing w:before="0" w:after="120"/>
      </w:pPr>
      <w:r>
        <w:rPr>
          <w:b/>
        </w:rPr>
        <w:t xml:space="preserve">Source: </w:t>
      </w:r>
      <w:r>
        <w:t>Nuclear Fusion - latest papers</w:t>
      </w:r>
      <w:r>
        <w:t xml:space="preserve">    </w:t>
      </w:r>
      <w:r>
        <w:rPr>
          <w:b/>
        </w:rPr>
        <w:t xml:space="preserve">Pub date: </w:t>
      </w:r>
      <w:r>
        <w:t>2026-06-30 23:00:00+00:00</w:t>
      </w:r>
      <w:r>
        <w:t xml:space="preserve">    </w:t>
      </w:r>
      <w:r>
        <w:rPr>
          <w:b/>
        </w:rPr>
        <w:t xml:space="preserve">DOI: </w:t>
      </w:r>
      <w:hyperlink r:id="rId155">
        <w:r>
          <w:rPr>
            <w:color w:val="1155CC"/>
            <w:u w:val="single"/>
          </w:rPr>
          <w:t>10.1088/1741-4326/ae7c83</w:t>
        </w:r>
      </w:hyperlink>
    </w:p>
    <w:p>
      <w:pPr>
        <w:spacing w:before="0" w:after="120"/>
      </w:pPr>
      <w:r>
        <w:rPr>
          <w:b/>
        </w:rPr>
        <w:t xml:space="preserve">Notes: </w:t>
      </w:r>
      <w:r>
        <w:t>abstract_source=rss_description</w:t>
      </w:r>
    </w:p>
    <w:p>
      <w:pPr>
        <w:spacing w:before="0" w:after="80" w:lineRule="auto" w:line="276"/>
      </w:pPr>
      <w:r>
        <w:rPr>
          <w:b/>
        </w:rPr>
        <w:t xml:space="preserve">摘要（ZH）: </w:t>
      </w:r>
      <w:r>
        <w:t>JET L 模式条件下尺寸匹配的氘-氚脉冲对显示能量限制时间提高了 13%–16%，有利于氚脉冲。这种有利的同位素缩放可以在整个半径的有效扩散系数中清楚地看到。同位素结垢主要源自电子热传输通道和等离子体的边缘部分。响应气体喷流调制的相位和振幅分布有力地表明，在 处的核心等离子体中的粒子传输通道中没有大同位素缩放的空间。这也可以从衍生的氘和氚脉冲之间的粒子输运系数中看出。 EDGE2D-EIRENE 模拟发现，尺寸匹配的氘和氚同一脉冲之间的径向电离剖面非常相似。在 JET L 模式条件下的边缘处的回旋动力学模拟中发现了与陀螺-玻姆标度的类似偏差，即在热传输中有利于氚的强同位素标度。有利于氚的强边缘同位素标度与实验观察结果一致。当比较类似的氘和氚模拟结果时，GENE 模拟中的边缘同位素效应也比核心等离子体中发现的大得多。实验结果和 GENE 模拟都表明，同位素质量标度是同位素质量本身的非线性函数，氘和氚之间的标度明显强于氢和氘之间的标度，至少在 JET L 模式下是如此</w:t>
      </w:r>
    </w:p>
    <w:p>
      <w:pPr>
        <w:spacing w:before="0" w:after="200" w:lineRule="auto" w:line="276"/>
      </w:pPr>
      <w:r>
        <w:rPr>
          <w:b/>
        </w:rPr>
        <w:t xml:space="preserve">Abstract (EN): </w:t>
      </w:r>
      <w:r>
        <w:t>The dimensionally matched deuterium–tritium pulse pair under JET L-mode conditions showed 13%–16% improvement in the energy confinement time in favour of the tritium pulse. This favourable isotope scaling can be seen clearly in the effective diffusion coefficients throughout the radius. The isotope scaling originates dominantly from the electron heat transport channel and from the edge part of the plasma. The phase and amplitude profiles in response to the gas puff modulation robustly show that there is no room for a large isotope scaling in the particle transport channel in the core plasma at . This can also be seen in the derived particle transport coefficients between the deuterium and tritium pulses. EDGE2D-EIRENE simulations found that the radial ionisation profiles are very similar between the dimensionally matched deuterium and tritium identity pulses. A similar deviation from the gyro-Bohm scaling, i.e. strong isotope scaling favouring tritium in heat transport was found with gyrokinetic simulations in the edge at under the JET L-mode conditions. The strong edge isotope scaling favouring tritium is consistent with the experimental observation. This edge isotope effect in the GENE simulations is also much larger than found in the core plasma when comparing similarly deuterium and tritium simulation results. Both the experimental results and the GENE simulations suggest that the isotope mass scaling is a nonlinear function of the isotope mass itself, being significantly stronger between deuterium and tritium than between hydrogen and deuterium, at least in JET L-mode conditions.</w:t>
      </w:r>
    </w:p>
    <w:p>
      <w:pPr>
        <w:spacing w:before="120" w:after="120"/>
      </w:pPr>
      <w:r>
        <w:rPr>
          <w:sz w:val="18"/>
        </w:rPr>
        <w:t>——————————————————————————————————————————————————————————————————————</w:t>
      </w:r>
    </w:p>
    <w:p>
      <w:pPr>
        <w:spacing w:before="160" w:after="40" w:line="240" w:lineRule="auto"/>
      </w:pPr>
      <w:r>
        <w:rPr>
          <w:b/>
        </w:rPr>
        <w:t xml:space="preserve">[13] </w:t>
      </w:r>
      <w:hyperlink r:id="rId156">
        <w:r>
          <w:rPr>
            <w:color w:val="1155CC"/>
            <w:u w:val="single"/>
          </w:rPr>
          <w:t>EUROFER97 气体和等离子体负载后氘保留的比较</w:t>
        </w:r>
      </w:hyperlink>
    </w:p>
    <w:p>
      <w:pPr>
        <w:spacing w:before="0" w:after="80"/>
      </w:pPr>
      <w:r>
        <w:rPr>
          <w:i/>
          <w:sz w:val="20"/>
        </w:rPr>
        <w:t>EN: Comparison of deuterium retention in EUROFER97 after gas and plasma loading</w:t>
      </w:r>
    </w:p>
    <w:p>
      <w:pPr>
        <w:spacing w:before="0" w:after="120"/>
      </w:pPr>
      <w:r>
        <w:rPr>
          <w:b/>
        </w:rPr>
        <w:t xml:space="preserve">Source: </w:t>
      </w:r>
      <w:r>
        <w:t>Nuclear Fusion - latest papers</w:t>
      </w:r>
      <w:r>
        <w:t xml:space="preserve">    </w:t>
      </w:r>
      <w:r>
        <w:rPr>
          <w:b/>
        </w:rPr>
        <w:t xml:space="preserve">Pub date: </w:t>
      </w:r>
      <w:r>
        <w:t>2026-06-30 23:00:00+00:00</w:t>
      </w:r>
      <w:r>
        <w:t xml:space="preserve">    </w:t>
      </w:r>
      <w:r>
        <w:rPr>
          <w:b/>
        </w:rPr>
        <w:t xml:space="preserve">DOI: </w:t>
      </w:r>
      <w:hyperlink r:id="rId157">
        <w:r>
          <w:rPr>
            <w:color w:val="1155CC"/>
            <w:u w:val="single"/>
          </w:rPr>
          <w:t>10.1088/1741-4326/ae7a8e</w:t>
        </w:r>
      </w:hyperlink>
    </w:p>
    <w:p>
      <w:pPr>
        <w:spacing w:before="0" w:after="120"/>
      </w:pPr>
      <w:r>
        <w:rPr>
          <w:b/>
        </w:rPr>
        <w:t xml:space="preserve">Notes: </w:t>
      </w:r>
      <w:r>
        <w:t>abstract_source=rss_description</w:t>
      </w:r>
    </w:p>
    <w:p>
      <w:pPr>
        <w:spacing w:before="0" w:after="80" w:lineRule="auto" w:line="276"/>
      </w:pPr>
      <w:r>
        <w:rPr>
          <w:b/>
        </w:rPr>
        <w:t xml:space="preserve">摘要（ZH）: </w:t>
      </w:r>
      <w:r>
        <w:t>了解控制结构材料中氚保留的机制对于确保未来聚变反应堆的安全和氚自给自足至关重要。在这项工作中，EURORFER97 样品在不同温度下暴露于低能电子回旋共振氘 (D) 等离子体或 D 气体。使用氦束核反应分析测量曝光后前 7 m 内的 D 深度剖面，同时采用热解吸光谱来确定总保留和解吸行为。等离子体和气体暴露之间出现了明显的差异：等离子体负载导致单个主要的低温解吸峰，而气体负载导致更高温度下的额外峰。这些实验结果是使用最先进的反应扩散代码（TESSIM-X）进行模拟的，以导出去俘获能量和俘获势垒。结果表明，存在具有进入陷阱的高能垒的陷阱，其占据很大程度上取决于溶质 D 浓度。此外，D气体暴露后重新抛光样品表面显着降低了低温解吸峰的振幅，而高温峰基本保持不变。这些发现为减少活化铁素体/马氏体钢中的 D 行为提供了新的见解，对反应堆环境中的氚保留有直接影响。</w:t>
      </w:r>
    </w:p>
    <w:p>
      <w:pPr>
        <w:spacing w:before="0" w:after="200" w:lineRule="auto" w:line="276"/>
      </w:pPr>
      <w:r>
        <w:rPr>
          <w:b/>
        </w:rPr>
        <w:t xml:space="preserve">Abstract (EN): </w:t>
      </w:r>
      <w:r>
        <w:t>Understanding the mechanisms governing tritium retention in structural materials is essential for ensuring both safety and tritium self-sufficiency in future fusion reactors. In this work, EURORFER97 samples were exposed either to a low energy electron-cyclotron-resonance deuterium (D) plasma or to D gas at various temperatures. Post-exposure, D depth profiles within the first 7 m were measured using nuclear reaction analysis with a He beam while thermal desorption spectroscopy was employed to determine the total retention and desorption behavior. Clear differences emerged between plasma and gas exposures: plasma loading resulted in a single dominant low-temperature desorption peak, whereas gas loading resulted in additional peaks at higher temperatures. These experimental results were simulated using a state-of-the-art reaction-diffusion code (TESSIM-X) to derived de-trapping energies and trapping barriers. The results indicate the presence of traps with high-energy barrier for entering the trap, whose occupation strongly depends on the solute D concentration. Additionally, re-polishing the sample surface after D gas exposure significantly reduced the amplitude of the low-temperature desorption peak, while the high-temperature peak remained largely unchanged. These findings provide new insight into D behavior in reduced activation ferritic/martensitic steels, with direct implications for tritium retention in reactor environments.</w:t>
      </w:r>
    </w:p>
    <w:p>
      <w:pPr>
        <w:spacing w:before="120" w:after="120"/>
      </w:pPr>
      <w:r>
        <w:rPr>
          <w:sz w:val="18"/>
        </w:rPr>
        <w:t>——————————————————————————————————————————————————————————————————————</w:t>
      </w:r>
    </w:p>
    <w:p>
      <w:pPr>
        <w:spacing w:before="160" w:after="40" w:line="240" w:lineRule="auto"/>
      </w:pPr>
      <w:r>
        <w:rPr>
          <w:b/>
        </w:rPr>
        <w:t xml:space="preserve">[14] </w:t>
      </w:r>
      <w:hyperlink r:id="rId158">
        <w:r>
          <w:rPr>
            <w:color w:val="1155CC"/>
            <w:u w:val="single"/>
          </w:rPr>
          <w:t>致力于超重核 $α$ 衰变的专用 Skyrme 相互作用</w:t>
        </w:r>
      </w:hyperlink>
    </w:p>
    <w:p>
      <w:pPr>
        <w:spacing w:before="0" w:after="80"/>
      </w:pPr>
      <w:r>
        <w:rPr>
          <w:i/>
          <w:sz w:val="20"/>
        </w:rPr>
        <w:t>EN: Toward a dedicated Skyrme interaction for $α$ decay of superheavy nuclei</w:t>
      </w:r>
    </w:p>
    <w:p>
      <w:pPr>
        <w:spacing w:before="0" w:after="120"/>
      </w:pPr>
      <w:r>
        <w:rPr>
          <w:b/>
        </w:rPr>
        <w:t xml:space="preserve">Source: </w:t>
      </w:r>
      <w:r>
        <w:t>Recent Articles in Phys. Rev. C</w:t>
      </w:r>
      <w:r>
        <w:t xml:space="preserve">    </w:t>
      </w:r>
      <w:r>
        <w:rPr>
          <w:b/>
        </w:rPr>
        <w:t xml:space="preserve">Pub date: </w:t>
      </w:r>
      <w:r>
        <w:t>2026-07-01 10:00:00+00:00</w:t>
      </w:r>
      <w:r>
        <w:t xml:space="preserve">    </w:t>
      </w:r>
      <w:r>
        <w:rPr>
          <w:b/>
        </w:rPr>
        <w:t xml:space="preserve">DOI: </w:t>
      </w:r>
      <w:hyperlink r:id="rId159">
        <w:r>
          <w:rPr>
            <w:color w:val="1155CC"/>
            <w:u w:val="single"/>
          </w:rPr>
          <w:t>10.1103/353g-7f4s</w:t>
        </w:r>
      </w:hyperlink>
    </w:p>
    <w:p>
      <w:pPr>
        <w:spacing w:before="0" w:after="120"/>
      </w:pPr>
      <w:r>
        <w:rPr>
          <w:b/>
        </w:rPr>
        <w:t xml:space="preserve">Notes: </w:t>
      </w:r>
      <w:r>
        <w:t>abstract_source=rss_description</w:t>
      </w:r>
    </w:p>
    <w:p>
      <w:pPr>
        <w:spacing w:before="0" w:after="80" w:lineRule="auto" w:line="276"/>
      </w:pPr>
      <w:r>
        <w:rPr>
          <w:b/>
        </w:rPr>
        <w:t xml:space="preserve">摘要（ZH）: </w:t>
      </w:r>
      <w:r>
        <w:t>作者：M. M. Amiri 和 O. N. Ghodsi 这项研究在变形密度泛函理论和自洽 Hartree-Fock-Bogoliubov 计算的框架内研究了质子数 $82≤Z≤126$ 的超重核的 $α$ 衰变特性。该研究采用了 SkM* 和 SLy4 Skyrme 相互作用，这些相互作用被参数化......[Phys. Rev. C 114, 014601] 2026 年 7 月 1 日星期三发布</w:t>
      </w:r>
    </w:p>
    <w:p>
      <w:pPr>
        <w:spacing w:before="0" w:after="200" w:lineRule="auto" w:line="276"/>
      </w:pPr>
      <w:r>
        <w:rPr>
          <w:b/>
        </w:rPr>
        <w:t xml:space="preserve">Abstract (EN): </w:t>
      </w:r>
      <w:r>
        <w:t>Author(s): M. M. Amiri and O. N. GhodsiThis study examines the $α$-decay properties of superheavy nuclei with proton numbers $82≤Z≤126$ within the frameworks of deformed density functional theory and self-consistent Hartree-Fock-Bogoliubov calculations. The research employs the SkM* and SLy4 Skyrme interactions, which are parameterized f…[Phys. Rev. C 114, 014601] Published Wed Jul 01, 2026</w:t>
      </w:r>
    </w:p>
    <w:p>
      <w:pPr>
        <w:spacing w:before="120" w:after="120"/>
      </w:pPr>
      <w:r>
        <w:rPr>
          <w:sz w:val="18"/>
        </w:rPr>
        <w:t>——————————————————————————————————————————————————————————————————————</w:t>
      </w:r>
    </w:p>
    <w:p>
      <w:pPr>
        <w:spacing w:before="160" w:after="40" w:line="240" w:lineRule="auto"/>
      </w:pPr>
      <w:r>
        <w:rPr>
          <w:b/>
        </w:rPr>
        <w:t xml:space="preserve">[15] </w:t>
      </w:r>
      <w:hyperlink r:id="rId160">
        <w:r>
          <w:rPr>
            <w:color w:val="1155CC"/>
            <w:u w:val="single"/>
          </w:rPr>
          <w:t>使用有效场论方法对 $^{10}\mathrm{C}$ 中的 ${δ}_{\text{NS}}$ 进行量子蒙特卡罗计算</w:t>
        </w:r>
      </w:hyperlink>
    </w:p>
    <w:p>
      <w:pPr>
        <w:spacing w:before="0" w:after="80"/>
      </w:pPr>
      <w:r>
        <w:rPr>
          <w:i/>
          <w:sz w:val="20"/>
        </w:rPr>
        <w:t>EN: Quantum Monte Carlo calculation of ${δ}_{\text{NS}}$ in $^{10}\mathrm{C}$ using an effective field theory approach</w:t>
      </w:r>
    </w:p>
    <w:p>
      <w:pPr>
        <w:spacing w:before="0" w:after="120"/>
      </w:pPr>
      <w:r>
        <w:rPr>
          <w:b/>
        </w:rPr>
        <w:t xml:space="preserve">Source: </w:t>
      </w:r>
      <w:r>
        <w:t>Recent Articles in Phys. Rev. C</w:t>
      </w:r>
      <w:r>
        <w:t xml:space="preserve">    </w:t>
      </w:r>
      <w:r>
        <w:rPr>
          <w:b/>
        </w:rPr>
        <w:t xml:space="preserve">Pub date: </w:t>
      </w:r>
      <w:r>
        <w:t>2026-07-01 10:00:00+00:00</w:t>
      </w:r>
      <w:r>
        <w:t xml:space="preserve">    </w:t>
      </w:r>
      <w:r>
        <w:rPr>
          <w:b/>
        </w:rPr>
        <w:t xml:space="preserve">DOI: </w:t>
      </w:r>
      <w:hyperlink r:id="rId161">
        <w:r>
          <w:rPr>
            <w:color w:val="1155CC"/>
            <w:u w:val="single"/>
          </w:rPr>
          <w:t>10.1103/l863-z5rj</w:t>
        </w:r>
      </w:hyperlink>
    </w:p>
    <w:p>
      <w:pPr>
        <w:spacing w:before="0" w:after="120"/>
      </w:pPr>
      <w:r>
        <w:rPr>
          <w:b/>
        </w:rPr>
        <w:t xml:space="preserve">Notes: </w:t>
      </w:r>
      <w:r>
        <w:t>abstract_source=rss_description</w:t>
      </w:r>
    </w:p>
    <w:p>
      <w:pPr>
        <w:spacing w:before="0" w:after="80" w:lineRule="auto" w:line="276"/>
      </w:pPr>
      <w:r>
        <w:rPr>
          <w:b/>
        </w:rPr>
        <w:t xml:space="preserve">摘要（ZH）: </w:t>
      </w:r>
      <w:r>
        <w:t>作者：Garrett B. King、Joseph Carlson、Abraham R. Flores、Stefano Gandolfi、Emanuele Mereghetti、Saori Pastore、Maria Piarulli 和 R. B. Wiringa我们在有效的场论方法 Carlo 计算中计算了对 $^{10}\mathrm{C}$ 超级允许的 $β$ 衰减的辐射修正。这些修正是提取 Cabibbo-Kobayashi-Masakawa 曲的重要组成部分...[Phys.牧师神父。 C 114 , 015501 ] 2026 年 7 月 1 日星期三发布</w:t>
      </w:r>
    </w:p>
    <w:p>
      <w:pPr>
        <w:spacing w:before="0" w:after="200" w:lineRule="auto" w:line="276"/>
      </w:pPr>
      <w:r>
        <w:rPr>
          <w:b/>
        </w:rPr>
        <w:t xml:space="preserve">Abstract (EN): </w:t>
      </w:r>
      <w:r>
        <w:t>Author(s): Garrett B. King, Joseph Carlson, Abraham R. Flores, Stefano Gandolfi, Emanuele Mereghetti, Saori Pastore, Maria Piarulli, and R. B. WiringaWe compute radiative corrections to the superallowed $β$ decay of $^{10}\mathrm{C}$ in an effective field theory approach using nuclear matrix elements obtained from quantum Monte Carlo calculations. These corrections are an important ingredient in the extraction of the Cabibbo-Kobayashi-Masakawa qu…[Phys. Rev. C 114, 015501] Published Wed Jul 01, 2026</w:t>
      </w:r>
    </w:p>
    <w:p>
      <w:pPr>
        <w:spacing w:before="120" w:after="120"/>
      </w:pPr>
      <w:r>
        <w:rPr>
          <w:sz w:val="18"/>
        </w:rPr>
        <w:t>——————————————————————————————————————————————————————————————————————</w:t>
      </w:r>
    </w:p>
    <w:p>
      <w:pPr>
        <w:spacing w:before="160" w:after="40" w:line="240" w:lineRule="auto"/>
      </w:pPr>
      <w:r>
        <w:rPr>
          <w:b/>
        </w:rPr>
        <w:t xml:space="preserve">[16] </w:t>
      </w:r>
      <w:hyperlink r:id="rId162">
        <w:r>
          <w:rPr>
            <w:color w:val="1155CC"/>
            <w:u w:val="single"/>
          </w:rPr>
          <w:t>$α$-缺中子核的衰变性质$^{219,220}\mathrm{Np}$</w:t>
        </w:r>
      </w:hyperlink>
    </w:p>
    <w:p>
      <w:pPr>
        <w:spacing w:before="0" w:after="80"/>
      </w:pPr>
      <w:r>
        <w:rPr>
          <w:i/>
          <w:sz w:val="20"/>
        </w:rPr>
        <w:t>EN: $α$-decay properties of the neutron-deficient nuclei $^{219,220}\mathrm{Np}$</w:t>
      </w:r>
    </w:p>
    <w:p>
      <w:pPr>
        <w:spacing w:before="0" w:after="120"/>
      </w:pPr>
      <w:r>
        <w:rPr>
          <w:b/>
        </w:rPr>
        <w:t xml:space="preserve">Source: </w:t>
      </w:r>
      <w:r>
        <w:t>Recent Articles in Phys. Rev. C</w:t>
      </w:r>
      <w:r>
        <w:t xml:space="preserve">    </w:t>
      </w:r>
      <w:r>
        <w:rPr>
          <w:b/>
        </w:rPr>
        <w:t xml:space="preserve">Pub date: </w:t>
      </w:r>
      <w:r>
        <w:t>2026-07-01 10:00:00+00:00</w:t>
      </w:r>
      <w:r>
        <w:t xml:space="preserve">    </w:t>
      </w:r>
      <w:r>
        <w:rPr>
          <w:b/>
        </w:rPr>
        <w:t xml:space="preserve">DOI: </w:t>
      </w:r>
      <w:hyperlink r:id="rId163">
        <w:r>
          <w:rPr>
            <w:color w:val="1155CC"/>
            <w:u w:val="single"/>
          </w:rPr>
          <w:t>10.1103/jh7w-x7n8</w:t>
        </w:r>
      </w:hyperlink>
    </w:p>
    <w:p>
      <w:pPr>
        <w:spacing w:before="0" w:after="120"/>
      </w:pPr>
      <w:r>
        <w:rPr>
          <w:b/>
        </w:rPr>
        <w:t xml:space="preserve">Notes: </w:t>
      </w:r>
      <w:r>
        <w:t>abstract_source=rss_description</w:t>
      </w:r>
    </w:p>
    <w:p>
      <w:pPr>
        <w:spacing w:before="0" w:after="80" w:lineRule="auto" w:line="276"/>
      </w:pPr>
      <w:r>
        <w:rPr>
          <w:b/>
        </w:rPr>
        <w:t xml:space="preserve">摘要（ZH）: </w:t>
      </w:r>
      <w:r>
        <w:t>作者：L. Zhu等人通过聚变蒸发反应$^{169}\mathrm{Tm}$($^{54}\mathrm{Cr}$重新研究了缺中子镎同位素$^{219,220}\mathrm{Np}$， $3\text{−}4n$)$^{219,220}\mathrm{Np}$位于充气反冲分离器SHANS2（重原子和核结构光谱仪-2）。 ...[物理。 Rev. C 114, 014301] 2026 年 7 月 1 日星期三发布</w:t>
      </w:r>
    </w:p>
    <w:p>
      <w:pPr>
        <w:spacing w:before="0" w:after="200" w:lineRule="auto" w:line="276"/>
      </w:pPr>
      <w:r>
        <w:rPr>
          <w:b/>
        </w:rPr>
        <w:t xml:space="preserve">Abstract (EN): </w:t>
      </w:r>
      <w:r>
        <w:t>Author(s): L. Zhu et al.The neutron-deficient neptunium isotopes $^{219,220}\mathrm{Np}$ were reinvestigated via the fusion-evaporation reaction $^{169}\mathrm{Tm}$($^{54}\mathrm{Cr}$, $3\text{−}4n$)$^{219,220}\mathrm{Np}$ at the gas-filled recoil separator SHANS2 (Spectrometer for Heavy Atoms and Nuclear Structure-2). The…[Phys. Rev. C 114, 014301] Published Wed Jul 01, 2026</w:t>
      </w:r>
    </w:p>
    <w:p>
      <w:pPr>
        <w:spacing w:before="120" w:after="120"/>
      </w:pPr>
      <w:r>
        <w:rPr>
          <w:sz w:val="18"/>
        </w:rPr>
        <w:t>——————————————————————————————————————————————————————————————————————</w:t>
      </w:r>
    </w:p>
    <w:p>
      <w:pPr>
        <w:spacing w:before="160" w:after="40" w:line="240" w:lineRule="auto"/>
      </w:pPr>
      <w:r>
        <w:rPr>
          <w:b/>
        </w:rPr>
        <w:t xml:space="preserve">[17] </w:t>
      </w:r>
      <w:hyperlink r:id="rId164">
        <w:r>
          <w:rPr>
            <w:color w:val="1155CC"/>
            <w:u w:val="single"/>
          </w:rPr>
          <w:t>在 DIII-D 上实现集成 AI 控制：采用最先进实验的控制系统设计</w:t>
        </w:r>
      </w:hyperlink>
    </w:p>
    <w:p>
      <w:pPr>
        <w:spacing w:before="0" w:after="80"/>
      </w:pPr>
      <w:r>
        <w:rPr>
          <w:i/>
          <w:sz w:val="20"/>
        </w:rPr>
        <w:t>EN: Enabling integrated AI control on DIII-D: a control system design with state-of-the-art experiments</w:t>
      </w:r>
    </w:p>
    <w:p>
      <w:pPr>
        <w:spacing w:before="0" w:after="120"/>
      </w:pPr>
      <w:r>
        <w:rPr>
          <w:b/>
        </w:rPr>
        <w:t xml:space="preserve">Source: </w:t>
      </w:r>
      <w:r>
        <w:t>Nuclear Fusion - latest papers</w:t>
      </w:r>
      <w:r>
        <w:t xml:space="preserve">    </w:t>
      </w:r>
      <w:r>
        <w:rPr>
          <w:b/>
        </w:rPr>
        <w:t xml:space="preserve">Pub date: </w:t>
      </w:r>
      <w:r>
        <w:t>2026-07-01 23:00:00+00:00</w:t>
      </w:r>
      <w:r>
        <w:t xml:space="preserve">    </w:t>
      </w:r>
      <w:r>
        <w:rPr>
          <w:b/>
        </w:rPr>
        <w:t xml:space="preserve">DOI: </w:t>
      </w:r>
      <w:hyperlink r:id="rId165">
        <w:r>
          <w:rPr>
            <w:color w:val="1155CC"/>
            <w:u w:val="single"/>
          </w:rPr>
          <w:t>10.1088/1741-4326/ae7f9d</w:t>
        </w:r>
      </w:hyperlink>
    </w:p>
    <w:p>
      <w:pPr>
        <w:spacing w:before="0" w:after="120"/>
      </w:pPr>
      <w:r>
        <w:rPr>
          <w:b/>
        </w:rPr>
        <w:t xml:space="preserve">Notes: </w:t>
      </w:r>
      <w:r>
        <w:t>abstract_source=rss_description</w:t>
      </w:r>
    </w:p>
    <w:p>
      <w:pPr>
        <w:spacing w:before="0" w:after="80" w:lineRule="auto" w:line="276"/>
      </w:pPr>
      <w:r>
        <w:rPr>
          <w:b/>
        </w:rPr>
        <w:t xml:space="preserve">摘要（ZH）: </w:t>
      </w:r>
      <w:r>
        <w:t>我们提出了在 DIII-D 中使用机器学习 (PACMAN) 进行预测和控制的通用算法的设计和应用。基于机器学习 (ML) 的预测器和控制器在实现传统控制器失败的机制方面显示出了巨大的前景，例如无撕裂模式 (TM) 场景、无 ELM 场景和稳定的先进托卡马克条件。这里介绍的架构部署在 DIII-D 上，以促进高级控制实验的端到端实施，从诊断处理到最终驱动命令。本文描述了算法的详细设计，并解释了每个设计点背后的动机。我们还描述了使用该算法在 DIII-D 中成功进行的 ML 控制实验，包括针对先进非感应等离子体的强化学习控制器、宽基座静态 H 模式 ELM 预测器、Alfvén Eigenmode 控制器、模型预测控制等离子体轮廓控制器和状态机 TM 预测器控制器。还讨论了实时机器学习控制器设计和实现的指导原则。</w:t>
      </w:r>
    </w:p>
    <w:p>
      <w:pPr>
        <w:spacing w:before="0" w:after="200" w:lineRule="auto" w:line="276"/>
      </w:pPr>
      <w:r>
        <w:rPr>
          <w:b/>
        </w:rPr>
        <w:t xml:space="preserve">Abstract (EN): </w:t>
      </w:r>
      <w:r>
        <w:t>We present the design and application of a general algorithm for Prediction And Control using MAchiNe learning (PACMAN) in DIII-D. Machine learning (ML)-based predictors and controllers have shown great promise in achieving regimes in which traditional controllers fail, such as tearing mode (TM) free scenarios, ELM-free scenarios and stable advanced tokamak conditions. The architecture presented here was deployed on DIII-D to facilitate the end-to-end implementation of advanced control experiments, from diagnostic processing to final actuation commands. This paper describes the detailed design of the algorithm and explains the motivation behind each design point. We also describe several successful ML control experiments in DIII-D using this algorithm, including a reinforcement learning controller targeting advanced non-inductive plasmas, a wide-pedestal quiescent H-mode ELM predictor, an Alfvén Eigenmode controller, a Model Predictive Control plasma profile controller and a state-machine TM predictor-controller. There is also discussion on guiding principles for real-time ML controller design and implementation.</w:t>
      </w:r>
    </w:p>
    <w:p>
      <w:pPr>
        <w:spacing w:before="120" w:after="120"/>
      </w:pPr>
      <w:r>
        <w:rPr>
          <w:sz w:val="18"/>
        </w:rPr>
        <w:t>——————————————————————————————————————————————————————————————————————</w:t>
      </w:r>
    </w:p>
    <w:p>
      <w:pPr>
        <w:spacing w:before="160" w:after="40" w:line="240" w:lineRule="auto"/>
      </w:pPr>
      <w:r>
        <w:rPr>
          <w:b/>
        </w:rPr>
        <w:t xml:space="preserve">[18] </w:t>
      </w:r>
      <w:hyperlink r:id="rId166">
        <w:r>
          <w:rPr>
            <w:color w:val="1155CC"/>
            <w:u w:val="single"/>
          </w:rPr>
          <w:t>在真空下使用皮秒 LIBS 对 W7-X 偏滤器表面上的硼、氢和氧分布进行异位研究</w:t>
        </w:r>
      </w:hyperlink>
    </w:p>
    <w:p>
      <w:pPr>
        <w:spacing w:before="0" w:after="80"/>
      </w:pPr>
      <w:r>
        <w:rPr>
          <w:i/>
          <w:sz w:val="20"/>
        </w:rPr>
        <w:t>EN: Ex situ investigation of boron, hydrogen, and oxygen distributions on W7-X divertor surfaces using picosecond-LIBS under vacuum</w:t>
      </w:r>
    </w:p>
    <w:p>
      <w:pPr>
        <w:spacing w:before="0" w:after="120"/>
      </w:pPr>
      <w:r>
        <w:rPr>
          <w:b/>
        </w:rPr>
        <w:t xml:space="preserve">Source: </w:t>
      </w:r>
      <w:r>
        <w:t>Nuclear Fusion - latest papers</w:t>
      </w:r>
      <w:r>
        <w:t xml:space="preserve">    </w:t>
      </w:r>
      <w:r>
        <w:rPr>
          <w:b/>
        </w:rPr>
        <w:t xml:space="preserve">Pub date: </w:t>
      </w:r>
      <w:r>
        <w:t>2026-07-01 23:00:00+00:00</w:t>
      </w:r>
      <w:r>
        <w:t xml:space="preserve">    </w:t>
      </w:r>
      <w:r>
        <w:rPr>
          <w:b/>
        </w:rPr>
        <w:t xml:space="preserve">DOI: </w:t>
      </w:r>
      <w:hyperlink r:id="rId167">
        <w:r>
          <w:rPr>
            <w:color w:val="1155CC"/>
            <w:u w:val="single"/>
          </w:rPr>
          <w:t>10.1088/1741-4326/ae7e05</w:t>
        </w:r>
      </w:hyperlink>
    </w:p>
    <w:p>
      <w:pPr>
        <w:spacing w:before="0" w:after="120"/>
      </w:pPr>
      <w:r>
        <w:rPr>
          <w:b/>
        </w:rPr>
        <w:t xml:space="preserve">Notes: </w:t>
      </w:r>
      <w:r>
        <w:t>abstract_source=rss_description</w:t>
      </w:r>
    </w:p>
    <w:p>
      <w:pPr>
        <w:spacing w:before="0" w:after="80" w:lineRule="auto" w:line="276"/>
      </w:pPr>
      <w:r>
        <w:rPr>
          <w:b/>
        </w:rPr>
        <w:t xml:space="preserve">摘要（ZH）: </w:t>
      </w:r>
      <w:r>
        <w:t>对面向等离子体的组件（PFC）近表面材料成分进行定量、空间分辨测量对于解释等离子体-壁相互作用（PWI）驱动的杂质源、评估壁调节性能以及为当今磁约束装置和未来反应堆中的杂质迁移和共沉积提供模型约束至关重要。在这项工作中，皮秒激光诱导击穿光谱 (ps-LIBS) 应用于仿星器 Wendelstein 7-X (W7-X) 在设备相关高真空 (∼10−7 mbar) 下的死后石墨偏滤器瓦片，以获得碳 (C)、硼 (B)、氢 (H) 和氧 (O) 的极向分辨二维图和深度剖面。 ps-LIBS 结果与同位素敏感诊断（核反应分析，NRA；激光烧蚀分子同位素光谱，LAMIS）进行交叉验证，并辅以轮廓测定法、聚焦离子束扫描电子显微镜 (FIB-SEM)/能量色散 X 射线光谱 (EDS) 和 X 射线光电子能谱 (XPS)，以将横向图案与薄膜厚度和近表面化学联系起来。观察到明显的极向异质性：在 H 等离子体运行 2.5 小时后，在侵蚀为主的区域，混合共沉积层的厚度范围为 ∼0.3 至 0.4 μm，在富 B 沉积区为 ∼0.9 μm，在外走向线附近的富 13C 沉积物中超过 12 μm。深度剖析表明，后期 13CH4 注入形成了富含 C-H-O 的顶层，可局部重组由硼化产生的预先存在的硼化层，</w:t>
      </w:r>
    </w:p>
    <w:p>
      <w:pPr>
        <w:spacing w:before="0" w:after="200" w:lineRule="auto" w:line="276"/>
      </w:pPr>
      <w:r>
        <w:rPr>
          <w:b/>
        </w:rPr>
        <w:t xml:space="preserve">Abstract (EN): </w:t>
      </w:r>
      <w:r>
        <w:t>Quantitative, spatially resolved measurements of near-surface material composition on plasma-facing components (PFCs) are critical for interpreting plasma–wall interaction (PWI) driven impurity sources, assessing wall-conditioning performance, and providing model constraints for impurity migration and co-deposition in present-day magnetic confinement devices and future reactors. In this work, picosecond laser-induced breakdown spectroscopy (ps-LIBS) is applied to post-mortem graphite divertor tiles from the stellarator Wendelstein 7-X (W7-X) under device-relevant high vacuum (∼10−7 mbar) to obtain poloidally resolved two-dimensional maps and depth profiles of carbon (C), boron (B), hydrogen (H), and oxygen (O). The ps-LIBS results are cross-validated against isotope-sensitive diagnostics (nuclear reaction analysis, NRA; laser ablation molecular isotopic spectroscopy, LAMIS) and complemented by profilometry, focused ion beam scanning electron microscopy (FIB-SEM)/energy-dispersive x-ray spectroscopy (EDS) and x-ray photoelectron spectroscopy (XPS) to relate lateral patterns to film thickness and near-surface chemistry. Pronounced poloidal heterogeneity is observed: the thickness of mixed co-deposited layers range from ∼0.3 to 0.4 μm in erosion-dominated regions, to ∼0.9 μm in B-rich deposition zones, and exceeds 12 μm in 13C-rich deposits near the outer strike line after 2.5 h of H plasma operation. Depth profiling reveals that late-phase 13CH4 injection forms a C–H–O enriched top layer that locally restructures the pre-existing boronized layer resulting from boronizations, including a pronounced subsurface B maximum at ∼4-5 μm. A calibration-based approach was established to estimate B/C ratios and B inventories from ps-LIBS, enabling quantitative evaluation across the B-rich region, the 13C-rich deposition zone, and the erosion zone. The resulting poloidal and depth-resolved observables constitute benchmark-grade constraints for validating impurity transport/co-deposition modeling and support LIBS pathways toward in-vessel, near-real-time monitoring of surface elemental evolution under varying operational conditions.</w:t>
      </w:r>
    </w:p>
    <w:p>
      <w:pPr>
        <w:spacing w:before="120" w:after="120"/>
      </w:pPr>
      <w:r>
        <w:rPr>
          <w:sz w:val="18"/>
        </w:rPr>
        <w:t>——————————————————————————————————————————————————————————————————————</w:t>
      </w:r>
    </w:p>
    <w:p>
      <w:pPr>
        <w:spacing w:before="160" w:after="40" w:line="240" w:lineRule="auto"/>
      </w:pPr>
      <w:r>
        <w:rPr>
          <w:b/>
        </w:rPr>
        <w:t xml:space="preserve">[19] </w:t>
      </w:r>
      <w:hyperlink r:id="rId168">
        <w:r>
          <w:rPr>
            <w:color w:val="1155CC"/>
            <w:u w:val="single"/>
          </w:rPr>
          <w:t>WEST 对新 ITER 基线和聚变发电厂的贡献概述</w:t>
        </w:r>
      </w:hyperlink>
    </w:p>
    <w:p>
      <w:pPr>
        <w:spacing w:before="0" w:after="80"/>
      </w:pPr>
      <w:r>
        <w:rPr>
          <w:i/>
          <w:sz w:val="20"/>
        </w:rPr>
        <w:t>EN: Overview of the WEST contributions to the new ITER baseline and fusion power plants</w:t>
      </w:r>
    </w:p>
    <w:p>
      <w:pPr>
        <w:spacing w:before="0" w:after="120"/>
      </w:pPr>
      <w:r>
        <w:rPr>
          <w:b/>
        </w:rPr>
        <w:t xml:space="preserve">Source: </w:t>
      </w:r>
      <w:r>
        <w:t>Nuclear Fusion - latest papers</w:t>
      </w:r>
      <w:r>
        <w:t xml:space="preserve">    </w:t>
      </w:r>
      <w:r>
        <w:rPr>
          <w:b/>
        </w:rPr>
        <w:t xml:space="preserve">Pub date: </w:t>
      </w:r>
      <w:r>
        <w:t>2026-07-01 23:00:00+00:00</w:t>
      </w:r>
      <w:r>
        <w:t xml:space="preserve">    </w:t>
      </w:r>
      <w:r>
        <w:rPr>
          <w:b/>
        </w:rPr>
        <w:t xml:space="preserve">DOI: </w:t>
      </w:r>
      <w:hyperlink r:id="rId169">
        <w:r>
          <w:rPr>
            <w:color w:val="1155CC"/>
            <w:u w:val="single"/>
          </w:rPr>
          <w:t>10.1088/1741-4326/ae7615</w:t>
        </w:r>
      </w:hyperlink>
    </w:p>
    <w:p>
      <w:pPr>
        <w:spacing w:before="0" w:after="120"/>
      </w:pPr>
      <w:r>
        <w:rPr>
          <w:b/>
        </w:rPr>
        <w:t xml:space="preserve">Notes: </w:t>
      </w:r>
      <w:r>
        <w:t>abstract_source=rss_description</w:t>
      </w:r>
    </w:p>
    <w:p>
      <w:pPr>
        <w:spacing w:before="0" w:after="80" w:lineRule="auto" w:line="276"/>
      </w:pPr>
      <w:r>
        <w:rPr>
          <w:b/>
        </w:rPr>
        <w:t xml:space="preserve">摘要（ZH）: </w:t>
      </w:r>
      <w:r>
        <w:t>2023-2025 年，WEST 在预测优先方法的支持下开发出了强大的长脉冲放电，持续时间超过 1000 秒（创纪录的 1337 秒）。可靠的机器运行是实现这些性能的关键。 WEST 配备了完全主动冷却的 ITER 级偏滤器，并产生了 ITER 相关热通量（高达 12 MW m−2）和粒子注量（超过 1027 D m−2）。在单体块的顶部表面观察到裂纹，但到目前为止并不妨碍偏滤器的功率排放能力。在撞击点区域观察到明显的侵蚀，同时在偏滤器的高场侧形成厚厚的沉积层。这些沉积层容易剥落，导致杂质进入等离子体，从而阻碍等离子体运行。已经开发出一种激光清洁程序，可以在停机期间去除这些沉积层。为了减轻钨腐蚀，我们开发了冷偏滤器 X 点散热器 (XPR) 系统并对其进行了超过 30 秒的控制。到 XPR 的转换是用 SOLEDGE 代码建模的。 WEST 还解决了紧急研发问题，以支持新 ITER 基线中计划的钨第一壁 (FW)，为 ITER 硼化系统的设计提供信息并描述失控影响的特征。已证实需要辉光放电硼化 (GDB) 以确保稳定的等离子体启动。研究还表明，非均匀 GDB 足够高效，并且不对称程度低于建模预期。 WEST 在内侧限制器上生产了专用的失控梁碰撞来验证</w:t>
      </w:r>
    </w:p>
    <w:p>
      <w:pPr>
        <w:spacing w:before="0" w:after="200" w:lineRule="auto" w:line="276"/>
      </w:pPr>
      <w:r>
        <w:rPr>
          <w:b/>
        </w:rPr>
        <w:t xml:space="preserve">Abstract (EN): </w:t>
      </w:r>
      <w:r>
        <w:t>In 2023–2025, WEST has developed robust long pulse discharges and reached duration exceeding 1000 s (record 1337 s), supported by a predict first approach. Reliable machine operation was key to achieving those performances. WEST is equipped with a fully actively cooled ITER grade divertor and has produced ITER relevant heat fluxes (up to 12 MW m−2) and particle fluence (over 1027 D m−2). Cracks have been observed on the top surface of the mono-blocks, but do not hamper the divertor power exhaust capability so far. Significant erosion has been observed in the strike point area while thick deposited layers built up on the high field side of the divertor. Those deposited layers are prone to flaking, leading to impurity ingress into the plasma hampering plasma operation. A laser cleaning procedure has been developed to remove those deposited layers during shutdown. With the objective to mitigate tungsten erosion, a cold divertor X-point radiator (XPR) regime has been developed and controlled for more than 30 s. The transition into an XPR was modelled with the SOLEDGE code. WEST has also addressed urgent R&amp;D issues in support of the tungsten first wall (FW) planned in the new ITER baseline, to inform the design of the ITER boronization system and characterize runaway impact. It was confirmed that glow discharge boronization (GDB) is required to ensure a robust plasma start-up. It was also shown that a non-uniform GDB is sufficiently efficient, and is less asymmetric than anticipated from modelling. WEST has produced dedicated run-away beam crash on the inboard limiter to validate the models of run-away damage in ITER. In the next two years, 3 MW of ECRH (electron cyclotron resonance heating) will be made available to extend the operational domain to H-mode and control tungsten transport. Beyond 2027, WEST plans to produce long pulses at higher power by upgrading its FW to improve power exhaust and operate with an optimized ITER like configuration.</w:t>
      </w:r>
    </w:p>
    <w:p>
      <w:pPr>
        <w:spacing w:before="120" w:after="120"/>
      </w:pPr>
      <w:r>
        <w:rPr>
          <w:sz w:val="18"/>
        </w:rPr>
        <w:t>——————————————————————————————————————————————————————————————————————</w:t>
      </w:r>
    </w:p>
    <w:p>
      <w:pPr>
        <w:spacing w:before="160" w:after="40" w:line="240" w:lineRule="auto"/>
      </w:pPr>
      <w:r>
        <w:rPr>
          <w:b/>
        </w:rPr>
        <w:t xml:space="preserve">[20] </w:t>
      </w:r>
      <w:hyperlink r:id="rId170">
        <w:r>
          <w:rPr>
            <w:color w:val="1155CC"/>
            <w:u w:val="single"/>
          </w:rPr>
          <w:t>JT-60SA低感应电场等离子体启动装置的研制</w:t>
        </w:r>
      </w:hyperlink>
    </w:p>
    <w:p>
      <w:pPr>
        <w:spacing w:before="0" w:after="80"/>
      </w:pPr>
      <w:r>
        <w:rPr>
          <w:i/>
          <w:sz w:val="20"/>
        </w:rPr>
        <w:t>EN: Development of low inductive electric field plasma start-up in JT-60SA</w:t>
      </w:r>
    </w:p>
    <w:p>
      <w:pPr>
        <w:spacing w:before="0" w:after="120"/>
      </w:pPr>
      <w:r>
        <w:rPr>
          <w:b/>
        </w:rPr>
        <w:t xml:space="preserve">Source: </w:t>
      </w:r>
      <w:r>
        <w:t>Nuclear Fusion - latest papers</w:t>
      </w:r>
      <w:r>
        <w:t xml:space="preserve">    </w:t>
      </w:r>
      <w:r>
        <w:rPr>
          <w:b/>
        </w:rPr>
        <w:t xml:space="preserve">Pub date: </w:t>
      </w:r>
      <w:r>
        <w:t>2026-07-02 23:00:00+00:00</w:t>
      </w:r>
      <w:r>
        <w:t xml:space="preserve">    </w:t>
      </w:r>
      <w:r>
        <w:rPr>
          <w:b/>
        </w:rPr>
        <w:t xml:space="preserve">DOI: </w:t>
      </w:r>
      <w:hyperlink r:id="rId171">
        <w:r>
          <w:rPr>
            <w:color w:val="1155CC"/>
            <w:u w:val="single"/>
          </w:rPr>
          <w:t>10.1088/1741-4326/ae78e6</w:t>
        </w:r>
      </w:hyperlink>
    </w:p>
    <w:p>
      <w:pPr>
        <w:spacing w:before="0" w:after="120"/>
      </w:pPr>
      <w:r>
        <w:rPr>
          <w:b/>
        </w:rPr>
        <w:t xml:space="preserve">Notes: </w:t>
      </w:r>
      <w:r>
        <w:t>abstract_source=rss_description</w:t>
      </w:r>
    </w:p>
    <w:p>
      <w:pPr>
        <w:spacing w:before="0" w:after="80" w:lineRule="auto" w:line="276"/>
      </w:pPr>
      <w:r>
        <w:rPr>
          <w:b/>
        </w:rPr>
        <w:t xml:space="preserve">摘要（ZH）: </w:t>
      </w:r>
      <w:r>
        <w:t>JT-60SA 已在 ITER 相关低感应电场条件下进行了等离子体启动实验。进行了系统的调查，以确定决定初创企业成败的关键因素。人们发现欧姆场零配置（FNC）启动实验受到高杂质含量的强烈限制。在 EC 辅助 FNC 中，启动受到对设备模型不确定性的敏感性（例如，建模的 CS/EF 线圈几何形状与操作期间有效线圈位置之间的差异）的阻碍，这会引起残余极向磁场和向外的等离子体偏移，从而降低烧穿期间 EC 加热的有效性。与 FNC 相比，捕获粒子配置 (TPC) 从击穿阶段开始施加有限的垂直磁场，即使在击穿时间和早期极向场演化不确定的情况下，也能实现稳健的等离子体位置控制和 EC 加热的有效利用。这种稳健性促成了 JT-60SA 第一个等离子体的诞生。值得注意的是，线集成光谱诊断表明，尽管在击穿阶段失败的 FNC 和成功的 TPC 放电之间存在个体差异，但失败的 FNC 放电并没有系统地以较低的击穿相密度或电子温度指标来表征。这表明，在目前的EC辅助条件下，启动结果不仅仅由击穿相等离子体参数决定，而是受到随后的杂质烧穿阶段的强烈影响。</w:t>
      </w:r>
    </w:p>
    <w:p>
      <w:pPr>
        <w:spacing w:before="0" w:after="200" w:lineRule="auto" w:line="276"/>
      </w:pPr>
      <w:r>
        <w:rPr>
          <w:b/>
        </w:rPr>
        <w:t xml:space="preserve">Abstract (EN): </w:t>
      </w:r>
      <w:r>
        <w:t>Plasma start-up experiments have been performed in JT-60SA under ITER-relevant low inductive electric field conditions. A systematic investigation was conducted to identify the key factors that determined the success or failure of start-up. Ohmic field null configuration (FNC) start-up experiments were found to be strongly limited by high impurity content. In EC-assisted FNC, start-up was hindered by sensitivity to device model uncertainties (e.g. discrepancies between the as-modeled CS/EF coil geometry and the effective coil positions during operation), which induced residual poloidal magnetic fields and outward plasma shifts, reducing the effectiveness of EC heating during burn-through. In contrast to FNC, the trapped particle configuration (TPC) applied a finite vertical magnetic field from the breakdown phase, enabling robust plasma position control and effective utilization of EC heating even when the breakdown timing and the early-phase poloidal field evolution are uncertain. This robustness led to the achievement of the JT-60SA first plasma. Notably, line-integrated spectroscopic diagnostics showed that, although individual differences existed between failed FNC and successful TPC discharges during the breakdown phase, the failed FNC discharges were not systematically characterized by lower breakdown-phase density or electron-temperature indicators. This indicates that, under the present EC-assisted conditions, the start-up outcome was not determined solely by the breakdown-phase plasma parameters, but was strongly affected by the subsequent impurity burn-through phase. Additional experiments demonstrated that TPC also enhanced EC-assisted breakdown, particularly for X2 heating, and enabled successful X2-only start-up. The lower power threshold for X2 start-up was found to be approximately 0.7 MW, set by the requirement for impurity burn-through rather than breakdown itself. These results demonstrate that TPC enables reliable plasma start-up under ITER- and DEMO-relevant conditions through the combined effects of robust position control and efficient EC heating.</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172">
        <w:r>
          <w:rPr>
            <w:color w:val="1155CC"/>
            <w:u w:val="single"/>
          </w:rPr>
          <w:t>海上风氢能岛的黑启动设计：并网电池和风力涡轮机技术的作用</w:t>
        </w:r>
      </w:hyperlink>
    </w:p>
    <w:p>
      <w:pPr>
        <w:spacing w:before="0" w:after="80"/>
      </w:pPr>
      <w:r>
        <w:rPr>
          <w:i/>
          <w:sz w:val="20"/>
        </w:rPr>
        <w:t>EN: Black start design for offshore wind–hydrogen energy Islands: Role of grid-forming battery and wind turbine technologies</w:t>
      </w:r>
    </w:p>
    <w:p>
      <w:pPr>
        <w:spacing w:before="0" w:after="120"/>
      </w:pPr>
      <w:r>
        <w:rPr>
          <w:b/>
        </w:rPr>
        <w:t xml:space="preserve">Source: </w:t>
      </w:r>
      <w:r>
        <w:t>ScienceDirect Publication: Applied Energy</w:t>
      </w:r>
      <w:r>
        <w:t xml:space="preserve">    </w:t>
      </w:r>
      <w:r>
        <w:rPr>
          <w:b/>
        </w:rPr>
        <w:t xml:space="preserve">Pub date: </w:t>
      </w:r>
      <w:r>
        <w:t>2026-06-27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73">
        <w:r>
          <w:rPr>
            <w:color w:val="1155CC"/>
            <w:u w:val="single"/>
          </w:rPr>
          <w:t>固体氧化物燃料电池能源系统的退化感知故障诊断和预测</w:t>
        </w:r>
      </w:hyperlink>
    </w:p>
    <w:p>
      <w:pPr>
        <w:spacing w:before="0" w:after="80"/>
      </w:pPr>
      <w:r>
        <w:rPr>
          <w:i/>
          <w:sz w:val="20"/>
        </w:rPr>
        <w:t>EN: Degradation-aware fault diagnosis and prognostics for solid oxide fuel cell energy systems</w:t>
      </w:r>
    </w:p>
    <w:p>
      <w:pPr>
        <w:spacing w:before="0" w:after="120"/>
      </w:pPr>
      <w:r>
        <w:rPr>
          <w:b/>
        </w:rPr>
        <w:t xml:space="preserve">Source: </w:t>
      </w:r>
      <w:r>
        <w:t>ScienceDirect Publication: Applied Energy</w:t>
      </w:r>
      <w:r>
        <w:t xml:space="preserve">    </w:t>
      </w:r>
      <w:r>
        <w:rPr>
          <w:b/>
        </w:rPr>
        <w:t xml:space="preserve">Pub date: </w:t>
      </w:r>
      <w:r>
        <w:t>2026-06-27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74">
        <w:r>
          <w:rPr>
            <w:color w:val="1155CC"/>
            <w:u w:val="single"/>
          </w:rPr>
          <w:t>集成多尺度建模和协调工厂平衡优化，以最大限度地提高重型燃料电池电动汽车的车辆系统效率</w:t>
        </w:r>
      </w:hyperlink>
    </w:p>
    <w:p>
      <w:pPr>
        <w:spacing w:before="0" w:after="80"/>
      </w:pPr>
      <w:r>
        <w:rPr>
          <w:i/>
          <w:sz w:val="20"/>
        </w:rPr>
        <w:t>EN: Integrated multiscale modeling and coordinated balance-of-plant optimization to maximize vehicle system efficiency in a heavy-duty fuel cell electric vehicle</w:t>
      </w:r>
    </w:p>
    <w:p>
      <w:pPr>
        <w:spacing w:before="0" w:after="120"/>
      </w:pPr>
      <w:r>
        <w:rPr>
          <w:b/>
        </w:rPr>
        <w:t xml:space="preserve">Source: </w:t>
      </w:r>
      <w:r>
        <w:t>ScienceDirect Publication: Applied Energy</w:t>
      </w:r>
      <w:r>
        <w:t xml:space="preserve">    </w:t>
      </w:r>
      <w:r>
        <w:rPr>
          <w:b/>
        </w:rPr>
        <w:t xml:space="preserve">Pub date: </w:t>
      </w:r>
      <w:r>
        <w:t>2026-06-28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75">
        <w:r>
          <w:rPr>
            <w:color w:val="1155CC"/>
            <w:u w:val="single"/>
          </w:rPr>
          <w:t>使用贝叶斯优化的 LSTM-XGBoost 融合模型预测汽车 PEMFC 堆栈的高频电阻</w:t>
        </w:r>
      </w:hyperlink>
    </w:p>
    <w:p>
      <w:pPr>
        <w:spacing w:before="0" w:after="80"/>
      </w:pPr>
      <w:r>
        <w:rPr>
          <w:i/>
          <w:sz w:val="20"/>
        </w:rPr>
        <w:t>EN: Prediction of high-frequency resistance for automotive PEMFC stacks using a Bayesian-optimized LSTM-XGBoost fusion model</w:t>
      </w:r>
    </w:p>
    <w:p>
      <w:pPr>
        <w:spacing w:before="0" w:after="120"/>
      </w:pPr>
      <w:r>
        <w:rPr>
          <w:b/>
        </w:rPr>
        <w:t xml:space="preserve">Source: </w:t>
      </w:r>
      <w:r>
        <w:t>ScienceDirect Publication: Applied Energy</w:t>
      </w:r>
      <w:r>
        <w:t xml:space="preserve">    </w:t>
      </w:r>
      <w:r>
        <w:rPr>
          <w:b/>
        </w:rPr>
        <w:t xml:space="preserve">Pub date: </w:t>
      </w:r>
      <w:r>
        <w:t>2026-06-28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76">
        <w:r>
          <w:rPr>
            <w:color w:val="1155CC"/>
            <w:u w:val="single"/>
          </w:rPr>
          <w:t>绿氢流量波动下草酸二甲酯加氢工艺动态多目标运行优化</w:t>
        </w:r>
      </w:hyperlink>
    </w:p>
    <w:p>
      <w:pPr>
        <w:spacing w:before="0" w:after="80"/>
      </w:pPr>
      <w:r>
        <w:rPr>
          <w:i/>
          <w:sz w:val="20"/>
        </w:rPr>
        <w:t>EN: Dynamic multi-objective operation optimization of dimethyl oxalate hydrogenation process under green hydrogen flow fluctuation</w:t>
      </w:r>
    </w:p>
    <w:p>
      <w:pPr>
        <w:spacing w:before="0" w:after="120"/>
      </w:pPr>
      <w:r>
        <w:rPr>
          <w:b/>
        </w:rPr>
        <w:t xml:space="preserve">Source: </w:t>
      </w:r>
      <w:r>
        <w:t>ScienceDirect Publication: Applied Energy</w:t>
      </w:r>
      <w:r>
        <w:t xml:space="preserve">    </w:t>
      </w:r>
      <w:r>
        <w:rPr>
          <w:b/>
        </w:rPr>
        <w:t xml:space="preserve">Pub date: </w:t>
      </w:r>
      <w:r>
        <w:t>2026-06-28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77">
        <w:r>
          <w:rPr>
            <w:color w:val="1155CC"/>
            <w:u w:val="single"/>
          </w:rPr>
          <w:t>多工况下质子交换膜水电解膜电极组件的动态降解机理</w:t>
        </w:r>
      </w:hyperlink>
    </w:p>
    <w:p>
      <w:pPr>
        <w:spacing w:before="0" w:after="80"/>
      </w:pPr>
      <w:r>
        <w:rPr>
          <w:i/>
          <w:sz w:val="20"/>
        </w:rPr>
        <w:t>EN: Dynamic degradation mechanisms of PEM water electrolysis membrane electrode assembly under multiple operating conditions</w:t>
      </w:r>
    </w:p>
    <w:p>
      <w:pPr>
        <w:spacing w:before="0" w:after="120"/>
      </w:pPr>
      <w:r>
        <w:rPr>
          <w:b/>
        </w:rPr>
        <w:t xml:space="preserve">Source: </w:t>
      </w:r>
      <w:r>
        <w:t>ScienceDirect Publication: Applied Energy</w:t>
      </w:r>
      <w:r>
        <w:t xml:space="preserve">    </w:t>
      </w:r>
      <w:r>
        <w:rPr>
          <w:b/>
        </w:rPr>
        <w:t xml:space="preserve">Pub date: </w:t>
      </w:r>
      <w:r>
        <w:t>2026-06-28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78">
        <w:r>
          <w:rPr>
            <w:color w:val="1155CC"/>
            <w:u w:val="single"/>
          </w:rPr>
          <w:t>通过定制气泡动力学实现节能集成 H2O2 电合成</w:t>
        </w:r>
      </w:hyperlink>
    </w:p>
    <w:p>
      <w:pPr>
        <w:spacing w:before="0" w:after="80"/>
      </w:pPr>
      <w:r>
        <w:rPr>
          <w:i/>
          <w:sz w:val="20"/>
        </w:rPr>
        <w:t>EN: Energy efficient integrated H2O2 electrosynthesis via tailored bubble dynamics</w:t>
      </w:r>
    </w:p>
    <w:p>
      <w:pPr>
        <w:spacing w:before="0" w:after="120"/>
      </w:pPr>
      <w:r>
        <w:rPr>
          <w:b/>
        </w:rPr>
        <w:t xml:space="preserve">Source: </w:t>
      </w:r>
      <w:r>
        <w:t>RSC - Energy Environ. Sci. latest articles</w:t>
      </w:r>
      <w:r>
        <w:t xml:space="preserve">    </w:t>
      </w:r>
      <w:r>
        <w:rPr>
          <w:b/>
        </w:rPr>
        <w:t xml:space="preserve">Pub date: </w:t>
      </w:r>
      <w:r>
        <w:t>2026-06-28 23:00:00+00:00</w:t>
      </w:r>
    </w:p>
    <w:p>
      <w:pPr>
        <w:spacing w:before="0" w:after="120"/>
      </w:pPr>
      <w:r>
        <w:rPr>
          <w:b/>
        </w:rPr>
        <w:t xml:space="preserve">Notes: </w:t>
      </w:r>
      <w:r>
        <w:t>abstract_source=rsc_html</w:t>
      </w:r>
    </w:p>
    <w:p>
      <w:pPr>
        <w:spacing w:before="0" w:after="80" w:lineRule="auto" w:line="276"/>
      </w:pPr>
      <w:r>
        <w:rPr>
          <w:b/>
        </w:rPr>
        <w:t xml:space="preserve">摘要（ZH）: </w:t>
      </w:r>
      <w:r>
        <w:t>将 H2O2 电合成与阳极升级相结合，提供了一条自发（无电）操作的途径。在这里，我们研究了界面动力学瓶颈，尤其是阳极上的界面动力学瓶颈，并确定了阻碍实现工业规模电流密度的因素。我们在微电极系统中使用高速成像，发现电解质内的有机基质充当界面气泡成核调节剂。该基材降低了液-气表面张力并显着降低了产物气泡的成核势垒。与传统的水电解相比，成核势垒的减少导致阳极升级反应中微泡形成的频率更高，并且粘附停滞。在这种机制见解的指导下，我们建立了一种流体策略，可以有效去除 MEA 单元中的气泡。在优化的 MEA 中提高电解液流速，可以在工业相关的电流密度下稳定、无偏压地共电合成 H2O2、糠酸和 H2。</w:t>
      </w:r>
    </w:p>
    <w:p>
      <w:pPr>
        <w:spacing w:before="0" w:after="200" w:lineRule="auto" w:line="276"/>
      </w:pPr>
      <w:r>
        <w:rPr>
          <w:b/>
        </w:rPr>
        <w:t xml:space="preserve">Abstract (EN): </w:t>
      </w:r>
      <w:r>
        <w:t>Integrating H2O2 electrosynthesis with anodic upgrading provides a pathway to spontaneous (electricity-free) operation.Here we investigate interfacial kinetic bottlenecks, especially on the anode, and identify factors that hinder the achievement of industrial-scale current densities. We use high-speed imaging in microelectrode systems and find that the organic substrate within the electrolyte acts as an interfacial bubble nucleation regulator. This substrate lowers the liquid-gas surface tension and significantly reduces the nucleation barrier for product gas bubbles. This reduction in the nucleation barrier leads to a higher frequency of microbubble formation and stagnant adhesion in anodic upgrading reactions compared to conventional water electrolysis. Guided by this mechanistic insight, we establish a fluidic strategy that enables efficient bubble removal in an MEA cell. Implementing an elevated electrolyte flow rate in an optimized MEA enables stable, biasfree co-electrosynthesis of H2O2, furoic acid, and H2 at industrial-relevant current densities.</w:t>
      </w:r>
    </w:p>
    <w:p>
      <w:pPr>
        <w:spacing w:before="120" w:after="120"/>
      </w:pPr>
      <w:r>
        <w:rPr>
          <w:sz w:val="18"/>
        </w:rPr>
        <w:t>——————————————————————————————————————————————————————————————————————</w:t>
      </w:r>
    </w:p>
    <w:p>
      <w:pPr>
        <w:spacing w:before="160" w:after="40" w:line="240" w:lineRule="auto"/>
      </w:pPr>
      <w:r>
        <w:rPr>
          <w:b/>
        </w:rPr>
        <w:t xml:space="preserve">[8] </w:t>
      </w:r>
      <w:hyperlink r:id="rId179">
        <w:r>
          <w:rPr>
            <w:color w:val="1155CC"/>
            <w:u w:val="single"/>
          </w:rPr>
          <w:t>钙钛矿上富含羟基的纳米腔可实现近乎无障碍的分子内氢转移，从而将硝酸盐电还原为氨</w:t>
        </w:r>
      </w:hyperlink>
    </w:p>
    <w:p>
      <w:pPr>
        <w:spacing w:before="0" w:after="80"/>
      </w:pPr>
      <w:r>
        <w:rPr>
          <w:i/>
          <w:sz w:val="20"/>
        </w:rPr>
        <w:t>EN: Hydroxyl-rich nanocavities on perovskite enable nearly barrierless intramolecular hydrogen transfer for nitrate electroreduction to ammonia</w:t>
      </w:r>
    </w:p>
    <w:p>
      <w:pPr>
        <w:spacing w:before="0" w:after="120"/>
      </w:pPr>
      <w:r>
        <w:rPr>
          <w:b/>
        </w:rPr>
        <w:t xml:space="preserve">Source: </w:t>
      </w:r>
      <w:r>
        <w:t>Physical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电催化硝酸盐还原成氨（NITRR）为同步硝酸盐减排和氨合成提供了可持续的途径，但 NITRR 过程中缓慢的表面氢迁移仍然是一个主要瓶颈。在这里，我们展示了沿着富含羟基的纳米腔的羟基之间的分子内氢键的无屏障氢转移途径，用于有效地将硝酸盐电还原为氨。这种纳米腔是通过电化学还原辅助选择性 Sr 离子浸出 La0.4Sr0.6FeO3-δ 钙钛矿而构建的。结合实验和理论研究表明，纳米腔具有类似纳米腔的结构，壁富含羟基，促进活性氢的产生和 NO3-氢化的跳跃。得益于这种不寻常的分子内氢转移，表面纳米凹面La0.4Sr0.6FeO3-δ与可逆氢电极（RHE）相比，在-0.8V下实现了97.81%的法拉第效率和51.37 mg h−1 cm−2的氨产率，超越了无纳米腔的对应物，跻身于优秀的NITRR催化剂之列。在可再生能源供电的电解槽中，在 2.23 V 的极低电池电压下，进一步实现了安培级电流密度的硝酸盐到氨的转化。技术经济分析强调了该过程的双重好处，包括氨合成的经济可行性和硝酸盐修复的环境影响。</w:t>
      </w:r>
    </w:p>
    <w:p>
      <w:pPr>
        <w:spacing w:before="0" w:after="200" w:lineRule="auto" w:line="276"/>
      </w:pPr>
      <w:r>
        <w:rPr>
          <w:b/>
        </w:rPr>
        <w:t xml:space="preserve">Abstract (EN): </w:t>
      </w:r>
      <w:r>
        <w:t>Electrocatalytic nitrate reduction to ammonia (NITRR) provides a sustainable avenue for simultaneous nitrate mitigation and ammonia synthesis, but the sluggish surface hydrogen migration during NITRR remains a major bottleneck. Here, we show a barrierless hydrogen transfer pathway along intramolecular hydrogen bonds between hydroxyls of hydroxyl-rich nanocavities for efficient nitrate electroreduction to ammonia. This nanocavity is constructed via electrochemical reduction-assisted selective Sr ions leaching on the La0.4Sr0.6FeO3-δ perovskites. Combined experimental and theoretical investigations reveal that the nanocavity features nanocavity-like architecture with hydroxyl-enriched walls, boosting active hydrogen generating and hopping for NO3- hydrogenation. Benefiting from such unusual intramolecular hydrogen transfer, the surface nanoconcaved La0.4Sr0.6FeO3-δ achieves a Faradaic efficiency of 97.81 % and an ammonia yield rate of 51.37 mg h−1 cm−2 at −0.8 V versus reversible hydrogen electrode (RHE), surpassing nanocavity-free counterpart and ranking among superior NITRR catalysts. Ampere-level current density of nitrate-to-ammonia conversion are further realized in a renewable-energy-powered electrolyzer at a very low cell voltage of 2.23 V. Techno-economic analysis underscores dual benefits of this process including economic viability in ammonia synthesis and environmental impact in nitrate remediation.</w:t>
      </w:r>
    </w:p>
    <w:p>
      <w:pPr>
        <w:spacing w:before="120" w:after="120"/>
      </w:pPr>
      <w:r>
        <w:rPr>
          <w:sz w:val="18"/>
        </w:rPr>
        <w:t>——————————————————————————————————————————————————————————————————————</w:t>
      </w:r>
    </w:p>
    <w:p>
      <w:pPr>
        <w:spacing w:before="160" w:after="40" w:line="240" w:lineRule="auto"/>
      </w:pPr>
      <w:r>
        <w:rPr>
          <w:b/>
        </w:rPr>
        <w:t xml:space="preserve">[9] </w:t>
      </w:r>
      <w:hyperlink r:id="rId180">
        <w:r>
          <w:rPr>
            <w:color w:val="1155CC"/>
            <w:u w:val="single"/>
          </w:rPr>
          <w:t>Ag/CoNiS 上的界面限制程序化氢溢出促进硝酸盐至氨的电合成</w:t>
        </w:r>
      </w:hyperlink>
    </w:p>
    <w:p>
      <w:pPr>
        <w:spacing w:before="0" w:after="80"/>
      </w:pPr>
      <w:r>
        <w:rPr>
          <w:i/>
          <w:sz w:val="20"/>
        </w:rPr>
        <w:t>EN: Interfacial Confinement‐Programmed Hydrogen Spillover on Ag/CoNiS Boosts Nitrate‐to‐Ammonia Electrosynthesis</w:t>
      </w:r>
    </w:p>
    <w:p>
      <w:pPr>
        <w:spacing w:before="0" w:after="120"/>
      </w:pPr>
      <w:r>
        <w:rPr>
          <w:b/>
        </w:rPr>
        <w:t xml:space="preserve">Source: </w:t>
      </w:r>
      <w:r>
        <w:t>Wiley: Advanced Materials: Table of Contents</w:t>
      </w:r>
      <w:r>
        <w:t xml:space="preserve">    </w:t>
      </w:r>
      <w:r>
        <w:rPr>
          <w:b/>
        </w:rPr>
        <w:t xml:space="preserve">Pub date: </w:t>
      </w:r>
      <w:r>
        <w:t>2026-06-29 11:22:02+00:00</w:t>
      </w:r>
      <w:r>
        <w:t xml:space="preserve">    </w:t>
      </w:r>
      <w:r>
        <w:rPr>
          <w:b/>
        </w:rPr>
        <w:t xml:space="preserve">DOI: </w:t>
      </w:r>
      <w:hyperlink r:id="rId181">
        <w:r>
          <w:rPr>
            <w:color w:val="1155CC"/>
            <w:u w:val="single"/>
          </w:rPr>
          <w:t>10.1002/adma.73885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电化学硝酸盐还原（NO</w:t>
      </w:r>
      <w:r>
        <w:rPr>
          <w:vertAlign w:val="subscript"/>
        </w:rPr>
        <w:t>3</w:t>
      </w:r>
      <w:r>
        <w:t>RR）在环境条件下为氨（NH</w:t>
      </w:r>
      <w:r>
        <w:rPr>
          <w:vertAlign w:val="subscript"/>
        </w:rPr>
        <w:t>3</w:t>
      </w:r>
      <w:r>
        <w:t>）合成；然而，其效率受到水离解和硝酸盐氢化之间的动力学不匹配的限制。在这里，我们设计了Ag/CoNiS异质结构，其中Ag负载密度对界面限制进行编程，以调节氢从CoNiS水活化域溢出到Ag相关的硝酸盐/氮氧化物（NO</w:t>
      </w:r>
      <w:r>
        <w:t xml:space="preserve"> </w:t>
      </w:r>
      <w:r>
        <w:t>x</w:t>
      </w:r>
      <w:r>
        <w:t xml:space="preserve"> </w:t>
      </w:r>
      <w:r>
        <w:t>）中间体，从而偶联</w:t>
      </w:r>
      <w:r>
        <w:t xml:space="preserve"> </w:t>
      </w:r>
      <w:r>
        <w:t>*</w:t>
      </w:r>
      <w:r>
        <w:t xml:space="preserve"> </w:t>
      </w:r>
      <w:r>
        <w:t>制氢、中继和硝酸盐深度加氢。优化后的Ag</w:t>
      </w:r>
      <w:r>
        <w:t xml:space="preserve"> </w:t>
      </w:r>
      <w:r>
        <w:t>中号</w:t>
      </w:r>
      <w:r>
        <w:t xml:space="preserve"> </w:t>
      </w:r>
      <w:r>
        <w:t>/CoNiS 达到 NH</w:t>
      </w:r>
      <w:r>
        <w:rPr>
          <w:vertAlign w:val="subscript"/>
        </w:rPr>
        <w:t>3</w:t>
      </w:r>
      <w:r>
        <w:t>产量 22.31 mg h</w:t>
      </w:r>
      <w:r>
        <w:t xml:space="preserve"> </w:t>
      </w:r>
      <w:r>
        <w:t>−1</w:t>
      </w:r>
      <w:r>
        <w:t xml:space="preserve"> </w:t>
      </w:r>
      <w:r>
        <w:t>厘米</w:t>
      </w:r>
      <w:r>
        <w:t xml:space="preserve"> </w:t>
      </w:r>
      <w:r>
        <w:t>−2</w:t>
      </w:r>
      <w:r>
        <w:t xml:space="preserve"> </w:t>
      </w:r>
      <w:r>
        <w:t>法拉第效率为 99.13%。原位拉曼、弛豫时间分布 (DRT) 分析、氢/氘 (H/D) 同位素实验和叔丁醇 (TBA) 微扰测试表明，受限的 Ag-CoNiS 界面调节界面水并建立平衡</w:t>
      </w:r>
      <w:r>
        <w:t xml:space="preserve"> </w:t>
      </w:r>
      <w:r>
        <w:t>*</w:t>
      </w:r>
      <w:r>
        <w:t xml:space="preserve"> </w:t>
      </w:r>
      <w:r>
        <w:t>H供应-消耗机制，从而抑制竞争性的氢析出。密度泛函理论（DFT）计算进一步表明，Ag 促进硝酸盐脱氧，而过量的 Ag 覆盖会削弱以 Co/Ni 为中心的水活化，这解释了火山型活性</w:t>
      </w:r>
    </w:p>
    <w:p>
      <w:pPr>
        <w:spacing w:before="0" w:after="200" w:lineRule="auto" w:line="276"/>
      </w:pPr>
      <w:r>
        <w:rPr>
          <w:b/>
        </w:rPr>
        <w:t xml:space="preserve">Abstract (EN): </w:t>
      </w:r>
      <w:r>
        <w:t>Electrochemical nitrate reduction (NO</w:t>
      </w:r>
      <w:r>
        <w:rPr>
          <w:vertAlign w:val="subscript"/>
        </w:rPr>
        <w:t>3</w:t>
      </w:r>
      <w:r>
        <w:t>RR) under ambient conditions offers a sustainable route for ammonia (NH</w:t>
      </w:r>
      <w:r>
        <w:rPr>
          <w:vertAlign w:val="subscript"/>
        </w:rPr>
        <w:t>3</w:t>
      </w:r>
      <w:r>
        <w:t>) synthesis; however, its efficiency is restricted by the kinetic mismatch between water dissociation and nitrate hydrogenation. Here, we design Ag/CoNiS heterostructures in which Ag loading density programs interfacial confinement to regulate hydrogen spillover from CoNiS water‐activation domains to Ag‐associated nitrate/nitrogen oxide (NO</w:t>
      </w:r>
      <w:r>
        <w:t xml:space="preserve"> </w:t>
      </w:r>
      <w:r>
        <w:t>x</w:t>
      </w:r>
      <w:r>
        <w:t xml:space="preserve"> </w:t>
      </w:r>
      <w:r>
        <w:t>) intermediates, thereby coupling</w:t>
      </w:r>
      <w:r>
        <w:t xml:space="preserve"> </w:t>
      </w:r>
      <w:r>
        <w:t>*</w:t>
      </w:r>
      <w:r>
        <w:t xml:space="preserve"> </w:t>
      </w:r>
      <w:r>
        <w:t>H generation, relay, and deep nitrate hydrogenation. The optimized Ag</w:t>
      </w:r>
      <w:r>
        <w:t xml:space="preserve"> </w:t>
      </w:r>
      <w:r>
        <w:t>M</w:t>
      </w:r>
      <w:r>
        <w:t xml:space="preserve"> </w:t>
      </w:r>
      <w:r>
        <w:t>/CoNiS achieves an NH</w:t>
      </w:r>
      <w:r>
        <w:rPr>
          <w:vertAlign w:val="subscript"/>
        </w:rPr>
        <w:t>3</w:t>
      </w:r>
      <w:r>
        <w:t>yield of 22.31 mg h</w:t>
      </w:r>
      <w:r>
        <w:t xml:space="preserve"> </w:t>
      </w:r>
      <w:r>
        <w:t>−1</w:t>
      </w:r>
      <w:r>
        <w:t xml:space="preserve"> </w:t>
      </w:r>
      <w:r>
        <w:t>cm</w:t>
      </w:r>
      <w:r>
        <w:t xml:space="preserve"> </w:t>
      </w:r>
      <w:r>
        <w:t>−2</w:t>
      </w:r>
      <w:r>
        <w:t xml:space="preserve"> </w:t>
      </w:r>
      <w:r>
        <w:t>with 99.13% Faradaic efficiency. In situ Raman, distribution of relaxation times (DRT) analysis, hydrogen/deuterium (H/D) isotope experiments, and tert‐butanol (TBA) perturbation tests reveal that the confined Ag–CoNiS interface regulates interfacial water and establishes a balanced</w:t>
      </w:r>
      <w:r>
        <w:t xml:space="preserve"> </w:t>
      </w:r>
      <w:r>
        <w:t>*</w:t>
      </w:r>
      <w:r>
        <w:t xml:space="preserve"> </w:t>
      </w:r>
      <w:r>
        <w:t>H supply–consumption regime, thereby suppressing competing hydrogen evolution. Density functional theory (DFT) calculations further show that Ag facilitates nitrate deoxygenation, whereas excessive Ag coverage weakens Co/Ni‐centered water activation, explaining the volcano‐type activity trend. Coupling NO</w:t>
      </w:r>
      <w:r>
        <w:rPr>
          <w:vertAlign w:val="subscript"/>
        </w:rPr>
        <w:t>3</w:t>
      </w:r>
      <w:r>
        <w:t>RR with the sulfide oxidation reaction (SOR) further enables a low‐voltage NO</w:t>
      </w:r>
      <w:r>
        <w:rPr>
          <w:vertAlign w:val="subscript"/>
        </w:rPr>
        <w:t>3</w:t>
      </w:r>
      <w:r>
        <w:t>RR||SOR electrolyzer, requiring only 0.70 V at 50 mA cm</w:t>
      </w:r>
      <w:r>
        <w:t xml:space="preserve"> </w:t>
      </w:r>
      <w:r>
        <w:t>−2</w:t>
      </w:r>
      <w:r>
        <w:t xml:space="preserve"> </w:t>
      </w:r>
      <w:r>
        <w:t>for energy‐saving co‐production of ammonia and sulfur.</w:t>
      </w:r>
    </w:p>
    <w:p>
      <w:pPr>
        <w:spacing w:before="120" w:after="120"/>
      </w:pPr>
      <w:r>
        <w:rPr>
          <w:sz w:val="18"/>
        </w:rPr>
        <w:t>——————————————————————————————————————————————————————————————————————</w:t>
      </w:r>
    </w:p>
    <w:p>
      <w:pPr>
        <w:spacing w:before="160" w:after="40" w:line="240" w:lineRule="auto"/>
      </w:pPr>
      <w:r>
        <w:rPr>
          <w:b/>
        </w:rPr>
        <w:t xml:space="preserve">[10] </w:t>
      </w:r>
      <w:hyperlink r:id="rId182">
        <w:r>
          <w:rPr>
            <w:color w:val="1155CC"/>
            <w:u w:val="single"/>
          </w:rPr>
          <w:t>通过提高分子结晶度和减少电子声子耦合来抑制体异质结有机光催化剂中的载流子复合以实现高效的析氢反应</w:t>
        </w:r>
      </w:hyperlink>
    </w:p>
    <w:p>
      <w:pPr>
        <w:spacing w:before="0" w:after="80"/>
      </w:pPr>
      <w:r>
        <w:rPr>
          <w:i/>
          <w:sz w:val="20"/>
        </w:rPr>
        <w:t>EN: Suppressing Charge Carrier Recombination in Bulk Heterojunction Organic Photocatalyst via Improving Molecular Crystallinity and Reducing Electron‐Phonon Coupling for Efficient Hydrogen Evolution Reaction</w:t>
      </w:r>
    </w:p>
    <w:p>
      <w:pPr>
        <w:spacing w:before="0" w:after="120"/>
      </w:pPr>
      <w:r>
        <w:rPr>
          <w:b/>
        </w:rPr>
        <w:t xml:space="preserve">Source: </w:t>
      </w:r>
      <w:r>
        <w:t>Wiley: Advanced Materials: Table of Contents</w:t>
      </w:r>
      <w:r>
        <w:t xml:space="preserve">    </w:t>
      </w:r>
      <w:r>
        <w:rPr>
          <w:b/>
        </w:rPr>
        <w:t xml:space="preserve">Pub date: </w:t>
      </w:r>
      <w:r>
        <w:t>2026-06-29 15:46:51+00:00</w:t>
      </w:r>
      <w:r>
        <w:t xml:space="preserve">    </w:t>
      </w:r>
      <w:r>
        <w:rPr>
          <w:b/>
        </w:rPr>
        <w:t xml:space="preserve">DOI: </w:t>
      </w:r>
      <w:hyperlink r:id="rId183">
        <w:r>
          <w:rPr>
            <w:color w:val="1155CC"/>
            <w:u w:val="single"/>
          </w:rPr>
          <w:t>10.1002/adma.73857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半导体本体异质结纳米粒子因其在可见光-近红外区域的强可见光吸收、优异的光学/电子可调节性以及用于载流子分离的空间丰富的界面而成为有前景的光催化剂。然而，有机半导体普遍存在结晶度较差、晶格对分子振动的敏感性较高等问题，导致分离的载流子局部化和纳米颗粒内严重的复合，限制了光催化制氢性能的进一步提高。</w:t>
      </w:r>
      <w:r>
        <w:rPr>
          <w:vertAlign w:val="subscript"/>
        </w:rPr>
        <w:t>2</w:t>
      </w:r>
      <w:r>
        <w:t>进化率。在此，开发了一种甲氧基功能化的电子受体 ITIC-OMe，与母体 ITIC 相比，它具有增强的结晶度、更紧凑的分子堆积和更弱的电子-声子耦合。这使得 ZnTPP-3O:ITIC-OMe 本体异质结纳米粒子能够提供更有序的分子堆叠，降低电荷转移电阻，并抑制三线态形成的电荷回传，从而抑制载流子复合并促进电荷传输到纳米粒子表面以进行质子还原。因此，基于 ZnTPP-3O:ITIC-OMe 本体异质结纳米粒子的光催化剂实现了高达 1017.7 mmol g 的令人印象深刻的析氢速率</w:t>
      </w:r>
      <w:r>
        <w:t xml:space="preserve"> </w:t>
      </w:r>
      <w:r>
        <w:t>−1</w:t>
      </w:r>
      <w:r>
        <w:t xml:space="preserve"> </w:t>
      </w:r>
      <w:r>
        <w:t>小时</w:t>
      </w:r>
      <w:r>
        <w:t xml:space="preserve"> </w:t>
      </w:r>
      <w:r>
        <w:t>−1</w:t>
      </w:r>
      <w:r>
        <w:t xml:space="preserve"> </w:t>
      </w:r>
      <w:r>
        <w:t>在AM 1.5G照明下，这是迄今为止有机光催化剂的记录。它强调了抑制电荷载流子重新形成</w:t>
      </w:r>
    </w:p>
    <w:p>
      <w:pPr>
        <w:spacing w:before="0" w:after="200" w:lineRule="auto" w:line="276"/>
      </w:pPr>
      <w:r>
        <w:rPr>
          <w:b/>
        </w:rPr>
        <w:t xml:space="preserve">Abstract (EN): </w:t>
      </w:r>
      <w:r>
        <w:t>Organic semiconductor bulk‐heterojunction nanoparticles have emerged as promising photocatalysts, due to their strong visible absorption in the Vis–NIR region, excellent optical/electronic adjustability, and spatially abundant interfaces for charge carrier separation. However, organic semiconductors generally suffer from inferior crystallinity and high lattice's susceptibility to molecular vibrations, which leads to the localization of separated charge carriers and severe recombination in nanoparticles, limiting the further improvement of photocatalytic H</w:t>
      </w:r>
      <w:r>
        <w:rPr>
          <w:vertAlign w:val="subscript"/>
        </w:rPr>
        <w:t>2</w:t>
      </w:r>
      <w:r>
        <w:t>evolution rate. Herein, a methoxy‐functionalized electron acceptor, ITIC‐OMe, is developed and presents enhanced crystallinity, more compact molecular packing and weaker electron–phonon coupling, compared to the parent ITIC. This enables ZnTPP‐3O:ITIC‐OMe bulk‐heterojunction nanoparticles to afford more ordered molecular stacking, reduced charge transfer resistance, and inhibited charge back transfer for triplet state formation, thereby suppressing charge carrier recombination and facilitating charge transport to the nanoparticle surface for proton reduction. Consequently, the photocatalyst based on ZnTPP‐3O:ITIC‐OMe bulk‐heterojunction nanoparticles achieves an impressive hydrogen evolution rate up to 1017.7 mmol g</w:t>
      </w:r>
      <w:r>
        <w:t xml:space="preserve"> </w:t>
      </w:r>
      <w:r>
        <w:t>−1</w:t>
      </w:r>
      <w:r>
        <w:t xml:space="preserve"> </w:t>
      </w:r>
      <w:r>
        <w:t>h</w:t>
      </w:r>
      <w:r>
        <w:t xml:space="preserve"> </w:t>
      </w:r>
      <w:r>
        <w:t>−1</w:t>
      </w:r>
      <w:r>
        <w:t xml:space="preserve"> </w:t>
      </w:r>
      <w:r>
        <w:t>under AM 1.5G illumination, which is the record for organic photocatalysts so far. It highlights that suppressing charge carrier recombination via finely molecular design is a powerful route to enhance the photocatalytic H</w:t>
      </w:r>
      <w:r>
        <w:rPr>
          <w:vertAlign w:val="subscript"/>
        </w:rPr>
        <w:t>2</w:t>
      </w:r>
      <w:r>
        <w:t>evolution performance.</w:t>
      </w:r>
    </w:p>
    <w:p>
      <w:pPr>
        <w:spacing w:before="120" w:after="120"/>
      </w:pPr>
      <w:r>
        <w:rPr>
          <w:sz w:val="18"/>
        </w:rPr>
        <w:t>——————————————————————————————————————————————————————————————————————</w:t>
      </w:r>
    </w:p>
    <w:p>
      <w:pPr>
        <w:spacing w:before="160" w:after="40" w:line="240" w:lineRule="auto"/>
      </w:pPr>
      <w:r>
        <w:rPr>
          <w:b/>
        </w:rPr>
        <w:t xml:space="preserve">[11] </w:t>
      </w:r>
      <w:hyperlink r:id="rId184">
        <w:r>
          <w:rPr>
            <w:color w:val="1155CC"/>
            <w:u w:val="single"/>
          </w:rPr>
          <w:t>将圆红酵母工程化作为脂肪酸酯从头合成的平台生物</w:t>
        </w:r>
      </w:hyperlink>
    </w:p>
    <w:p>
      <w:pPr>
        <w:spacing w:before="0" w:after="80"/>
      </w:pPr>
      <w:r>
        <w:rPr>
          <w:i/>
          <w:sz w:val="20"/>
        </w:rPr>
        <w:t>EN: Engineering Rhodotorula toruloides as a platform organism for de novo synthesis of fatty-acid esters</w:t>
      </w:r>
    </w:p>
    <w:p>
      <w:pPr>
        <w:spacing w:before="0" w:after="120"/>
      </w:pPr>
      <w:r>
        <w:rPr>
          <w:b/>
        </w:rPr>
        <w:t xml:space="preserve">Source: </w:t>
      </w:r>
      <w:r>
        <w:t>Biological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脂肪酸酯是下一代生物燃料、环保洗涤剂、作物改良助剂和高价值化妆品润肤剂的基础材料。然而，它们的工业生产依赖于两种不可持续的方法：石化衍生的化学催化带来了可持续性挑战，而植物提取过程则加剧了土地使用冲突。在这里，我们开发了一个以非常规产油酵母圆红酵母为底盘的从头微生物生物合成平台，在不添加醇或脂质前体的情况下实现了结构多样化的酯的高水平生物合成。通过筛选特定途径酶并进行模块化途径工程，我们成功地重新编程了圆红酵母的天然脂肪生成代谢，以便在摇瓶发酵中从头合成 579 mg/L 的脂肪酸乙酯（FAEE）、169 mg/L 的脂肪酸短支链酯（FASBE）和 1.30 g/L 的蜡酯（WE）。作为案例研究，我们优化了 5 L 发酵罐中 WE 的合成，产量达到 13.04 g/L。这些工程菌株有可能为脂肪酸酯和油脂化学品的工业生产提供高效、经济和环保的平台。</w:t>
      </w:r>
    </w:p>
    <w:p>
      <w:pPr>
        <w:spacing w:before="0" w:after="200" w:lineRule="auto" w:line="276"/>
      </w:pPr>
      <w:r>
        <w:rPr>
          <w:b/>
        </w:rPr>
        <w:t xml:space="preserve">Abstract (EN): </w:t>
      </w:r>
      <w:r>
        <w:t>Fatty acid esters are building blocks in next-generation biofuels, eco-friendly detergents, crop-enhancing adjuvants, and high-value cosmetic emollients. However, their industrial production relies on two unsustainable approaches: petrochemical-derived chemical catalysis that poses sustainability challenges and botanical extraction processes that exacerbates land-use conflicts. Here we develop a de novo microbial biosynthesis platform using the non-conventional oleaginous yeast Rhodotorula toruloides as a chassis, and achieve high-level biosynthesis of structurally diversified esters without the addition of alcohol or lipid precursors. By screening specific pathway enzymes and conducting modular pathway engineering, we successfully reprogram the native lipogenic metabolism of R. toruloides for de novo synthesis of fatty acid ethyl esters (FAEEs) at 579 mg/L, fatty acid short-branched chain esters (FASBEs) at 169 mg/L, and wax esters (WEs) at 1.30 g/L in shake-flask fermentation. As a case study, we optimize the synthesis of WEs in a 5 L fermenter, and achieve a production of 13.04 g/L. These engineered strains potentially offer an efficient, economical and environmentally friendly platform for the industrial production of fatty acid esters and oleochemicals.</w:t>
      </w:r>
    </w:p>
    <w:p>
      <w:pPr>
        <w:spacing w:before="120" w:after="120"/>
      </w:pPr>
      <w:r>
        <w:rPr>
          <w:sz w:val="18"/>
        </w:rPr>
        <w:t>——————————————————————————————————————————————————————————————————————</w:t>
      </w:r>
    </w:p>
    <w:p>
      <w:pPr>
        <w:spacing w:before="160" w:after="40" w:line="240" w:lineRule="auto"/>
      </w:pPr>
      <w:r>
        <w:rPr>
          <w:b/>
        </w:rPr>
        <w:t xml:space="preserve">[12] </w:t>
      </w:r>
      <w:hyperlink r:id="rId185">
        <w:r>
          <w:rPr>
            <w:color w:val="1155CC"/>
            <w:u w:val="single"/>
          </w:rPr>
          <w:t>原子分散的 Ce 物种与 Ni 纳米颗粒相邻，作为氢清除剂，用于有效催化氨分解</w:t>
        </w:r>
      </w:hyperlink>
    </w:p>
    <w:p>
      <w:pPr>
        <w:spacing w:before="0" w:after="80"/>
      </w:pPr>
      <w:r>
        <w:rPr>
          <w:i/>
          <w:sz w:val="20"/>
        </w:rPr>
        <w:t>EN: Atomically dispersed Ce species adjacent to Ni nanoparticles as hydrogen scavengers for efficient catalytic ammonia decomposition</w:t>
      </w:r>
    </w:p>
    <w:p>
      <w:pPr>
        <w:spacing w:before="0" w:after="120"/>
      </w:pPr>
      <w:r>
        <w:rPr>
          <w:b/>
        </w:rPr>
        <w:t xml:space="preserve">Source: </w:t>
      </w:r>
      <w:r>
        <w:t>Physical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CeO2 是氨分解催化剂的重要载体或促进剂，尤其是基于 Ni 的催化剂，但其对促进 NH3 活化和 H2 解吸的直接贡献却很少被了解。在这里，我们制备了一种具有高负载量（66.5 wt%）Ni 纳米颗粒的 Ni-Ce-Al 三元催化剂。这些 Ni 纳米粒子通过 Al2O3 框架连接，周围环绕着丰富的原子分散的 Ce 物种，这些 Ce 物种由 Ce 单原子和簇组成。克服了 CeO2 载体上本征 Ni 烧结引起的活性与稳定性的权衡，在 600 °C 下实现了 324.0 mmol gcat−1 min−1 的高 H2 产率。 CeO2的促进作用已被阐明，源于氢中毒的缓解。具有高氢亲和力的原子分散的 Ce 物种可作为吸附的 H 原子 (H*) 的清除剂。形成Ce3+-OH基团的强烈倾向促进了H*从Ni纳米粒子迁移到氧化物，释放有毒的Ni位点并促进NH3活化。</w:t>
      </w:r>
    </w:p>
    <w:p>
      <w:pPr>
        <w:spacing w:before="0" w:after="200" w:lineRule="auto" w:line="276"/>
      </w:pPr>
      <w:r>
        <w:rPr>
          <w:b/>
        </w:rPr>
        <w:t xml:space="preserve">Abstract (EN): </w:t>
      </w:r>
      <w:r>
        <w:t>CeO2 serves as an essential support or promoter for catalysts in ammonia decomposition, especially those based on Ni, yet its direct contribution to promoting NH3 activation and H2 desorption has rarely been understood. Here, we prepare a Ni-Ce-Al trinary catalyst with high-loading (66.5 wt%) Ni nanoparticles. Connected by the Al2O3 framework, these Ni nanoparticles are surrounded by abundant atomically dispersed Ce species consisting of Ce single atoms and clusters. The activity-stability trade-off induced by intrinsic Ni sintering on the CeO2 support is overcome, achieving a high H2 production rate of 324.0 mmol gcat−1 min−1 at 600 °C. The promoting effect of CeO2 has been elucidated, originating from the alleviation of hydrogen poisoning. Atomically dispersed Ce species with high hydrogen affinity serve as scavengers for adsorbed H atoms (H*). The strong tendency to form Ce3+‒OH groups facilitates the migration of H* from Ni nanoparticles to the oxide, releasing poisoned Ni sites and promoting NH3 activation.</w:t>
      </w:r>
    </w:p>
    <w:p>
      <w:pPr>
        <w:spacing w:before="120" w:after="120"/>
      </w:pPr>
      <w:r>
        <w:rPr>
          <w:sz w:val="18"/>
        </w:rPr>
        <w:t>——————————————————————————————————————————————————————————————————————</w:t>
      </w:r>
    </w:p>
    <w:p>
      <w:pPr>
        <w:spacing w:before="160" w:after="40" w:line="240" w:lineRule="auto"/>
      </w:pPr>
      <w:r>
        <w:rPr>
          <w:b/>
        </w:rPr>
        <w:t xml:space="preserve">[13] </w:t>
      </w:r>
      <w:hyperlink r:id="rId122">
        <w:r>
          <w:rPr>
            <w:color w:val="1155CC"/>
            <w:u w:val="single"/>
          </w:rPr>
          <w:t>自清洁太阳能蒸发促进水电解从海水中产生氢气</w:t>
        </w:r>
      </w:hyperlink>
    </w:p>
    <w:p>
      <w:pPr>
        <w:spacing w:before="0" w:after="80"/>
      </w:pPr>
      <w:r>
        <w:rPr>
          <w:i/>
          <w:sz w:val="20"/>
        </w:rPr>
        <w:t>EN: Self‐Cleaning Solar Evaporation Facilitating Water Electrolysis for Hydrogen Generation From Seawater</w:t>
      </w:r>
    </w:p>
    <w:p>
      <w:pPr>
        <w:spacing w:before="0" w:after="120"/>
      </w:pPr>
      <w:r>
        <w:rPr>
          <w:b/>
        </w:rPr>
        <w:t xml:space="preserve">Source: </w:t>
      </w:r>
      <w:r>
        <w:t>Wiley: Angewandte Chemie International Edition: Table of Contents</w:t>
      </w:r>
      <w:r>
        <w:t xml:space="preserve">    </w:t>
      </w:r>
      <w:r>
        <w:rPr>
          <w:b/>
        </w:rPr>
        <w:t xml:space="preserve">Pub date: </w:t>
      </w:r>
      <w:r>
        <w:t>2026-06-30 09:58:59+00:00</w:t>
      </w:r>
      <w:r>
        <w:t xml:space="preserve">    </w:t>
      </w:r>
      <w:r>
        <w:rPr>
          <w:b/>
        </w:rPr>
        <w:t xml:space="preserve">DOI: </w:t>
      </w:r>
      <w:hyperlink r:id="rId123">
        <w:r>
          <w:rPr>
            <w:color w:val="1155CC"/>
            <w:u w:val="single"/>
          </w:rPr>
          <w:t>10.1002/anie.3652353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清洁能源需求和零碳承诺激发了对稳定海水电解的渴望，但设备腐蚀和催化剂失活严重阻碍了工业规模部署。在这里，我们提出了一个将光热蒸发和淡化水电解结合在一起的创新集成平台。依靠氢键交联机制和阴离子诱导的霍夫迈斯特效应，设计了一种均匀涂覆改性针状焦凝胶膜的轻质球形蒸发器，表现出有吸引力的连续海水淡化性能（2.32 kg m</w:t>
      </w:r>
      <w:r>
        <w:t xml:space="preserve"> </w:t>
      </w:r>
      <w:r>
        <w:t>−2</w:t>
      </w:r>
      <w:r>
        <w:t xml:space="preserve"> </w:t>
      </w:r>
      <w:r>
        <w:t>小时</w:t>
      </w:r>
      <w:r>
        <w:t xml:space="preserve"> </w:t>
      </w:r>
      <w:r>
        <w:t>−1</w:t>
      </w:r>
      <w:r>
        <w:t xml:space="preserve"> </w:t>
      </w:r>
      <w:r>
        <w:t>3.5 wt%）和耐盐自洁能力。随后，两个独立改进的蒸发收集系统在扩展的全天候户外实验中优于传统配置。尤其是气提辅助蒸发系统具有强大的抗恶劣天气能力，雨天产水量可增加5倍。重要的是，它们对阴离子/阳离子交换膜电解系统的无缝适应开创了先进膜电极在淡化水电解中的长期应用，巧妙地解决了腐蚀和催化剂失活障碍。这种综合策略为节能和大规模海水提氢提供了一条可行的途径。</w:t>
      </w:r>
    </w:p>
    <w:p>
      <w:pPr>
        <w:spacing w:before="0" w:after="200" w:lineRule="auto" w:line="276"/>
      </w:pPr>
      <w:r>
        <w:rPr>
          <w:b/>
        </w:rPr>
        <w:t xml:space="preserve">Abstract (EN): </w:t>
      </w:r>
      <w:r>
        <w:t>Clean energy demands and zero‐carbon commitments have stimulated the desire for stable seawater electrolysis, yet device corrosion and catalyst deactivation seriously hinder industrial‐scale deployment. Here we present an innovative integrated platform that couples photothermal evaporation and desalinated water electrolysis. Relying on a hydrogen‐bonding crosslinking mechanism and anion‐induced Hofmeister effects, a lightweight spherical evaporator uniformly coated with a modified needle coke gel film is designed, exhibiting attractive continuous desalination performance (2.32 kg m</w:t>
      </w:r>
      <w:r>
        <w:t xml:space="preserve"> </w:t>
      </w:r>
      <w:r>
        <w:t>−2</w:t>
      </w:r>
      <w:r>
        <w:t xml:space="preserve"> </w:t>
      </w:r>
      <w:r>
        <w:t>h</w:t>
      </w:r>
      <w:r>
        <w:t xml:space="preserve"> </w:t>
      </w:r>
      <w:r>
        <w:t>−1</w:t>
      </w:r>
      <w:r>
        <w:t xml:space="preserve"> </w:t>
      </w:r>
      <w:r>
        <w:t>in 3.5 wt%) and salt‐resistant self‐cleaning capabilities. Subsequently, two independently improved evaporation‐collection systems outperform the traditional configuration during extended all‐weather outdoor experiments. Especially, the gas‐stripping assisted evaporation system holds powerful resistance capacity to adverse weather, achieving 5 times more water yield on a rainy day. Importantly, their seamless adaptation to anion/cation exchange membrane electrolysis systems has pioneered the long‐term application of advanced membrane electrodes in desalinated water electrolysis, cleverly addressing corrosion and catalyst deactivation barriers. This integrated strategy provides a practicable route for energy‐saving and large‐scale hydrogen extraction from seawater.</w:t>
      </w:r>
    </w:p>
    <w:p>
      <w:pPr>
        <w:spacing w:before="120" w:after="120"/>
      </w:pPr>
      <w:r>
        <w:rPr>
          <w:sz w:val="18"/>
        </w:rPr>
        <w:t>——————————————————————————————————————————————————————————————————————</w:t>
      </w:r>
    </w:p>
    <w:p>
      <w:pPr>
        <w:spacing w:before="160" w:after="40" w:line="240" w:lineRule="auto"/>
      </w:pPr>
      <w:r>
        <w:rPr>
          <w:b/>
        </w:rPr>
        <w:t xml:space="preserve">[14] </w:t>
      </w:r>
      <w:hyperlink r:id="rId186">
        <w:r>
          <w:rPr>
            <w:color w:val="1155CC"/>
            <w:u w:val="single"/>
          </w:rPr>
          <w:t>CO2 加氢条件下 ZnHfOx 催化剂上 Zn-Hf 位点邻近度和氧空位对甲醇形成的作用</w:t>
        </w:r>
      </w:hyperlink>
    </w:p>
    <w:p>
      <w:pPr>
        <w:spacing w:before="0" w:after="80"/>
      </w:pPr>
      <w:r>
        <w:rPr>
          <w:i/>
          <w:sz w:val="20"/>
        </w:rPr>
        <w:t>EN: The Role of Zn–Hf Site Proximity and Oxygen Vacancies for Methanol Formation Over ZnHfOx Catalysts Under CO2 Hydrogenation Conditions</w:t>
      </w:r>
    </w:p>
    <w:p>
      <w:pPr>
        <w:spacing w:before="0" w:after="120"/>
      </w:pPr>
      <w:r>
        <w:rPr>
          <w:b/>
        </w:rPr>
        <w:t xml:space="preserve">Source: </w:t>
      </w:r>
      <w:r>
        <w:t>Wiley: Angewandte Chemie International Edition: Table of Contents</w:t>
      </w:r>
      <w:r>
        <w:t xml:space="preserve">    </w:t>
      </w:r>
      <w:r>
        <w:rPr>
          <w:b/>
        </w:rPr>
        <w:t xml:space="preserve">Pub date: </w:t>
      </w:r>
      <w:r>
        <w:t>2026-06-30 10:14:07+00:00</w:t>
      </w:r>
      <w:r>
        <w:t xml:space="preserve">    </w:t>
      </w:r>
      <w:r>
        <w:rPr>
          <w:b/>
        </w:rPr>
        <w:t xml:space="preserve">DOI: </w:t>
      </w:r>
      <w:hyperlink r:id="rId187">
        <w:r>
          <w:rPr>
            <w:color w:val="1155CC"/>
            <w:u w:val="single"/>
          </w:rPr>
          <w:t>10.1002/anie.8850754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混合金属氧化物，例如 ZnZrO</w:t>
      </w:r>
      <w:r>
        <w:t xml:space="preserve"> </w:t>
      </w:r>
      <w:r>
        <w:t>x</w:t>
      </w:r>
      <w:r>
        <w:t xml:space="preserve"> </w:t>
      </w:r>
      <w:r>
        <w:t>，作为 CO 引起了相当大的兴趣</w:t>
      </w:r>
      <w:r>
        <w:rPr>
          <w:vertAlign w:val="subscript"/>
        </w:rPr>
        <w:t>2</w:t>
      </w:r>
      <w:r>
        <w:t>由于其甲醇选择性高 (&gt; 70%) 和在升高反应温度 (&gt; 300°C) 下的催化稳定性，因此可用于加氢制甲醇催化剂。在这项工作中，我们介绍了一种新型的 ZnHfO</w:t>
      </w:r>
      <w:r>
        <w:t xml:space="preserve"> </w:t>
      </w:r>
      <w:r>
        <w:t>x</w:t>
      </w:r>
      <w:r>
        <w:t xml:space="preserve"> </w:t>
      </w:r>
      <w:r>
        <w:t>超过参比 ZnZrO 固有甲醇生成速率的催化剂</w:t>
      </w:r>
      <w:r>
        <w:t xml:space="preserve"> </w:t>
      </w:r>
      <w:r>
        <w:t>x</w:t>
      </w:r>
      <w:r>
        <w:t xml:space="preserve"> </w:t>
      </w:r>
      <w:r>
        <w:t>Zn 含量为 20 mol% (</w:t>
      </w:r>
      <w:r>
        <w:t xml:space="preserve"> </w:t>
      </w:r>
      <w:r>
        <w:t>r</w:t>
      </w:r>
      <w:r>
        <w:t xml:space="preserve"> </w:t>
      </w:r>
      <w:r>
        <w:t>甲醇,20ZnZrOx</w:t>
      </w:r>
      <w:r>
        <w:t xml:space="preserve"> </w:t>
      </w:r>
      <w:r>
        <w:t>= 0.59 摩尔</w:t>
      </w:r>
      <w:r>
        <w:t xml:space="preserve"> </w:t>
      </w:r>
      <w:r>
        <w:t>甲醇</w:t>
      </w:r>
      <w:r>
        <w:t xml:space="preserve"> </w:t>
      </w:r>
      <w:r>
        <w:t>(摩尔</w:t>
      </w:r>
      <w:r>
        <w:t xml:space="preserve"> </w:t>
      </w:r>
      <w:r>
        <w:t>猫</w:t>
      </w:r>
      <w:r>
        <w:t xml:space="preserve"> </w:t>
      </w:r>
      <w:r>
        <w:t>八）</w:t>
      </w:r>
      <w:r>
        <w:t xml:space="preserve"> </w:t>
      </w:r>
      <w:r>
        <w:t>−1</w:t>
      </w:r>
      <w:r>
        <w:t xml:space="preserve"> </w:t>
      </w:r>
      <w:r>
        <w:t>,</w:t>
      </w:r>
      <w:r>
        <w:t xml:space="preserve"> </w:t>
      </w:r>
      <w:r>
        <w:t>r</w:t>
      </w:r>
      <w:r>
        <w:t xml:space="preserve"> </w:t>
      </w:r>
      <w:r>
        <w:t>甲醇,20ZnHfOx</w:t>
      </w:r>
      <w:r>
        <w:t xml:space="preserve"> </w:t>
      </w:r>
      <w:r>
        <w:t>= 0.68 摩尔</w:t>
      </w:r>
      <w:r>
        <w:t xml:space="preserve"> </w:t>
      </w:r>
      <w:r>
        <w:t>甲醇</w:t>
      </w:r>
      <w:r>
        <w:t xml:space="preserve"> </w:t>
      </w:r>
      <w:r>
        <w:t>(摩尔</w:t>
      </w:r>
      <w:r>
        <w:t xml:space="preserve"> </w:t>
      </w:r>
      <w:r>
        <w:t>猫</w:t>
      </w:r>
      <w:r>
        <w:t xml:space="preserve"> </w:t>
      </w:r>
      <w:r>
        <w:t>八）</w:t>
      </w:r>
      <w:r>
        <w:t xml:space="preserve"> </w:t>
      </w:r>
      <w:r>
        <w:t>−1</w:t>
      </w:r>
      <w:r>
        <w:t xml:space="preserve"> </w:t>
      </w:r>
      <w:r>
        <w:t>）。与 ZnZrO 明显不同</w:t>
      </w:r>
      <w:r>
        <w:t xml:space="preserve"> </w:t>
      </w:r>
      <w:r>
        <w:t>x</w:t>
      </w:r>
      <w:r>
        <w:t xml:space="preserve"> </w:t>
      </w:r>
      <w:r>
        <w:t>, 氧化锌</w:t>
      </w:r>
      <w:r>
        <w:t xml:space="preserve"> </w:t>
      </w:r>
      <w:r>
        <w:t>x</w:t>
      </w:r>
      <w:r>
        <w:t xml:space="preserve"> </w:t>
      </w:r>
      <w:r>
        <w:t>尽管 ZnO 偏析，基于 Zn 的催化剂仍表现出较高的甲醇选择性（&gt; 70%），Zn 含量高达 99.5 mol%。操作光谱学与计算相结合</w:t>
      </w:r>
    </w:p>
    <w:p>
      <w:pPr>
        <w:spacing w:before="0" w:after="200" w:lineRule="auto" w:line="276"/>
      </w:pPr>
      <w:r>
        <w:rPr>
          <w:b/>
        </w:rPr>
        <w:t xml:space="preserve">Abstract (EN): </w:t>
      </w:r>
      <w:r>
        <w:t>Mixed metal oxides, such as ZnZrO</w:t>
      </w:r>
      <w:r>
        <w:t xml:space="preserve"> </w:t>
      </w:r>
      <w:r>
        <w:t>x</w:t>
      </w:r>
      <w:r>
        <w:t xml:space="preserve"> </w:t>
      </w:r>
      <w:r>
        <w:t>, have attracted considerable interest as CO</w:t>
      </w:r>
      <w:r>
        <w:rPr>
          <w:vertAlign w:val="subscript"/>
        </w:rPr>
        <w:t>2</w:t>
      </w:r>
      <w:r>
        <w:t>hydrogenation to methanol catalysts due to their high methanol selectivity (&amp;gt; 70%) and catalytic stability at elevated reaction temperatures (&amp;gt; 300°C). In this work, we introduce a novel ZnHfO</w:t>
      </w:r>
      <w:r>
        <w:t xml:space="preserve"> </w:t>
      </w:r>
      <w:r>
        <w:t>x</w:t>
      </w:r>
      <w:r>
        <w:t xml:space="preserve"> </w:t>
      </w:r>
      <w:r>
        <w:t>catalyst that exceeds the intrinsic methanol formation rate of the reference ZnZrO</w:t>
      </w:r>
      <w:r>
        <w:t xml:space="preserve"> </w:t>
      </w:r>
      <w:r>
        <w:t>x</w:t>
      </w:r>
      <w:r>
        <w:t xml:space="preserve"> </w:t>
      </w:r>
      <w:r>
        <w:t>at a Zn content of 20 mol% (</w:t>
      </w:r>
      <w:r>
        <w:t xml:space="preserve"> </w:t>
      </w:r>
      <w:r>
        <w:t>r</w:t>
      </w:r>
      <w:r>
        <w:t xml:space="preserve"> </w:t>
      </w:r>
      <w:r>
        <w:t>MeOH,20ZnZrOx</w:t>
      </w:r>
      <w:r>
        <w:t xml:space="preserve"> </w:t>
      </w:r>
      <w:r>
        <w:t>= 0.59 mol</w:t>
      </w:r>
      <w:r>
        <w:t xml:space="preserve"> </w:t>
      </w:r>
      <w:r>
        <w:t>MeOH</w:t>
      </w:r>
      <w:r>
        <w:t xml:space="preserve"> </w:t>
      </w:r>
      <w:r>
        <w:t>(mol</w:t>
      </w:r>
      <w:r>
        <w:t xml:space="preserve"> </w:t>
      </w:r>
      <w:r>
        <w:t>cat</w:t>
      </w:r>
      <w:r>
        <w:t xml:space="preserve"> </w:t>
      </w:r>
      <w:r>
        <w:t>h)</w:t>
      </w:r>
      <w:r>
        <w:t xml:space="preserve"> </w:t>
      </w:r>
      <w:r>
        <w:t>−1</w:t>
      </w:r>
      <w:r>
        <w:t xml:space="preserve"> </w:t>
      </w:r>
      <w:r>
        <w:t>,</w:t>
      </w:r>
      <w:r>
        <w:t xml:space="preserve"> </w:t>
      </w:r>
      <w:r>
        <w:t>r</w:t>
      </w:r>
      <w:r>
        <w:t xml:space="preserve"> </w:t>
      </w:r>
      <w:r>
        <w:t>MeOH,20ZnHfOx</w:t>
      </w:r>
      <w:r>
        <w:t xml:space="preserve"> </w:t>
      </w:r>
      <w:r>
        <w:t>= 0.68 mol</w:t>
      </w:r>
      <w:r>
        <w:t xml:space="preserve"> </w:t>
      </w:r>
      <w:r>
        <w:t>MeOH</w:t>
      </w:r>
      <w:r>
        <w:t xml:space="preserve"> </w:t>
      </w:r>
      <w:r>
        <w:t>(mol</w:t>
      </w:r>
      <w:r>
        <w:t xml:space="preserve"> </w:t>
      </w:r>
      <w:r>
        <w:t>cat</w:t>
      </w:r>
      <w:r>
        <w:t xml:space="preserve"> </w:t>
      </w:r>
      <w:r>
        <w:t>h)</w:t>
      </w:r>
      <w:r>
        <w:t xml:space="preserve"> </w:t>
      </w:r>
      <w:r>
        <w:t>−1</w:t>
      </w:r>
      <w:r>
        <w:t xml:space="preserve"> </w:t>
      </w:r>
      <w:r>
        <w:t>). Remarkably and in contrast to ZnZrO</w:t>
      </w:r>
      <w:r>
        <w:t xml:space="preserve"> </w:t>
      </w:r>
      <w:r>
        <w:t>x</w:t>
      </w:r>
      <w:r>
        <w:t xml:space="preserve"> </w:t>
      </w:r>
      <w:r>
        <w:t>, the ZnHfO</w:t>
      </w:r>
      <w:r>
        <w:t xml:space="preserve"> </w:t>
      </w:r>
      <w:r>
        <w:t>x</w:t>
      </w:r>
      <w:r>
        <w:t xml:space="preserve"> </w:t>
      </w:r>
      <w:r>
        <w:t>‐based catalysts exhibit a high methanol selectivity (&amp;gt; 70%) up to Zn contents of 99.5 mol% despite the segregation of ZnO. Operando spectroscopy, in combination with computational analysis, identifies the Zn–V</w:t>
      </w:r>
      <w:r>
        <w:t xml:space="preserve"> </w:t>
      </w:r>
      <w:r>
        <w:t>O</w:t>
      </w:r>
      <w:r>
        <w:t xml:space="preserve"> </w:t>
      </w:r>
      <w:r>
        <w:t>–Hf motif as the active site for methanol formation that proceeds via the formate‐methoxy pathway. Such active sites are not only present in solid solution‐type ZnHfO</w:t>
      </w:r>
      <w:r>
        <w:t xml:space="preserve"> </w:t>
      </w:r>
      <w:r>
        <w:t>x</w:t>
      </w:r>
      <w:r>
        <w:t xml:space="preserve"> </w:t>
      </w:r>
      <w:r>
        <w:t>catalysts (≤ 35 mol% Zn), but also in the form of isolated HfO</w:t>
      </w:r>
      <w:r>
        <w:t xml:space="preserve"> </w:t>
      </w:r>
      <w:r>
        <w:t>x</w:t>
      </w:r>
      <w:r>
        <w:t xml:space="preserve"> </w:t>
      </w:r>
      <w:r>
        <w:t>clusters on segregated ZnO surfaces (for high Zn contents of &amp;gt; 35 mol%), explaining the high selectivity (and activity) over a wide range of Zn contents.</w:t>
      </w:r>
    </w:p>
    <w:p>
      <w:pPr>
        <w:spacing w:before="120" w:after="120"/>
      </w:pPr>
      <w:r>
        <w:rPr>
          <w:sz w:val="18"/>
        </w:rPr>
        <w:t>——————————————————————————————————————————————————————————————————————</w:t>
      </w:r>
    </w:p>
    <w:p>
      <w:pPr>
        <w:spacing w:before="160" w:after="40" w:line="240" w:lineRule="auto"/>
      </w:pPr>
      <w:r>
        <w:rPr>
          <w:b/>
        </w:rPr>
        <w:t xml:space="preserve">[15] </w:t>
      </w:r>
      <w:hyperlink r:id="rId188">
        <w:r>
          <w:rPr>
            <w:color w:val="1155CC"/>
            <w:u w:val="single"/>
          </w:rPr>
          <w:t>质子交换膜水电解槽阳极催化剂层面内死区的活化</w:t>
        </w:r>
      </w:hyperlink>
    </w:p>
    <w:p>
      <w:pPr>
        <w:spacing w:before="0" w:after="80"/>
      </w:pPr>
      <w:r>
        <w:rPr>
          <w:i/>
          <w:sz w:val="20"/>
        </w:rPr>
        <w:t>EN: Activating in-plane dead zones of anode catalyst layers in proton exchange membrane water electrolyzers</w:t>
      </w:r>
    </w:p>
    <w:p>
      <w:pPr>
        <w:spacing w:before="0" w:after="120"/>
      </w:pPr>
      <w:r>
        <w:rPr>
          <w:b/>
        </w:rPr>
        <w:t xml:space="preserve">Source: </w:t>
      </w:r>
      <w:r>
        <w:t>Physical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铱基阳极催化剂在质子交换膜水电解槽中的使用很大程度上受到催化剂层内电化学惰性“死区”的限制。在这里，通过将气泡演化的原位可视化与定量电导率测量和电化学分析相结合，我们确定有限的面内电子电导率（由破坏 IrO2 纳米催化剂导电网络的离聚物决定）是主导因素。进一步开发了顺序喷涂策略，将原始导电催化剂层的沉积与离聚物分离，从而保留了连续的电子传输路径。这种方法有效地激活了面内死区，使得膜电极组件的活性比基于 IrO2/离聚物混合油墨的传统一步法制备的膜电极组件的活性高出 30% 以上（4.2 A cm−2@2.0 V@80 °C；膜：Nafion 115）。至关重要的是，该方法使用标准催化剂实现了低铱负载量（0.25 mg cm-2），并在实际电流密度下展示了超过 8300 小时的延长稳定性。</w:t>
      </w:r>
    </w:p>
    <w:p>
      <w:pPr>
        <w:spacing w:before="0" w:after="200" w:lineRule="auto" w:line="276"/>
      </w:pPr>
      <w:r>
        <w:rPr>
          <w:b/>
        </w:rPr>
        <w:t xml:space="preserve">Abstract (EN): </w:t>
      </w:r>
      <w:r>
        <w:t>The utilization of iridium-based anode catalysts in proton exchange membrane water electrolyzers is largely limited by the presence of electrochemically inactive “dead zones” within the catalyst layer. Here, by combining in-situ visualization of gas bubble evolution with quantitative conductivity measurements and electrochemical analysis, we establish that the limited in-plane electronic conductivity, dictated by the ionomer disrupting the conductive network of IrO2 nanocatalysts, is the dominant factor. A sequential spray-coating strategy is further developed, which decouples the deposition of a pristine conductive catalyst layer from the ionomer and thereby preserves continuous electron transport pathways. This approach effectively activates the in-plane dead zones, resulting in membrane electrode assemblies that exhibit over 30% higher activity (4.2 A cm−2@2.0 V@80 °C; membrane: Nafion 115) than those prepared by the conventional one-step method based on IrO2/ionomer mixed inks. Crucially, this approach achieves both low iridium loading (0.25 mg cm–2) with standard catalysts and demonstrates extended stability over 8300 hours under practical current densities.</w:t>
      </w:r>
    </w:p>
    <w:p>
      <w:pPr>
        <w:spacing w:before="120" w:after="120"/>
      </w:pPr>
      <w:r>
        <w:rPr>
          <w:sz w:val="18"/>
        </w:rPr>
        <w:t>——————————————————————————————————————————————————————————————————————</w:t>
      </w:r>
    </w:p>
    <w:p>
      <w:pPr>
        <w:spacing w:before="160" w:after="40" w:line="240" w:lineRule="auto"/>
      </w:pPr>
      <w:r>
        <w:rPr>
          <w:b/>
        </w:rPr>
        <w:t xml:space="preserve">[16] </w:t>
      </w:r>
      <w:hyperlink r:id="rId189">
        <w:r>
          <w:rPr>
            <w:color w:val="1155CC"/>
            <w:u w:val="single"/>
          </w:rPr>
          <w:t>析氧反应中微滴和纳米气泡的泡内耦合演化</w:t>
        </w:r>
      </w:hyperlink>
    </w:p>
    <w:p>
      <w:pPr>
        <w:spacing w:before="0" w:after="80"/>
      </w:pPr>
      <w:r>
        <w:rPr>
          <w:i/>
          <w:sz w:val="20"/>
        </w:rPr>
        <w:t>EN: Intrabubble coupled evolution of microdroplets and nanobubbles in oxygen evolution reaction</w:t>
      </w:r>
    </w:p>
    <w:p>
      <w:pPr>
        <w:spacing w:before="0" w:after="120"/>
      </w:pPr>
      <w:r>
        <w:rPr>
          <w:b/>
        </w:rPr>
        <w:t xml:space="preserve">Source: </w:t>
      </w:r>
      <w:r>
        <w:t>Proceedings of the National Academy of Sciences: Keyword search for query</w:t>
      </w:r>
      <w:r>
        <w:t xml:space="preserve">    </w:t>
      </w:r>
      <w:r>
        <w:rPr>
          <w:b/>
        </w:rPr>
        <w:t xml:space="preserve">Pub date: </w:t>
      </w:r>
      <w:r>
        <w:t>2026-07-01 07:00:00+00:00</w:t>
      </w:r>
      <w:r>
        <w:t xml:space="preserve">    </w:t>
      </w:r>
      <w:r>
        <w:rPr>
          <w:b/>
        </w:rPr>
        <w:t xml:space="preserve">DOI: </w:t>
      </w:r>
      <w:hyperlink r:id="rId190">
        <w:r>
          <w:rPr>
            <w:color w:val="1155CC"/>
            <w:u w:val="single"/>
          </w:rPr>
          <w:t>10.1073/pnas.2606452123</w:t>
        </w:r>
      </w:hyperlink>
    </w:p>
    <w:p>
      <w:pPr>
        <w:spacing w:before="0" w:after="120"/>
      </w:pPr>
      <w:r>
        <w:rPr>
          <w:b/>
        </w:rPr>
        <w:t xml:space="preserve">Notes: </w:t>
      </w:r>
      <w:r>
        <w:t>abstract_source=crossref</w:t>
      </w:r>
    </w:p>
    <w:p>
      <w:pPr>
        <w:spacing w:before="0" w:after="80" w:lineRule="auto" w:line="276"/>
      </w:pPr>
      <w:r>
        <w:rPr>
          <w:b/>
        </w:rPr>
        <w:t xml:space="preserve">摘要（ZH）: </w:t>
      </w:r>
      <w:r>
        <w:t>在析氧反应（OER）中，附着的气泡通常被视为主要障碍，它通过覆盖活性位点来阻碍离子和质量传输。在这里，我们表明，对于基于离聚物的电极，这种普遍观点过于简单化。使用自主开发的透明片上电解器，集成了多模态原位表征（包括光学显微镜、光谱分析和原子力显微镜），我们揭示了离聚物涂层电极上复杂的气泡内动力学。在气泡生长过程中，三相接触线表现出典型的钉扎-脱钉行为。超过临界气泡尺寸（~420μm）时，自由水分子从离聚物演化到气泡-电极接触区域，形成持续聚结的微滴（&lt;20μm）。在这些微滴内部，氧产物进一步成核为薄饼状纳米气泡（~50 nm），揭示了以前未被识别的气泡内过程。我们发现这种耦合的微滴-纳米气泡演化是由离聚物的相分离行为实现的。即使在大量气泡覆盖的情况下，离聚物也能保持局部电化学活性，这与无离聚物电极不同，在无离聚物电极中，气泡堵塞会导致严重失活。通过定制离聚物相分离，我们在高电流密度下实现了强化的微滴-纳米气泡演化和可测量的性能改进。这一发现开辟了一条减轻 OER 电极中气泡引起的活性损失的途径。</w:t>
      </w:r>
    </w:p>
    <w:p>
      <w:pPr>
        <w:spacing w:before="0" w:after="200" w:lineRule="auto" w:line="276"/>
      </w:pPr>
      <w:r>
        <w:rPr>
          <w:b/>
        </w:rPr>
        <w:t xml:space="preserve">Abstract (EN): </w:t>
      </w:r>
      <w:r>
        <w:t>In the oxygen evolution reaction (OER), adherent gas bubbles are conventionally viewed as a major impediment that blocks ion and mass transport by covering active sites. Here, we show that for ionomer-based electrodes, this prevailing view is oversimplified. Using a self-developed transparent on-chip electrolyzer that integrates multimodal in-situ characterization, including optical microscopy, spectroscopic analysis, and atomic force microscopy, we uncover complex intrabubble dynamics on ionomer-coated electrodes. During bubble growth, the three-phase contact line exhibits characteristic pinning–depinning behavior. Beyond a critical bubble size (~420 μm), free water molecules are evolved from the ionomer into the bubble–electrode contact area, forming microdroplets (&amp;lt;20 μm) that continuously coalesce. Inside these microdroplets, oxygen products further nucleate as pancake-shaped nanobubbles (~50 nm), revealing a previously unrecognized intrabubble process. We find that this coupled microdroplet–nanobubble evolution is enabled by the phase-separation behavior of ionomer. The ionomer also preserves local electrochemical activity even under substantial bubble coverage, unlike ionomer-free electrodes where bubble blockage leads to severe deactivation. By tailoring ionomer phase separation, we achieve intensified microdroplet–nanobubble evolution and measurable performance improvement at high current densities. This finding opens a route to mitigate bubble-induced activity loss in OER electrodes.</w:t>
      </w:r>
    </w:p>
    <w:p>
      <w:pPr>
        <w:spacing w:before="120" w:after="120"/>
      </w:pPr>
      <w:r>
        <w:rPr>
          <w:sz w:val="18"/>
        </w:rPr>
        <w:t>——————————————————————————————————————————————————————————————————————</w:t>
      </w:r>
    </w:p>
    <w:p>
      <w:pPr>
        <w:spacing w:before="160" w:after="40" w:line="240" w:lineRule="auto"/>
      </w:pPr>
      <w:r>
        <w:rPr>
          <w:b/>
        </w:rPr>
        <w:t xml:space="preserve">[17] </w:t>
      </w:r>
      <w:hyperlink r:id="rId191">
        <w:r>
          <w:rPr>
            <w:color w:val="1155CC"/>
            <w:u w:val="single"/>
          </w:rPr>
          <w:t>快速构建的 Ru-NiMn 位点调节 –CHO/–CH2OH 途径并去质子化以提高生物质衍生分子的电氧化</w:t>
        </w:r>
      </w:hyperlink>
    </w:p>
    <w:p>
      <w:pPr>
        <w:spacing w:before="0" w:after="80"/>
      </w:pPr>
      <w:r>
        <w:rPr>
          <w:i/>
          <w:sz w:val="20"/>
        </w:rPr>
        <w:t>EN: Rapidly constructed Ru-NiMn sites regulate the –CHO/–CH2OH pathway and deprotonate to elevate biomass-derived molecule electrooxidation</w:t>
      </w:r>
    </w:p>
    <w:p>
      <w:pPr>
        <w:spacing w:before="0" w:after="120"/>
      </w:pPr>
      <w:r>
        <w:rPr>
          <w:b/>
        </w:rPr>
        <w:t xml:space="preserve">Source: </w:t>
      </w:r>
      <w:r>
        <w:t>Joule</w:t>
      </w:r>
      <w:r>
        <w:t xml:space="preserve">    </w:t>
      </w:r>
      <w:r>
        <w:rPr>
          <w:b/>
        </w:rPr>
        <w:t xml:space="preserve">Pub date: </w:t>
      </w:r>
      <w:r>
        <w:t>2026-07-02 00:00:00+00:00</w:t>
      </w:r>
      <w:r>
        <w:t xml:space="preserve">    </w:t>
      </w:r>
      <w:r>
        <w:rPr>
          <w:b/>
        </w:rPr>
        <w:t xml:space="preserve">DOI: </w:t>
      </w:r>
      <w:hyperlink r:id="rId192">
        <w:r>
          <w:rPr>
            <w:color w:val="1155CC"/>
            <w:u w:val="single"/>
          </w:rPr>
          <w:t>10.1016/j.joule.2026.102545</w:t>
        </w:r>
      </w:hyperlink>
    </w:p>
    <w:p>
      <w:pPr>
        <w:spacing w:before="0" w:after="120"/>
      </w:pPr>
      <w:r>
        <w:rPr>
          <w:b/>
        </w:rPr>
        <w:t xml:space="preserve">Notes: </w:t>
      </w:r>
      <w:r>
        <w:t>abstract_source=rss_cell</w:t>
      </w:r>
    </w:p>
    <w:p>
      <w:pPr>
        <w:spacing w:before="0" w:after="80" w:lineRule="auto" w:line="276"/>
      </w:pPr>
      <w:r>
        <w:rPr>
          <w:b/>
        </w:rPr>
        <w:t xml:space="preserve">摘要（ZH）: </w:t>
      </w:r>
      <w:r>
        <w:t>本研究表明，快速制备的 Ru-NiMn/NF-IH 催化剂通过改善底物吸附、促进去质子化和调节反应途径来增强 HER//HMFOR 活性。这些发现将 HER//HMFOR 机制与催化剂设计联系起来，为提高电氧化催化剂的活性和耐久性提供了见解。</w:t>
      </w:r>
    </w:p>
    <w:p>
      <w:pPr>
        <w:spacing w:before="0" w:after="200" w:lineRule="auto" w:line="276"/>
      </w:pPr>
      <w:r>
        <w:rPr>
          <w:b/>
        </w:rPr>
        <w:t xml:space="preserve">Abstract (EN): </w:t>
      </w:r>
      <w:r>
        <w:t>This study reveals that the rapidly prepared Ru-NiMn/NF-IH catalyst enhances HER//HMFOR activity by improving substrate adsorption, promoting deprotonation, and regulating the reaction pathway. These findings link the HER//HMFOR mechanism to catalyst design, providing insights into improving the activity and durability of electrooxidation catalysts.</w:t>
      </w:r>
    </w:p>
    <w:p>
      <w:pPr>
        <w:spacing w:before="120" w:after="120"/>
      </w:pPr>
      <w:r>
        <w:rPr>
          <w:sz w:val="18"/>
        </w:rPr>
        <w:t>——————————————————————————————————————————————————————————————————————</w:t>
      </w:r>
    </w:p>
    <w:p>
      <w:pPr>
        <w:spacing w:before="160" w:after="40" w:line="240" w:lineRule="auto"/>
      </w:pPr>
      <w:r>
        <w:rPr>
          <w:b/>
        </w:rPr>
        <w:t xml:space="preserve">[18] </w:t>
      </w:r>
      <w:hyperlink r:id="rId193">
        <w:r>
          <w:rPr>
            <w:color w:val="1155CC"/>
            <w:u w:val="single"/>
          </w:rPr>
          <w:t>稳定和活性外延铂氧还原电催化剂的临界表面应变状态</w:t>
        </w:r>
      </w:hyperlink>
    </w:p>
    <w:p>
      <w:pPr>
        <w:spacing w:before="0" w:after="80"/>
      </w:pPr>
      <w:r>
        <w:rPr>
          <w:i/>
          <w:sz w:val="20"/>
        </w:rPr>
        <w:t>EN: Critical surface strain regime for stable and active epitaxial platinum oxygen reduction electrocatalysts</w:t>
      </w:r>
    </w:p>
    <w:p>
      <w:pPr>
        <w:spacing w:before="0" w:after="120"/>
      </w:pPr>
      <w:r>
        <w:rPr>
          <w:b/>
        </w:rPr>
        <w:t xml:space="preserve">Source: </w:t>
      </w:r>
      <w:r>
        <w:t>Nature Energy</w:t>
      </w:r>
      <w:r>
        <w:t xml:space="preserve">    </w:t>
      </w:r>
      <w:r>
        <w:rPr>
          <w:b/>
        </w:rPr>
        <w:t xml:space="preserve">Pub date: </w:t>
      </w:r>
      <w:r>
        <w:t>2026-07-02 00:00:00+00:00</w:t>
      </w:r>
      <w:r>
        <w:t xml:space="preserve">    </w:t>
      </w:r>
      <w:r>
        <w:rPr>
          <w:b/>
        </w:rPr>
        <w:t xml:space="preserve">DOI: </w:t>
      </w:r>
      <w:hyperlink r:id="rId194">
        <w:r>
          <w:rPr>
            <w:color w:val="1155CC"/>
            <w:u w:val="single"/>
          </w:rPr>
          <w:t>10.1038/s41560-026-02108-4</w:t>
        </w:r>
      </w:hyperlink>
    </w:p>
    <w:p>
      <w:pPr>
        <w:spacing w:before="0" w:after="120"/>
      </w:pPr>
      <w:r>
        <w:rPr>
          <w:b/>
        </w:rPr>
        <w:t xml:space="preserve">Notes: </w:t>
      </w:r>
      <w:r>
        <w:t>abstract_source=nature_html</w:t>
      </w:r>
    </w:p>
    <w:p>
      <w:pPr>
        <w:spacing w:before="0" w:after="80" w:lineRule="auto" w:line="276"/>
      </w:pPr>
      <w:r>
        <w:rPr>
          <w:b/>
        </w:rPr>
        <w:t xml:space="preserve">摘要（ZH）: </w:t>
      </w:r>
      <w:r>
        <w:t>通过晶格失配控制表面应变可以增强外延过渡金属薄膜的电催化活性，但长期性能仍然具有挑战性。尽管厚膜可以提高抗溶解的稳定性，但它们可能会遭受不可逆的应变松弛，从而降低催化活性。在这里，我们使用外延铂薄膜进行电化学氧还原反应，证明了厚度相关的临界应变，低于该临界应变可以避免不可逆应变松弛，从而定义了优化催化剂稳定性和活性的厚度范围。第一原理计算表明，临界应变值范围从 -8.2%（压缩）到 2.7%（拉伸），最佳应变 (-2.5%) 在厚度达约 3 nm 的 Pt 薄膜中保持不变。在H2-空气聚合物电解质膜燃料电池中，铱上的Pt薄膜在0.9 V时的质量活性为1.5 ± 0.3 A mgPt−1，30,000次循环后性能损失小于10%，而Pt和PtNi催化剂的质量活性小于0.4 A mgPt−1，性能损失超过60%。</w:t>
      </w:r>
    </w:p>
    <w:p>
      <w:pPr>
        <w:spacing w:before="0" w:after="200" w:lineRule="auto" w:line="276"/>
      </w:pPr>
      <w:r>
        <w:rPr>
          <w:b/>
        </w:rPr>
        <w:t xml:space="preserve">Abstract (EN): </w:t>
      </w:r>
      <w:r>
        <w:t>Manipulating surface strain via lattice mismatch can enhance electrocatalytic activity in epitaxial transition metal films, but long-term performance remains challenging. Although thick films can improve stability against dissolution, they may suffer from irreversible strain relaxation, reducing catalytic activity. Here using epitaxial platinum films for the electrochemical oxygen reduction reaction, we demonstrate thickness-dependent critical strain below which irreversible strain relaxation is avoided, defining the thicknesses range that optimizes catalyst stability and activity. First principles calculations reveal that the critical strain values range from −8.2% (compressive) to 2.7% (tensile) and the optimal strain (−2.5%) is maintained in Pt films up to ~3-nm thick. In H2–air polymer electrolyte membrane fuel cells, Pt films on iridium deliver a mass activity of 1.5 ± 0.3 A mgPt−1 at 0.9 V and less than 10% performance loss after 30,000 cycles, compared with less than 0.4 A mgPt−1 and more than 60% performance loss for Pt and PtNi catalysts.</w:t>
      </w:r>
    </w:p>
    <w:p>
      <w:pPr>
        <w:spacing w:before="120" w:after="120"/>
      </w:pPr>
      <w:r>
        <w:rPr>
          <w:sz w:val="18"/>
        </w:rPr>
        <w:t>——————————————————————————————————————————————————————————————————————</w:t>
      </w:r>
    </w:p>
    <w:p>
      <w:pPr>
        <w:spacing w:before="160" w:after="40" w:line="240" w:lineRule="auto"/>
      </w:pPr>
      <w:r>
        <w:rPr>
          <w:b/>
        </w:rPr>
        <w:t xml:space="preserve">[19] </w:t>
      </w:r>
      <w:hyperlink r:id="rId195">
        <w:r>
          <w:rPr>
            <w:color w:val="1155CC"/>
            <w:u w:val="single"/>
          </w:rPr>
          <w:t>注意氢能项目的差距</w:t>
        </w:r>
      </w:hyperlink>
    </w:p>
    <w:p>
      <w:pPr>
        <w:spacing w:before="0" w:after="80"/>
      </w:pPr>
      <w:r>
        <w:rPr>
          <w:i/>
          <w:sz w:val="20"/>
        </w:rPr>
        <w:t>EN: Mind the gap in hydrogen projects</w:t>
      </w:r>
    </w:p>
    <w:p>
      <w:pPr>
        <w:spacing w:before="0" w:after="120"/>
      </w:pPr>
      <w:r>
        <w:rPr>
          <w:b/>
        </w:rPr>
        <w:t xml:space="preserve">Source: </w:t>
      </w:r>
      <w:r>
        <w:t>Nature Reviews Clean Technology</w:t>
      </w:r>
      <w:r>
        <w:t xml:space="preserve">    </w:t>
      </w:r>
      <w:r>
        <w:rPr>
          <w:b/>
        </w:rPr>
        <w:t xml:space="preserve">Pub date: </w:t>
      </w:r>
      <w:r>
        <w:t>2026-07-02 00:00:00+00:00</w:t>
      </w:r>
      <w:r>
        <w:t xml:space="preserve">    </w:t>
      </w:r>
      <w:r>
        <w:rPr>
          <w:b/>
        </w:rPr>
        <w:t xml:space="preserve">DOI: </w:t>
      </w:r>
      <w:hyperlink r:id="rId196">
        <w:r>
          <w:rPr>
            <w:color w:val="1155CC"/>
            <w:u w:val="single"/>
          </w:rPr>
          <w:t>10.1038/s44359-026-00198-7</w:t>
        </w:r>
      </w:hyperlink>
    </w:p>
    <w:p>
      <w:pPr>
        <w:spacing w:before="0" w:after="120"/>
      </w:pPr>
      <w:r>
        <w:rPr>
          <w:b/>
        </w:rPr>
        <w:t xml:space="preserve">Notes: </w:t>
      </w:r>
      <w:r>
        <w:t>abstract_source=nature_html</w:t>
      </w:r>
    </w:p>
    <w:p>
      <w:pPr>
        <w:spacing w:before="0" w:after="80" w:lineRule="auto" w:line="276"/>
      </w:pPr>
      <w:r>
        <w:rPr>
          <w:b/>
        </w:rPr>
        <w:t xml:space="preserve">摘要（ZH）: </w:t>
      </w:r>
      <w:r>
        <w:t>《能源研究与社会科学》上的一篇文章描述了公众参与偏好与制定氢气管道决策的法律框架之间的差距。</w:t>
      </w:r>
    </w:p>
    <w:p>
      <w:pPr>
        <w:spacing w:before="0" w:after="200" w:lineRule="auto" w:line="276"/>
      </w:pPr>
      <w:r>
        <w:rPr>
          <w:b/>
        </w:rPr>
        <w:t xml:space="preserve">Abstract (EN): </w:t>
      </w:r>
      <w:r>
        <w:t>An article in Energy Research &amp; Social Science describes the gap between public participation preferences and legal frameworks in making hydrogen pipeline decisions.</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197">
        <w:r>
          <w:rPr>
            <w:color w:val="1155CC"/>
            <w:u w:val="single"/>
          </w:rPr>
          <w:t>动态电位图指导大型电动汽车充电站的实时协调</w:t>
        </w:r>
      </w:hyperlink>
    </w:p>
    <w:p>
      <w:pPr>
        <w:spacing w:before="0" w:after="80"/>
      </w:pPr>
      <w:r>
        <w:rPr>
          <w:i/>
          <w:sz w:val="20"/>
        </w:rPr>
        <w:t>EN: Dynamic potential graphs guided real-time coordination for large-scale EV charging stations</w:t>
      </w:r>
    </w:p>
    <w:p>
      <w:pPr>
        <w:spacing w:before="0" w:after="120"/>
      </w:pPr>
      <w:r>
        <w:rPr>
          <w:b/>
        </w:rPr>
        <w:t xml:space="preserve">Source: </w:t>
      </w:r>
      <w:r>
        <w:t>ScienceDirect Publication: Applied Energy</w:t>
      </w:r>
      <w:r>
        <w:t xml:space="preserve">    </w:t>
      </w:r>
      <w:r>
        <w:rPr>
          <w:b/>
        </w:rPr>
        <w:t xml:space="preserve">Pub date: </w:t>
      </w:r>
      <w:r>
        <w:t>2026-06-27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98">
        <w:r>
          <w:rPr>
            <w:color w:val="1155CC"/>
            <w:u w:val="single"/>
          </w:rPr>
          <w:t>绿色证书和碳排放交易如何影响清洁能源投资？进化博弈模型的证据</w:t>
        </w:r>
      </w:hyperlink>
    </w:p>
    <w:p>
      <w:pPr>
        <w:spacing w:before="0" w:after="80"/>
      </w:pPr>
      <w:r>
        <w:rPr>
          <w:i/>
          <w:sz w:val="20"/>
        </w:rPr>
        <w:t>EN: How do green certificate and carbon emission trading impact clean energy investment? Evidence from evolutionary game modeling</w:t>
      </w:r>
    </w:p>
    <w:p>
      <w:pPr>
        <w:spacing w:before="0" w:after="120"/>
      </w:pPr>
      <w:r>
        <w:rPr>
          <w:b/>
        </w:rPr>
        <w:t xml:space="preserve">Source: </w:t>
      </w:r>
      <w:r>
        <w:t>ScienceDirect Publication: Energy Policy</w:t>
      </w:r>
      <w:r>
        <w:t xml:space="preserve">    </w:t>
      </w:r>
      <w:r>
        <w:rPr>
          <w:b/>
        </w:rPr>
        <w:t xml:space="preserve">Pub date: </w:t>
      </w:r>
      <w:r>
        <w:t>2026-06-28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99">
        <w:r>
          <w:rPr>
            <w:color w:val="1155CC"/>
            <w:u w:val="single"/>
          </w:rPr>
          <w:t>低碳未来和全球脱碳的能源建模</w:t>
        </w:r>
      </w:hyperlink>
    </w:p>
    <w:p>
      <w:pPr>
        <w:spacing w:before="0" w:after="80"/>
      </w:pPr>
      <w:r>
        <w:rPr>
          <w:i/>
          <w:sz w:val="20"/>
        </w:rPr>
        <w:t>EN: Energy modeling for a low-carbon future and global decarbonization</w:t>
      </w:r>
    </w:p>
    <w:p>
      <w:pPr>
        <w:spacing w:before="0" w:after="120"/>
      </w:pPr>
      <w:r>
        <w:rPr>
          <w:b/>
        </w:rPr>
        <w:t xml:space="preserve">Source: </w:t>
      </w:r>
      <w:r>
        <w:t>ScienceDirect Publication: Applied Energy</w:t>
      </w:r>
      <w:r>
        <w:t xml:space="preserve">    </w:t>
      </w:r>
      <w:r>
        <w:rPr>
          <w:b/>
        </w:rPr>
        <w:t xml:space="preserve">Pub date: </w:t>
      </w:r>
      <w:r>
        <w:t>2026-06-28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200">
        <w:r>
          <w:rPr>
            <w:color w:val="1155CC"/>
            <w:u w:val="single"/>
          </w:rPr>
          <w:t>协调财政弹性与低碳能源目标：斯里兰卡的碳调整燃料定价</w:t>
        </w:r>
      </w:hyperlink>
    </w:p>
    <w:p>
      <w:pPr>
        <w:spacing w:before="0" w:after="80"/>
      </w:pPr>
      <w:r>
        <w:rPr>
          <w:i/>
          <w:sz w:val="20"/>
        </w:rPr>
        <w:t>EN: Reconciling fiscal resilience with low-carbon energy goals: Sri Lanka's carbon-aligned fuel pricing</w:t>
      </w:r>
    </w:p>
    <w:p>
      <w:pPr>
        <w:spacing w:before="0" w:after="120"/>
      </w:pPr>
      <w:r>
        <w:rPr>
          <w:b/>
        </w:rPr>
        <w:t xml:space="preserve">Source: </w:t>
      </w:r>
      <w:r>
        <w:t>ScienceDirect Publication: Energy Policy</w:t>
      </w:r>
      <w:r>
        <w:t xml:space="preserve">    </w:t>
      </w:r>
      <w:r>
        <w:rPr>
          <w:b/>
        </w:rPr>
        <w:t xml:space="preserve">Pub date: </w:t>
      </w:r>
      <w:r>
        <w:t>2026-06-28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201">
        <w:r>
          <w:rPr>
            <w:color w:val="1155CC"/>
            <w:u w:val="single"/>
          </w:rPr>
          <w:t>将 2,3-丁二醇经济高效地增值为高价值化学品和喷气燃料</w:t>
        </w:r>
      </w:hyperlink>
    </w:p>
    <w:p>
      <w:pPr>
        <w:spacing w:before="0" w:after="80"/>
      </w:pPr>
      <w:r>
        <w:rPr>
          <w:i/>
          <w:sz w:val="20"/>
        </w:rPr>
        <w:t>EN: Cost-effective valorization of 2,3-butanediol to high-value chemicals and jet fuel</w:t>
      </w:r>
    </w:p>
    <w:p>
      <w:pPr>
        <w:spacing w:before="0" w:after="120"/>
      </w:pPr>
      <w:r>
        <w:rPr>
          <w:b/>
        </w:rPr>
        <w:t xml:space="preserve">Source: </w:t>
      </w:r>
      <w:r>
        <w:t>Joule</w:t>
      </w:r>
      <w:r>
        <w:t xml:space="preserve">    </w:t>
      </w:r>
      <w:r>
        <w:rPr>
          <w:b/>
        </w:rPr>
        <w:t xml:space="preserve">Pub date: </w:t>
      </w:r>
      <w:r>
        <w:t>2026-06-29 00:00:00+00:00</w:t>
      </w:r>
      <w:r>
        <w:t xml:space="preserve">    </w:t>
      </w:r>
      <w:r>
        <w:rPr>
          <w:b/>
        </w:rPr>
        <w:t xml:space="preserve">DOI: </w:t>
      </w:r>
      <w:hyperlink r:id="rId202">
        <w:r>
          <w:rPr>
            <w:color w:val="1155CC"/>
            <w:u w:val="single"/>
          </w:rPr>
          <w:t>10.1016/j.joule.2026.102536</w:t>
        </w:r>
      </w:hyperlink>
    </w:p>
    <w:p>
      <w:pPr>
        <w:spacing w:before="0" w:after="120"/>
      </w:pPr>
      <w:r>
        <w:rPr>
          <w:b/>
        </w:rPr>
        <w:t xml:space="preserve">Notes: </w:t>
      </w:r>
      <w:r>
        <w:t>abstract_source=rss_cell</w:t>
      </w:r>
    </w:p>
    <w:p>
      <w:pPr>
        <w:spacing w:before="0" w:after="80" w:lineRule="auto" w:line="276"/>
      </w:pPr>
      <w:r>
        <w:rPr>
          <w:b/>
        </w:rPr>
        <w:t xml:space="preserve">摘要（ZH）: </w:t>
      </w:r>
      <w:r>
        <w:t>这项工作提出了一种通过 2,3-丁二醇生产生物质衍生的可持续航空燃料的优化工艺。 2,3-丁二醇的利用受到与水分离的限制，但通过反应萃取以与醛形成二氧戊环解决了这一挑战。原位形成的异丁醛无需外部醛源，从而实现了该工艺的经济和环境可行性。技术经济分析和生命周期评估表明，燃料和化学品生产情景中二氧化碳排放量可减少 58%。</w:t>
      </w:r>
    </w:p>
    <w:p>
      <w:pPr>
        <w:spacing w:before="0" w:after="200" w:lineRule="auto" w:line="276"/>
      </w:pPr>
      <w:r>
        <w:rPr>
          <w:b/>
        </w:rPr>
        <w:t xml:space="preserve">Abstract (EN): </w:t>
      </w:r>
      <w:r>
        <w:t>This work presents an optimized process for biomass-derived sustainable aviation fuel production through 2,3-butanediol. 2,3-Butanediol utilization is limited by separation from water, but this challenge is solved by reactive extraction to form dioxolanes with an aldehyde. Isobutyraldehyde formed in situ eliminates the need for an external aldehyde source, enabling the economic and environmental viability of the process. Techno-economic analyses and life cycle assessments indicate fuel and chemical production scenarios with 58% reduction in CO2 emissions.</w:t>
      </w:r>
    </w:p>
    <w:p>
      <w:pPr>
        <w:spacing w:before="120" w:after="120"/>
      </w:pPr>
      <w:r>
        <w:rPr>
          <w:sz w:val="18"/>
        </w:rPr>
        <w:t>——————————————————————————————————————————————————————————————————————</w:t>
      </w:r>
    </w:p>
    <w:p>
      <w:pPr>
        <w:spacing w:before="160" w:after="40" w:line="240" w:lineRule="auto"/>
      </w:pPr>
      <w:r>
        <w:rPr>
          <w:b/>
        </w:rPr>
        <w:t xml:space="preserve">[6] </w:t>
      </w:r>
      <w:hyperlink r:id="rId203">
        <w:r>
          <w:rPr>
            <w:color w:val="1155CC"/>
            <w:u w:val="single"/>
          </w:rPr>
          <w:t>校园可持续发展之旅</w:t>
        </w:r>
      </w:hyperlink>
    </w:p>
    <w:p>
      <w:pPr>
        <w:spacing w:before="0" w:after="80"/>
      </w:pPr>
      <w:r>
        <w:rPr>
          <w:i/>
          <w:sz w:val="20"/>
        </w:rPr>
        <w:t>EN: A campus sustainability journey</w:t>
      </w:r>
    </w:p>
    <w:p>
      <w:pPr>
        <w:spacing w:before="0" w:after="120"/>
      </w:pPr>
      <w:r>
        <w:rPr>
          <w:b/>
        </w:rPr>
        <w:t xml:space="preserve">Source: </w:t>
      </w:r>
      <w:r>
        <w:t>Nature Sustainability</w:t>
      </w:r>
      <w:r>
        <w:t xml:space="preserve">    </w:t>
      </w:r>
      <w:r>
        <w:rPr>
          <w:b/>
        </w:rPr>
        <w:t xml:space="preserve">Pub date: </w:t>
      </w:r>
      <w:r>
        <w:t>2026-06-29 00:00:00+00:00</w:t>
      </w:r>
      <w:r>
        <w:t xml:space="preserve">    </w:t>
      </w:r>
      <w:r>
        <w:rPr>
          <w:b/>
        </w:rPr>
        <w:t xml:space="preserve">DOI: </w:t>
      </w:r>
      <w:hyperlink r:id="rId204">
        <w:r>
          <w:rPr>
            <w:color w:val="1155CC"/>
            <w:u w:val="single"/>
          </w:rPr>
          <w:t>10.1038/s41893-026-01884-x</w:t>
        </w:r>
      </w:hyperlink>
    </w:p>
    <w:p>
      <w:pPr>
        <w:spacing w:before="0" w:after="120"/>
      </w:pPr>
      <w:r>
        <w:rPr>
          <w:b/>
        </w:rPr>
        <w:t xml:space="preserve">Notes: </w:t>
      </w:r>
      <w:r>
        <w:t>abstract_source=nature_html</w:t>
      </w:r>
    </w:p>
    <w:p>
      <w:pPr>
        <w:spacing w:before="0" w:after="80" w:lineRule="auto" w:line="276"/>
      </w:pPr>
      <w:r>
        <w:rPr>
          <w:b/>
        </w:rPr>
        <w:t xml:space="preserve">摘要（ZH）: </w:t>
      </w:r>
      <w:r>
        <w:t>康涅狄格大学 (UConn) 校长拉登卡·马里奇 (Radenka Maric) 向 Nature Sustainability 讲述了该校向可持续校园的转型，强调了治理结构、基础设施项目和教育举措在培养可持续素养方面的关键作用。</w:t>
      </w:r>
    </w:p>
    <w:p>
      <w:pPr>
        <w:spacing w:before="0" w:after="200" w:lineRule="auto" w:line="276"/>
      </w:pPr>
      <w:r>
        <w:rPr>
          <w:b/>
        </w:rPr>
        <w:t xml:space="preserve">Abstract (EN): </w:t>
      </w:r>
      <w:r>
        <w:t>Radenka Maric, the president of the University of Connecticut (UConn), talks to Nature Sustainability about her institution’s transition towards a sustainable campus, highlighting the critical roles of governance structures, infrastructure projects, and educational initiatives fostering sustainability literacy.</w:t>
      </w:r>
    </w:p>
    <w:p>
      <w:pPr>
        <w:spacing w:before="120" w:after="120"/>
      </w:pPr>
      <w:r>
        <w:rPr>
          <w:sz w:val="18"/>
        </w:rPr>
        <w:t>——————————————————————————————————————————————————————————————————————</w:t>
      </w:r>
    </w:p>
    <w:p>
      <w:pPr>
        <w:spacing w:before="160" w:after="40" w:line="240" w:lineRule="auto"/>
      </w:pPr>
      <w:r>
        <w:rPr>
          <w:b/>
        </w:rPr>
        <w:t xml:space="preserve">[7] </w:t>
      </w:r>
      <w:hyperlink r:id="rId205">
        <w:r>
          <w:rPr>
            <w:color w:val="1155CC"/>
            <w:u w:val="single"/>
          </w:rPr>
          <w:t>更正 Wang 等人，减少空气污染物排放减少气溶胶掩蔽在近期全球变暖加速中的作用（2013-2023 年）</w:t>
        </w:r>
      </w:hyperlink>
    </w:p>
    <w:p>
      <w:pPr>
        <w:spacing w:before="0" w:after="80"/>
      </w:pPr>
      <w:r>
        <w:rPr>
          <w:i/>
          <w:sz w:val="20"/>
        </w:rPr>
        <w:t>EN: Correction for Wang et al., The role of reduced aerosol masking from air pollutant emission reductions in recent global warming acceleration (2013–2023)</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206">
        <w:r>
          <w:rPr>
            <w:color w:val="1155CC"/>
            <w:u w:val="single"/>
          </w:rPr>
          <w:t>10.1073/pnas.2619888123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207">
        <w:r>
          <w:rPr>
            <w:color w:val="1155CC"/>
            <w:u w:val="single"/>
          </w:rPr>
          <w:t>与化石发电厂不同，风力涡轮机似乎不会损害健康</w:t>
        </w:r>
      </w:hyperlink>
    </w:p>
    <w:p>
      <w:pPr>
        <w:spacing w:before="0" w:after="80"/>
      </w:pPr>
      <w:r>
        <w:rPr>
          <w:i/>
          <w:sz w:val="20"/>
        </w:rPr>
        <w:t>EN: Wind turbines do not appear to harm health, unlike fossil power plants</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208">
        <w:r>
          <w:rPr>
            <w:color w:val="1155CC"/>
            <w:u w:val="single"/>
          </w:rPr>
          <w:t>10.1073/pnas.2614642123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209">
        <w:r>
          <w:rPr>
            <w:color w:val="1155CC"/>
            <w:u w:val="single"/>
          </w:rPr>
          <w:t>遏制城市火灾的最佳干预措施</w:t>
        </w:r>
      </w:hyperlink>
    </w:p>
    <w:p>
      <w:pPr>
        <w:spacing w:before="0" w:after="80"/>
      </w:pPr>
      <w:r>
        <w:rPr>
          <w:i/>
          <w:sz w:val="20"/>
        </w:rPr>
        <w:t>EN: Optimal interventions to curb urban conflagration</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210">
        <w:r>
          <w:rPr>
            <w:color w:val="1155CC"/>
            <w:u w:val="single"/>
          </w:rPr>
          <w:t>10.1073/pnas.2612835123</w:t>
        </w:r>
      </w:hyperlink>
    </w:p>
    <w:p>
      <w:pPr>
        <w:spacing w:before="0" w:after="120"/>
      </w:pPr>
      <w:r>
        <w:rPr>
          <w:b/>
        </w:rPr>
        <w:t xml:space="preserve">Notes: </w:t>
      </w:r>
      <w:r>
        <w:t>abstract_source=crossref</w:t>
      </w:r>
    </w:p>
    <w:p>
      <w:pPr>
        <w:spacing w:before="0" w:after="80" w:lineRule="auto" w:line="276"/>
      </w:pPr>
      <w:r>
        <w:rPr>
          <w:b/>
        </w:rPr>
        <w:t xml:space="preserve">摘要（ZH）: </w:t>
      </w:r>
      <w:r>
        <w:t>了解野火缓解政策的有效性显然是遏制城市火灾期间野火损失的第一步。在本研究中，我们使用经过验证的模型来量化开放空间植被管理和家庭点火区 (HIZ) 缓解措施的空间分布对由此产生的火灾边界和对加利福尼亚州洛杉矶 Palisades 地区建筑环境损害的影响。开放空间的燃料管理涉及将植被密度降低特定百分比，以模拟植被​​稀疏和规定燃烧。 HIZ 缓解措施包括加固建筑特征和消除可防御的太空燃料。对于每种类型的干预措施，我们采用随机和有针对性的策略来量化其在减少火灾边界和建筑物平均相对脆弱性方面的有效性。当随机应用植被管理和 HIZ 缓解相结合时，我们观察到平均相对脆弱性最大降低了 57%，而有针对性的策略则最大降低了 78%。该研究证明了结合缓解策略在减少城市火灾造成的损害方面的有效性。</w:t>
      </w:r>
    </w:p>
    <w:p>
      <w:pPr>
        <w:spacing w:before="0" w:after="200" w:lineRule="auto" w:line="276"/>
      </w:pPr>
      <w:r>
        <w:rPr>
          <w:b/>
        </w:rPr>
        <w:t xml:space="preserve">Abstract (EN): </w:t>
      </w:r>
      <w:r>
        <w:t>Understanding the efficacy of wildfire mitigation policies is a clear first step toward curbing wildfire losses during an urban conflagration. In this study, we used a validated model to quantify the impact of the spatial distribution of the combined management of open-space vegetation and mitigation of the home ignition zone (HIZ) on the resulting fire boundary and damage to the built environment in the Palisades area of Los Angeles, California. Fuel management in open-space involves reducing vegetation density by a specific percentage to emulate vegetation thinning and prescribed burning. HIZ mitigation involves hardening building features and removing defensible space fuel. For each type of intervension, we employed both random and targeted strategies to quantify their effectiveness in reducing the fire boundary and mean relative vulnerability of buildings. When combined vegetation management and HIZ mitigation are applied randomly, we observed a maximum reduction in mean relative vulnerability of 57%, while targeted strategies result in a maximum reduction of 78%. The study demonstrates the effectiveness of combining mitigation strategies in reducing damage caused by urban conflagrations.</w:t>
      </w:r>
    </w:p>
    <w:p>
      <w:pPr>
        <w:spacing w:before="120" w:after="120"/>
      </w:pPr>
      <w:r>
        <w:rPr>
          <w:sz w:val="18"/>
        </w:rPr>
        <w:t>——————————————————————————————————————————————————————————————————————</w:t>
      </w:r>
    </w:p>
    <w:p>
      <w:pPr>
        <w:spacing w:before="160" w:after="40" w:line="240" w:lineRule="auto"/>
      </w:pPr>
      <w:r>
        <w:rPr>
          <w:b/>
        </w:rPr>
        <w:t xml:space="preserve">[10] </w:t>
      </w:r>
      <w:hyperlink r:id="rId211">
        <w:r>
          <w:rPr>
            <w:color w:val="1155CC"/>
            <w:u w:val="single"/>
          </w:rPr>
          <w:t>重新思考海洋碳捕获的溶剂再生途径</w:t>
        </w:r>
      </w:hyperlink>
    </w:p>
    <w:p>
      <w:pPr>
        <w:spacing w:before="0" w:after="80"/>
      </w:pPr>
      <w:r>
        <w:rPr>
          <w:i/>
          <w:sz w:val="20"/>
        </w:rPr>
        <w:t>EN: Rethinking solvent regeneration pathways for maritime carbon capture</w:t>
      </w:r>
    </w:p>
    <w:p>
      <w:pPr>
        <w:spacing w:before="0" w:after="120"/>
      </w:pPr>
      <w:r>
        <w:rPr>
          <w:b/>
        </w:rPr>
        <w:t xml:space="preserve">Source: </w:t>
      </w:r>
      <w:r>
        <w:t>Physical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海上运输很难脱碳，而船上碳捕获已成为一种有前途的选择。然而，采用陆基捕获系统可能不适合船舶的空间、能量和重量限制。在这里，我们表明，将溶剂再生从船舶转移到岸上可以提高海上碳捕获的实用性和成本效益。我们比较了 16 条航线在不同船上负载限制下使用四种捕获溶剂的船上和陆上再生。结果表明，采用实际负载限制（~20%）而不是固定捕获率，为系统设计提供了更合理的基础。船上再生优选再生能量低的溶剂，而陆上再生优选二氧化碳吸收能力高的溶剂。考虑到碳税，陆上再生在 2030 年和 2050 年通常更具成本效益，对 357 条路线的扩展分析表明，到 2040 年，陆上再生在经济上可行，并在 2050 年广泛应用。</w:t>
      </w:r>
    </w:p>
    <w:p>
      <w:pPr>
        <w:spacing w:before="0" w:after="200" w:lineRule="auto" w:line="276"/>
      </w:pPr>
      <w:r>
        <w:rPr>
          <w:b/>
        </w:rPr>
        <w:t xml:space="preserve">Abstract (EN): </w:t>
      </w:r>
      <w:r>
        <w:t>Maritime transport is difficult to decarbonize, and onboard carbon capture has emerged as a promising option. However, adapting land-based capture systems may not suit the space, energy, and weight constraints of ships. Here we show that shifting solvent regeneration from ship to shore can improve the practicality and cost-effectiveness of maritime carbon capture. We compare onboard and onshore regeneration across 16 shipping routes using four capture solvents under different onboard load limits. The results show that adopting practical load limits (~20%), rather than fixed capture rates, provides a more reasonable basis for system design. Solvents with low regeneration energy are favored for onboard regeneration, whereas solvents with high carbon dioxide absorption capacity are preferred for onshore regeneration. With carbon tax included, onshore regeneration is generally more cost-effective in 2030 and 2050, and an extended analysis of 357 routes indicates it becomes economically viable by 2040 and broadly applicable by 2050.</w:t>
      </w:r>
    </w:p>
    <w:p>
      <w:pPr>
        <w:spacing w:before="120" w:after="120"/>
      </w:pPr>
      <w:r>
        <w:rPr>
          <w:sz w:val="18"/>
        </w:rPr>
        <w:t>——————————————————————————————————————————————————————————————————————</w:t>
      </w:r>
    </w:p>
    <w:p>
      <w:pPr>
        <w:spacing w:before="160" w:after="40" w:line="240" w:lineRule="auto"/>
      </w:pPr>
      <w:r>
        <w:rPr>
          <w:b/>
        </w:rPr>
        <w:t xml:space="preserve">[11] </w:t>
      </w:r>
      <w:hyperlink r:id="rId212">
        <w:r>
          <w:rPr>
            <w:color w:val="1155CC"/>
            <w:u w:val="single"/>
          </w:rPr>
          <w:t>中国工业脱碳的加速路径可降低系统成本并保持碳预算</w:t>
        </w:r>
      </w:hyperlink>
    </w:p>
    <w:p>
      <w:pPr>
        <w:spacing w:before="0" w:after="80"/>
      </w:pPr>
      <w:r>
        <w:rPr>
          <w:i/>
          <w:sz w:val="20"/>
        </w:rPr>
        <w:t>EN: Accelerated pathways for China’s industrial decarbonization lower system costs and preserve the carbon budget</w:t>
      </w:r>
    </w:p>
    <w:p>
      <w:pPr>
        <w:spacing w:before="0" w:after="120"/>
      </w:pPr>
      <w:r>
        <w:rPr>
          <w:b/>
        </w:rPr>
        <w:t xml:space="preserve">Source: </w:t>
      </w:r>
      <w:r>
        <w:t>Joule</w:t>
      </w:r>
      <w:r>
        <w:t xml:space="preserve">    </w:t>
      </w:r>
      <w:r>
        <w:rPr>
          <w:b/>
        </w:rPr>
        <w:t xml:space="preserve">Pub date: </w:t>
      </w:r>
      <w:r>
        <w:t>2026-07-01 00:00:00+00:00</w:t>
      </w:r>
      <w:r>
        <w:t xml:space="preserve">    </w:t>
      </w:r>
      <w:r>
        <w:rPr>
          <w:b/>
        </w:rPr>
        <w:t xml:space="preserve">DOI: </w:t>
      </w:r>
      <w:hyperlink r:id="rId213">
        <w:r>
          <w:rPr>
            <w:color w:val="1155CC"/>
            <w:u w:val="single"/>
          </w:rPr>
          <w:t>10.1016/j.joule.2026.102542</w:t>
        </w:r>
      </w:hyperlink>
    </w:p>
    <w:p>
      <w:pPr>
        <w:spacing w:before="0" w:after="120"/>
      </w:pPr>
      <w:r>
        <w:rPr>
          <w:b/>
        </w:rPr>
        <w:t xml:space="preserve">Notes: </w:t>
      </w:r>
      <w:r>
        <w:t>abstract_source=rss_cell</w:t>
      </w:r>
    </w:p>
    <w:p>
      <w:pPr>
        <w:spacing w:before="0" w:after="80" w:lineRule="auto" w:line="276"/>
      </w:pPr>
      <w:r>
        <w:rPr>
          <w:b/>
        </w:rPr>
        <w:t xml:space="preserve">摘要（ZH）: </w:t>
      </w:r>
      <w:r>
        <w:t>重工业脱碳刻不容缓，但行动时机对成本和碳锁定风险影响巨大。这项研究以中国五个最大的工业排放国为重点，发现加速清洁技术的发展（而不是等待）可以更快地边做边学，从而降低成本，最终节省约 8% 的累计系统成本。 2035 年至 2040 年左右将出现一个关键窗口，在此之后，延迟行动将导致成本高昂得多的途径。这些发现对全球工业气候政策有直接影响。</w:t>
      </w:r>
    </w:p>
    <w:p>
      <w:pPr>
        <w:spacing w:before="0" w:after="200" w:lineRule="auto" w:line="276"/>
      </w:pPr>
      <w:r>
        <w:rPr>
          <w:b/>
        </w:rPr>
        <w:t xml:space="preserve">Abstract (EN): </w:t>
      </w:r>
      <w:r>
        <w:t>Decarbonizing heavy industry is urgent, yet the timing of action has outsized consequences for cost and carbon lock-in risk. Focusing on China’s five largest industrial emitters, this study finds that accelerating the development of clean technologies—rather than waiting—triggers faster learning-by-doing, thus driving their costs down and ultimately saving about 8% in cumulative system costs. A critical window emerges around 2035–2040, beyond which delayed action locks in far costlier pathways. These findings carry direct implications for industrial climate policy worldwide.</w:t>
      </w:r>
    </w:p>
    <w:p>
      <w:pPr>
        <w:spacing w:before="120" w:after="120"/>
      </w:pPr>
      <w:r>
        <w:rPr>
          <w:sz w:val="18"/>
        </w:rPr>
        <w:t>——————————————————————————————————————————————————————————————————————</w:t>
      </w:r>
    </w:p>
    <w:p>
      <w:pPr>
        <w:spacing w:before="160" w:after="40" w:line="240" w:lineRule="auto"/>
      </w:pPr>
      <w:r>
        <w:rPr>
          <w:b/>
        </w:rPr>
        <w:t xml:space="preserve">[12] </w:t>
      </w:r>
      <w:hyperlink r:id="rId214">
        <w:r>
          <w:rPr>
            <w:color w:val="1155CC"/>
            <w:u w:val="single"/>
          </w:rPr>
          <w:t>缓解情景下，化石燃料排放主导北半球二氧化碳季节性循环趋势</w:t>
        </w:r>
      </w:hyperlink>
    </w:p>
    <w:p>
      <w:pPr>
        <w:spacing w:before="0" w:after="80"/>
      </w:pPr>
      <w:r>
        <w:rPr>
          <w:i/>
          <w:sz w:val="20"/>
        </w:rPr>
        <w:t>EN: Fossil fuel emissions dominate Northern Hemisphere CO2 seasonal cycle trends under mitigation scenarios</w:t>
      </w:r>
    </w:p>
    <w:p>
      <w:pPr>
        <w:spacing w:before="0" w:after="120"/>
      </w:pPr>
      <w:r>
        <w:rPr>
          <w:b/>
        </w:rPr>
        <w:t xml:space="preserve">Source: </w:t>
      </w:r>
      <w:r>
        <w:t>Earth and environmental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北半球大气二氧化碳季节循环的变化历史上一直由陆地生态系统主导，这使得地面观测成为陆地碳动态的可靠代表。然而，这种主导地位是否会在未来持续存在仍存在不确定性。在这里，我们将大气传输模型与因子模拟相结合，以评估和归因 2100 年二氧化碳季节性循环的未来变化。我们表明，这些变化的主要驱动因素在不同情景下发生了根本性的变化。在高排放情景（SSP5-8.5）下，加强土地汇主导并放大二氧化碳季节变化，保留地面观测作为可靠的陆地代理。相比之下，在低排放情景（SSP1-2.6）下，二氧化碳季节性幅度大幅下降，这主要是由于化石燃料排放量减少及其季节性减弱所致。因此，现有的地面二氧化碳观测可能不再可靠地跟踪缓解路径下的陆地碳动态，这凸显了对监测和气候政策验证新方法的需要。</w:t>
      </w:r>
    </w:p>
    <w:p>
      <w:pPr>
        <w:spacing w:before="0" w:after="200" w:lineRule="auto" w:line="276"/>
      </w:pPr>
      <w:r>
        <w:rPr>
          <w:b/>
        </w:rPr>
        <w:t xml:space="preserve">Abstract (EN): </w:t>
      </w:r>
      <w:r>
        <w:t>Variations in the atmospheric CO2 seasonal cycle across the Northern Hemisphere have historically been dominated by terrestrial ecosystems, making ground-based observations a reliable proxy for terrestrial carbon dynamics. However, whether this dominance will persist in the future remains uncertain. Here we combine atmospheric transport modeling with factorial simulations to assess and attribute future changes in the CO2 seasonal cycle through 2100. We show that the dominant drivers of these changes shift fundamentally across scenarios. Under the high-emission scenario (SSP5-8.5), strengthening land sinks dominate and amplify CO2 seasonal variability, preserving ground-based observations as a reliable terrestrial proxy. In contrast, under the low-emission scenario (SSP1-2.6), CO2 seasonal amplitude declines widely, driven primarily by reduced fossil fuel emissions and their dampened seasonality. Consequently, established ground-based CO2 observations may no longer reliably track terrestrial carbon dynamics under mitigation pathways, underscoring the need for new approaches for monitoring and climate policy verification.</w:t>
      </w:r>
    </w:p>
    <w:p>
      <w:pPr>
        <w:spacing w:before="120" w:after="120"/>
      </w:pPr>
      <w:r>
        <w:rPr>
          <w:sz w:val="18"/>
        </w:rPr>
        <w:t>——————————————————————————————————————————————————————————————————————</w:t>
      </w:r>
    </w:p>
    <w:p>
      <w:pPr>
        <w:spacing w:before="160" w:after="40" w:line="240" w:lineRule="auto"/>
      </w:pPr>
      <w:r>
        <w:rPr>
          <w:b/>
        </w:rPr>
        <w:t xml:space="preserve">[13] </w:t>
      </w:r>
      <w:hyperlink r:id="rId215">
        <w:r>
          <w:rPr>
            <w:color w:val="1155CC"/>
            <w:u w:val="single"/>
          </w:rPr>
          <w:t>中国臭氧层消耗的氯化 VSLS 的 CFC-11 当量排放量超过了 HCFC</w:t>
        </w:r>
      </w:hyperlink>
    </w:p>
    <w:p>
      <w:pPr>
        <w:spacing w:before="0" w:after="80"/>
      </w:pPr>
      <w:r>
        <w:rPr>
          <w:i/>
          <w:sz w:val="20"/>
        </w:rPr>
        <w:t>EN: Chlorinated VSLSs Surpass HCFCs in CFC-11-Equivalent Emissions for Ozone Layer Depletion in China</w:t>
      </w:r>
    </w:p>
    <w:p>
      <w:pPr>
        <w:spacing w:before="0" w:after="120"/>
      </w:pPr>
      <w:r>
        <w:rPr>
          <w:b/>
        </w:rPr>
        <w:t xml:space="preserve">Source: </w:t>
      </w:r>
      <w:r>
        <w:t>Earth and environmental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氯化极短寿命物质（Cl-VSLS）的排放量不断增加，而这些物质仍然不受《蒙特利尔议定书》的管制，可能会延迟全球臭氧层的恢复。在这项研究中，我们针对 2010 年至 2023 年中国两种最丰富的 Cl-VSLS：二氯甲烷 (CH2Cl2) 和氯仿 (CHCl3) 制定了全面的部门和区域自下而上的排放清单，并预测到 2035 年。我们的最佳估计表明，这两种物质的历史排放量呈上升趋势，自 2010 年以来，CH2Cl2 排放量增加了一倍多，预计到 2023 年这两种物质的排放量将大幅增长。一切照常 (BAU) 情景下的 2035 年。预计最佳可行技术的实施将在 2024 年至 2035 年期间将 CH2Cl2 和 CHCl3 累积排放量分别减少约 50% 和 7%。至关重要的是，预测表明，在 BAU 情景下，从 2024 年起，中国每年的 CH2Cl2 CFC-11 当量排放量将超过该国每年所有氢氯氟碳化合物 (HCFC) 的排放总量。这项研究强调需要综合国内法规和国际谈判来解决 Cl-VSLS 对平流层臭氧恢复日益增加的威胁。</w:t>
      </w:r>
    </w:p>
    <w:p>
      <w:pPr>
        <w:spacing w:before="0" w:after="200" w:lineRule="auto" w:line="276"/>
      </w:pPr>
      <w:r>
        <w:rPr>
          <w:b/>
        </w:rPr>
        <w:t xml:space="preserve">Abstract (EN): </w:t>
      </w:r>
      <w:r>
        <w:t>Escalating emissions of chlorinated very short-lived substances (Cl-VSLSs), which remain unregulated under the Montreal Protocol, could delay the recovery of the global ozone layer. In this study, we developed a comprehensive sectoral and regional bottom-up emission inventory of the two most abundant Cl-VSLSs, dichloromethane (CH2Cl2) and chloroform (CHCl3), from 2010 to 2023 in China, alongside projections to 2035. Our best estimates indicate an upward trend in historical emissions for both substances, with CH2Cl2 emissions more than doubling since 2010, and both species are projected to grow substantially by 2035 under the Business-As-Usual (BAU) scenario. The implementation of best practicable technologies is projected to mitigate cumulative CH2Cl2 and CHCl3 emissions by approximately 50% and 7%, respectively, over 2024–2035. Crucially, projections indicate that the CFC-11 equivalent emissions of CH2Cl2 in China would exceed the country’s aggregate emissions of all hydrochlorofluorocarbons (HCFCs) annually from 2024 onwards under the BAU scenario. This study underscores the need for integrated domestic regulations and international negotiations to address the increasing threat from Cl-VSLSs to stratospheric ozone recovery.</w:t>
      </w:r>
    </w:p>
    <w:p>
      <w:pPr>
        <w:spacing w:before="120" w:after="120"/>
      </w:pPr>
      <w:r>
        <w:rPr>
          <w:sz w:val="18"/>
        </w:rPr>
        <w:t>——————————————————————————————————————————————————————————————————————</w:t>
      </w:r>
    </w:p>
    <w:p>
      <w:pPr>
        <w:spacing w:before="160" w:after="40" w:line="240" w:lineRule="auto"/>
      </w:pPr>
      <w:r>
        <w:rPr>
          <w:b/>
        </w:rPr>
        <w:t xml:space="preserve">[14] </w:t>
      </w:r>
      <w:hyperlink r:id="rId132">
        <w:r>
          <w:rPr>
            <w:color w:val="1155CC"/>
            <w:u w:val="single"/>
          </w:rPr>
          <w:t>建筑环境的被动冷却</w:t>
        </w:r>
      </w:hyperlink>
    </w:p>
    <w:p>
      <w:pPr>
        <w:spacing w:before="0" w:after="80"/>
      </w:pPr>
      <w:r>
        <w:rPr>
          <w:i/>
          <w:sz w:val="20"/>
        </w:rPr>
        <w:t>EN: Passive cooling for the built environment</w:t>
      </w:r>
    </w:p>
    <w:p>
      <w:pPr>
        <w:spacing w:before="0" w:after="120"/>
      </w:pPr>
      <w:r>
        <w:rPr>
          <w:b/>
        </w:rPr>
        <w:t xml:space="preserve">Source: </w:t>
      </w:r>
      <w:r>
        <w:t>Nature Reviews Clean Technology</w:t>
      </w:r>
      <w:r>
        <w:t xml:space="preserve">    </w:t>
      </w:r>
      <w:r>
        <w:rPr>
          <w:b/>
        </w:rPr>
        <w:t xml:space="preserve">Pub date: </w:t>
      </w:r>
      <w:r>
        <w:t>2026-07-02 00:00:00+00:00</w:t>
      </w:r>
      <w:r>
        <w:t xml:space="preserve">    </w:t>
      </w:r>
      <w:r>
        <w:rPr>
          <w:b/>
        </w:rPr>
        <w:t xml:space="preserve">DOI: </w:t>
      </w:r>
      <w:hyperlink r:id="rId133">
        <w:r>
          <w:rPr>
            <w:color w:val="1155CC"/>
            <w:u w:val="single"/>
          </w:rPr>
          <w:t>10.1038/s44359-026-00177-y</w:t>
        </w:r>
      </w:hyperlink>
    </w:p>
    <w:p>
      <w:pPr>
        <w:spacing w:before="0" w:after="120"/>
      </w:pPr>
      <w:r>
        <w:rPr>
          <w:b/>
        </w:rPr>
        <w:t xml:space="preserve">Notes: </w:t>
      </w:r>
      <w:r>
        <w:t>abstract_source=nature_html</w:t>
      </w:r>
    </w:p>
    <w:p>
      <w:pPr>
        <w:spacing w:before="0" w:after="80" w:lineRule="auto" w:line="276"/>
      </w:pPr>
      <w:r>
        <w:rPr>
          <w:b/>
        </w:rPr>
        <w:t xml:space="preserve">摘要（ZH）: </w:t>
      </w:r>
      <w:r>
        <w:t>被动冷却技术可减少建筑物和公共空间的热量和太阳能增益，同时消散多余的热量。这种方法可以减少机械空调的影响，机械空调会影响环境并消耗电力，从而导致高峰需求和电网压力。在这篇综述中，我们讨论了被动冷却技术的进展，重点关注智能太阳能控制、通风以及辐射、蒸发和混合耗散系统。这些技术处于不同的开发和部署阶段，从通风冷却和太阳能控制等技术成熟的方法到用于被动和辐射冷却的新兴材料。每种技术都有优点和缺点。通风、辐射和蒸发冷却的能源消耗较低，但其有效性取决于气候、时间和空气质量。太阳能控制可提高热舒适度，但需要维护或具有设计限制。这些技术的实施可以减少与制冷相关的能源消耗，并为那些负担得起的制冷资源有限的社区提供热舒适度。然而，温度和湿度变化的增加可能会挑战它们的有效性。需要制定政策来鼓励目前依赖机械冷却的社区采用被动冷却方法，并为那些缺乏冷却途径的社区提供支持。</w:t>
      </w:r>
    </w:p>
    <w:p>
      <w:pPr>
        <w:spacing w:before="0" w:after="200" w:lineRule="auto" w:line="276"/>
      </w:pPr>
      <w:r>
        <w:rPr>
          <w:b/>
        </w:rPr>
        <w:t xml:space="preserve">Abstract (EN): </w:t>
      </w:r>
      <w:r>
        <w:t>Passive cooling technologies reduce heat and solar gains in buildings and public spaces while dissipating excess heat. This approach could reduce impacts of mechanical air conditioning, which has environmental impacts and consumes electricity, contributing to peak demand and grid stress. In this Review, we discuss advances in passive cooling technologies, focusing on smart solar control, ventilation, and radiative, evaporative and hybrid dissipation systems. These technologies are at different stages of development and deployment, ranging from technologically mature approaches such as ventilative cooling and solar control to emerging materials for passive and radiative cooling. Each technology has benefits and trade-offs. Ventilative, radiative and evaporative cooling have low energy use, but their effectiveness is dependent on climate, timing and air quality. Solar control improves thermal comfort, requires maintenance or has design constraints. Implementation of these technologies can reduce cooling-related energy consumption and provide thermal comfort in communities where access to affordable cooling is limited. However, increasing temperatures and humidity changes could challenge their effectiveness. Policies are needed to encourage uptake of passive cooling approaches in communities that currently rely on mechanical cooling and enable uptake for those that lack cooling access.</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216">
        <w:r>
          <w:rPr>
            <w:color w:val="1155CC"/>
            <w:u w:val="single"/>
          </w:rPr>
          <w:t>土地与能源关系评估二氧化碳清除在净零排放路径中的贡献</w:t>
        </w:r>
      </w:hyperlink>
    </w:p>
    <w:p>
      <w:pPr>
        <w:spacing w:before="0" w:after="80"/>
      </w:pPr>
      <w:r>
        <w:rPr>
          <w:i/>
          <w:sz w:val="20"/>
        </w:rPr>
        <w:t>EN: Land–energy nexus to assess the contribution of carbon dioxide removal in net-zero emission pathways</w:t>
      </w:r>
    </w:p>
    <w:p>
      <w:pPr>
        <w:spacing w:before="0" w:after="120"/>
      </w:pPr>
      <w:r>
        <w:rPr>
          <w:b/>
        </w:rPr>
        <w:t xml:space="preserve">Source: </w:t>
      </w:r>
      <w:r>
        <w:t>ScienceDirect Publication: Applied Energy</w:t>
      </w:r>
      <w:r>
        <w:t xml:space="preserve">    </w:t>
      </w:r>
      <w:r>
        <w:rPr>
          <w:b/>
        </w:rPr>
        <w:t xml:space="preserve">Pub date: </w:t>
      </w:r>
      <w:r>
        <w:t>2026-06-27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217">
        <w:r>
          <w:rPr>
            <w:color w:val="1155CC"/>
            <w:u w:val="single"/>
          </w:rPr>
          <w:t>通过描述符引导的氧亲和力工程实现可扩展的安培级 CO2 电还原为乙烯</w:t>
        </w:r>
      </w:hyperlink>
    </w:p>
    <w:p>
      <w:pPr>
        <w:spacing w:before="0" w:after="80"/>
      </w:pPr>
      <w:r>
        <w:rPr>
          <w:i/>
          <w:sz w:val="20"/>
        </w:rPr>
        <w:t>EN: Scalable ampere-level CO2 electroreduction to ethylene enabled by descriptor-guided oxygen affinity engineering</w:t>
      </w:r>
    </w:p>
    <w:p>
      <w:pPr>
        <w:spacing w:before="0" w:after="120"/>
      </w:pPr>
      <w:r>
        <w:rPr>
          <w:b/>
        </w:rPr>
        <w:t xml:space="preserve">Source: </w:t>
      </w:r>
      <w:r>
        <w:t>Physical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利用可再生电力将二氧化碳电还原为乙烯，为减少温室气体排放提供了一种可持续的方法。然而，乙烯的高效生产受到缓慢的 C-C 耦合和广泛的产品分布的挑战。将与 C-C 耦合和 C-O 裂解相关的能量变化作为乙烯电合成的描述符，我们通过电化学诱导相分离方法预测并合成了锚定在 Cu 上的不饱和 MgO1-x。该催化剂的电化学评估在流通池中在 300 mA cm−2 下实现了 78.2% 的乙烯法拉第效率。机理研究揭示了 MgO1-x 的双功能。一方面，MgO1-x 与 Cu 域的化学相互作用稳定了 Cu+ 并产生不对称的 Cu+…Cu0 对，促进 *CO-CHO 偶联。另一方面，具有高氧亲和力的MgO1-x增强了与双碳中间体的结合，促进C-O键解离，加速乙烯的形成。最终，该催化剂在 100 cm2 的膜电极组件中在 25 A 电流下提供 60.7% 的乙烯选择性，相当于 1.1 L h−1 的 C2H4 生产率。</w:t>
      </w:r>
    </w:p>
    <w:p>
      <w:pPr>
        <w:spacing w:before="0" w:after="200" w:lineRule="auto" w:line="276"/>
      </w:pPr>
      <w:r>
        <w:rPr>
          <w:b/>
        </w:rPr>
        <w:t xml:space="preserve">Abstract (EN): </w:t>
      </w:r>
      <w:r>
        <w:t>The electroreduction of CO2 to ethylene using renewable electricity offers a sustainable approach for greenhouse gas mitigation. However, the efficient ethylene production is challenged by sluggish C–C coupling and wide product distribution. Guided the energy changes associated with C–C coupling and C–O cleavage as descriptors for ethylene electrosynthesis, we predict and synthesize unsaturated MgO1-x anchored on Cu via an electrochemical-induced phase separation method. Electrochemical evaluation of this catalyst achieves an ethylene Faradaic efficiency of 78.2% at 300 mA cm−2 in a flow cell. Mechanism studies reveal the bifunctionality of MgO1-x. On one side, chemical interaction of MgO1-x with Cu domain stabilizes Cu+ and gives asymmetric Cu+···Cu0 pairs, facilitating the *CO–CHO coupling. On another side, the MgO1-x with high oxygen affinity strengthens the binding with dual-carbon intermediate and promotes the C–O bond dissociation, accelerating ethylene formation. Ultimately, this catalyst delivers 60.7% ethylene selectivity at 25 A in membrane electrode assembly of 100 cm2, equivalent to a C2H4 production rate of 1.1 L h−1.</w:t>
      </w:r>
    </w:p>
    <w:p>
      <w:pPr>
        <w:spacing w:before="120" w:after="120"/>
      </w:pPr>
      <w:r>
        <w:rPr>
          <w:sz w:val="18"/>
        </w:rPr>
        <w:t>——————————————————————————————————————————————————————————————————————</w:t>
      </w:r>
    </w:p>
    <w:p>
      <w:pPr>
        <w:spacing w:before="160" w:after="40" w:line="240" w:lineRule="auto"/>
      </w:pPr>
      <w:r>
        <w:rPr>
          <w:b/>
        </w:rPr>
        <w:t xml:space="preserve">[3] </w:t>
      </w:r>
      <w:hyperlink r:id="rId211">
        <w:r>
          <w:rPr>
            <w:color w:val="1155CC"/>
            <w:u w:val="single"/>
          </w:rPr>
          <w:t>重新思考海洋碳捕获的溶剂再生途径</w:t>
        </w:r>
      </w:hyperlink>
    </w:p>
    <w:p>
      <w:pPr>
        <w:spacing w:before="0" w:after="80"/>
      </w:pPr>
      <w:r>
        <w:rPr>
          <w:i/>
          <w:sz w:val="20"/>
        </w:rPr>
        <w:t>EN: Rethinking solvent regeneration pathways for maritime carbon capture</w:t>
      </w:r>
    </w:p>
    <w:p>
      <w:pPr>
        <w:spacing w:before="0" w:after="120"/>
      </w:pPr>
      <w:r>
        <w:rPr>
          <w:b/>
        </w:rPr>
        <w:t xml:space="preserve">Source: </w:t>
      </w:r>
      <w:r>
        <w:t>Physical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海上运输很难脱碳，而船上碳捕获已成为一种有前途的选择。然而，采用陆基捕获系统可能不适合船舶的空间、能量和重量限制。在这里，我们表明，将溶剂再生从船舶转移到岸上可以提高海上碳捕获的实用性和成本效益。我们比较了 16 条航线在不同船上负载限制下使用四种捕获溶剂的船上和陆上再生。结果表明，采用实际负载限制（~20%）而不是固定捕获率，为系统设计提供了更合理的基础。船上再生优选再生能量低的溶剂，而陆上再生优选二氧化碳吸收能力高的溶剂。考虑到碳税，陆上再生在 2030 年和 2050 年通常更具成本效益，对 357 条路线的扩展分析表明，到 2040 年，陆上再生在经济上可行，并在 2050 年广泛应用。</w:t>
      </w:r>
    </w:p>
    <w:p>
      <w:pPr>
        <w:spacing w:before="0" w:after="200" w:lineRule="auto" w:line="276"/>
      </w:pPr>
      <w:r>
        <w:rPr>
          <w:b/>
        </w:rPr>
        <w:t xml:space="preserve">Abstract (EN): </w:t>
      </w:r>
      <w:r>
        <w:t>Maritime transport is difficult to decarbonize, and onboard carbon capture has emerged as a promising option. However, adapting land-based capture systems may not suit the space, energy, and weight constraints of ships. Here we show that shifting solvent regeneration from ship to shore can improve the practicality and cost-effectiveness of maritime carbon capture. We compare onboard and onshore regeneration across 16 shipping routes using four capture solvents under different onboard load limits. The results show that adopting practical load limits (~20%), rather than fixed capture rates, provides a more reasonable basis for system design. Solvents with low regeneration energy are favored for onboard regeneration, whereas solvents with high carbon dioxide absorption capacity are preferred for onshore regeneration. With carbon tax included, onshore regeneration is generally more cost-effective in 2030 and 2050, and an extended analysis of 357 routes indicates it becomes economically viable by 2040 and broadly applicable by 2050.</w:t>
      </w:r>
    </w:p>
    <w:p>
      <w:pPr>
        <w:spacing w:before="120" w:after="120"/>
      </w:pPr>
      <w:r>
        <w:rPr>
          <w:sz w:val="18"/>
        </w:rPr>
        <w:t>——————————————————————————————————————————————————————————————————————</w:t>
      </w:r>
    </w:p>
    <w:p>
      <w:pPr>
        <w:spacing w:before="160" w:after="40" w:line="240" w:lineRule="auto"/>
      </w:pPr>
      <w:r>
        <w:rPr>
          <w:b/>
        </w:rPr>
        <w:t xml:space="preserve">[4] </w:t>
      </w:r>
      <w:hyperlink r:id="rId218">
        <w:r>
          <w:rPr>
            <w:color w:val="1155CC"/>
            <w:u w:val="single"/>
          </w:rPr>
          <w:t>一锅法 CO2 加氢与原位酯化在单原子 Cuδ+ 掺杂 1.8 Nm T-ZrO2 上生产聚酯单体</w:t>
        </w:r>
      </w:hyperlink>
    </w:p>
    <w:p>
      <w:pPr>
        <w:spacing w:before="0" w:after="80"/>
      </w:pPr>
      <w:r>
        <w:rPr>
          <w:i/>
          <w:sz w:val="20"/>
        </w:rPr>
        <w:t>EN: One‐Pot CO2 Hydrogenation Coupled With In Situ Esterification for Polyester Monomers Production Over Single‐Atom Cuδ+‐Doped 1.8 Nm T‐ZrO2</w:t>
      </w:r>
    </w:p>
    <w:p>
      <w:pPr>
        <w:spacing w:before="0" w:after="120"/>
      </w:pPr>
      <w:r>
        <w:rPr>
          <w:b/>
        </w:rPr>
        <w:t xml:space="preserve">Source: </w:t>
      </w:r>
      <w:r>
        <w:t>Wiley: Angewandte Chemie International Edition: Table of Contents</w:t>
      </w:r>
      <w:r>
        <w:t xml:space="preserve">    </w:t>
      </w:r>
      <w:r>
        <w:rPr>
          <w:b/>
        </w:rPr>
        <w:t xml:space="preserve">Pub date: </w:t>
      </w:r>
      <w:r>
        <w:t>2026-06-30 07:49:48+00:00</w:t>
      </w:r>
      <w:r>
        <w:t xml:space="preserve">    </w:t>
      </w:r>
      <w:r>
        <w:rPr>
          <w:b/>
        </w:rPr>
        <w:t xml:space="preserve">DOI: </w:t>
      </w:r>
      <w:hyperlink r:id="rId219">
        <w:r>
          <w:rPr>
            <w:color w:val="1155CC"/>
            <w:u w:val="single"/>
          </w:rPr>
          <w:t>10.1002/anie.6944015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在这里，我们报告了一种集成 CO2 的一锅串联催化系统</w:t>
      </w:r>
      <w:r>
        <w:rPr>
          <w:vertAlign w:val="subscript"/>
        </w:rPr>
        <w:t>2</w:t>
      </w:r>
      <w:r>
        <w:t>加氢成CH</w:t>
      </w:r>
      <w:r>
        <w:rPr>
          <w:vertAlign w:val="subscript"/>
        </w:rPr>
        <w:t>3</w:t>
      </w:r>
      <w:r>
        <w:t>O* 中间体使用二羧酸进行原位酯化，直接生成二甲酯（例如用于聚对苯二甲酸乙二醇酯 (PET) 制造的聚酯单体）作为最终产品，选择性 &gt;99%。该系统由金属有机骨架（MOF）衍生的催化剂实现，该催化剂具有碳纳米限域原子铜</w:t>
      </w:r>
      <w:r>
        <w:t xml:space="preserve"> </w:t>
      </w:r>
      <w:r>
        <w:t>δ+</w:t>
      </w:r>
      <w:r>
        <w:t xml:space="preserve"> </w:t>
      </w:r>
      <w:r>
        <w:t>网站锚定在 ca。 1.8 nm 四方氧化锆</w:t>
      </w:r>
      <w:r>
        <w:rPr>
          <w:vertAlign w:val="subscript"/>
        </w:rPr>
        <w:t>2</w:t>
      </w:r>
      <w:r>
        <w:t>纳米颗粒（铜</w:t>
      </w:r>
      <w:r>
        <w:t xml:space="preserve"> </w:t>
      </w:r>
      <w:r>
        <w:t>SA</w:t>
      </w:r>
      <w:r>
        <w:t xml:space="preserve"> </w:t>
      </w:r>
      <w:r>
        <w:t>－氧化锆</w:t>
      </w:r>
      <w:r>
        <w:rPr>
          <w:vertAlign w:val="subscript"/>
        </w:rPr>
        <w:t>2</w:t>
      </w:r>
      <w:r>
        <w:t>‐C)，实现了高效的 CO</w:t>
      </w:r>
      <w:r>
        <w:rPr>
          <w:vertAlign w:val="subscript"/>
        </w:rPr>
        <w:t>2</w:t>
      </w:r>
      <w:r>
        <w:t>在间歇式反应器中，在 150°C 的低温下，转化率为 28%。该过程提供了高时空产率的酯，相当于 CO</w:t>
      </w:r>
      <w:r>
        <w:rPr>
          <w:vertAlign w:val="subscript"/>
        </w:rPr>
        <w:t>2</w:t>
      </w:r>
      <w:r>
        <w:t>转换效率为 158.6 克</w:t>
      </w:r>
      <w:r>
        <w:t xml:space="preserve"> </w:t>
      </w:r>
      <w:r>
        <w:t>二氧化碳</w:t>
      </w:r>
      <w:r>
        <w:t xml:space="preserve"> </w:t>
      </w:r>
      <w:r>
        <w:t>克</w:t>
      </w:r>
      <w:r>
        <w:t xml:space="preserve"> </w:t>
      </w:r>
      <w:r>
        <w:t>猫</w:t>
      </w:r>
      <w:r>
        <w:t xml:space="preserve"> </w:t>
      </w:r>
      <w:r>
        <w:t>−1</w:t>
      </w:r>
      <w:r>
        <w:t xml:space="preserve"> </w:t>
      </w:r>
      <w:r>
        <w:t>小时</w:t>
      </w:r>
      <w:r>
        <w:t xml:space="preserve"> </w:t>
      </w:r>
      <w:r>
        <w:t>−1</w:t>
      </w:r>
      <w:r>
        <w:t xml:space="preserve"> </w:t>
      </w:r>
      <w:r>
        <w:t>。通过控制实验、原位时间分辨漫反射红外傅里叶变换光谱 (DRIFTS) 和密度泛函理论 (DFT) 计算获得的机理研究表明，原子 Cu 之间的三方协同作用</w:t>
      </w:r>
      <w:r>
        <w:t xml:space="preserve"> </w:t>
      </w:r>
      <w:r>
        <w:t>δ+</w:t>
      </w:r>
      <w:r>
        <w:t xml:space="preserve"> </w:t>
      </w:r>
      <w:r>
        <w:t>位点、氧空位和表面羟基</w:t>
      </w:r>
    </w:p>
    <w:p>
      <w:pPr>
        <w:spacing w:before="0" w:after="200" w:lineRule="auto" w:line="276"/>
      </w:pPr>
      <w:r>
        <w:rPr>
          <w:b/>
        </w:rPr>
        <w:t xml:space="preserve">Abstract (EN): </w:t>
      </w:r>
      <w:r>
        <w:t>Here, we report a one‐pot tandem catalytic system that integrates CO</w:t>
      </w:r>
      <w:r>
        <w:rPr>
          <w:vertAlign w:val="subscript"/>
        </w:rPr>
        <w:t>2</w:t>
      </w:r>
      <w:r>
        <w:t>hydrogenation to CH</w:t>
      </w:r>
      <w:r>
        <w:rPr>
          <w:vertAlign w:val="subscript"/>
        </w:rPr>
        <w:t>3</w:t>
      </w:r>
      <w:r>
        <w:t>O* intermediates with their in situ esterification using dicarboxylic acids, directly yielding dimethyl esters (e.g., polyester monomers for polyethylene terephthalate (PET) manufacturing) as final products with &amp;gt;99% selectivity. This system is enabled by a metal‐organic framework (MOF)‐derived catalyst featuring carbon‐nanoconfined atomic Cu</w:t>
      </w:r>
      <w:r>
        <w:t xml:space="preserve"> </w:t>
      </w:r>
      <w:r>
        <w:t>δ+</w:t>
      </w:r>
      <w:r>
        <w:t xml:space="preserve"> </w:t>
      </w:r>
      <w:r>
        <w:t>sites anchored on ca. 1.8 nm tetragonal ZrO</w:t>
      </w:r>
      <w:r>
        <w:rPr>
          <w:vertAlign w:val="subscript"/>
        </w:rPr>
        <w:t>2</w:t>
      </w:r>
      <w:r>
        <w:t>nanoparticles (Cu</w:t>
      </w:r>
      <w:r>
        <w:t xml:space="preserve"> </w:t>
      </w:r>
      <w:r>
        <w:t>SA</w:t>
      </w:r>
      <w:r>
        <w:t xml:space="preserve"> </w:t>
      </w:r>
      <w:r>
        <w:t>‐ZrO</w:t>
      </w:r>
      <w:r>
        <w:rPr>
          <w:vertAlign w:val="subscript"/>
        </w:rPr>
        <w:t>2</w:t>
      </w:r>
      <w:r>
        <w:t>‐C), which achieves an efficient CO</w:t>
      </w:r>
      <w:r>
        <w:rPr>
          <w:vertAlign w:val="subscript"/>
        </w:rPr>
        <w:t>2</w:t>
      </w:r>
      <w:r>
        <w:t>conversion of 28% at a reduced temperature of 150°C in a batch reactor. The process delivers a high space‐time yield of esters, corresponding to a CO</w:t>
      </w:r>
      <w:r>
        <w:rPr>
          <w:vertAlign w:val="subscript"/>
        </w:rPr>
        <w:t>2</w:t>
      </w:r>
      <w:r>
        <w:t>conversion efficiency of 158.6 g</w:t>
      </w:r>
      <w:r>
        <w:t xml:space="preserve"> </w:t>
      </w:r>
      <w:r>
        <w:t>CO2</w:t>
      </w:r>
      <w:r>
        <w:t xml:space="preserve"> </w:t>
      </w:r>
      <w:r>
        <w:t>g</w:t>
      </w:r>
      <w:r>
        <w:t xml:space="preserve"> </w:t>
      </w:r>
      <w:r>
        <w:t>cat</w:t>
      </w:r>
      <w:r>
        <w:t xml:space="preserve"> </w:t>
      </w:r>
      <w:r>
        <w:t>−1</w:t>
      </w:r>
      <w:r>
        <w:t xml:space="preserve"> </w:t>
      </w:r>
      <w:r>
        <w:t>h</w:t>
      </w:r>
      <w:r>
        <w:t xml:space="preserve"> </w:t>
      </w:r>
      <w:r>
        <w:t>−1</w:t>
      </w:r>
      <w:r>
        <w:t xml:space="preserve"> </w:t>
      </w:r>
      <w:r>
        <w:t>. Mechanistic studies gained from control experiments, in situ time‐resolved diffuse reflectance infrared Fourier transform spectroscopy (DRIFTS), and density functional theory (DFT) calculations reveal that a tripartite synergy among atomic Cu</w:t>
      </w:r>
      <w:r>
        <w:t xml:space="preserve"> </w:t>
      </w:r>
      <w:r>
        <w:t>δ+</w:t>
      </w:r>
      <w:r>
        <w:t xml:space="preserve"> </w:t>
      </w:r>
      <w:r>
        <w:t>sites, oxygen vacancies, and surface hydroxyls on t‐ZrO</w:t>
      </w:r>
      <w:r>
        <w:rPr>
          <w:vertAlign w:val="subscript"/>
        </w:rPr>
        <w:t>2</w:t>
      </w:r>
      <w:r>
        <w:t>nanoparticles stabilizes key intermediates (*CO, *COOH, *HCOO</w:t>
      </w:r>
      <w:r>
        <w:t xml:space="preserve"> </w:t>
      </w:r>
      <w:r>
        <w:t>−</w:t>
      </w:r>
      <w:r>
        <w:t>, *CHO) and opens a hydroxyl mediated pathway. This pathway redirects the typically poisoning *CO species toward *CHO, thereby circumventing the persistent *CO poisoning challenge. This work presents an atomic‐level design strategy that simultaneously advances low‐temperature CO</w:t>
      </w:r>
      <w:r>
        <w:rPr>
          <w:vertAlign w:val="subscript"/>
        </w:rPr>
        <w:t>2</w:t>
      </w:r>
      <w:r>
        <w:t>hydrogenation and intermediate valorization, establishing an integrated and carbon‐efficient route from CO</w:t>
      </w:r>
      <w:r>
        <w:rPr>
          <w:vertAlign w:val="subscript"/>
        </w:rPr>
        <w:t>2</w:t>
      </w:r>
      <w:r>
        <w:t>to polymer feedstocks.</w:t>
      </w:r>
    </w:p>
    <w:p>
      <w:pPr>
        <w:spacing w:before="120" w:after="120"/>
      </w:pPr>
      <w:r>
        <w:rPr>
          <w:sz w:val="18"/>
        </w:rPr>
        <w:t>——————————————————————————————————————————————————————————————————————</w:t>
      </w:r>
    </w:p>
    <w:p>
      <w:pPr>
        <w:spacing w:before="160" w:after="40" w:line="240" w:lineRule="auto"/>
      </w:pPr>
      <w:r>
        <w:rPr>
          <w:b/>
        </w:rPr>
        <w:t xml:space="preserve">[5] </w:t>
      </w:r>
      <w:hyperlink r:id="rId220">
        <w:r>
          <w:rPr>
            <w:color w:val="1155CC"/>
            <w:u w:val="single"/>
          </w:rPr>
          <w:t>非晶氧化物-金属结的跨界面准串联催化引导 CO2 电还原生成 C3 产品</w:t>
        </w:r>
      </w:hyperlink>
    </w:p>
    <w:p>
      <w:pPr>
        <w:spacing w:before="0" w:after="80"/>
      </w:pPr>
      <w:r>
        <w:rPr>
          <w:i/>
          <w:sz w:val="20"/>
        </w:rPr>
        <w:t>EN: Cross‐Interface Quasi‐Tandem Catalysis Over Amorphous Oxide‐Metal Junctions Steers CO2 Electroreduction Toward C3 Products</w:t>
      </w:r>
    </w:p>
    <w:p>
      <w:pPr>
        <w:spacing w:before="0" w:after="120"/>
      </w:pPr>
      <w:r>
        <w:rPr>
          <w:b/>
        </w:rPr>
        <w:t xml:space="preserve">Source: </w:t>
      </w:r>
      <w:r>
        <w:t>Wiley: Angewandte Chemie International Edition: Table of Contents</w:t>
      </w:r>
      <w:r>
        <w:t xml:space="preserve">    </w:t>
      </w:r>
      <w:r>
        <w:rPr>
          <w:b/>
        </w:rPr>
        <w:t xml:space="preserve">Pub date: </w:t>
      </w:r>
      <w:r>
        <w:t>2026-06-30 08:01:30+00:00</w:t>
      </w:r>
      <w:r>
        <w:t xml:space="preserve">    </w:t>
      </w:r>
      <w:r>
        <w:rPr>
          <w:b/>
        </w:rPr>
        <w:t xml:space="preserve">DOI: </w:t>
      </w:r>
      <w:hyperlink r:id="rId221">
        <w:r>
          <w:rPr>
            <w:color w:val="1155CC"/>
            <w:u w:val="single"/>
          </w:rPr>
          <w:t>10.1002/anie.1392489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CO的选择性电还原</w:t>
      </w:r>
      <w:r>
        <w:rPr>
          <w:vertAlign w:val="subscript"/>
        </w:rPr>
        <w:t>2</w:t>
      </w:r>
      <w:r>
        <w:t>到</w:t>
      </w:r>
      <w:r>
        <w:t xml:space="preserve"> </w:t>
      </w:r>
      <w:r>
        <w:t>n</w:t>
      </w:r>
      <w:r>
        <w:t xml:space="preserve"> </w:t>
      </w:r>
      <w:r>
        <w:t>‐丙醇从根本上受到缓慢的C的限制</w:t>
      </w:r>
      <w:r>
        <w:rPr>
          <w:vertAlign w:val="subscript"/>
        </w:rPr>
        <w:t>1</w:t>
      </w:r>
      <w:r>
        <w:t>─C</w:t>
      </w:r>
      <w:r>
        <w:rPr>
          <w:vertAlign w:val="subscript"/>
        </w:rPr>
        <w:t>2</w:t>
      </w:r>
      <w:r>
        <w:t>偶联和关键含氧中间体的不稳定性。在这里，我们提出了一种由富含缺陷的非晶 ZrO 实现的准串联催化策略</w:t>
      </w:r>
      <w:r>
        <w:rPr>
          <w:vertAlign w:val="subscript"/>
        </w:rPr>
        <w:t>2</w:t>
      </w:r>
      <w:r>
        <w:t>，其中非晶氧化物-金属界面环境促进 *CO 的生成，氧化 C 的稳定</w:t>
      </w:r>
      <w:r>
        <w:rPr>
          <w:vertAlign w:val="subscript"/>
        </w:rPr>
        <w:t>2</w:t>
      </w:r>
      <w:r>
        <w:t>中间体 (*OCCOH)，以及随后的 C─C 偶联</w:t>
      </w:r>
      <w:r>
        <w:t xml:space="preserve"> </w:t>
      </w:r>
      <w:r>
        <w:t>n</w:t>
      </w:r>
      <w:r>
        <w:t xml:space="preserve"> </w:t>
      </w:r>
      <w:r>
        <w:t>‐丙醇的形成。所得催化剂由无定形 ZrO 组成</w:t>
      </w:r>
      <w:r>
        <w:rPr>
          <w:vertAlign w:val="subscript"/>
        </w:rPr>
        <w:t>2</w:t>
      </w:r>
      <w:r>
        <w:t>、Cu 和 Ag，提供 23.2% ± 1.6% 的法拉第效率和 50.6 mA cm 的部分电流密度</w:t>
      </w:r>
      <w:r>
        <w:t xml:space="preserve"> </w:t>
      </w:r>
      <w:r>
        <w:t>−2</w:t>
      </w:r>
      <w:r>
        <w:t xml:space="preserve"> </w:t>
      </w:r>
      <w:r>
        <w:t>为了</w:t>
      </w:r>
      <w:r>
        <w:t xml:space="preserve"> </w:t>
      </w:r>
      <w:r>
        <w:t>n</w:t>
      </w:r>
      <w:r>
        <w:t xml:space="preserve"> </w:t>
      </w:r>
      <w:r>
        <w:t>‐丙醇，与结晶 ZrO 相比，分别提高了 2.5 倍和 3.5 倍以上</w:t>
      </w:r>
      <w:r>
        <w:rPr>
          <w:vertAlign w:val="subscript"/>
        </w:rPr>
        <w:t>2</w:t>
      </w:r>
      <w:r>
        <w:t>类似物。密度泛函理论 (DFT) 计算表明非晶态 ZrO</w:t>
      </w:r>
      <w:r>
        <w:rPr>
          <w:vertAlign w:val="subscript"/>
        </w:rPr>
        <w:t>2</w:t>
      </w:r>
      <w:r>
        <w:t>─Cu界面，不仅增强了*COH的形成，而且显着降低了*CO-COH耦合和*CO-*OCCOH耦合的能垒</w:t>
      </w:r>
      <w:r>
        <w:t xml:space="preserve"> </w:t>
      </w:r>
      <w:r>
        <w:t>n</w:t>
      </w:r>
      <w:r>
        <w:t xml:space="preserve"> </w:t>
      </w:r>
      <w:r>
        <w:t>‐丙醇的产生。这些发现确立了阿莫普</w:t>
      </w:r>
    </w:p>
    <w:p>
      <w:pPr>
        <w:spacing w:before="0" w:after="200" w:lineRule="auto" w:line="276"/>
      </w:pPr>
      <w:r>
        <w:rPr>
          <w:b/>
        </w:rPr>
        <w:t xml:space="preserve">Abstract (EN): </w:t>
      </w:r>
      <w:r>
        <w:t>The selective electroreduction of CO</w:t>
      </w:r>
      <w:r>
        <w:rPr>
          <w:vertAlign w:val="subscript"/>
        </w:rPr>
        <w:t>2</w:t>
      </w:r>
      <w:r>
        <w:t>to</w:t>
      </w:r>
      <w:r>
        <w:t xml:space="preserve"> </w:t>
      </w:r>
      <w:r>
        <w:t>n</w:t>
      </w:r>
      <w:r>
        <w:t xml:space="preserve"> </w:t>
      </w:r>
      <w:r>
        <w:t>‐propanol is fundamentally constrained by sluggish C</w:t>
      </w:r>
      <w:r>
        <w:rPr>
          <w:vertAlign w:val="subscript"/>
        </w:rPr>
        <w:t>1</w:t>
      </w:r>
      <w:r>
        <w:t>─C</w:t>
      </w:r>
      <w:r>
        <w:rPr>
          <w:vertAlign w:val="subscript"/>
        </w:rPr>
        <w:t>2</w:t>
      </w:r>
      <w:r>
        <w:t>coupling and the instability of key oxygenated intermediates. Here, we propose a quasi‐tandem catalytic strategy enabled by defect‐rich amorphous ZrO</w:t>
      </w:r>
      <w:r>
        <w:rPr>
          <w:vertAlign w:val="subscript"/>
        </w:rPr>
        <w:t>2</w:t>
      </w:r>
      <w:r>
        <w:t>, where the amorphous oxide‐metal interfacial environment promotes *CO generation, stabilization of oxygenated C</w:t>
      </w:r>
      <w:r>
        <w:rPr>
          <w:vertAlign w:val="subscript"/>
        </w:rPr>
        <w:t>2</w:t>
      </w:r>
      <w:r>
        <w:t>intermediates (*OCCOH), and subsequent C─C coupling toward</w:t>
      </w:r>
      <w:r>
        <w:t xml:space="preserve"> </w:t>
      </w:r>
      <w:r>
        <w:t>n</w:t>
      </w:r>
      <w:r>
        <w:t xml:space="preserve"> </w:t>
      </w:r>
      <w:r>
        <w:t>‐propanol formation. The resulting catalyst, composed of amorphous ZrO</w:t>
      </w:r>
      <w:r>
        <w:rPr>
          <w:vertAlign w:val="subscript"/>
        </w:rPr>
        <w:t>2</w:t>
      </w:r>
      <w:r>
        <w:t>, Cu, and Ag, delivers a Faradaic efficiency of 23.2% ± 1.6% and a partial current density of 50.6 mA cm</w:t>
      </w:r>
      <w:r>
        <w:t xml:space="preserve"> </w:t>
      </w:r>
      <w:r>
        <w:t>−2</w:t>
      </w:r>
      <w:r>
        <w:t xml:space="preserve"> </w:t>
      </w:r>
      <w:r>
        <w:t>for</w:t>
      </w:r>
      <w:r>
        <w:t xml:space="preserve"> </w:t>
      </w:r>
      <w:r>
        <w:t>n</w:t>
      </w:r>
      <w:r>
        <w:t xml:space="preserve"> </w:t>
      </w:r>
      <w:r>
        <w:t>‐propanol, representing more than 2.5‐ and 3.5‐fold enhancements, respectively, compared to its crystalline ZrO</w:t>
      </w:r>
      <w:r>
        <w:rPr>
          <w:vertAlign w:val="subscript"/>
        </w:rPr>
        <w:t>2</w:t>
      </w:r>
      <w:r>
        <w:t>analogue. Density functional theory (DFT) calculations reveal that the amorphous ZrO</w:t>
      </w:r>
      <w:r>
        <w:rPr>
          <w:vertAlign w:val="subscript"/>
        </w:rPr>
        <w:t>2</w:t>
      </w:r>
      <w:r>
        <w:t>─Cu interface, not only enhances the formation of *COH, but also significantly lowers the energy barriers for *CO‐COH coupling and *CO‐*OCCOH coupling toward</w:t>
      </w:r>
      <w:r>
        <w:t xml:space="preserve"> </w:t>
      </w:r>
      <w:r>
        <w:t>n</w:t>
      </w:r>
      <w:r>
        <w:t xml:space="preserve"> </w:t>
      </w:r>
      <w:r>
        <w:t>‐propanol generation. These findings establish amorphous oxide‐metal interfacial engineering as an effective strategy for quasi‐tandem catalysis, enabling cooperative multistep C─C coupling pathways toward selective C</w:t>
      </w:r>
      <w:r>
        <w:rPr>
          <w:vertAlign w:val="subscript"/>
        </w:rPr>
        <w:t>3</w:t>
      </w:r>
      <w:r>
        <w:t>electrosynthesis from CO</w:t>
      </w:r>
      <w:r>
        <w:rPr>
          <w:vertAlign w:val="subscript"/>
        </w:rPr>
        <w:t>2</w:t>
      </w:r>
      <w:r>
        <w:t>.</w:t>
      </w:r>
    </w:p>
    <w:p>
      <w:pPr>
        <w:spacing w:before="120" w:after="120"/>
      </w:pPr>
      <w:r>
        <w:rPr>
          <w:sz w:val="18"/>
        </w:rPr>
        <w:t>——————————————————————————————————————————————————————————————————————</w:t>
      </w:r>
    </w:p>
    <w:p>
      <w:pPr>
        <w:spacing w:before="160" w:after="40" w:line="240" w:lineRule="auto"/>
      </w:pPr>
      <w:r>
        <w:rPr>
          <w:b/>
        </w:rPr>
        <w:t xml:space="preserve">[6] </w:t>
      </w:r>
      <w:hyperlink r:id="rId222">
        <w:r>
          <w:rPr>
            <w:color w:val="1155CC"/>
            <w:u w:val="single"/>
          </w:rPr>
          <w:t>共固定亚胺 COF 的电子工程实现高效合成气光生产</w:t>
        </w:r>
      </w:hyperlink>
    </w:p>
    <w:p>
      <w:pPr>
        <w:spacing w:before="0" w:after="80"/>
      </w:pPr>
      <w:r>
        <w:rPr>
          <w:i/>
          <w:sz w:val="20"/>
        </w:rPr>
        <w:t>EN: Efficient Syngas Photoproduction Enabled by Electronic Engineering of Co‐Immobilized Imine COFs</w:t>
      </w:r>
    </w:p>
    <w:p>
      <w:pPr>
        <w:spacing w:before="0" w:after="120"/>
      </w:pPr>
      <w:r>
        <w:rPr>
          <w:b/>
        </w:rPr>
        <w:t xml:space="preserve">Source: </w:t>
      </w:r>
      <w:r>
        <w:t>Wiley: Angewandte Chemie International Edition: Table of Contents</w:t>
      </w:r>
      <w:r>
        <w:t xml:space="preserve">    </w:t>
      </w:r>
      <w:r>
        <w:rPr>
          <w:b/>
        </w:rPr>
        <w:t xml:space="preserve">Pub date: </w:t>
      </w:r>
      <w:r>
        <w:t>2026-06-30 17:13:50+00:00</w:t>
      </w:r>
      <w:r>
        <w:t xml:space="preserve">    </w:t>
      </w:r>
      <w:r>
        <w:rPr>
          <w:b/>
        </w:rPr>
        <w:t xml:space="preserve">DOI: </w:t>
      </w:r>
      <w:hyperlink r:id="rId223">
        <w:r>
          <w:rPr>
            <w:color w:val="1155CC"/>
            <w:u w:val="single"/>
          </w:rPr>
          <w:t>10.1002/anie.8261978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多相光催化CO</w:t>
      </w:r>
      <w:r>
        <w:rPr>
          <w:vertAlign w:val="subscript"/>
        </w:rPr>
        <w:t>2</w:t>
      </w:r>
      <w:r>
        <w:t>还原为合成气生产提供了一条有前途的途径。然而，高反应能垒和低效的电荷分离和转移阻碍了表面CO</w:t>
      </w:r>
      <w:r>
        <w:rPr>
          <w:vertAlign w:val="subscript"/>
        </w:rPr>
        <w:t>2</w:t>
      </w:r>
      <w:r>
        <w:t>减少。在此，在共价有机骨架（COF）基催化剂上，通过引入N原子提高光电子转移效率，并增加具有两个负一价二齿配体的Co（II）位点的电子密度，我们实现了超高合成气产率和高H2O</w:t>
      </w:r>
      <w:r>
        <w:rPr>
          <w:vertAlign w:val="subscript"/>
        </w:rPr>
        <w:t>2</w:t>
      </w:r>
      <w:r>
        <w:t>/CO摩尔比。这项工作中最好的催化剂：三嗪-COF-Co-SA 实现了创纪录的高合成气产率和高 H</w:t>
      </w:r>
      <w:r>
        <w:rPr>
          <w:vertAlign w:val="subscript"/>
        </w:rPr>
        <w:t>2</w:t>
      </w:r>
      <w:r>
        <w:t>/CO 摩尔比 (≥2) 为 698.7 mmol g</w:t>
      </w:r>
      <w:r>
        <w:t xml:space="preserve"> </w:t>
      </w:r>
      <w:r>
        <w:t>−1</w:t>
      </w:r>
      <w:r>
        <w:t xml:space="preserve"> </w:t>
      </w:r>
      <w:r>
        <w:t>小时</w:t>
      </w:r>
      <w:r>
        <w:t xml:space="preserve"> </w:t>
      </w:r>
      <w:r>
        <w:t>−1</w:t>
      </w:r>
      <w:r>
        <w:t xml:space="preserve"> </w:t>
      </w:r>
      <w:r>
        <w:t>。飞秒瞬态吸收光谱（fs-TAS）、原位红外光谱（In situ IR）和理论计算表明，骨架中N的引入和活性位点电子密度的增加对于之前的挑战是有效的。在 Triazine-COF-Co-SA 上，能垒从 1.90 eV 降低到 0.54 eV，fs-TAS 也表现出明显的</w:t>
      </w:r>
      <w:r>
        <w:t xml:space="preserve"> </w:t>
      </w:r>
      <w:r>
        <w:t>τ</w:t>
      </w:r>
      <w:r>
        <w:rPr>
          <w:vertAlign w:val="subscript"/>
        </w:rPr>
        <w:t>4</w:t>
      </w:r>
      <w:r>
        <w:t>= 1.5 ns，这代表更高的电荷转移效率。这项研究显示了对 COF 基催化剂进行催化剂改性以增强 CO 的巨大潜力</w:t>
      </w:r>
    </w:p>
    <w:p>
      <w:pPr>
        <w:spacing w:before="0" w:after="200" w:lineRule="auto" w:line="276"/>
      </w:pPr>
      <w:r>
        <w:rPr>
          <w:b/>
        </w:rPr>
        <w:t xml:space="preserve">Abstract (EN): </w:t>
      </w:r>
      <w:r>
        <w:t>Heterogeneous photocatalytic CO</w:t>
      </w:r>
      <w:r>
        <w:rPr>
          <w:vertAlign w:val="subscript"/>
        </w:rPr>
        <w:t>2</w:t>
      </w:r>
      <w:r>
        <w:t>reduction provides a promising route for syngas production. However, high reaction energy barriers and inefficient charge separation and transfer hinder the surface CO</w:t>
      </w:r>
      <w:r>
        <w:rPr>
          <w:vertAlign w:val="subscript"/>
        </w:rPr>
        <w:t>2</w:t>
      </w:r>
      <w:r>
        <w:t>reduction. Herein, on a covalent organic framework (COF) based catalyst, through the enhanced photoelectron transfer efficiency by introduction of N atoms, also the increased electron density of the Co (II) site with two negative one‐valent bidentate ligands, we achieved both ultrahigh syngas production rate and high H</w:t>
      </w:r>
      <w:r>
        <w:rPr>
          <w:vertAlign w:val="subscript"/>
        </w:rPr>
        <w:t>2</w:t>
      </w:r>
      <w:r>
        <w:t>/CO molar ratio. The best catalyst in this work: Triazine‐COF‐Co‐SA enabled a record‐high syngas production rate with high H</w:t>
      </w:r>
      <w:r>
        <w:rPr>
          <w:vertAlign w:val="subscript"/>
        </w:rPr>
        <w:t>2</w:t>
      </w:r>
      <w:r>
        <w:t>/CO molar ratio (≥2) of 698.7 mmol g</w:t>
      </w:r>
      <w:r>
        <w:t xml:space="preserve"> </w:t>
      </w:r>
      <w:r>
        <w:t>−1</w:t>
      </w:r>
      <w:r>
        <w:t xml:space="preserve"> </w:t>
      </w:r>
      <w:r>
        <w:t>h</w:t>
      </w:r>
      <w:r>
        <w:t xml:space="preserve"> </w:t>
      </w:r>
      <w:r>
        <w:t>−1</w:t>
      </w:r>
      <w:r>
        <w:t xml:space="preserve"> </w:t>
      </w:r>
      <w:r>
        <w:t>. Femtosecond transient absorption spectroscopy (fs‐TAS), in situ infrared spectroscopy (In situ IR) and theoretical calculation indicated that N introduction to the framework and active site electron density increasing were effective for the previous challenges. On Triazine‐COF‐Co‐SA, the energy barrier was lowered from 1.90 to 0.54 eV, also fs‐TAS showed an obvious</w:t>
      </w:r>
      <w:r>
        <w:t xml:space="preserve"> </w:t>
      </w:r>
      <w:r>
        <w:t>τ</w:t>
      </w:r>
      <w:r>
        <w:rPr>
          <w:vertAlign w:val="subscript"/>
        </w:rPr>
        <w:t>4</w:t>
      </w:r>
      <w:r>
        <w:t>= 1.5 ns which represented a higher charge transfer efficiency. This study shows great potential for catalyst modification on COF‐based catalysts to enhance CO</w:t>
      </w:r>
      <w:r>
        <w:rPr>
          <w:vertAlign w:val="subscript"/>
        </w:rPr>
        <w:t>2</w:t>
      </w:r>
      <w:r>
        <w:t>photoreduction capability.</w:t>
      </w:r>
    </w:p>
    <w:p>
      <w:pPr>
        <w:spacing w:before="120" w:after="120"/>
      </w:pPr>
      <w:r>
        <w:rPr>
          <w:sz w:val="18"/>
        </w:rPr>
        <w:t>——————————————————————————————————————————————————————————————————————</w:t>
      </w:r>
    </w:p>
    <w:p>
      <w:pPr>
        <w:spacing w:before="160" w:after="40" w:line="240" w:lineRule="auto"/>
      </w:pPr>
      <w:r>
        <w:rPr>
          <w:b/>
        </w:rPr>
        <w:t xml:space="preserve">[7] </w:t>
      </w:r>
      <w:hyperlink r:id="rId224">
        <w:r>
          <w:rPr>
            <w:color w:val="1155CC"/>
            <w:u w:val="single"/>
          </w:rPr>
          <w:t>化工生产中碳-杂原子键形成的脉冲电解</w:t>
        </w:r>
      </w:hyperlink>
    </w:p>
    <w:p>
      <w:pPr>
        <w:spacing w:before="0" w:after="80"/>
      </w:pPr>
      <w:r>
        <w:rPr>
          <w:i/>
          <w:sz w:val="20"/>
        </w:rPr>
        <w:t>EN: Pulsed electrolysis for carbon–heteroatom bond formation in chemical production</w:t>
      </w:r>
    </w:p>
    <w:p>
      <w:pPr>
        <w:spacing w:before="0" w:after="120"/>
      </w:pPr>
      <w:r>
        <w:rPr>
          <w:b/>
        </w:rPr>
        <w:t xml:space="preserve">Source: </w:t>
      </w:r>
      <w:r>
        <w:t>Nature Reviews Clean Technology</w:t>
      </w:r>
      <w:r>
        <w:t xml:space="preserve">    </w:t>
      </w:r>
      <w:r>
        <w:rPr>
          <w:b/>
        </w:rPr>
        <w:t xml:space="preserve">Pub date: </w:t>
      </w:r>
      <w:r>
        <w:t>2026-07-01 00:00:00+00:00</w:t>
      </w:r>
      <w:r>
        <w:t xml:space="preserve">    </w:t>
      </w:r>
      <w:r>
        <w:rPr>
          <w:b/>
        </w:rPr>
        <w:t xml:space="preserve">DOI: </w:t>
      </w:r>
      <w:hyperlink r:id="rId225">
        <w:r>
          <w:rPr>
            <w:color w:val="1155CC"/>
            <w:u w:val="single"/>
          </w:rPr>
          <w:t>10.1038/s44359-026-00192-z</w:t>
        </w:r>
      </w:hyperlink>
    </w:p>
    <w:p>
      <w:pPr>
        <w:spacing w:before="0" w:after="120"/>
      </w:pPr>
      <w:r>
        <w:rPr>
          <w:b/>
        </w:rPr>
        <w:t xml:space="preserve">Notes: </w:t>
      </w:r>
      <w:r>
        <w:t>abstract_source=nature_html</w:t>
      </w:r>
    </w:p>
    <w:p>
      <w:pPr>
        <w:spacing w:before="0" w:after="80" w:lineRule="auto" w:line="276"/>
      </w:pPr>
      <w:r>
        <w:rPr>
          <w:b/>
        </w:rPr>
        <w:t xml:space="preserve">摘要（ZH）: </w:t>
      </w:r>
      <w:r>
        <w:t>由丰富的小分子（H2O、CO2、N2、SO32− 和 PO43−）形成的电合成 C-X（X = N、S、P）键为清洁化学技术提供了潜在的平台。然而，在传统的静态电解下，C-X偶联反应通常存在产物范围窄（以尿素为主）、电流效率适中（</w:t>
      </w:r>
    </w:p>
    <w:p>
      <w:pPr>
        <w:spacing w:before="0" w:after="200" w:lineRule="auto" w:line="276"/>
      </w:pPr>
      <w:r>
        <w:rPr>
          <w:b/>
        </w:rPr>
        <w:t xml:space="preserve">Abstract (EN): </w:t>
      </w:r>
      <w:r>
        <w:t>Electrosynthetic C–X (X = N, S, P) bond formation from abundant small molecules (H2O, CO2, N2, SO32− and PO43−) provides a potential platform for clean-chemical technology. However, under conventional static electrolysis, C–X coupling reactions typically suffer from narrow product scope (dominated by urea), moderate current efficiencies (</w:t>
      </w:r>
    </w:p>
    <w:p>
      <w:pPr>
        <w:spacing w:before="120" w:after="120"/>
      </w:pPr>
      <w:r>
        <w:rPr>
          <w:sz w:val="18"/>
        </w:rPr>
        <w:t>——————————————————————————————————————————————————————————————————————</w:t>
      </w:r>
    </w:p>
    <w:p>
      <w:pPr>
        <w:spacing w:before="160" w:after="40" w:line="240" w:lineRule="auto"/>
      </w:pPr>
      <w:r>
        <w:rPr>
          <w:b/>
        </w:rPr>
        <w:t xml:space="preserve">[8] </w:t>
      </w:r>
      <w:hyperlink r:id="rId226">
        <w:r>
          <w:rPr>
            <w:color w:val="1155CC"/>
            <w:u w:val="single"/>
          </w:rPr>
          <w:t>通过结合固体质子电子载体的氧化还原介导的水流系统电化学诱导直接空气捕获</w:t>
        </w:r>
      </w:hyperlink>
    </w:p>
    <w:p>
      <w:pPr>
        <w:spacing w:before="0" w:after="80"/>
      </w:pPr>
      <w:r>
        <w:rPr>
          <w:i/>
          <w:sz w:val="20"/>
        </w:rPr>
        <w:t>EN: Electrochemically induced direct air capture via a redox-mediated aqueous flow system incorporating a solid proton-electron carrier</w:t>
      </w:r>
    </w:p>
    <w:p>
      <w:pPr>
        <w:spacing w:before="0" w:after="120"/>
      </w:pPr>
      <w:r>
        <w:rPr>
          <w:b/>
        </w:rPr>
        <w:t xml:space="preserve">Source: </w:t>
      </w:r>
      <w:r>
        <w:t>Joule</w:t>
      </w:r>
      <w:r>
        <w:t xml:space="preserve">    </w:t>
      </w:r>
      <w:r>
        <w:rPr>
          <w:b/>
        </w:rPr>
        <w:t xml:space="preserve">Pub date: </w:t>
      </w:r>
      <w:r>
        <w:t>2026-07-01 00:00:00+00:00</w:t>
      </w:r>
      <w:r>
        <w:t xml:space="preserve">    </w:t>
      </w:r>
      <w:r>
        <w:rPr>
          <w:b/>
        </w:rPr>
        <w:t xml:space="preserve">DOI: </w:t>
      </w:r>
      <w:hyperlink r:id="rId227">
        <w:r>
          <w:rPr>
            <w:color w:val="1155CC"/>
            <w:u w:val="single"/>
          </w:rPr>
          <w:t>10.1016/j.joule.2026.102544</w:t>
        </w:r>
      </w:hyperlink>
    </w:p>
    <w:p>
      <w:pPr>
        <w:spacing w:before="0" w:after="120"/>
      </w:pPr>
      <w:r>
        <w:rPr>
          <w:b/>
        </w:rPr>
        <w:t xml:space="preserve">Notes: </w:t>
      </w:r>
      <w:r>
        <w:t>abstract_source=rss_cell</w:t>
      </w:r>
    </w:p>
    <w:p>
      <w:pPr>
        <w:spacing w:before="0" w:after="80" w:lineRule="auto" w:line="276"/>
      </w:pPr>
      <w:r>
        <w:rPr>
          <w:b/>
        </w:rPr>
        <w:t xml:space="preserve">摘要（ZH）: </w:t>
      </w:r>
      <w:r>
        <w:t>这项工作开发了一种氧化还原介导的水流系统，该系统利用固体质子电子载体 (SPEC) 生成用于直接空气捕获 (DAC) 的碱性溶液，同时保持 SPEC 在空间上与空气暴露隔离。该系统设计解决了氧化还原活性物质的氧敏感性问题，实现了库仑效率高达 99.9% 的高效 DAC 循环。其模块化架构为低能耗电化学 DAC 提供了一条可扩展且合理可调的途径。</w:t>
      </w:r>
    </w:p>
    <w:p>
      <w:pPr>
        <w:spacing w:before="0" w:after="200" w:lineRule="auto" w:line="276"/>
      </w:pPr>
      <w:r>
        <w:rPr>
          <w:b/>
        </w:rPr>
        <w:t xml:space="preserve">Abstract (EN): </w:t>
      </w:r>
      <w:r>
        <w:t>This work develops a redox-mediated aqueous flow system that utilizes a solid proton-electron carrier (SPEC) to generate an alkaline solution for direct air capture (DAC) while keeping the SPEC spatially isolated from air exposure. The system design addresses the oxygen sensitivity of redox actives, enabling efficient DAC cycling with 99.9% Coulombic efficiency. Its modular architecture provides a scalable and rationally tunable pathway toward low-energy electrochemical DAC.</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228">
        <w:r>
          <w:rPr>
            <w:color w:val="1155CC"/>
            <w:u w:val="single"/>
          </w:rPr>
          <w:t>用于塑料材料可追溯性的高度稳健的分子信息载体</w:t>
        </w:r>
      </w:hyperlink>
    </w:p>
    <w:p>
      <w:pPr>
        <w:spacing w:before="0" w:after="80"/>
      </w:pPr>
      <w:r>
        <w:rPr>
          <w:i/>
          <w:sz w:val="20"/>
        </w:rPr>
        <w:t>EN: Highly robust molecular information carriers for traceability of plastic materials</w:t>
      </w:r>
    </w:p>
    <w:p>
      <w:pPr>
        <w:spacing w:before="0" w:after="120"/>
      </w:pPr>
      <w:r>
        <w:rPr>
          <w:b/>
        </w:rPr>
        <w:t xml:space="preserve">Source: </w:t>
      </w:r>
      <w:r>
        <w:t>Physical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序列定义的低聚物提供了可编程分子架构，在数据存储、身份验证和防伪方面具有潜力。然而，它们在现实世界材料中的部署受到其规模小、热弹性有限以及需要专门分析方法的限制。在这里，我们介绍了一种基于以超低浓度掺入的非生物序列定义的寡酰胺的分子标记策略（</w:t>
      </w:r>
    </w:p>
    <w:p>
      <w:pPr>
        <w:spacing w:before="0" w:after="200" w:lineRule="auto" w:line="276"/>
      </w:pPr>
      <w:r>
        <w:rPr>
          <w:b/>
        </w:rPr>
        <w:t xml:space="preserve">Abstract (EN): </w:t>
      </w:r>
      <w:r>
        <w:t>Sequence-defined oligomers offer programmable molecular architectures with potential in data storage, authentication, and anticounterfeiting. However, their deployment in real-world materials has been constrained by their low scale, limited thermal resilience and the need for specialized analytical methods. Here we introduce a molecular tagging strategy based on abiotic sequence-defined oligoamides incorporated at ultralow concentrations (</w:t>
      </w:r>
    </w:p>
    <w:p>
      <w:pPr>
        <w:spacing w:before="120" w:after="120"/>
      </w:pPr>
      <w:r>
        <w:rPr>
          <w:sz w:val="18"/>
        </w:rPr>
        <w:t>——————————————————————————————————————————————————————————————————————</w:t>
      </w:r>
    </w:p>
    <w:p>
      <w:pPr>
        <w:spacing w:before="160" w:after="40" w:line="240" w:lineRule="auto"/>
      </w:pPr>
      <w:r>
        <w:rPr>
          <w:b/>
        </w:rPr>
        <w:t xml:space="preserve">[2] </w:t>
      </w:r>
      <w:hyperlink r:id="rId229">
        <w:r>
          <w:rPr>
            <w:color w:val="1155CC"/>
            <w:u w:val="single"/>
          </w:rPr>
          <w:t>在蒸汽辅助结晶合成的分级沸石上用高密度聚乙烯生产芳烃</w:t>
        </w:r>
      </w:hyperlink>
    </w:p>
    <w:p>
      <w:pPr>
        <w:spacing w:before="0" w:after="80"/>
      </w:pPr>
      <w:r>
        <w:rPr>
          <w:i/>
          <w:sz w:val="20"/>
        </w:rPr>
        <w:t>EN: Production of aromatics from high density polyethylene over a hierarchical zeolite synthesised from steam-assisted crystallisation</w:t>
      </w:r>
    </w:p>
    <w:p>
      <w:pPr>
        <w:spacing w:before="0" w:after="120"/>
      </w:pPr>
      <w:r>
        <w:rPr>
          <w:b/>
        </w:rPr>
        <w:t xml:space="preserve">Source: </w:t>
      </w:r>
      <w:r>
        <w:t>Physical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在不含贵金属的系统中将高密度聚乙烯废物转化为芳烃原料提出了重大挑战。在这里，我们报道了一种蒸汽辅助合成沸石（SA-HZSM-5），它可以促进高密度聚乙烯转化为芳烃，在260℃下同时实现高转化率和选择性（分别为85.4％和49.2％），在相同条件下优于贵金属基催化剂，例如Ru-HZSM-5。生产的芳烃主要由有价值的单环芳烃组成（约 85%）。蒸汽辅助合成方法赋予 SA-HZSM-5 特定的路易斯和布朗斯台德酸位分布。原位中子衍射和红外光谱与建模相结合，揭示了单烯烃中间体的双位点吸附机制，促进其转化为具有适当间隔双键的二烯，这一特征对于顺序环化和脱氢芳构化为芳香族化合物至关重要。这项研究强调了分级沸石材料在将塑料废物有效升级为化学原料方面的潜力。</w:t>
      </w:r>
    </w:p>
    <w:p>
      <w:pPr>
        <w:spacing w:before="0" w:after="200" w:lineRule="auto" w:line="276"/>
      </w:pPr>
      <w:r>
        <w:rPr>
          <w:b/>
        </w:rPr>
        <w:t xml:space="preserve">Abstract (EN): </w:t>
      </w:r>
      <w:r>
        <w:t>The conversion of high-density polyethylene wastes to aromatic feedstocks in noble-metal-free systems poses a significant challenge. Here, we report a steam-assisted synthesised zeolite (SA-HZSM-5) that can promote the conversion of high-density polyethylene to aromatics, achieving simultaneously high conversion and selectivity (85.4% and 49.2%, respectively) at 260 °C, outperforming noble metal-based catalysts, such as Ru-HZSM-5, under the same conditions. The produced aromatics predominantly consist of valuable monocyclic aromatics (circa 85%). The steam-assisted synthetic method endows a specific distribution of Lewis and Brønsted acid sites in SA-HZSM-5. In situ neutron diffraction and infrared spectroscopy, coupled with modelling, reveal a dual-site adsorption mechanism of mono-olefins intermediates, facilitating their transformation into dienes with suitable spaced double bonds, a feature that is crucial for the sequential cyclisation and dehydroaromatisation into aromatic compounds. This study underscores the potential of hierarchical zeolite materials for efficient upcycling of plastic wastes into chemical feedstocks.</w:t>
      </w:r>
    </w:p>
    <w:p>
      <w:pPr>
        <w:spacing w:before="120" w:after="120"/>
      </w:pPr>
      <w:r>
        <w:rPr>
          <w:sz w:val="18"/>
        </w:rPr>
        <w:t>——————————————————————————————————————————————————————————————————————</w:t>
      </w:r>
    </w:p>
    <w:p>
      <w:pPr>
        <w:spacing w:before="160" w:after="40" w:line="240" w:lineRule="auto"/>
      </w:pPr>
      <w:r>
        <w:rPr>
          <w:b/>
        </w:rPr>
        <w:t xml:space="preserve">[3] </w:t>
      </w:r>
      <w:hyperlink r:id="rId230">
        <w:r>
          <w:rPr>
            <w:color w:val="1155CC"/>
            <w:u w:val="single"/>
          </w:rPr>
          <w:t>将商品热固性聚氨酯升级改造为具有最终用户按需可编程特性和适应性应用的智能材料</w:t>
        </w:r>
      </w:hyperlink>
    </w:p>
    <w:p>
      <w:pPr>
        <w:spacing w:before="0" w:after="80"/>
      </w:pPr>
      <w:r>
        <w:rPr>
          <w:i/>
          <w:sz w:val="20"/>
        </w:rPr>
        <w:t>EN: Upcycling of Commodity Thermoset Polyurethane Towards Smart Materials with End‐User‐On‐Demand Programmable Properties and Adaptable Applications</w:t>
      </w:r>
    </w:p>
    <w:p>
      <w:pPr>
        <w:spacing w:before="0" w:after="120"/>
      </w:pPr>
      <w:r>
        <w:rPr>
          <w:b/>
        </w:rPr>
        <w:t xml:space="preserve">Source: </w:t>
      </w:r>
      <w:r>
        <w:t>Wiley: Advanced Materials: Table of Contents</w:t>
      </w:r>
      <w:r>
        <w:t xml:space="preserve">    </w:t>
      </w:r>
      <w:r>
        <w:rPr>
          <w:b/>
        </w:rPr>
        <w:t xml:space="preserve">Pub date: </w:t>
      </w:r>
      <w:r>
        <w:t>2026-06-29 11:12:02+00:00</w:t>
      </w:r>
      <w:r>
        <w:t xml:space="preserve">    </w:t>
      </w:r>
      <w:r>
        <w:rPr>
          <w:b/>
        </w:rPr>
        <w:t xml:space="preserve">DOI: </w:t>
      </w:r>
      <w:hyperlink r:id="rId231">
        <w:r>
          <w:rPr>
            <w:color w:val="1155CC"/>
            <w:u w:val="single"/>
          </w:rPr>
          <w:t>10.1002/adma.73873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氨酯对我们的生活是不可或缺的，但由于其体积庞大和热固性，其报废废物带来了严重的环境问题。基于当前回收策略的再生产品通常具有固定的机械性能，限制了对不同应用的适应性。在这里，我们提出了一种化学回收策略，可以将聚氨酯废物转化为具有最终用户按需可编程特性和适应性应用的智能材料。它是通过在聚氨酯中插入热触发网络拓扑转换开关来实现的。网络拓扑转换开关赋予再生材料按需机械可编程性，可以​​实现从5 MPa（软橡胶）到270 MPa（硬质/半硬质塑料）的54倍模量增强。更重要的是，热触发功能不仅使最终用户能够在后期制作中定制材料刚度，而且还可以从增强的便携性和多场景应用的功能适应性中受益。我们将废物回收成具有可编程特性和适应性应用的产品的策略不仅对环境友好，而且对最终用户极具吸引力，为未来塑料废物的再利用提供了一个有前途的方向。</w:t>
      </w:r>
    </w:p>
    <w:p>
      <w:pPr>
        <w:spacing w:before="0" w:after="200" w:lineRule="auto" w:line="276"/>
      </w:pPr>
      <w:r>
        <w:rPr>
          <w:b/>
        </w:rPr>
        <w:t xml:space="preserve">Abstract (EN): </w:t>
      </w:r>
      <w:r>
        <w:t>Polyurethane is indispensable to our life, but its end‐of‐life wastes bring severe environmental problems due to the bulky volume and thermoset nature. The regenerated products based on current recycling strategies normally have fixed mechanical properties, limiting adaptability to diverse applications. Here, we present a chemical recycling strategy that can transform polyurethane waste into smart materials with end‐user‐on‐demand programmable properties and adaptable applications. It is achieved through inserting a thermal‐triggered network topology transformation switch in the polyurethane. The network topology transformation switch endows the regenerated materials with on‐demand mechanical programmability, which could achieve a 54‐fold modulus enhancement from 5 MPa (soft rubber) to 270 MPa (rigid/semi‐rigid plastic). More importantly, the thermal‐triggered feature empowers end‐users not only to tailor material stiffness post‐production, but also to benefit from enhanced portability, functional adaptability for multi‐scenario applications. Our strategy of recycling waste into products with programmable properties and adaptable applications is not only environmentally friendly but also highly appealing to the end‐users, providing a promising direction in the future reuse of plastic waste.</w:t>
      </w:r>
    </w:p>
    <w:p>
      <w:pPr>
        <w:spacing w:before="120" w:after="120"/>
      </w:pPr>
      <w:r>
        <w:rPr>
          <w:sz w:val="18"/>
        </w:rPr>
        <w:t>——————————————————————————————————————————————————————————————————————</w:t>
      </w:r>
    </w:p>
    <w:p>
      <w:pPr>
        <w:spacing w:before="160" w:after="40" w:line="240" w:lineRule="auto"/>
      </w:pPr>
      <w:r>
        <w:rPr>
          <w:b/>
        </w:rPr>
        <w:t xml:space="preserve">[4] </w:t>
      </w:r>
      <w:hyperlink r:id="rId232">
        <w:r>
          <w:rPr>
            <w:color w:val="1155CC"/>
            <w:u w:val="single"/>
          </w:rPr>
          <w:t>金属有机框架门控生物催化能够引发熔融加工聚酯的解聚</w:t>
        </w:r>
      </w:hyperlink>
    </w:p>
    <w:p>
      <w:pPr>
        <w:spacing w:before="0" w:after="80"/>
      </w:pPr>
      <w:r>
        <w:rPr>
          <w:i/>
          <w:sz w:val="20"/>
        </w:rPr>
        <w:t>EN: Metal–Organic Framework‐Gated Biocatalysis Enables Triggered Depolymerization of Melt‐Processed Polyesters</w:t>
      </w:r>
    </w:p>
    <w:p>
      <w:pPr>
        <w:spacing w:before="0" w:after="120"/>
      </w:pPr>
      <w:r>
        <w:rPr>
          <w:b/>
        </w:rPr>
        <w:t xml:space="preserve">Source: </w:t>
      </w:r>
      <w:r>
        <w:t>Wiley: Angewandte Chemie International Edition: Table of Contents</w:t>
      </w:r>
      <w:r>
        <w:t xml:space="preserve">    </w:t>
      </w:r>
      <w:r>
        <w:rPr>
          <w:b/>
        </w:rPr>
        <w:t xml:space="preserve">Pub date: </w:t>
      </w:r>
      <w:r>
        <w:t>2026-06-30 07:47:17+00:00</w:t>
      </w:r>
      <w:r>
        <w:t xml:space="preserve">    </w:t>
      </w:r>
      <w:r>
        <w:rPr>
          <w:b/>
        </w:rPr>
        <w:t xml:space="preserve">DOI: </w:t>
      </w:r>
      <w:hyperlink r:id="rId233">
        <w:r>
          <w:rPr>
            <w:color w:val="1155CC"/>
            <w:u w:val="single"/>
          </w:rPr>
          <w:t>10.1002/anie.4831016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控制熔融加工聚合物中的生物催化活性是触发解聚的核心挑战，因为酶在熔融挤出温度下失活。在此，通过将酶封装在沸石咪唑酯骨架 8 (ZIF-8) 内实现金属有机骨架门控生物催化，在 180°C 下 2 分钟后保留 &gt; 85% 的活性，同时调节底物进入。 Enzyme@ZIF‐8 生物复合材料的生产规模扩大至每天约 50 公斤</w:t>
      </w:r>
      <w:r>
        <w:t xml:space="preserve"> </w:t>
      </w:r>
      <w:r>
        <w:t>-</w:t>
      </w:r>
      <w:r>
        <w:rPr>
          <w:vertAlign w:val="subscript"/>
        </w:rPr>
        <w:t>1</w:t>
      </w:r>
      <w:r>
        <w:t>通过双螺杆挤出以吨/天的规模复合为聚（ε-己内酯）（PCL）、聚（己二酸-对苯二甲酸丁二醇酯）（PBAT）和聚丙交酯（PLA）；颗粒与标准热成型兼容。酶@ZIF/塑料复合材料在加工和使用过程中保持了与纯聚合物相当的机械性能。在生命终结时，化学触发剂会溶解 ZIF-8 门，释放酶 Zn</w:t>
      </w:r>
      <w:r>
        <w:rPr>
          <w:vertAlign w:val="subscript"/>
        </w:rPr>
        <w:t>2</w:t>
      </w:r>
      <w:r>
        <w:t>+</w:t>
      </w:r>
      <w:r>
        <w:t xml:space="preserve"> </w:t>
      </w:r>
      <w:r>
        <w:t>和咪唑酯共同加速解聚。 PCL 和 PLA 在水中的降解增加了 13.3-62.8 倍，在工业堆肥下 PBAT 的降解增加了 1.7 倍，并且能够进行厌氧 PBAT 消化，而原始聚酯的转化率可以忽略不计。这种可熔融加工的平台建立了与工业聚合物制造兼容的门控、按需解聚。</w:t>
      </w:r>
    </w:p>
    <w:p>
      <w:pPr>
        <w:spacing w:before="0" w:after="200" w:lineRule="auto" w:line="276"/>
      </w:pPr>
      <w:r>
        <w:rPr>
          <w:b/>
        </w:rPr>
        <w:t xml:space="preserve">Abstract (EN): </w:t>
      </w:r>
      <w:r>
        <w:t>Controlling biocatalytic activity in melt‐processed polymers is a central challenge for triggered depolymerization, because enzymes deactivate at melt‐extrusion temperatures. Here, metal–organic framework‐gated biocatalysis, achieved by encapsulating enzymes within zeolitic imidazolate framework‐8 (ZIF‐8), preserves &amp;gt; 85% activity after 2 min at 180°C while regulating substrate access. Enzyme@ZIF‐8 biocomposite production scales to ∼50 kg day</w:t>
      </w:r>
      <w:r>
        <w:t xml:space="preserve"> </w:t>
      </w:r>
      <w:r>
        <w:t>−</w:t>
      </w:r>
      <w:r>
        <w:rPr>
          <w:vertAlign w:val="subscript"/>
        </w:rPr>
        <w:t>1</w:t>
      </w:r>
      <w:r>
        <w:t>and is compounded by twin‐screw extrusion into poly(ε‐caprolactone) (PCL), poly(butylene adipate‐co‐terephthalate) (PBAT), and polylactide (PLA) at a tonne‐per‐day scale; pellets are compatible with standard thermoforming. The enzyme@ZIF/plastic composites retain mechanical performance comparable to the neat polymers during processing and use. At the end‐of‐life, chemical triggers dissolve the ZIF‐8 gate, releasing the enzyme, Zn</w:t>
      </w:r>
      <w:r>
        <w:rPr>
          <w:vertAlign w:val="subscript"/>
        </w:rPr>
        <w:t>2</w:t>
      </w:r>
      <w:r>
        <w:t>+</w:t>
      </w:r>
      <w:r>
        <w:t xml:space="preserve"> </w:t>
      </w:r>
      <w:r>
        <w:t>and imidazolate to cooperatively accelerate depolymerization. Degradation increases 13.3–62.8‐fold for PCL and PLA in water and 1.7‐fold under industrial composting for PBAT and enables anaerobic PBAT digestion, whereas pristine polyesters show negligible conversion. This melt‐processable platform establishes gated, on‐demand depolymerization compatible with industrial polymer manufacturing.</w:t>
      </w:r>
    </w:p>
    <w:p>
      <w:pPr>
        <w:spacing w:before="120" w:after="120"/>
      </w:pPr>
      <w:r>
        <w:rPr>
          <w:sz w:val="18"/>
        </w:rPr>
        <w:t>——————————————————————————————————————————————————————————————————————</w:t>
      </w:r>
    </w:p>
    <w:p>
      <w:pPr>
        <w:spacing w:before="160" w:after="40" w:line="240" w:lineRule="auto"/>
      </w:pPr>
      <w:r>
        <w:rPr>
          <w:b/>
        </w:rPr>
        <w:t xml:space="preserve">[5] </w:t>
      </w:r>
      <w:hyperlink r:id="rId234">
        <w:r>
          <w:rPr>
            <w:color w:val="1155CC"/>
            <w:u w:val="single"/>
          </w:rPr>
          <w:t>用于立体选择性开环聚合的共价硼烷-硫脲有机催化剂</w:t>
        </w:r>
      </w:hyperlink>
    </w:p>
    <w:p>
      <w:pPr>
        <w:spacing w:before="0" w:after="80"/>
      </w:pPr>
      <w:r>
        <w:rPr>
          <w:i/>
          <w:sz w:val="20"/>
        </w:rPr>
        <w:t>EN: Covalent Borane‐Thiourea Organocatalyst for Stereoselective Ring‐Opening Polymerization</w:t>
      </w:r>
    </w:p>
    <w:p>
      <w:pPr>
        <w:spacing w:before="0" w:after="120"/>
      </w:pPr>
      <w:r>
        <w:rPr>
          <w:b/>
        </w:rPr>
        <w:t xml:space="preserve">Source: </w:t>
      </w:r>
      <w:r>
        <w:t>Wiley: Angewandte Chemie International Edition: Table of Contents</w:t>
      </w:r>
      <w:r>
        <w:t xml:space="preserve">    </w:t>
      </w:r>
      <w:r>
        <w:rPr>
          <w:b/>
        </w:rPr>
        <w:t xml:space="preserve">Pub date: </w:t>
      </w:r>
      <w:r>
        <w:t>2026-06-30 07:59:24+00:00</w:t>
      </w:r>
      <w:r>
        <w:t xml:space="preserve">    </w:t>
      </w:r>
      <w:r>
        <w:rPr>
          <w:b/>
        </w:rPr>
        <w:t xml:space="preserve">DOI: </w:t>
      </w:r>
      <w:hyperlink r:id="rId235">
        <w:r>
          <w:rPr>
            <w:color w:val="1155CC"/>
            <w:u w:val="single"/>
          </w:rPr>
          <w:t>10.1002/anie.4158531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开环聚合的化学技术已取得显着进步，以缓解不断升级的塑料废物危机，但仍然需要高选择性和高效的催化剂来合成可化学回收的高性能聚硫酯。然而，典型的开环催化剂面临着固有的立体化学挑战：由于α-氢酸度升高而不可避免地发生单体外消旋化，这严重阻碍了高立构结晶材料的合成并降低了所得塑料的性能。在这里，我们报告了用于对映体纯二硫内酯立体选择性开环聚合的共价硼烷-硫脲有机催化剂的设计和合成。通过引入强路易斯酸性 9-硼芴部分，这种无金属系统有效降低了硫醇盐链末端的碱性，同时实现硫脲介导的单体活化，从而确保快速聚合，同时最大限度地减少外消旋作用。因此，这种方法提供了具有近乎完美的全同立构规整度的聚硫酯（</w:t>
      </w:r>
      <w:r>
        <w:t xml:space="preserve"> </w:t>
      </w:r>
      <w:r>
        <w:t>磷</w:t>
      </w:r>
      <w:r>
        <w:t xml:space="preserve"> </w:t>
      </w:r>
      <w:r>
        <w:t>米</w:t>
      </w:r>
      <w:r>
        <w:t xml:space="preserve"> </w:t>
      </w:r>
      <w:r>
        <w:t>= 0.97) 和高分子量 (</w:t>
      </w:r>
      <w:r>
        <w:t xml:space="preserve"> </w:t>
      </w:r>
      <w:r>
        <w:t>中号</w:t>
      </w:r>
      <w:r>
        <w:t xml:space="preserve"> </w:t>
      </w:r>
      <w:r>
        <w:t>n</w:t>
      </w:r>
      <w:r>
        <w:t xml:space="preserve"> </w:t>
      </w:r>
      <w:r>
        <w:t>高达 58.1 kDa）。值得注意的是，所得的立构规整聚合物是坚韧的半结晶材料，其性能可与低密度聚乙烯等商业聚烯烃相媲美，同时表现出完全的化学可回收性，以实现可持续的从摇篮到摇篮的闭环。总的来说，这个共价</w:t>
      </w:r>
    </w:p>
    <w:p>
      <w:pPr>
        <w:spacing w:before="0" w:after="200" w:lineRule="auto" w:line="276"/>
      </w:pPr>
      <w:r>
        <w:rPr>
          <w:b/>
        </w:rPr>
        <w:t xml:space="preserve">Abstract (EN): </w:t>
      </w:r>
      <w:r>
        <w:t>While the chemistry of ring‐opening polymerization has advanced significantly to alleviate the escalating plastic waste crisis, highly selective and efficient catalysts to synthesize chemically recyclable, high‐performance polythioesters remain needed. Typical ring‐opening catalysts, however, face an intrinsic stereochemical challenge: unavoidable monomer racemization due to elevated α‐hydrogen acidity, which severely hampers the synthesis of highly tactic crystalline materials and diminishes the performance of the resulting plastics. Here, we report the design and synthesis of a covalent borane‐thiourea organocatalyst for the stereoselective ring‐opening polymerization of enantiopure dithiolactones. Through incorporation of a strongly Lewis acidic 9‐borafluorene moiety, this metal‐free system effectively reduces the basicity of propagating thiolate chain ends while enabling thiourea‐mediated monomer activation, thereby ensuring rapid polymerization with minimal racemization. Consequently, this approach affords polythioesters with near‐perfect isotacticity (</w:t>
      </w:r>
      <w:r>
        <w:t xml:space="preserve"> </w:t>
      </w:r>
      <w:r>
        <w:t>P</w:t>
      </w:r>
      <w:r>
        <w:t xml:space="preserve"> </w:t>
      </w:r>
      <w:r>
        <w:t>m</w:t>
      </w:r>
      <w:r>
        <w:t xml:space="preserve"> </w:t>
      </w:r>
      <w:r>
        <w:t>= 0.97) and high molecular weights (</w:t>
      </w:r>
      <w:r>
        <w:t xml:space="preserve"> </w:t>
      </w:r>
      <w:r>
        <w:t>M</w:t>
      </w:r>
      <w:r>
        <w:t xml:space="preserve"> </w:t>
      </w:r>
      <w:r>
        <w:t>n</w:t>
      </w:r>
      <w:r>
        <w:t xml:space="preserve"> </w:t>
      </w:r>
      <w:r>
        <w:t>up to 58.1 kDa). Notably, the resulting stereoregular polymers are tough, semicrystalline materials with properties comparable to commercial polyolefins like low‐density polyethylene, while exhibiting complete chemical recyclability to realize a sustainable cradle‐to‐cradle closed loop. Overall, this covalent borane‐thiourea organocatalyst solves the intrinsic stereochemical challenges in typical ring‐opening polymerizations, providing a powerful strategy to access chemically recyclable and tough thermoplastics from dithiolactones as promising next‐generation sustainable polymers.</w:t>
      </w:r>
    </w:p>
    <w:p>
      <w:pPr>
        <w:spacing w:before="120" w:after="120"/>
      </w:pPr>
      <w:r>
        <w:rPr>
          <w:sz w:val="18"/>
        </w:rPr>
        <w:t>——————————————————————————————————————————————————————————————————————</w:t>
      </w:r>
    </w:p>
    <w:p>
      <w:pPr>
        <w:spacing w:before="160" w:after="40" w:line="240" w:lineRule="auto"/>
      </w:pPr>
      <w:r>
        <w:rPr>
          <w:b/>
        </w:rPr>
        <w:t xml:space="preserve">[6] </w:t>
      </w:r>
      <w:hyperlink r:id="rId236">
        <w:r>
          <w:rPr>
            <w:color w:val="1155CC"/>
            <w:u w:val="single"/>
          </w:rPr>
          <w:t>有吸引力的 Ni…O 相互作用实现非交替乙烯-一氧化碳共聚</w:t>
        </w:r>
      </w:hyperlink>
    </w:p>
    <w:p>
      <w:pPr>
        <w:spacing w:before="0" w:after="80"/>
      </w:pPr>
      <w:r>
        <w:rPr>
          <w:i/>
          <w:sz w:val="20"/>
        </w:rPr>
        <w:t>EN: Attractive Ni…O Interactions Enable Non‐Alternating Ethylene‐Carbon Monoxide Copolymerization</w:t>
      </w:r>
    </w:p>
    <w:p>
      <w:pPr>
        <w:spacing w:before="0" w:after="120"/>
      </w:pPr>
      <w:r>
        <w:rPr>
          <w:b/>
        </w:rPr>
        <w:t xml:space="preserve">Source: </w:t>
      </w:r>
      <w:r>
        <w:t>Wiley: Angewandte Chemie International Edition: Table of Contents</w:t>
      </w:r>
      <w:r>
        <w:t xml:space="preserve">    </w:t>
      </w:r>
      <w:r>
        <w:rPr>
          <w:b/>
        </w:rPr>
        <w:t xml:space="preserve">Pub date: </w:t>
      </w:r>
      <w:r>
        <w:t>2026-06-30 09:44:33+00:00</w:t>
      </w:r>
      <w:r>
        <w:t xml:space="preserve">    </w:t>
      </w:r>
      <w:r>
        <w:rPr>
          <w:b/>
        </w:rPr>
        <w:t xml:space="preserve">DOI: </w:t>
      </w:r>
      <w:hyperlink r:id="rId237">
        <w:r>
          <w:rPr>
            <w:color w:val="1155CC"/>
            <w:u w:val="single"/>
          </w:rPr>
          <w:t>10.1002/anie.6761777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链内官能团可以减少聚乙烯废物对环境的影响并提高其可回收性。一个重大进展是实现了长期以来寻求的一氧化碳与乙烯以非交替方式的催化共聚，提供了链中具有低密度可光降解酮基的酮基聚乙烯材料。尽管取得了这一突破，但最先进的催化剂有限的一氧化碳耐受性是进一步开发更可持续的聚乙烯的障碍。在这里，我们展示了如何通过在新颖且最先进的中性镍催化剂图案中实现有吸引力的 Ni·O 相互作用来解决这些基本问题。纳入</w:t>
      </w:r>
      <w:r>
        <w:t xml:space="preserve"> </w:t>
      </w:r>
      <w:r>
        <w:t>磷</w:t>
      </w:r>
      <w:r>
        <w:t xml:space="preserve"> </w:t>
      </w:r>
      <w:r>
        <w:t>将 2,6-二苯氧基苯基部分结合到膦亚氨酸盐和膦酚盐配体框架中，提供了高活性和稳健的催化剂，可生成迄今为止无法获得的酮基聚乙烯。理论计算表明Ni···O相互作用降低</w:t>
      </w:r>
      <w:r>
        <w:t xml:space="preserve"> </w:t>
      </w:r>
      <w:r>
        <w:t>顺式/反式</w:t>
      </w:r>
      <w:r>
        <w:t xml:space="preserve"> </w:t>
      </w:r>
      <w:r>
        <w:t>协调乙烯的异构化障碍，从而驱动乙烯沿着所需的非交替途径插入。同时，空间约束提高了一氧化碳嵌入和还原消除的能垒，有效抑制了不期望的大量一氧化碳嵌入和催化剂失活。所揭示的概念使操作条件、生产率和链内官能团浓度成为不可能</w:t>
      </w:r>
    </w:p>
    <w:p>
      <w:pPr>
        <w:spacing w:before="0" w:after="200" w:lineRule="auto" w:line="276"/>
      </w:pPr>
      <w:r>
        <w:rPr>
          <w:b/>
        </w:rPr>
        <w:t xml:space="preserve">Abstract (EN): </w:t>
      </w:r>
      <w:r>
        <w:t>In‐chain functional groups can reduce the environmental impact of polyethylene waste and enhance its recyclability. A significant advance was the realization of the long‐sought catalytic copolymerization of carbon monoxide with ethylene in a non‐alternating manner, providing keto‐polyethylene materials with low densities of photodegradable keto groups in the chain. Despite this breakthrough, the state‐of‐the‐art catalysts’ limited carbon monoxide tolerance is a hurdle in further developing more sustainable polyethylenes. Here we show how these fundamental issues can be addressed by implementation of attractive Ni···O interactions in novel as well as state‐of‐the‐art neutral nickel catalyst motifs. Incorporation of</w:t>
      </w:r>
      <w:r>
        <w:t xml:space="preserve"> </w:t>
      </w:r>
      <w:r>
        <w:t>P</w:t>
      </w:r>
      <w:r>
        <w:t xml:space="preserve"> </w:t>
      </w:r>
      <w:r>
        <w:t>‐bound 2,6‐diphenoxyphenyl moieties into both phosphine‐imidate and phosphine‐phenolate ligand frameworks provides highly active and robust catalysts that generate keto‐polyethylenes not accessible to date. Theoretical calculations reveal that Ni···O interactions lower</w:t>
      </w:r>
      <w:r>
        <w:t xml:space="preserve"> </w:t>
      </w:r>
      <w:r>
        <w:t>cis/trans</w:t>
      </w:r>
      <w:r>
        <w:t xml:space="preserve"> </w:t>
      </w:r>
      <w:r>
        <w:t>isomerization barriers of coordinated ethylene, thereby driving ethylene insertion along the desired non‐alternating pathway. At the same time, steric constraint raises the energy barriers for carbon monoxide insertion and reductive elimination, effectively suppressing undesired extensive carbon monoxide insertion and catalyst deactivation. The concept uncovered enables operating conditions, productivities and in‐chain functional group concentrations not possible with existing catalysts, and provides perspectives for putting much needed environmentally benign polyolefins into practice.</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238">
        <w:r>
          <w:rPr>
            <w:color w:val="1155CC"/>
            <w:u w:val="single"/>
          </w:rPr>
          <w:t>扫描仪内的想法有助于静息状态的功能连接</w:t>
        </w:r>
      </w:hyperlink>
    </w:p>
    <w:p>
      <w:pPr>
        <w:spacing w:before="0" w:after="80"/>
      </w:pPr>
      <w:r>
        <w:rPr>
          <w:i/>
          <w:sz w:val="20"/>
        </w:rPr>
        <w:t>EN: In-scanner thoughts contribute to resting-state functional connectivity</w:t>
      </w:r>
    </w:p>
    <w:p>
      <w:pPr>
        <w:spacing w:before="0" w:after="120"/>
      </w:pPr>
      <w:r>
        <w:rPr>
          <w:b/>
        </w:rPr>
        <w:t xml:space="preserve">Source: </w:t>
      </w:r>
      <w:r>
        <w:t>Biological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静息态功能磁共振成像 (rsfMRI) 扫描（在没有实验控制刺激或任务要求的情况下获得）被广泛用于识别临床人群中功能连接 (FC) 的异常模式。 To minimize interpretational uncertainty, researchers routinely control for across-cohort disparities in age, gender, comorbidities, and head motion.然而，研究很少考虑内部体验的系统差异（即受试者在扫描过程中如何思考和感受）直接影响 FC 测量的可能性。 Here, using an rsfMRI dataset comprising 469 scans with retrospective experiential annotations, we show that summary descriptors of in-scanner experience are reproducible across visits and subject-specific, consistent with trait-like characteristics. We further show that widespread significant differences in FC are observed between scans that are associated with different reported experiential profiles, and that FC can predict specific experiential dimensions with performance comparable to that reported for demographic, cognitive, and clinical variables.总之，这些发现强调了在 rsfMRI 背景下解释 FC 时扫描仪内体验应发挥的关键作用。鉴于可用的经验测量是回顾性总结，这些结果说明了稳定的经验倾向，而不是持续的经验和并发的大脑活动之间潜在的时刻到时刻、状态依赖的关系。</w:t>
      </w:r>
    </w:p>
    <w:p>
      <w:pPr>
        <w:spacing w:before="0" w:after="200" w:lineRule="auto" w:line="276"/>
      </w:pPr>
      <w:r>
        <w:rPr>
          <w:b/>
        </w:rPr>
        <w:t xml:space="preserve">Abstract (EN): </w:t>
      </w:r>
      <w:r>
        <w:t>Resting-state fMRI (rsfMRI) scans—acquired in the absence of experimentally controlled stimuli or task demands—are widely used to identify aberrant patterns of functional connectivity (FC) in clinical populations. To minimize interpretational uncertainty, researchers routinely control for across-cohort disparities in age, gender, comorbidities, and head motion. Yet, studies rarely consider the possibility that systematic differences in inner experience (i.e., how subjects think and feel during the scan) directly affect FC measures. Here, using an rsfMRI dataset comprising 469 scans with retrospective experiential annotations, we show that summary descriptors of in-scanner experience are reproducible across visits and subject-specific, consistent with trait-like characteristics. We further show that widespread significant differences in FC are observed between scans that are associated with different reported experiential profiles, and that FC can predict specific experiential dimensions with performance comparable to that reported for demographic, cognitive, and clinical variables. Together, these findings highlight the key role that in-scanner experience should play when interpreting FC in the context of rsfMRI. Given that the available experiential measures are retrospective summaries, these results speak to stable experiential tendencies rather than potential moment-to-moment, state-dependent relationships between ongoing experience and concurrent brain activity.</w:t>
      </w:r>
    </w:p>
    <w:p>
      <w:pPr>
        <w:spacing w:before="120" w:after="120"/>
      </w:pPr>
      <w:r>
        <w:rPr>
          <w:sz w:val="18"/>
        </w:rPr>
        <w:t>——————————————————————————————————————————————————————————————————————</w:t>
      </w:r>
    </w:p>
    <w:p>
      <w:pPr>
        <w:spacing w:before="160" w:after="40" w:line="240" w:lineRule="auto"/>
      </w:pPr>
      <w:r>
        <w:rPr>
          <w:b/>
        </w:rPr>
        <w:t xml:space="preserve">[2] </w:t>
      </w:r>
      <w:hyperlink r:id="rId239">
        <w:r>
          <w:rPr>
            <w:color w:val="1155CC"/>
            <w:u w:val="single"/>
          </w:rPr>
          <w:t>企业感知到的政治不稳定是否会影响能源贫困？</w:t>
        </w:r>
      </w:hyperlink>
    </w:p>
    <w:p>
      <w:pPr>
        <w:spacing w:before="0" w:after="80"/>
      </w:pPr>
      <w:r>
        <w:rPr>
          <w:i/>
          <w:sz w:val="20"/>
        </w:rPr>
        <w:t>EN: Does firms’ perceived political instability affect energy poverty?</w:t>
      </w:r>
    </w:p>
    <w:p>
      <w:pPr>
        <w:spacing w:before="0" w:after="120"/>
      </w:pPr>
      <w:r>
        <w:rPr>
          <w:b/>
        </w:rPr>
        <w:t xml:space="preserve">Source: </w:t>
      </w:r>
      <w:r>
        <w:t>ScienceDirect Publication: Energy Policy</w:t>
      </w:r>
      <w:r>
        <w:t xml:space="preserve">    </w:t>
      </w:r>
      <w:r>
        <w:rPr>
          <w:b/>
        </w:rPr>
        <w:t xml:space="preserve">Pub date: </w:t>
      </w:r>
      <w:r>
        <w:t>2026-06-27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240">
        <w:r>
          <w:rPr>
            <w:color w:val="1155CC"/>
            <w:u w:val="single"/>
          </w:rPr>
          <w:t>新兴国家和发展中国家不确定性下的金融包容性以及获得清洁烹饪燃料和技术的机会</w:t>
        </w:r>
      </w:hyperlink>
    </w:p>
    <w:p>
      <w:pPr>
        <w:spacing w:before="0" w:after="80"/>
      </w:pPr>
      <w:r>
        <w:rPr>
          <w:i/>
          <w:sz w:val="20"/>
        </w:rPr>
        <w:t>EN: Financial inclusion and access to clean cooking fuels and technologies under uncertainty in emerging and developing countries</w:t>
      </w:r>
    </w:p>
    <w:p>
      <w:pPr>
        <w:spacing w:before="0" w:after="120"/>
      </w:pPr>
      <w:r>
        <w:rPr>
          <w:b/>
        </w:rPr>
        <w:t xml:space="preserve">Source: </w:t>
      </w:r>
      <w:r>
        <w:t>ScienceDirect Publication: Energy Policy</w:t>
      </w:r>
      <w:r>
        <w:t xml:space="preserve">    </w:t>
      </w:r>
      <w:r>
        <w:rPr>
          <w:b/>
        </w:rPr>
        <w:t xml:space="preserve">Pub date: </w:t>
      </w:r>
      <w:r>
        <w:t>2026-06-27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241">
        <w:r>
          <w:rPr>
            <w:color w:val="1155CC"/>
            <w:u w:val="single"/>
          </w:rPr>
          <w:t>永久冻土突然融化导致青藏高原异常碳释放</w:t>
        </w:r>
      </w:hyperlink>
    </w:p>
    <w:p>
      <w:pPr>
        <w:spacing w:before="0" w:after="80"/>
      </w:pPr>
      <w:r>
        <w:rPr>
          <w:i/>
          <w:sz w:val="20"/>
        </w:rPr>
        <w:t>EN: Abrupt permafrost thaw drives exceptional carbon release across the Tibetan Plateau</w:t>
      </w:r>
    </w:p>
    <w:p>
      <w:pPr>
        <w:spacing w:before="0" w:after="120"/>
      </w:pPr>
      <w:r>
        <w:rPr>
          <w:b/>
        </w:rPr>
        <w:t xml:space="preserve">Source: </w:t>
      </w:r>
      <w:r>
        <w:t>Earth and environmental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气候变暖正在加速永久冻土的突然融化，导致大量碳排放。倒退解冻塌陷（RTS）代表了永久冻土突然融化的最严重情况，但由于观测有限，其碳排放量仍然很难量化。在此，通过综合青藏高原受 RTS 影响区域的 4728 个 RTS 事件和 1862 个 CO2 和 CH4 现场测量，我们估计到 2100 年 RTS 易感性区域将比 2022 年扩大 17-19%，这主要是由降水变化驱动的。与对照区相比，塌陷区生态系统呼吸速率降低了14.4%，CH4释放速率增加了20.0%。 2016 年至 2022 年间，与 RTS 扩张相关的二氧化碳和甲烷排放总量增加了 1.1 倍。在中间共享社会经济路径情景下，到 2100 年，RTS 易受影响地区的碳排放量预计将激增 2.7 倍。这些发现强调，突然解冻加强了高海拔地区的永久冻土碳气候反馈，强调迫切需要有针对性的永久冻土保护策略来实现碳排放中立目标。</w:t>
      </w:r>
    </w:p>
    <w:p>
      <w:pPr>
        <w:spacing w:before="0" w:after="200" w:lineRule="auto" w:line="276"/>
      </w:pPr>
      <w:r>
        <w:rPr>
          <w:b/>
        </w:rPr>
        <w:t xml:space="preserve">Abstract (EN): </w:t>
      </w:r>
      <w:r>
        <w:t>Climate warming is accelerating abrupt permafrost thaw, driving substantial carbon emissions. Retrogressive thaw slumps (RTSs) represent the most severe instance of abrupt permafrost thaw, yet their carbon emissions remain poorly quantified due to limited observations. Here, by synthesizing 4728 RTS incidents and 1862 in-situ CO2 and CH4 measurements from RTS-affected zones across the Tibetan Plateau, we estimate that the area of RTS susceptibility will expand by 17–19% by 2100 relative to 2022, driven primarily by precipitation changes. Compared to control areas, the ecosystem respiration rate in collapsed areas decreases by 14.4%, while CH4 release rate increases by 20.0%. The combined CO2 and CH4 release associated with RTS expansion increased 1.1-fold between 2016 and 2022. Under the intermediate Shared Socioeconomic Pathways scenario, carbon emissions from RTS-susceptible areas are projected to surge 2.7-fold by 2100. These findings highlight that abrupt thaw strengthens permafrost carbon-climate feedback in high-altitude regions, underscoring the urgent need for targeted permafrost protection strategies to achieve carbon neutrality goals.</w:t>
      </w:r>
    </w:p>
    <w:p>
      <w:pPr>
        <w:spacing w:before="120" w:after="120"/>
      </w:pPr>
      <w:r>
        <w:rPr>
          <w:sz w:val="18"/>
        </w:rPr>
        <w:t>——————————————————————————————————————————————————————————————————————</w:t>
      </w:r>
    </w:p>
    <w:p>
      <w:pPr>
        <w:spacing w:before="160" w:after="40" w:line="240" w:lineRule="auto"/>
      </w:pPr>
      <w:r>
        <w:rPr>
          <w:b/>
        </w:rPr>
        <w:t xml:space="preserve">[5] </w:t>
      </w:r>
      <w:hyperlink r:id="rId242">
        <w:r>
          <w:rPr>
            <w:color w:val="1155CC"/>
            <w:u w:val="single"/>
          </w:rPr>
          <w:t>金属中心电子亲和力调节二维共轭金属有机框架中的多色电致变色</w:t>
        </w:r>
      </w:hyperlink>
    </w:p>
    <w:p>
      <w:pPr>
        <w:spacing w:before="0" w:after="80"/>
      </w:pPr>
      <w:r>
        <w:rPr>
          <w:i/>
          <w:sz w:val="20"/>
        </w:rPr>
        <w:t>EN: Metal-center electron affinity modulates multicolor electrochromism in 2D conjugated metal-organic frameworks</w:t>
      </w:r>
    </w:p>
    <w:p>
      <w:pPr>
        <w:spacing w:before="0" w:after="120"/>
      </w:pPr>
      <w:r>
        <w:rPr>
          <w:b/>
        </w:rPr>
        <w:t xml:space="preserve">Source: </w:t>
      </w:r>
      <w:r>
        <w:t>Physical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二维共轭金属有机框架是电致变色器件的新兴平台，但目前阶段受到颜色单调和不明确的着色机制的限制。虽然先前的研究强调以配体为中心的氧化还原过程，但金属中心的作用常常被忽视。在此，我们报告了一种对电致变色性能至关重要的金属中心电子亲和机制。我们首先采用无监督机器学习方法来筛选二价金属儿茶酚酸盐 (CAT) 系统，将 Zn、Ni 和 Cu 确定为最佳候选。所有三个系统都表现出从绿色到蓝色并最终到紫色的多色过渡；然而，Zn-和Ni-CAT-1的性能显着优于Cu-CAT-1，开关速度快了近三倍（4.8/5.4 vs. 14.4 s），循环稳定性提高了两个数量级（&gt; 20000 vs. 2+ (3d9) 具有有利于电子亲和力的氧化还原活性配置，因此需要额外的电子参与和比相对惰性的 Ni2+ (3d8) 和 Zn2+ 更高的能量需求(3d10)。这种价态变化还会引起更强的金属-氧耦合，最终导致氧化还原动力学变慢和结构降解。作为概念证明，我们证明了这些发现在设计多色电致变色设备的伪装、显示器和可穿戴设备中的适用性。</w:t>
      </w:r>
    </w:p>
    <w:p>
      <w:pPr>
        <w:spacing w:before="0" w:after="200" w:lineRule="auto" w:line="276"/>
      </w:pPr>
      <w:r>
        <w:rPr>
          <w:b/>
        </w:rPr>
        <w:t xml:space="preserve">Abstract (EN): </w:t>
      </w:r>
      <w:r>
        <w:t>Two-dimensional conjugated metal-organic frameworks are emerging platforms for electrochromic devices, yet the current stage is limited by monotonous color and an unclear coloration mechanism. While prior studies emphasize the ligand-centered redox process, the role of metal centers is often overlooked. Herein, we report a metal-center electron-affinity mechanism that is critical to electrochromic performance. We first employ an unsupervised machine learning method to screen divalent metal-catecholate (CAT) systems, identifying Zn, Ni, and Cu as optimal candidates. All three systems exhibit multicolor transitions from green to blue and eventually to purple; however, Zn- and Ni-CAT-1 significantly outperform Cu-CAT-1, with nearly threefold faster switching speeds (4.8/5.4 vs. 14.4 s) and cycling stability enhanced by two orders of magnitude ( &gt; 20000 vs. 2+ (3d9) possesses a redox-active configuration that favors electron affinity, thereby requiring additional electron participation and a higher energy demand than the relatively inert Ni2+ (3d8) and Zn2+ (3d10). This valence variation also induces stronger metal-oxygen coupling, ultimately leading to slower redox kinetics and structural degradation. As proof of concept, we demonstrate the applicability of these findings to camouflage, displays, and wearables for designing multicolor electrochromic devices.</w:t>
      </w:r>
    </w:p>
    <w:p>
      <w:pPr>
        <w:spacing w:before="120" w:after="120"/>
      </w:pPr>
      <w:r>
        <w:rPr>
          <w:sz w:val="18"/>
        </w:rPr>
        <w:t>——————————————————————————————————————————————————————————————————————</w:t>
      </w:r>
    </w:p>
    <w:p>
      <w:pPr>
        <w:spacing w:before="160" w:after="40" w:line="240" w:lineRule="auto"/>
      </w:pPr>
      <w:r>
        <w:rPr>
          <w:b/>
        </w:rPr>
        <w:t xml:space="preserve">[6] </w:t>
      </w:r>
      <w:hyperlink r:id="rId243">
        <w:r>
          <w:rPr>
            <w:color w:val="1155CC"/>
            <w:u w:val="single"/>
          </w:rPr>
          <w:t>利用双图表示增强变压器模型的分子特性预测</w:t>
        </w:r>
      </w:hyperlink>
    </w:p>
    <w:p>
      <w:pPr>
        <w:spacing w:before="0" w:after="80"/>
      </w:pPr>
      <w:r>
        <w:rPr>
          <w:i/>
          <w:sz w:val="20"/>
        </w:rPr>
        <w:t>EN: Enhancing molecular property prediction of transformer models with dual graph representation</w:t>
      </w:r>
    </w:p>
    <w:p>
      <w:pPr>
        <w:spacing w:before="0" w:after="120"/>
      </w:pPr>
      <w:r>
        <w:rPr>
          <w:b/>
        </w:rPr>
        <w:t xml:space="preserve">Source: </w:t>
      </w:r>
      <w:r>
        <w:t>Biological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准确预测分子特性对于推进化学、材料科学和药物发现至关重要。分子图上的机器学习关键取决于捕获分子拓扑和结构的表示。在这里，我们提出了双图变换器（DGT），这是一种自注意力架构，可以联合建模原子图和键图以实现全面的分子编码。 DGT 在其自注意力模块中融合了原子和键特征、图形拓扑和结构以及立体几何信息，以实现有效的分子表示。我们在一系列用于分子特性预测的数据集上对 DGT 进行了基准测试，结果表明它大大优于当前的技术水平。 DGT 展示了其双图表示、相对位置和结构编码以及立体几何信息合并的性能贡献，同时还提供了分子结构水平的可解释性。我们设想 DGT 通过提高分子特性的预测准确性和可解释性来推进分子机器学习。</w:t>
      </w:r>
    </w:p>
    <w:p>
      <w:pPr>
        <w:spacing w:before="0" w:after="200" w:lineRule="auto" w:line="276"/>
      </w:pPr>
      <w:r>
        <w:rPr>
          <w:b/>
        </w:rPr>
        <w:t xml:space="preserve">Abstract (EN): </w:t>
      </w:r>
      <w:r>
        <w:t>Accurate prediction of molecular properties is central to advancing chemistry, materials science, and drug discovery. Machine learning on molecular graphs depends critically on representations that capture the topology and structure of molecules. Here we propose the dual graph transformer (DGT), a self-attention architecture that jointly models atom and bond graphs to achieve comprehensive molecular encodings. DGT fuses atom and bond features, graph topology and structure, and stereogeometric information within its self-attention module for an effective molecular representation. We benchmark DGT across a range of datasets for molecular property prediction, showing that it considerably outperforms the current state of the art. DGT demonstrates performance contributions from its dual graph representation, relative positional and structural encodings, and stereogeometric information incorporation while also offering interpretability at the molecular structural level. We envision DGT advancing molecular machine learning by improving both the prediction accuracy and interpretability of molecular properties.</w:t>
      </w:r>
    </w:p>
    <w:p>
      <w:pPr>
        <w:spacing w:before="120" w:after="120"/>
      </w:pPr>
      <w:r>
        <w:rPr>
          <w:sz w:val="18"/>
        </w:rPr>
        <w:t>——————————————————————————————————————————————————————————————————————</w:t>
      </w:r>
    </w:p>
    <w:p>
      <w:pPr>
        <w:spacing w:before="160" w:after="40" w:line="240" w:lineRule="auto"/>
      </w:pPr>
      <w:r>
        <w:rPr>
          <w:b/>
        </w:rPr>
        <w:t xml:space="preserve">[7] </w:t>
      </w:r>
      <w:hyperlink r:id="rId244">
        <w:r>
          <w:rPr>
            <w:color w:val="1155CC"/>
            <w:u w:val="single"/>
          </w:rPr>
          <w:t>无法克隆量子系综</w:t>
        </w:r>
      </w:hyperlink>
    </w:p>
    <w:p>
      <w:pPr>
        <w:spacing w:before="0" w:after="80"/>
      </w:pPr>
      <w:r>
        <w:rPr>
          <w:i/>
          <w:sz w:val="20"/>
        </w:rPr>
        <w:t>EN: No cloning of quantum ensembles</w:t>
      </w:r>
    </w:p>
    <w:p>
      <w:pPr>
        <w:spacing w:before="0" w:after="120"/>
      </w:pPr>
      <w:r>
        <w:rPr>
          <w:b/>
        </w:rPr>
        <w:t xml:space="preserve">Source: </w:t>
      </w:r>
      <w:r>
        <w:t>Physical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现代量子物理学现在能够在单个轨迹水平上控制量子系统，开辟了连接量子信息论、量子多体物理学和量子热力学的新前沿，并揭示了新的非平衡现象，例如深度热化和测量引起的纠缠。然而，一个核心挑战仍然存在：它们的表征依赖于测量单个量子态的非线性特性，这项任务相当于量子系综的细粒度克隆。在这里，研究了控制量子系综克隆的基本定律。首先，从信息论的角度建立了任意系综的通用不可克隆定理，甚至假设系综纯化的多个副本。然后表明，对于有限时间演化生成的物理系综来说，这个障碍可以被意外地绕过。然而，事实证明，即使状态准备的完整电路描述已知，这些任务在计算上仍然难以处理。这与传统的不可克隆定理形成鲜明对比，传统的不可克隆定理依赖于状态未知。这些结果共同建立了量子力学的新基本原理，揭示了样本复杂性、计算复杂性和量子测量之间的内在权衡，并强调了探测测量引起的量子现象的特定问题策略的必要性。</w:t>
      </w:r>
    </w:p>
    <w:p>
      <w:pPr>
        <w:spacing w:before="0" w:after="200" w:lineRule="auto" w:line="276"/>
      </w:pPr>
      <w:r>
        <w:rPr>
          <w:b/>
        </w:rPr>
        <w:t xml:space="preserve">Abstract (EN): </w:t>
      </w:r>
      <w:r>
        <w:t>Modern quantum physics now enables control of quantum systems at the level of individual trajectories, opening a new frontier that links quantum information theory, quantum many-body physics, and quantum thermodynamics, and uncovers novel non-equilibrium phenomena such as deep thermalization and measurement-induced entanglement. However, a central challenge remains: their characterization relies on measuring nonlinear properties of individual quantum states, a task tantamount to fine-grained cloning of a quantum ensemble. Here, the fundamental laws governing the cloning of quantum ensembles are investigated. First, a general no-cloning theorem for arbitrary ensembles is established from an information-theoretic perspective, even assuming multiple copies of the ensemble’s purification. It is then shown that this barrier can be unexpectedly circumvented for physical ensembles generated by finite-time evolutions. Nevertheless, these tasks are proven to remain computationally intractable, even when the full circuit description of state preparation is known. This stands in sharp contrast to the conventional no-cloning theorem, which relies on the state being unknown. Together, these results establish new fundamental principles of quantum mechanics, reveal intrinsic trade-offs among sample complexity, computational complexity, and quantum measurements, and highlight the necessity of problem-specific strategies for probing measurement-induced quantum phenomena.</w:t>
      </w:r>
    </w:p>
    <w:p>
      <w:pPr>
        <w:spacing w:before="120" w:after="120"/>
      </w:pPr>
      <w:r>
        <w:rPr>
          <w:sz w:val="18"/>
        </w:rPr>
        <w:t>——————————————————————————————————————————————————————————————————————</w:t>
      </w:r>
    </w:p>
    <w:p>
      <w:pPr>
        <w:spacing w:before="160" w:after="40" w:line="240" w:lineRule="auto"/>
      </w:pPr>
      <w:r>
        <w:rPr>
          <w:b/>
        </w:rPr>
        <w:t xml:space="preserve">[8] </w:t>
      </w:r>
      <w:hyperlink r:id="rId245">
        <w:r>
          <w:rPr>
            <w:color w:val="1155CC"/>
            <w:u w:val="single"/>
          </w:rPr>
          <w:t>准一维吸引玻色气体中远程多体相干性的直接观察</w:t>
        </w:r>
      </w:hyperlink>
    </w:p>
    <w:p>
      <w:pPr>
        <w:spacing w:before="0" w:after="80"/>
      </w:pPr>
      <w:r>
        <w:rPr>
          <w:i/>
          <w:sz w:val="20"/>
        </w:rPr>
        <w:t>EN: Direct observation of long-range many-body coherence in quasi-one-dimensional attractive Bose gases</w:t>
      </w:r>
    </w:p>
    <w:p>
      <w:pPr>
        <w:spacing w:before="0" w:after="120"/>
      </w:pPr>
      <w:r>
        <w:rPr>
          <w:b/>
        </w:rPr>
        <w:t xml:space="preserve">Source: </w:t>
      </w:r>
      <w:r>
        <w:t>Physical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宏观相干性是量子多体系统表现出集体行为的一个重要特征，例子包括从原子玻色-爱因斯坦凝聚体、量子液体到超导体。然而，在动态不稳定的状态下探测多体相干性，对非平衡量子多体物理学提出了一个有趣且突出的挑战。在这里，我们通过实验研究了从排斥到调制不稳定吸引相互作用状态淬灭的简并准一维（1D）玻色气体的一阶和二阶相干性。通过原位密度和物质波干涉成像监测所产生的动力学，揭示了相位相干密度波的演化，与之前在有吸引力的气体中观察到的标志性孤子列明显不同。这是由噪声放大密度调制与非线性物理、等离子体、颗粒系统等领域广泛关注的色散冲击波之间的相互作用产生的。在较长的时间里，气体变得相扰乱，表现出有限的相关长度。有趣的是，在相互作用淬灭回到排斥状态之后，我们观察到准长程相干性可以自发地重新建立。这种迷人的重定相动力学可归因于准一维几何中密度缺陷的成核和湮灭。这些结果揭示了量子多体系统中的非平衡相位相干性，在这种情况下，可能会出现超出平均场效应且理论方法尚未完善。</w:t>
      </w:r>
    </w:p>
    <w:p>
      <w:pPr>
        <w:spacing w:before="0" w:after="200" w:lineRule="auto" w:line="276"/>
      </w:pPr>
      <w:r>
        <w:rPr>
          <w:b/>
        </w:rPr>
        <w:t xml:space="preserve">Abstract (EN): </w:t>
      </w:r>
      <w:r>
        <w:t>Macroscopic coherence is an important feature of quantum many-body systems exhibiting collective behaviors, with examples ranging from atomic Bose-Einstein condensates, and quantum liquids to superconductors. Probing many-body coherence in a dynamically unstable regime, however, presents an intriguing and outstanding challenge in out-of-equilibrium quantum many-body physics. Here, we experimentally study the first- and second-order coherence of degenerate quasi-one-dimensional (1D) Bose gases quenched from repulsive to modulationally unstable attractive interaction regimes. The resulting dynamics, monitored by in situ density and matter-wave interference imaging, reveals phase-coherent density wave evolutions, clearly distinguished from iconic soliton trains previously observed in attractive gases. This arises from the interplay between noise-amplified density modulations and dispersive shock waves of broad interest in nonlinear physics, plasmas, granular systems, and beyond. At longer times, the gases become phase-scrambled, exhibiting a finite correlation length. Interestingly, following an interaction quench back to the repulsive regime, we observe that quasi-long-range coherence can be spontaneously re-established. This captivating rephasing dynamics can be attributed to the nucleation and annihilation of density defects in the quasi-1D geometry. These results shed light on out-of-equilibrium phase coherence in quantum many-body systems in a regime where beyond mean-field effects may arise and theoretical approaches have not been well-established.</w:t>
      </w:r>
    </w:p>
    <w:p>
      <w:pPr>
        <w:spacing w:before="120" w:after="120"/>
      </w:pPr>
      <w:r>
        <w:rPr>
          <w:sz w:val="18"/>
        </w:rPr>
        <w:t>——————————————————————————————————————————————————————————————————————</w:t>
      </w:r>
    </w:p>
    <w:p>
      <w:pPr>
        <w:spacing w:before="160" w:after="40" w:line="240" w:lineRule="auto"/>
      </w:pPr>
      <w:r>
        <w:rPr>
          <w:b/>
        </w:rPr>
        <w:t xml:space="preserve">[9] </w:t>
      </w:r>
      <w:hyperlink r:id="rId246">
        <w:r>
          <w:rPr>
            <w:color w:val="1155CC"/>
            <w:u w:val="single"/>
          </w:rPr>
          <w:t>通过纳米晶体中的多电子激发，通过时空限制的热电子进行金属 3D 纳米打印</w:t>
        </w:r>
      </w:hyperlink>
    </w:p>
    <w:p>
      <w:pPr>
        <w:spacing w:before="0" w:after="80"/>
      </w:pPr>
      <w:r>
        <w:rPr>
          <w:i/>
          <w:sz w:val="20"/>
        </w:rPr>
        <w:t>EN: 3D nanoprinting of metals by spatiotemporally confined hot electrons via multiple-electron excitations in nanocrystals</w:t>
      </w:r>
    </w:p>
    <w:p>
      <w:pPr>
        <w:spacing w:before="0" w:after="120"/>
      </w:pPr>
      <w:r>
        <w:rPr>
          <w:b/>
        </w:rPr>
        <w:t xml:space="preserve">Source: </w:t>
      </w:r>
      <w:r>
        <w:t>Physical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几十年来，多光子聚合一直是利用聚合物材料制造复杂 3D 微米级和纳米级结构的关键技术。然而，将这种能力扩展到聚合物之外仍然是一个重大挑战。特别是，纳米级金属打印具有挑战性，因为固体金属的形成通常需要能量驱动的反应或热激活过程，而这些反应或热激活过程很难在空间上定位，从而导致特征分辨率受损。在这里，我们演示了具有深度和横向分辨率的金属 3D 纳米打印</w:t>
      </w:r>
    </w:p>
    <w:p>
      <w:pPr>
        <w:spacing w:before="0" w:after="200" w:lineRule="auto" w:line="276"/>
      </w:pPr>
      <w:r>
        <w:rPr>
          <w:b/>
        </w:rPr>
        <w:t xml:space="preserve">Abstract (EN): </w:t>
      </w:r>
      <w:r>
        <w:t>For decades, multi-photon polymerization has been a key technology for fabricating complex 3D micro- and nanoscale structures from polymer materials. However, extending this capability beyond polymers remains a significant challenge. In particular, nanoscale metal printing is challenging because solid metal formation typically requires energy-driven reactions or thermally activated processes that are difficult to spatially localize, resulting in compromised feature resolution. Here, we demonstrate 3D nanoprinting of metals with depth and lateral resolution</w:t>
      </w:r>
    </w:p>
    <w:p>
      <w:pPr>
        <w:spacing w:before="120" w:after="120"/>
      </w:pPr>
      <w:r>
        <w:rPr>
          <w:sz w:val="18"/>
        </w:rPr>
        <w:t>——————————————————————————————————————————————————————————————————————</w:t>
      </w:r>
    </w:p>
    <w:p>
      <w:pPr>
        <w:spacing w:before="160" w:after="40" w:line="240" w:lineRule="auto"/>
      </w:pPr>
      <w:r>
        <w:rPr>
          <w:b/>
        </w:rPr>
        <w:t xml:space="preserve">[10] </w:t>
      </w:r>
      <w:hyperlink r:id="rId247">
        <w:r>
          <w:rPr>
            <w:color w:val="1155CC"/>
            <w:u w:val="single"/>
          </w:rPr>
          <w:t>多向应变不敏感可拉伸射频电子器件</w:t>
        </w:r>
      </w:hyperlink>
    </w:p>
    <w:p>
      <w:pPr>
        <w:spacing w:before="0" w:after="80"/>
      </w:pPr>
      <w:r>
        <w:rPr>
          <w:i/>
          <w:sz w:val="20"/>
        </w:rPr>
        <w:t>EN: Multidirectional strain-insensitive stretchable RF electronics</w:t>
      </w:r>
    </w:p>
    <w:p>
      <w:pPr>
        <w:spacing w:before="0" w:after="120"/>
      </w:pPr>
      <w:r>
        <w:rPr>
          <w:b/>
        </w:rPr>
        <w:t xml:space="preserve">Source: </w:t>
      </w:r>
      <w:r>
        <w:t>Physical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可拉伸射频 (RF) 电子器件支撑着新兴可穿戴系统，用于以身体为中心的通信、持续健康监测和无线功率传输。然而，贴体可拉伸天线在自然运动过程中会经历多向平面内应变，从而导致谐振失谐并破坏无线链路的稳定性。现有的应变不敏感设计通常仅在规定的负载方向上有效，并且常常会损害辐射性能。在这里，我们为谐振平面天线建立了系统的定向机电磁分析框架，并引入了双端口多向应变不敏感天线（DP-MSiA），从而在不同面内方向上高达 45% 的应变下实现了应变不敏感谐振（2.45 GHz 时位移≤ 40 MHz）。基于 DP-MSiA 的稳定谐振和高实现增益，我们展示了在不同方向和大小的面内应变下使用整流器进行应变不敏感无线能量收集，以及在自然运动期间维持稳定的多模态健康数据传输的应变鲁棒体上通信系统。我们的工作为创建变形不敏感电子产品开辟了新的机会，并实现了可穿戴和嵌入式系统中的集成功能。</w:t>
      </w:r>
    </w:p>
    <w:p>
      <w:pPr>
        <w:spacing w:before="0" w:after="200" w:lineRule="auto" w:line="276"/>
      </w:pPr>
      <w:r>
        <w:rPr>
          <w:b/>
        </w:rPr>
        <w:t xml:space="preserve">Abstract (EN): </w:t>
      </w:r>
      <w:r>
        <w:t>Stretchable radio-frequency (RF) electronics underpin emerging wearable systems for body-centric communication, continuous health monitoring, and wireless power transfer. However, on-body stretchable antennas undergo multidirectional in-plane strain during natural motion, which detunes resonance and destabilizes wireless links. Existing strain-insensitive designs are typically effective only along prescribed loading directions and often compromise radiation performance. Here, we establish a systematic directional mechano-electromagnetic analysis framework for resonant planar antennas and introduce a dual-port multidirectional strain-insensitive antenna (DP-MSiA), whereby strain-insensitive resonance (shift ≤ 40 MHz at 2.45 GHz) is achieved under up to 45% strain across diverse in-plane directions. Based on the stable resonance and high realized gain of the DP-MSiA, we demonstrate strain-insensitive wireless energy harvesting with rectifiers under in-plane strain of varying direction and magnitude, as well as a strain-robust on-body communication system that sustains stable multimodal health-data transmission during natural motion. Our work opens new opportunities for creating deformation-insensitive electronics and enables integrated functionalities in wearable and embodied systems.</w:t>
      </w:r>
    </w:p>
    <w:p>
      <w:pPr>
        <w:spacing w:before="120" w:after="120"/>
      </w:pPr>
      <w:r>
        <w:rPr>
          <w:sz w:val="18"/>
        </w:rPr>
        <w:t>——————————————————————————————————————————————————————————————————————</w:t>
      </w:r>
    </w:p>
    <w:p>
      <w:pPr>
        <w:spacing w:before="160" w:after="40" w:line="240" w:lineRule="auto"/>
      </w:pPr>
      <w:r>
        <w:rPr>
          <w:b/>
        </w:rPr>
        <w:t xml:space="preserve">[11] </w:t>
      </w:r>
      <w:hyperlink r:id="rId248">
        <w:r>
          <w:rPr>
            <w:color w:val="1155CC"/>
            <w:u w:val="single"/>
          </w:rPr>
          <w:t>纳米结构中界面晶格应变调控的长距离镧系元素迁移</w:t>
        </w:r>
      </w:hyperlink>
    </w:p>
    <w:p>
      <w:pPr>
        <w:spacing w:before="0" w:after="80"/>
      </w:pPr>
      <w:r>
        <w:rPr>
          <w:i/>
          <w:sz w:val="20"/>
        </w:rPr>
        <w:t>EN: Long-distance lanthanide migration regulated by interfacial lattice strain in nanostructures</w:t>
      </w:r>
    </w:p>
    <w:p>
      <w:pPr>
        <w:spacing w:before="0" w:after="120"/>
      </w:pPr>
      <w:r>
        <w:rPr>
          <w:b/>
        </w:rPr>
        <w:t xml:space="preserve">Source: </w:t>
      </w:r>
      <w:r>
        <w:t>Physical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通过控制晶格失配进行界面应变工程对异质结构纳米材料的基础研究和技术应用具有重要意义。然而，定义其作用仍然具有挑战性，因为应变的类型、大小和空间分布很难在纳米尺度上调节。在这里，我们建立了一个可控模型系统，通过调节稀土成分和壳沉积速率来调节稀土掺杂核-壳-壳纳米晶格中的界面晶格应变。我们表明，晶格失配控制着镧系元素在异质界面上的迁移，从而决定了晶体生长和光学性质。在六方相NaErF4@NaYF4@NaLnF4纳米晶格中，当晶格失配超过5.1%时，镧系元素离子沿晶体方向从核迁移到壳中长达13 nm。机理研究表明，大的界面应变不仅通过触发壳前体在特定晶体表面上的优先沉积来促进各向异性壳生长，而且还促进了核-壳界面处镧系元素空位的形成。这些发现确定界面应变是异质结构纳米晶体中离子扩散和结构演化的关键调节剂，为构建具有空间受限活性离子的异质结构以应用于生物成像、纳米催化和量子信息提供了设计原理。</w:t>
      </w:r>
    </w:p>
    <w:p>
      <w:pPr>
        <w:spacing w:before="0" w:after="200" w:lineRule="auto" w:line="276"/>
      </w:pPr>
      <w:r>
        <w:rPr>
          <w:b/>
        </w:rPr>
        <w:t xml:space="preserve">Abstract (EN): </w:t>
      </w:r>
      <w:r>
        <w:t>Interfacial strain engineering by controlling lattice mismatch holds implications for both fundamental studies and technological applications of heterostructured nanomaterials. However, defining its role remains challenging because the type, magnitude, and spatial distribution of strain are difficult to regulate at the nanoscale. Here, we establish a controllable model system to regulate interfacial lattice strain in lanthanide-doped core-shell-shell nanolattices by tuning lanthanide composition and shell deposition rate. We show that lattice mismatch governs lanthanide migration across heterointerfaces, thereby dictating crystal growth and optical properties. In hexagonal-phase NaErF4@NaYF4@NaLnF4 nanolattices, when the lattice mismatch exceeds 5.1%, lanthanide ions migrate by up to 13 nm from the core into the shell along the crystallographic direction. Mechanistic studies reveal that large interfacial strain not only promotes anisotropic shell growth by triggering preferential deposition of shell precursors onto specific crystal surfaces but also facilitates the formation of lanthanide vacancies at the core-shell interface. These findings identify interfacial strain as a key regulator of ion diffusion and structural evolution in heterostructured nanocrystals, providing a design principle for constructing heterostructures with spatially confined active ions for applications in bioimaging, nanocatalysis, and quantum information.</w:t>
      </w:r>
    </w:p>
    <w:p>
      <w:pPr>
        <w:spacing w:before="120" w:after="120"/>
      </w:pPr>
      <w:r>
        <w:rPr>
          <w:sz w:val="18"/>
        </w:rPr>
        <w:t>——————————————————————————————————————————————————————————————————————</w:t>
      </w:r>
    </w:p>
    <w:p>
      <w:pPr>
        <w:spacing w:before="160" w:after="40" w:line="240" w:lineRule="auto"/>
      </w:pPr>
      <w:r>
        <w:rPr>
          <w:b/>
        </w:rPr>
        <w:t xml:space="preserve">[12] </w:t>
      </w:r>
      <w:hyperlink r:id="rId249">
        <w:r>
          <w:rPr>
            <w:color w:val="1155CC"/>
            <w:u w:val="single"/>
          </w:rPr>
          <w:t>用于天气自适应激光雷达功能的等离子体纳米复合螺旋</w:t>
        </w:r>
      </w:hyperlink>
    </w:p>
    <w:p>
      <w:pPr>
        <w:spacing w:before="0" w:after="80"/>
      </w:pPr>
      <w:r>
        <w:rPr>
          <w:i/>
          <w:sz w:val="20"/>
        </w:rPr>
        <w:t>EN: Plasmonic nanocomposite helices for weather-adaptive LiDAR function</w:t>
      </w:r>
    </w:p>
    <w:p>
      <w:pPr>
        <w:spacing w:before="0" w:after="120"/>
      </w:pPr>
      <w:r>
        <w:rPr>
          <w:b/>
        </w:rPr>
        <w:t xml:space="preserve">Source: </w:t>
      </w:r>
      <w:r>
        <w:t>Physical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可靠的光探测和测距 (LiDAR) 经常受到防护罩上多尺度水滴的挑战，因为宏观雨滴会引起折射和衍射，而微观雾凝结会散射光，使返回的信号失真。在这里，我们提出了一种利用等离子体纳米复合螺旋来清除多尺度液滴的仿生策略，该螺旋将被动光热防雾与压力稳定的疏水性拒水性结合起来。受企鹅羽毛小羽枝的启发，铜纳米颗粒通过掠射角共沉积嵌入三维二氧化硅纳米螺旋中。铜纳米颗粒提供可见光等离子体加热，同时在 905 nm 下保持 &gt;85% 的透射率，螺旋结构赋予分层粗糙度，产生 143° 接触角。在1个太阳光照下，表面温升9.3°C，6秒内消除凝结。在自然降雨期间（3-5 毫米/小时），LiDAR 通过等离子体纳米螺旋的传输率保持在 100%，而裸玻璃在 5 分钟后降至 70%。这些结果证明了天气自适应激光雷达操作可实现强大的自主传感。</w:t>
      </w:r>
    </w:p>
    <w:p>
      <w:pPr>
        <w:spacing w:before="0" w:after="200" w:lineRule="auto" w:line="276"/>
      </w:pPr>
      <w:r>
        <w:rPr>
          <w:b/>
        </w:rPr>
        <w:t xml:space="preserve">Abstract (EN): </w:t>
      </w:r>
      <w:r>
        <w:t>Reliable light detection and ranging (LiDAR) is often challenged by multiscale water droplets on protective covers, as macroscopic raindrops cause refraction and diffraction, while microscopic fog condensation scatters light, distorting returned signals. Here, we present a bioinspired strategy for multiscale droplet clearance using plasmonic nanocomposite helices that couple passive photothermal antifogging with pressure-stable hydrophobic water repellence. Inspired by penguin feather barbules, copper nanoparticles are embedded within three-dimensional silica nanohelices via glancing angle co-deposition. The copper nanoparticles provide visible-light plasmonic heating while preserving &gt;85% transmittance at 905 nm, and the helical architecture imparts hierarchical roughness, yielding a 143° contact angle. Under 1 sun illumination, the surface shows a 9.3°C temperature rise, clearing condensation within 6 seconds. During natural rainfall (3-5 mm/h), LiDAR transmission through the plasmonic nanohelices remains at 100%, whereas bare glass drops to 70% after 5 minutes. These results demonstrate weather-adaptive LiDAR operation for robust autonomous sensing.</w:t>
      </w:r>
    </w:p>
    <w:p>
      <w:pPr>
        <w:spacing w:before="120" w:after="120"/>
      </w:pPr>
      <w:r>
        <w:rPr>
          <w:sz w:val="18"/>
        </w:rPr>
        <w:t>——————————————————————————————————————————————————————————————————————</w:t>
      </w:r>
    </w:p>
    <w:p>
      <w:pPr>
        <w:spacing w:before="160" w:after="40" w:line="240" w:lineRule="auto"/>
      </w:pPr>
      <w:r>
        <w:rPr>
          <w:b/>
        </w:rPr>
        <w:t xml:space="preserve">[13] </w:t>
      </w:r>
      <w:hyperlink r:id="rId250">
        <w:r>
          <w:rPr>
            <w:color w:val="1155CC"/>
            <w:u w:val="single"/>
          </w:rPr>
          <w:t>利用吡啶鎓-炔薄膜作为光致变色、自由基生成和传感平台的界面点击聚合</w:t>
        </w:r>
      </w:hyperlink>
    </w:p>
    <w:p>
      <w:pPr>
        <w:spacing w:before="0" w:after="80"/>
      </w:pPr>
      <w:r>
        <w:rPr>
          <w:i/>
          <w:sz w:val="20"/>
        </w:rPr>
        <w:t>EN: Harnessing interfacial click polymerization using pyridinium-yne films as photochromic, radical generation and sensing platforms</w:t>
      </w:r>
    </w:p>
    <w:p>
      <w:pPr>
        <w:spacing w:before="0" w:after="120"/>
      </w:pPr>
      <w:r>
        <w:rPr>
          <w:b/>
        </w:rPr>
        <w:t xml:space="preserve">Source: </w:t>
      </w:r>
      <w:r>
        <w:t>Physical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方便有效地制造具有可调特性的独立式有机聚合物薄膜对于视觉传感应用来说是非常理想的。在此，我们首创了一种创新的界面吡啶鎓-炔点击聚合策略，可原位制造均匀、无缺陷的大面积薄膜。使用吡啶鎓盐（HDPP-BF4）作为受体，三羰基苯活化炔烃（TFB-3EK）作为供体，在空气-DMSO界面形成厚度从数十纳米到数百纳米精确可调的独立式HDPP-TFB-BF4薄膜（薄膜#1）。有趣的是，薄膜 #1 表现出有前景的光致变色性，在连续紫外线照射下显示出 100 nm 的低色移和 5 倍的荧光增强，这诱导了基于自由基的薄膜 #2 的形成。薄膜 #2 作为气态氨的便携式视觉传感平台，检测限低至 0.16 ppm，并成功应用于海鲜腐败的比色图。从策略上讲，薄膜 #2 与 TCNQ- 进行阴离子交换，产生荧光沉默薄膜 #3，通过开启荧光可视化，能够有效检测和消除活性氧。这项工作不仅为原位制造多功能聚合物薄膜提供了一种简单的方法，而且还建立了通过合理的分子设计和受控的聚合物可变性开发多响应可视化系统的通用策略。</w:t>
      </w:r>
    </w:p>
    <w:p>
      <w:pPr>
        <w:spacing w:before="0" w:after="200" w:lineRule="auto" w:line="276"/>
      </w:pPr>
      <w:r>
        <w:rPr>
          <w:b/>
        </w:rPr>
        <w:t xml:space="preserve">Abstract (EN): </w:t>
      </w:r>
      <w:r>
        <w:t>Convenient and effective fabrication of free-standing organic polymer films with tunable properties is highly desirable towards visual sensing applications. Herein, we pioneered an innovative interfacial pyridinium-yne click polymerization strategy to in situ fabricate uniform, defect-free, and large-area films. Using pyridinium salt (HDPP-BF4) as an acceptor and tricarbonylbenzene activated alkyne (TFB-3EK) as a donor, a free-standing HDPP-TFB-BF4 film (Film #1) with precisely tunable thickness from tens to hundreds of nanometers was formed at the air-DMSO interface. Interestingly, Film #1 exhibited promising photochromism, showing a 100 nm hypsochromic shift and a 5-fold fluorescence enhancement under continuous UV irradiation, which induced the formation of a radical-based Film #2. Film #2 served as a portable visual sensing platform for gaseous ammonia, achieving a detection limit as low as 0.16 ppm, and was successfully applied as a colorimetric chart for seafood spoilage. Strategically, an anion exchange of Film #2 with TCNQ- yielded a fluorescence-silent Film #3, which enabled efficient detection and elimination of reactive oxygen species through turn-on fluorescence visualization. This work not only provides a straightforward approach for in situ fabricating versatile polymer films but also establishes a generalizable strategy for developing multi-responsive visualization systems through the rational molecular design and controlled polymer variability.</w:t>
      </w:r>
    </w:p>
    <w:p>
      <w:pPr>
        <w:spacing w:before="120" w:after="120"/>
      </w:pPr>
      <w:r>
        <w:rPr>
          <w:sz w:val="18"/>
        </w:rPr>
        <w:t>——————————————————————————————————————————————————————————————————————</w:t>
      </w:r>
    </w:p>
    <w:p>
      <w:pPr>
        <w:spacing w:before="160" w:after="40" w:line="240" w:lineRule="auto"/>
      </w:pPr>
      <w:r>
        <w:rPr>
          <w:b/>
        </w:rPr>
        <w:t xml:space="preserve">[14] </w:t>
      </w:r>
      <w:hyperlink r:id="rId251">
        <w:r>
          <w:rPr>
            <w:color w:val="1155CC"/>
            <w:u w:val="single"/>
          </w:rPr>
          <w:t>实体主体的受大脑启发的空间智能</w:t>
        </w:r>
      </w:hyperlink>
    </w:p>
    <w:p>
      <w:pPr>
        <w:spacing w:before="0" w:after="80"/>
      </w:pPr>
      <w:r>
        <w:rPr>
          <w:i/>
          <w:sz w:val="20"/>
        </w:rPr>
        <w:t>EN: Brain-inspired spatial intelligence for embodied agents</w:t>
      </w:r>
    </w:p>
    <w:p>
      <w:pPr>
        <w:spacing w:before="0" w:after="120"/>
      </w:pPr>
      <w:r>
        <w:rPr>
          <w:b/>
        </w:rPr>
        <w:t xml:space="preserve">Source: </w:t>
      </w:r>
      <w:r>
        <w:t>Biological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空间认知通过结构化的内部空间模型实现自适应目标导向行为。强大的生物系统将空间知识整合为三种相互关联的形式：显着线索的地标、运动轨迹的路线知识以及类地图表示的调查知识。虽然多模态大语言模型（MLLM）的最新进展使得实体代理能够进行视觉语言推理，但这些努力缺乏结构化空间记忆，而是反应性操作，限制了它们在复杂现实环境中的泛化和适应性。在这里，我们提出了受大脑启发的空间认知导航（BSC-Nav），这是一个用于在实体代理中构建和利用结构化空间记忆的统一框架。 BSC-Nav 根据自我中心轨迹和上下文线索构建异中心认知地图，并动态检索与语义目标一致的空间知识。与强大的 MLLM 集成，BSC-Nav 在各种具体化导航任务中实现了最先进的功效和效率（例如，在实例级导航中将按路径长度加权的成功率从 17.6% 提高到 44.9%，在零样本长视野指令跟踪中将成功率从 42.7% 提高到 53.1%），同时还支持现实物理世界中的多种具体化行为。这些结果凸显了通向通用空间智能的可扩展路径。</w:t>
      </w:r>
    </w:p>
    <w:p>
      <w:pPr>
        <w:spacing w:before="0" w:after="200" w:lineRule="auto" w:line="276"/>
      </w:pPr>
      <w:r>
        <w:rPr>
          <w:b/>
        </w:rPr>
        <w:t xml:space="preserve">Abstract (EN): </w:t>
      </w:r>
      <w:r>
        <w:t>Spatial cognition enables adaptive goal-directed behavior through structured internal models of space. Robust biological systems consolidate spatial knowledge into three interconnected forms: landmarks for salient cues, route knowledge for movement trajectories, and survey knowledge for map-like representations. While recent advances in multi-modal large language models (MLLMs) have enabled visual-language reasoning in embodied agents, these efforts lack structured spatial memory and instead operate reactively, limiting their generalization and adaptability in complex real-world environments. Here we present Brain-inspired Spatial Cognition for Navigation (BSC-Nav), a unified framework for constructing and leveraging structured spatial memory in embodied agents. BSC-Nav builds allocentric cognitive maps from egocentric trajectories and contextual cues, and dynamically retrieves spatial knowledge aligned with semantic goals. Integrated with powerful MLLMs, BSC-Nav achieves state-of-the-art efficacy and efficiency across diverse embodied navigation tasks (e.g., improving success weighted by path length from 17.6% to 44.9% in instance-level navigation and from 42.7% to 53.1% in zero-shot long-horizon instruction-following), while also supporting versatile embodied behaviors in the real physical world. These results highlight a scalable path toward general-purpose spatial intelligence.</w:t>
      </w:r>
    </w:p>
    <w:p>
      <w:pPr>
        <w:spacing w:before="120" w:after="120"/>
      </w:pPr>
      <w:r>
        <w:rPr>
          <w:sz w:val="18"/>
        </w:rPr>
        <w:t>——————————————————————————————————————————————————————————————————————</w:t>
      </w:r>
    </w:p>
    <w:p>
      <w:pPr>
        <w:spacing w:before="160" w:after="40" w:line="240" w:lineRule="auto"/>
      </w:pPr>
      <w:r>
        <w:rPr>
          <w:b/>
        </w:rPr>
        <w:t xml:space="preserve">[15] </w:t>
      </w:r>
      <w:hyperlink r:id="rId252">
        <w:r>
          <w:rPr>
            <w:color w:val="1155CC"/>
            <w:u w:val="single"/>
          </w:rPr>
          <w:t>前工业化时期，火山喷发导致 AMOC 减弱</w:t>
        </w:r>
      </w:hyperlink>
    </w:p>
    <w:p>
      <w:pPr>
        <w:spacing w:before="0" w:after="80"/>
      </w:pPr>
      <w:r>
        <w:rPr>
          <w:i/>
          <w:sz w:val="20"/>
        </w:rPr>
        <w:t>EN: Volcanic eruptions caused weakening AMOC during the preindustrial past millennium</w:t>
      </w:r>
    </w:p>
    <w:p>
      <w:pPr>
        <w:spacing w:before="0" w:after="120"/>
      </w:pPr>
      <w:r>
        <w:rPr>
          <w:b/>
        </w:rPr>
        <w:t xml:space="preserve">Source: </w:t>
      </w:r>
      <w:r>
        <w:t>Earth and environmental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大西洋经向翻转环流（AMOC）是我们气候系统的关键组成部分。然而，AMOC在上个世纪的演变历史和驱动机制仍然不确定。在这里，将现有的古 AMOC 敏感指标与多种气候模型和古数据同化相结合，我们首次表明，从公元 850 年到 1850 年，AMOC 运输呈现出缓慢下降的趋势，进入小冰河时代，减少了约 -0.7±0.4Sv。" role="presentation"&gt;-0.7±0.4Sv.-0.7\,\pm 0.4{Sv}。（~4%）。减弱主要是由火山喷发引起的，在火山喷发后的最初十年迅速增强之后，在大西洋深处的储存冷却及其对北大西洋气候的反馈的驱动下，AMOC往往会表现出百年时间尺度的缓慢减弱。</w:t>
      </w:r>
    </w:p>
    <w:p>
      <w:pPr>
        <w:spacing w:before="0" w:after="200" w:lineRule="auto" w:line="276"/>
      </w:pPr>
      <w:r>
        <w:rPr>
          <w:b/>
        </w:rPr>
        <w:t xml:space="preserve">Abstract (EN): </w:t>
      </w:r>
      <w:r>
        <w:t>The Atlantic Meridional Overturning Circulation (AMOC) is a key component of our climate system. However, the evolution history and the forcing mechanism of AMOC in the last millennial has remained uncertain. Here, combining available paleo AMOC-sensitive indicators with multiple climate models and paleo Data Assimilation, we show, for the first time, that the AMOC transport exhibits a slow declining trend into the Little Ice Age, with a reduction of about &amp;#x2212;0.7&amp;#x00B1;0.4Sv." role="presentation"&gt;−0.7±0.4Sv.-0.7\,\pm 0.4{Sv}. (~4%) from AD 850-1850. This weakening is mainly caused by explosive volcanic eruptions. After a rapid strengthening in the initial decade following a volcanic eruption, the AMOC tends to show a slow weakening of centennial timescale, driven by stored cooling in the deep Atlantic and its feedback on North Atlantic climate.</w:t>
      </w:r>
    </w:p>
    <w:p>
      <w:pPr>
        <w:spacing w:before="120" w:after="120"/>
      </w:pPr>
      <w:r>
        <w:rPr>
          <w:sz w:val="18"/>
        </w:rPr>
        <w:t>——————————————————————————————————————————————————————————————————————</w:t>
      </w:r>
    </w:p>
    <w:p>
      <w:pPr>
        <w:spacing w:before="160" w:after="40" w:line="240" w:lineRule="auto"/>
      </w:pPr>
      <w:r>
        <w:rPr>
          <w:b/>
        </w:rPr>
        <w:t xml:space="preserve">[16] </w:t>
      </w:r>
      <w:hyperlink r:id="rId253">
        <w:r>
          <w:rPr>
            <w:color w:val="1155CC"/>
            <w:u w:val="single"/>
          </w:rPr>
          <w:t>动态糊状系统内增强的晶体熔融分离将硅质堆积物与火山口形成的喷发联系起来</w:t>
        </w:r>
      </w:hyperlink>
    </w:p>
    <w:p>
      <w:pPr>
        <w:spacing w:before="0" w:after="80"/>
      </w:pPr>
      <w:r>
        <w:rPr>
          <w:i/>
          <w:sz w:val="20"/>
        </w:rPr>
        <w:t>EN: Enhanced crystal-melt segregation within dynamic mush systems links silicic cumulates with caldera-forming eruptions</w:t>
      </w:r>
    </w:p>
    <w:p>
      <w:pPr>
        <w:spacing w:before="0" w:after="120"/>
      </w:pPr>
      <w:r>
        <w:rPr>
          <w:b/>
        </w:rPr>
        <w:t xml:space="preserve">Source: </w:t>
      </w:r>
      <w:r>
        <w:t>Earth and environmental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在糊状模型的支持下，贫晶体、高硅流纹质岩浆（≥ 75 SiO2 wt.%）的起源通常与浅层结晶糊状的熔体提取有关，但它们的互补堆积物在上地壳中仍然难以捉摸。在这里，我们提出了坎波阿雷格里-科鲁帕系统（巴西）的“动态糊状模型”，结合结构分析和热力学模型，表明高硅熔体通过上地壳分馏形成，留下花岗岩残留物并为形成火山口的喷发提供动力。正长岩和黑长岩代表它们的硅质-镁铁质堆积物，在提取大量填隙熔体（约 47-80 液体体积%）后，正长岩以相对较低的结晶度（约 16-33 体积体积%）形成。与静态模型（提取窗口~50-70 vol.%）相比，我们的结果表明动态储层中存在早期熔体偏析。通过向上熔体流对碱长石晶体进行尺寸选择性和水力分选；然后，聚集体以低结晶度形成，据称是通过联结作用，实现快速下沉，并通过补给重新包装。这一过程在相对较高的岩浆通量的推动下，有效地将晶体从熔体中分离出来，解释了上地壳中大量喷发岩浆的起源。我们的研究结果重新定义了糊状物的演化，同时强调了流动驱动的晶体分选（淘析）在破火山口形成系统中的作用。</w:t>
      </w:r>
    </w:p>
    <w:p>
      <w:pPr>
        <w:spacing w:before="0" w:after="200" w:lineRule="auto" w:line="276"/>
      </w:pPr>
      <w:r>
        <w:rPr>
          <w:b/>
        </w:rPr>
        <w:t xml:space="preserve">Abstract (EN): </w:t>
      </w:r>
      <w:r>
        <w:t>Supported by the mush model, the origin of crystal-poor, high-silica rhyolitic magmas (≥ 75 SiO₂ wt.%) is commonly linked to melt extraction in shallow, crystalline mushes, yet their complementary cumulates remain elusive in the upper crust. Here we present the “dynamic mush model” for the Campo Alegre-Corupá system (Brazil), combining textural analysis and thermodynamic modeling to show that high-silica melts formed through upper-crustal fractionation, leaving a granitic residue and feeding a caldera-forming eruption. Syenites and melasyenites represent their silicic-mafic cumulates, the syenites being formed at relatively low crystallinities (~16-33 of bulk vol.%) after extraction of large amounts of interstitial melts (~47-80 of liquid vol.%). In contrast to static models (extraction window ~50-70 vol.%), our results indicate early melt segregation in a dynamic reservoir. Alkali-feldspar crystals were size-selectively and hydraulically sorted by upward melt flow; aggregates were then formed at low crystallinities, supposedly via synneusis, enabling rapid sinking, and were repacked by recharge. This process, enhanced by relatively high magma fluxes, efficiently separated crystals from melt, explaining the origin of large-volume eruptible magmas in the upper crust. Our findings redefine mush evolution while underscoring the role of flow-driven crystal sorting (elutriation) in caldera-forming systems.</w:t>
      </w:r>
    </w:p>
    <w:p>
      <w:pPr>
        <w:spacing w:before="120" w:after="120"/>
      </w:pPr>
      <w:r>
        <w:rPr>
          <w:sz w:val="18"/>
        </w:rPr>
        <w:t>——————————————————————————————————————————————————————————————————————</w:t>
      </w:r>
    </w:p>
    <w:p>
      <w:pPr>
        <w:spacing w:before="160" w:after="40" w:line="240" w:lineRule="auto"/>
      </w:pPr>
      <w:r>
        <w:rPr>
          <w:b/>
        </w:rPr>
        <w:t xml:space="preserve">[17] </w:t>
      </w:r>
      <w:hyperlink r:id="rId254">
        <w:r>
          <w:rPr>
            <w:color w:val="1155CC"/>
            <w:u w:val="single"/>
          </w:rPr>
          <w:t>通过 Renyi 相关器和变分解码在量子计算机上探测混合态相位</w:t>
        </w:r>
      </w:hyperlink>
    </w:p>
    <w:p>
      <w:pPr>
        <w:spacing w:before="0" w:after="80"/>
      </w:pPr>
      <w:r>
        <w:rPr>
          <w:i/>
          <w:sz w:val="20"/>
        </w:rPr>
        <w:t>EN: Probing mixed-state phases on a quantum computer via Renyi correlators and variational decoding</w:t>
      </w:r>
    </w:p>
    <w:p>
      <w:pPr>
        <w:spacing w:before="0" w:after="120"/>
      </w:pPr>
      <w:r>
        <w:rPr>
          <w:b/>
        </w:rPr>
        <w:t xml:space="preserve">Source: </w:t>
      </w:r>
      <w:r>
        <w:t>Physical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最近的进展定义了开放量子系统中物质的非平凡相，例如受环境噪声影响的多体量子态。在这项工作中，我们使用两种测量方法在 Quantinuum H1 量子计算机上实验性地探测和表征混合态相位：Renyi 相关器和与相位相关的量子纠错码的编码性能。作为一个具体例子，我们探讨了不同相移噪声通道下临界横向场 Ising 模型的低能态。首先，我们采用阴影断层扫描来提取新提出的 Renyi 相关器，该相关器处于两个不同的阶段，通过应用两个不同的通道获得，观察一个通道的衰减较快，另一个通道的衰减较慢。其次，我们使用变分量子电路研究相关量子纠错码的解码保真度。我们发现深度 3 的浅电路足以区分上述两个混合状态阶段，最高可达 L = 24。通过实验，我们使用深度 1 解码器观察到系统尺寸最高为 L = 8 的这种区别。我们的工作是混合态相的量子模拟和表征的概念证明。</w:t>
      </w:r>
    </w:p>
    <w:p>
      <w:pPr>
        <w:spacing w:before="0" w:after="200" w:lineRule="auto" w:line="276"/>
      </w:pPr>
      <w:r>
        <w:rPr>
          <w:b/>
        </w:rPr>
        <w:t xml:space="preserve">Abstract (EN): </w:t>
      </w:r>
      <w:r>
        <w:t>Recent advances have defined nontrivial phases of matter in open quantum systems such as many-body quantum states subject to environmental noise. In this work, we experimentally probe and characterize mixed-state phases on Quantinuum’s H1 quantum computer using two measures: Renyi correlators and the coding performance of a quantum error-correcting code associated with the phase. As a concrete example, we probe the low-energy states of the critical transverse field Ising model under different dephasing noise channels. First, we employ shadow tomography to extract a newly proposed Renyi correlator in two distinct phases obtained by applying two different channels, observing one with faster decay and the other with slower decay. Second, we investigate the decoding fidelity of the associated quantum error-correcting code using a variational quantum circuit. We find that a shallow circuit of depth-3 is sufficient to distinguish the above-mentioned two mixed-state phases, up to L = 24. Experimentally, we observe this distinction for system sizes up to L = 8 with a depth-1 decoder. Our work is a proof of concept for the quantum simulation and characterization of mixed-state phases.</w:t>
      </w:r>
    </w:p>
    <w:p>
      <w:pPr>
        <w:spacing w:before="120" w:after="120"/>
      </w:pPr>
      <w:r>
        <w:rPr>
          <w:sz w:val="18"/>
        </w:rPr>
        <w:t>——————————————————————————————————————————————————————————————————————</w:t>
      </w:r>
    </w:p>
    <w:p>
      <w:pPr>
        <w:spacing w:before="160" w:after="40" w:line="240" w:lineRule="auto"/>
      </w:pPr>
      <w:r>
        <w:rPr>
          <w:b/>
        </w:rPr>
        <w:t xml:space="preserve">[18] </w:t>
      </w:r>
      <w:hyperlink r:id="rId255">
        <w:r>
          <w:rPr>
            <w:color w:val="1155CC"/>
            <w:u w:val="single"/>
          </w:rPr>
          <w:t>视上下丘脑精氨酸加压素神经元在雄性小鼠衰老相关水平衡和体温调节缺陷中的作用</w:t>
        </w:r>
      </w:hyperlink>
    </w:p>
    <w:p>
      <w:pPr>
        <w:spacing w:before="0" w:after="80"/>
      </w:pPr>
      <w:r>
        <w:rPr>
          <w:i/>
          <w:sz w:val="20"/>
        </w:rPr>
        <w:t>EN: The role of supraoptic hypothalamic arginine vasopressin neurons in aging-associated water balance and thermoregulatory deficits in male mice</w:t>
      </w:r>
    </w:p>
    <w:p>
      <w:pPr>
        <w:spacing w:before="0" w:after="120"/>
      </w:pPr>
      <w:r>
        <w:rPr>
          <w:b/>
        </w:rPr>
        <w:t xml:space="preserve">Source: </w:t>
      </w:r>
      <w:r>
        <w:t>Biological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衰老会破坏生理稳态，损害体温调节、新陈代谢和水平衡，但潜在的神经机制仍不清楚。在这里，我们确定下丘脑视上核（SON）中的精氨酸加压素（AVP）神经元是雄性小鼠这些变化的关键驱动因素。单核 RNA 测序显示，随着年龄的增长，Avp 是上调最多的神经元转录物之一。老化的 SONAVP 神经元表现出增大的尺寸和增强的兴奋性，这些特征与多动症一致。年轻小鼠 SONAVP 神经元的化学遗传学激活再现了与衰老相关的表型，包括体温过低、能量消耗减少和水摄入量抑制。相反，敲低老年小鼠 SON 中的 Avp 可恢复水平衡，部分改善体温调节和新陈代谢。药理学研究表明，神经内分泌 AVP 信号通过 V1A 和 V2 受体的不同贡献来介导这些缺陷。这些发现表明 SONAVP 神经元是生理衰老的中心调节器，也是年龄相关稳态功能障碍的潜在治疗靶点。</w:t>
      </w:r>
    </w:p>
    <w:p>
      <w:pPr>
        <w:spacing w:before="0" w:after="200" w:lineRule="auto" w:line="276"/>
      </w:pPr>
      <w:r>
        <w:rPr>
          <w:b/>
        </w:rPr>
        <w:t xml:space="preserve">Abstract (EN): </w:t>
      </w:r>
      <w:r>
        <w:t>Aging disrupts physiological homeostasis, impairing thermoregulation, metabolism, and water balance, but the underlying neural mechanisms remain unclear. Here, we identify arginine vasopressin (AVP) neurons in the supraoptic nucleus (SON) of the hypothalamus as a critical driver of these changes in male mice. Single-nucleus RNA-sequencing revealed Avp among the most upregulated neuronal transcripts with age. Aged SONAVP neurons displayed enlarged size and heightened excitability, features consistent with hyperactivity. Chemogenetic activation of SONAVP neurons in young mice reproduced aging-associated phenotypes including hypothermia, reduced energy expenditure, and suppressed water intake. Conversely, knockdown of Avp in the SON of aged mice restored water balance, partially improved thermoregulation and metabolism. Pharmacological studies demonstrated that neuroendocrine AVP signaling mediates these deficits through distinct contributions of V1A and V2 receptors. These findings identify SONAVP neurons as a central regulator of physiological aging and a potential therapeutic target for age-related homeostatic dysfunction.</w:t>
      </w:r>
    </w:p>
    <w:p>
      <w:pPr>
        <w:spacing w:before="120" w:after="120"/>
      </w:pPr>
      <w:r>
        <w:rPr>
          <w:sz w:val="18"/>
        </w:rPr>
        <w:t>——————————————————————————————————————————————————————————————————————</w:t>
      </w:r>
    </w:p>
    <w:p>
      <w:pPr>
        <w:spacing w:before="160" w:after="40" w:line="240" w:lineRule="auto"/>
      </w:pPr>
      <w:r>
        <w:rPr>
          <w:b/>
        </w:rPr>
        <w:t xml:space="preserve">[19] </w:t>
      </w:r>
      <w:hyperlink r:id="rId256">
        <w:r>
          <w:rPr>
            <w:color w:val="1155CC"/>
            <w:u w:val="single"/>
          </w:rPr>
          <w:t>主动学习引导的全基因组转录组分析无细胞系统优化揭示了渐进的调控层</w:t>
        </w:r>
      </w:hyperlink>
    </w:p>
    <w:p>
      <w:pPr>
        <w:spacing w:before="0" w:after="80"/>
      </w:pPr>
      <w:r>
        <w:rPr>
          <w:i/>
          <w:sz w:val="20"/>
        </w:rPr>
        <w:t>EN: Active-learning-guided optimization of cell-free systems for genome-wide transcriptomic profiling reveals progressive layers of regulation</w:t>
      </w:r>
    </w:p>
    <w:p>
      <w:pPr>
        <w:spacing w:before="0" w:after="120"/>
      </w:pPr>
      <w:r>
        <w:rPr>
          <w:b/>
        </w:rPr>
        <w:t xml:space="preserve">Source: </w:t>
      </w:r>
      <w:r>
        <w:t>Biological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了解基因组调控受到活细胞中分子相互作用的复杂性的限制。无细胞系统为研究基因表达提供了一个简化的平台，但低 mRNA 水平阻碍了 RNA 测序。为了解决这个问题，我们开发了一个主动学习工作流程，将贝叶斯优化与自动化高通量实验相结合，系统地探索超过 160 万种缓冲液成分，并通过实验测试了 653 种缓冲液成分。我们确定了“mRNA 优化”缓冲液（mRNA 产量增加 20 倍）和“权衡”缓冲液（在保持蛋白质产量的同时增加 13 倍）。使用直接 RNA 测序，我们分析了无细胞系统中的 T7 噬菌体转录组，并将其与纯化的 T7-RNAP 转录系统和噬菌体感染的细菌进行比较。这种比较分析揭示了不同的调控层：T7-RNAP 系统捕获启动子强度层次结构，但缺乏 RNA 降解，而无细胞系统提供体内表达的准确估计并揭示 mRNA 成熟位点。这项工作将无细胞转录组学建立为研究基因组调控的受控方法。</w:t>
      </w:r>
    </w:p>
    <w:p>
      <w:pPr>
        <w:spacing w:before="0" w:after="200" w:lineRule="auto" w:line="276"/>
      </w:pPr>
      <w:r>
        <w:rPr>
          <w:b/>
        </w:rPr>
        <w:t xml:space="preserve">Abstract (EN): </w:t>
      </w:r>
      <w:r>
        <w:t>Understanding genome regulation is limited by the complexity of molecular interactions in living cells. Cell-free systems provide a simplified platform for studying gene expression, but low mRNA levels have prevented RNA-seq. To address this, we develop an active learning workflow combining Bayesian optimization with automated high-throughput experimentation to systematically explore over 1.6 million buffer compositions, experimentally testing 653. We identify a “mRNA-optimized” buffer (20-fold increase in mRNA yield) and a “trade-off” buffer (13-fold increase while maintaining protein production). Using direct RNA-seq, we profile the T7 phage transcriptome in cell-free systems and compare it with a purified T7-RNAP transcription system and phage-infected bacteria. This comparative analysis reveals distinct regulatory layers: the T7-RNAP system captures promoter-strength hierarchies but lacks RNA degradation, whereas cell-free systems provide an accurate estimation of in vivo expression and reveal mRNA maturation sites. This work establishes cell-free transcriptomics as a controlled approach to study genome regulation.</w:t>
      </w:r>
    </w:p>
    <w:p>
      <w:pPr>
        <w:spacing w:before="120" w:after="120"/>
      </w:pPr>
      <w:r>
        <w:rPr>
          <w:sz w:val="18"/>
        </w:rPr>
        <w:t>——————————————————————————————————————————————————————————————————————</w:t>
      </w:r>
    </w:p>
    <w:p>
      <w:pPr>
        <w:spacing w:before="160" w:after="40" w:line="240" w:lineRule="auto"/>
      </w:pPr>
      <w:r>
        <w:rPr>
          <w:b/>
        </w:rPr>
        <w:t xml:space="preserve">[20] </w:t>
      </w:r>
      <w:hyperlink r:id="rId257">
        <w:r>
          <w:rPr>
            <w:color w:val="1155CC"/>
            <w:u w:val="single"/>
          </w:rPr>
          <w:t>复合蛋白在调节胞吐作用中的原始突触结合蛋白独立功能</w:t>
        </w:r>
      </w:hyperlink>
    </w:p>
    <w:p>
      <w:pPr>
        <w:spacing w:before="0" w:after="80"/>
      </w:pPr>
      <w:r>
        <w:rPr>
          <w:i/>
          <w:sz w:val="20"/>
        </w:rPr>
        <w:t>EN: A primordial synaptotagmin-independent function of complexin in regulated exocytosis</w:t>
      </w:r>
    </w:p>
    <w:p>
      <w:pPr>
        <w:spacing w:before="0" w:after="120"/>
      </w:pPr>
      <w:r>
        <w:rPr>
          <w:b/>
        </w:rPr>
        <w:t xml:space="preserve">Source: </w:t>
      </w:r>
      <w:r>
        <w:t>Biological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在 Ca2+ 触发的胞吐作用中，例如突触神经递质释放，囊泡融合受到突触结合蛋白 (Syt) 和复合蛋白 (Cpx) 的严格调节，它们共同夹紧部分组装的 SNARE 复合物，以防止过早融合。然而，Cpx 在进化上比 Syt 更古老，这表明它也可能独立于 Syt 调节胞吐作用。为了测试这种可能性，我们试图确定一个现有的胞吐途径，它需要 Cpx 但天然缺乏 Syt。在这里，我们发现了这样一个途径——脂肪细胞中激素触发的葡萄糖转运蛋白的胞吐作用。在此通路中，Cpx 专门充当正调节因子，加速胞吐作用的诱发阶段而不影响基底融合。从机制上讲，这种不依赖于 Syt 的活性依赖于 SNARE 结合的 Cpx 中央螺旋及其 C 端膜结合肽，后者重塑脂质双层以促进胞吐作用。我们的研究结果支持一个模型，其中 Cpx 最初进化为独立于 Ca2+ 加速胞吐作用，从而能够快速动员胞吐货物以响应环境提示。随着 Syt 后来的出现，Cpx 获得了一个额外的角色——与 Syt 协同作用来调节 Ca²⁺ 触发的胞吐作用。</w:t>
      </w:r>
    </w:p>
    <w:p>
      <w:pPr>
        <w:spacing w:before="0" w:after="200" w:lineRule="auto" w:line="276"/>
      </w:pPr>
      <w:r>
        <w:rPr>
          <w:b/>
        </w:rPr>
        <w:t xml:space="preserve">Abstract (EN): </w:t>
      </w:r>
      <w:r>
        <w:t>In Ca²⁺-triggered exocytosis such as synaptic neurotransmitter release, vesicle fusion is tightly regulated by synaptotagmin (Syt) and complexin (Cpx), which together clamp partially assembled SNARE complexes to prevent premature fusion. However, Cpx is evolutionarily more ancient than Syt, suggesting that it may also regulate exocytosis independently of Syt. To test this possibility, we sought to identify an extant exocytic pathway that requires Cpx but naturally lacks Syt. Here, we uncovered such a pathway – hormone-triggered exocytosis of glucose transporters in adipocytes. In this pathway, Cpx acts exclusively as a positive regulator, accelerating the evoked phase of exocytosis without affecting basal fusion. Mechanistically, this Syt-independent activity depends on the central helix of Cpx for SNARE binding and on its C-terminal membrane-binding peptide, which remodels the lipid bilayer to promote exocytosis. Our findings support a model in which Cpx originally evolved to accelerate exocytosis independently of Ca²⁺, enabling rapid mobilization of exocytic cargoes in response to environmental cues. With the later emergence of Syt, Cpx acquired an additional role – acting in concert with Syt to regulate Ca²⁺-triggered exocytosis.</w:t>
      </w:r>
    </w:p>
    <w:p>
      <w:pPr>
        <w:spacing w:before="120" w:after="120"/>
      </w:pPr>
      <w:r>
        <w:rPr>
          <w:sz w:val="18"/>
        </w:rPr>
        <w:t>——————————————————————————————————————————————————————————————————————</w:t>
      </w:r>
    </w:p>
    <w:p>
      <w:pPr>
        <w:spacing w:before="160" w:after="40" w:line="240" w:lineRule="auto"/>
      </w:pPr>
      <w:r>
        <w:rPr>
          <w:b/>
        </w:rPr>
        <w:t xml:space="preserve">[21] </w:t>
      </w:r>
      <w:hyperlink r:id="rId258">
        <w:r>
          <w:rPr>
            <w:color w:val="1155CC"/>
            <w:u w:val="single"/>
          </w:rPr>
          <w:t>肺癌多祖先和多性状多基因风险评分的开发和验证</w:t>
        </w:r>
      </w:hyperlink>
    </w:p>
    <w:p>
      <w:pPr>
        <w:spacing w:before="0" w:after="80"/>
      </w:pPr>
      <w:r>
        <w:rPr>
          <w:i/>
          <w:sz w:val="20"/>
        </w:rPr>
        <w:t>EN: Development and validation of a multiancestry and multitrait polygenic risk score for lung cancer</w:t>
      </w:r>
    </w:p>
    <w:p>
      <w:pPr>
        <w:spacing w:before="0" w:after="120"/>
      </w:pPr>
      <w:r>
        <w:rPr>
          <w:b/>
        </w:rPr>
        <w:t xml:space="preserve">Source: </w:t>
      </w:r>
      <w:r>
        <w:t>Biological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多基因风险评分 (PRS) 量化遗传易感性，但全基因组关联研究 (GWAS) 中的血统不平衡限制了非欧洲人群中单种族 PRS 的准确性。在这里，我们对肺癌（76,953 例病例和 1,886,372 例对照）进行了多祖先 GWAS 荟萃分析，确定了 87 个条件独立的全基因组显着位点，包括两个未报告的细胞带。我们使用 PRS 构建方法 PRS-CSx 来开发多祖先 PRS (PRSMA" role="presentation"&gt;PRSMA{{{{\rm{PRS}}}}}_{{{{\rm{MA}}}}})，其性能优于 32 个已发布的 PRS。为了增强预测能力，我们构建了多特征 PRS (PRSMT" role="presentation"&gt;PRSMT{{{{\rm{PRS}}}}}_{{{{\rm{MT}}}}}) 使用 CatBoost，集成了三个祖先的 32 个跨特征 PRS。结合 PRSMA" role="presentation"&gt;PRSMA{{{{\rm{PRS}}}}}_{{{{\rm{MA}}}}} 和 PRSMT" role="presentation"&gt;PRSMT{{{{\rm{PRS}}}}}_{{{{\rm{MT}}}}}，我们生成 PRSMAMT" role="presentation"&gt;PRSMAMT{{{{\rm{PRS}}}}}_{{{{\rm{MAMT}}}}} 并在独立队列（OncoArray、TRICL 和 All of Us）中进行验证。" role="presentation"&gt;PRSMAMT{{{{\rm{PRS}}}}}_{{{{\rm{MAMT}}}}} 在欧洲、亚洲和非洲人群中表现出卓越的辨别能力，可降低风险分层，并在英国生物银行中确定了大约 10% 的额外肺癌病例。 PLCOm2012 得分较高且遗传风险较高的个体的累积风险比得分较低且遗传风险较低的个体高 12.64 倍，支持精准预防策略。</w:t>
      </w:r>
    </w:p>
    <w:p>
      <w:pPr>
        <w:spacing w:before="0" w:after="200" w:lineRule="auto" w:line="276"/>
      </w:pPr>
      <w:r>
        <w:rPr>
          <w:b/>
        </w:rPr>
        <w:t xml:space="preserve">Abstract (EN): </w:t>
      </w:r>
      <w:r>
        <w:t>Polygenic risk scores (PRSs) quantify genetic susceptibilities, yet ancestry imbalance in genome-wide association studies (GWASs) limits the accuracy of monoracial PRSs in non-European populations. Here, we perform a multiancestry GWAS meta-analysis for lung cancer (76,953 cases and 1,886,372 controls), identifying 87 conditionally independent genome-wide significant loci, including two unreported cytobands. We use a PRS construction method, PRS-CSx, to develop a multiancestry PRS (PRSMA" role="presentation"&gt;PRSMA{{{{\rm{PRS}}}}}_{{{{\rm{MA}}}}}) which outperforms 32 published PRSs. To enhance predictive power, we construct a multitrait PRS (PRSMT" role="presentation"&gt;PRSMT{{{{\rm{PRS}}}}}_{{{{\rm{MT}}}}}) using CatBoost, integrating 32 cross-trait PRSs across three ancestries. Combining PRSMA" role="presentation"&gt;PRSMA{{{{\rm{PRS}}}}}_{{{{\rm{MA}}}}} and PRSMT" role="presentation"&gt;PRSMT{{{{\rm{PRS}}}}}_{{{{\rm{MT}}}}}, we generate PRSMAMT" role="presentation"&gt;PRSMAMT{{{{\rm{PRS}}}}}_{{{{\rm{MAMT}}}}} and validate it in independent cohorts (OncoArray, TRICL and All of Us). PRSMAMT" role="presentation"&gt;PRSMAMT{{{{\rm{PRS}}}}}_{{{{\rm{MAMT}}}}} demonstrates superior discriminability in European, Asian, and African populations, improves risk stratification, and identifies approximately 10% additional lung cancer cases in the UK Biobank. Individuals with elevated PLCOm2012 scores and high genetic risk exhibit a 12.64-fold higher cumulative risk than those with low scores and low genetic risk, supporting precision prevention strategies.</w:t>
      </w:r>
    </w:p>
    <w:p>
      <w:pPr>
        <w:spacing w:before="120" w:after="120"/>
      </w:pPr>
      <w:r>
        <w:rPr>
          <w:sz w:val="18"/>
        </w:rPr>
        <w:t>——————————————————————————————————————————————————————————————————————</w:t>
      </w:r>
    </w:p>
    <w:p>
      <w:pPr>
        <w:spacing w:before="160" w:after="40" w:line="240" w:lineRule="auto"/>
      </w:pPr>
      <w:r>
        <w:rPr>
          <w:b/>
        </w:rPr>
        <w:t xml:space="preserve">[22] </w:t>
      </w:r>
      <w:hyperlink r:id="rId259">
        <w:r>
          <w:rPr>
            <w:color w:val="1155CC"/>
            <w:u w:val="single"/>
          </w:rPr>
          <w:t>电催化原电池：自发化学合成和发电的范例</w:t>
        </w:r>
      </w:hyperlink>
    </w:p>
    <w:p>
      <w:pPr>
        <w:spacing w:before="0" w:after="80"/>
      </w:pPr>
      <w:r>
        <w:rPr>
          <w:i/>
          <w:sz w:val="20"/>
        </w:rPr>
        <w:t>EN: Electrocatalytic galvanic cells: A paradigm toward spontaneous chemicals synthesis and electricity generation</w:t>
      </w:r>
    </w:p>
    <w:p>
      <w:pPr>
        <w:spacing w:before="0" w:after="120"/>
      </w:pPr>
      <w:r>
        <w:rPr>
          <w:b/>
        </w:rPr>
        <w:t xml:space="preserve">Source: </w:t>
      </w:r>
      <w:r>
        <w:t>National Science Review Advance Access</w:t>
      </w:r>
      <w:r>
        <w:t xml:space="preserve">    </w:t>
      </w:r>
      <w:r>
        <w:rPr>
          <w:b/>
        </w:rPr>
        <w:t xml:space="preserve">Pub date: </w:t>
      </w:r>
      <w:r>
        <w:t>2026-06-27 00:00:00+00:00</w:t>
      </w:r>
      <w:r>
        <w:t xml:space="preserve">    </w:t>
      </w:r>
      <w:r>
        <w:rPr>
          <w:b/>
        </w:rPr>
        <w:t xml:space="preserve">DOI: </w:t>
      </w:r>
      <w:hyperlink r:id="rId260">
        <w:r>
          <w:rPr>
            <w:color w:val="1155CC"/>
            <w:u w:val="single"/>
          </w:rPr>
          <w:t>10.1093/nsr/nwag396</w:t>
        </w:r>
      </w:hyperlink>
    </w:p>
    <w:p>
      <w:pPr>
        <w:spacing w:before="0" w:after="120"/>
      </w:pPr>
      <w:r>
        <w:rPr>
          <w:b/>
        </w:rPr>
        <w:t xml:space="preserve">Notes: </w:t>
      </w:r>
      <w:r>
        <w:t>abstract_source=crossref</w:t>
      </w:r>
    </w:p>
    <w:p>
      <w:pPr>
        <w:spacing w:before="0" w:after="80" w:lineRule="auto" w:line="276"/>
      </w:pPr>
      <w:r>
        <w:rPr>
          <w:b/>
        </w:rPr>
        <w:t xml:space="preserve">摘要（ZH）: </w:t>
      </w:r>
      <w:r>
        <w:t>电催化原电池通过利用可再生和废弃原料自发联产化学品和电力，重新定义了电化学能量转换。</w:t>
      </w:r>
    </w:p>
    <w:p>
      <w:pPr>
        <w:spacing w:before="0" w:after="200" w:lineRule="auto" w:line="276"/>
      </w:pPr>
      <w:r>
        <w:rPr>
          <w:b/>
        </w:rPr>
        <w:t xml:space="preserve">Abstract (EN): </w:t>
      </w:r>
      <w:r>
        <w:t>Electrocatalytic galvanic cells redefine electrochemical energy conversion by enabling the spontaneous co-production of chemicals and electricity from renewable and waste feedstocks.</w:t>
      </w:r>
    </w:p>
    <w:p>
      <w:pPr>
        <w:spacing w:before="120" w:after="120"/>
      </w:pPr>
      <w:r>
        <w:rPr>
          <w:sz w:val="18"/>
        </w:rPr>
        <w:t>——————————————————————————————————————————————————————————————————————</w:t>
      </w:r>
    </w:p>
    <w:p>
      <w:pPr>
        <w:spacing w:before="160" w:after="40" w:line="240" w:lineRule="auto"/>
      </w:pPr>
      <w:r>
        <w:rPr>
          <w:b/>
        </w:rPr>
        <w:t xml:space="preserve">[23] </w:t>
      </w:r>
      <w:hyperlink r:id="rId261">
        <w:r>
          <w:rPr>
            <w:color w:val="1155CC"/>
            <w:u w:val="single"/>
          </w:rPr>
          <w:t>使用个性化噬菌体治疗慢性抑制假体关节感染中的多重耐药铜绿假单胞菌</w:t>
        </w:r>
      </w:hyperlink>
    </w:p>
    <w:p>
      <w:pPr>
        <w:spacing w:before="0" w:after="80"/>
      </w:pPr>
      <w:r>
        <w:rPr>
          <w:i/>
          <w:sz w:val="20"/>
        </w:rPr>
        <w:t>EN: Chronic suppression of a multidrug-resistant Pseudomonas aeruginosa in prosthetic joint infection using personalized bacteriophage treatment</w:t>
      </w:r>
    </w:p>
    <w:p>
      <w:pPr>
        <w:spacing w:before="0" w:after="120"/>
      </w:pPr>
      <w:r>
        <w:rPr>
          <w:b/>
        </w:rPr>
        <w:t xml:space="preserve">Source: </w:t>
      </w:r>
      <w:r>
        <w:t>Biological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如果没有抗生素选择，多重耐药 (MDR) 细菌感染是一种公共卫生紧急情况。与医疗植入物相关的感染就是一个例子。传统抗生素根除这些感染的能力有限，因为它们与耐抗生素生物膜有关。在此，我们报告使用噬菌体疗法来治疗多重耐药性、不可手术的铜绿假单胞菌假体周围关节感染，该感染经多种抗生素和手术干预均无效。在两年的时间里，仅采用间歇性噬菌体疗法而不使用抗生素进行治疗，导致感染的临床消退，但无法根除微生物。噬菌体疗法部分通过改变由疾病严重程度和症状定义的毒力以及破坏生物膜来建立这种控制。全基因组测序证明了治疗期间噬菌体的持续存在。这提供了初步证据，表明当不存在手术和抗生素选择时，噬菌体疗法可用于治疗抢救病例中的耐多药感染。</w:t>
      </w:r>
    </w:p>
    <w:p>
      <w:pPr>
        <w:spacing w:before="0" w:after="200" w:lineRule="auto" w:line="276"/>
      </w:pPr>
      <w:r>
        <w:rPr>
          <w:b/>
        </w:rPr>
        <w:t xml:space="preserve">Abstract (EN): </w:t>
      </w:r>
      <w:r>
        <w:t>Multidrug resistant (MDR) bacterial infections without antibiotic options are a public health emergency. Infections associated with medical implants serve as an example. Conventional antibiotics have limited ability to eradicate these infections as they are associated with antibiotic-tolerant biofilms. Here, we report the use of bacteriophage therapy for the treatment of a MDR, non-operable Pseudomonas aeruginosa periprosthetic joint infection that had failed multiple antibiotic and surgical interventions. Treatment with intermittent bacteriophage therapy alone without antibiotics over a 2 year time period resulted in clinical resolution of the infection, but not microbiological eradication. Bacteriophage therapy established this control, in part, by altering virulence as defined by disease severity and symptoms and disrupting biofilm. Whole genome sequencing demonstrated the continued presence of bacteriophage during treatment. This provides preliminary evidence that bacteriophage therapy can be used to treat MDR infections in salvage cases when surgical and antibiotic options do not exist.</w:t>
      </w:r>
    </w:p>
    <w:p>
      <w:pPr>
        <w:spacing w:before="120" w:after="120"/>
      </w:pPr>
      <w:r>
        <w:rPr>
          <w:sz w:val="18"/>
        </w:rPr>
        <w:t>——————————————————————————————————————————————————————————————————————</w:t>
      </w:r>
    </w:p>
    <w:p>
      <w:pPr>
        <w:spacing w:before="160" w:after="40" w:line="240" w:lineRule="auto"/>
      </w:pPr>
      <w:r>
        <w:rPr>
          <w:b/>
        </w:rPr>
        <w:t xml:space="preserve">[24] </w:t>
      </w:r>
      <w:hyperlink r:id="rId262">
        <w:r>
          <w:rPr>
            <w:color w:val="1155CC"/>
            <w:u w:val="single"/>
          </w:rPr>
          <w:t>脾巨噬细胞-B 细胞轴驱动脑型疟疾的系统性自身免疫样病理学</w:t>
        </w:r>
      </w:hyperlink>
    </w:p>
    <w:p>
      <w:pPr>
        <w:spacing w:before="0" w:after="80"/>
      </w:pPr>
      <w:r>
        <w:rPr>
          <w:i/>
          <w:sz w:val="20"/>
        </w:rPr>
        <w:t>EN: Splenic macrophage-B cell axis drives systemic autoimmune-like pathology in Cerebral Malaria</w:t>
      </w:r>
    </w:p>
    <w:p>
      <w:pPr>
        <w:spacing w:before="0" w:after="120"/>
      </w:pPr>
      <w:r>
        <w:rPr>
          <w:b/>
        </w:rPr>
        <w:t xml:space="preserve">Source: </w:t>
      </w:r>
      <w:r>
        <w:t>Biological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脑型疟疾（CM）是疟原虫感染的严重并发症，通常归因于寄生虫隔离和神经炎症。在这里，我们发现了一个以脾脏为中心的体液自身免疫回路，它驱动 CM 病理学。蛋白质组学分析确定 CD36 是一种主要的宿主来源抗原，富含受感染的红细胞 (iRBC)，可触发恶性疟疾患者产生抗 CD36 自身抗体。虽然有助于 iRBC 清除，但这些自身抗体也靶向其他表达 CD36 的细胞，从而导致血小板减少、内皮损伤和巨噬细胞活化，最终放大全身炎症。从机制上讲，疟原虫感染通过 CCL2-CCR2 轴将 Ly6c+Glut1hi 巨噬细胞招募到脾脏。这些巨噬细胞表现出升高的蛋白酶体活性并驱动 B 细胞激活和抗 CD36 抗体产生。针对 Ly6c+Glut1hi 巨噬细胞，我们开发了 Glutoborin，一种 GLUT1 定向的蛋白酶体抑制剂，可优先抑制其功能，减少自身抗体的产生，并减轻体内 CM 相关病理。总之，这些发现确立了以脾脏为中心的抗 CD36 自身免疫回路作为 CM 的关键驱动因素，并指定 Ly6c+Glut1hi 巨噬细胞作为治疗靶点。</w:t>
      </w:r>
    </w:p>
    <w:p>
      <w:pPr>
        <w:spacing w:before="0" w:after="200" w:lineRule="auto" w:line="276"/>
      </w:pPr>
      <w:r>
        <w:rPr>
          <w:b/>
        </w:rPr>
        <w:t xml:space="preserve">Abstract (EN): </w:t>
      </w:r>
      <w:r>
        <w:t>Cerebral malaria (CM) is a severe complication of Plasmodium infection, classically attributed to parasite sequestration and neuroinflammation. Here, we uncover a spleen-centered humoral autoimmune circuit that drives CM pathology. Proteomic analyses identify CD36 as a dominant host-derived antigen enriched in infected red blood cells (iRBCs), triggering anti-CD36 autoantibody production in patients with falciparum malaria. Although contributing to iRBCs clearance, these autoantibodies also target other CD36-expressing cells, thereby driving thrombocytopenia, endothelial injury, and macrophage activation, ultimately amplifying systemic inflammation. Mechanistically, Plasmodium infection recruits Ly6c+Glut1hi macrophages to the spleen through the CCL2-CCR2 axis. These macrophages exhibit elevated proteasome activity and drive B cell activation and anti-CD36 antibody production. Targeting Ly6c+Glut1hi macrophages, we develop Glutoborin, a GLUT1-directed proteasome inhibitor that preferentially suppresses their function, reduces autoantibody production, and alleviates CM-associated pathology in vivo. Together, these findings establish a spleen-centered anti-CD36 autoimmune circuit as a key driver of CM and nominate Ly6c+Glut1hi macrophages as therapeutic targets.</w:t>
      </w:r>
    </w:p>
    <w:p>
      <w:pPr>
        <w:spacing w:before="120" w:after="120"/>
      </w:pPr>
      <w:r>
        <w:rPr>
          <w:sz w:val="18"/>
        </w:rPr>
        <w:t>——————————————————————————————————————————————————————————————————————</w:t>
      </w:r>
    </w:p>
    <w:p>
      <w:pPr>
        <w:spacing w:before="160" w:after="40" w:line="240" w:lineRule="auto"/>
      </w:pPr>
      <w:r>
        <w:rPr>
          <w:b/>
        </w:rPr>
        <w:t xml:space="preserve">[25] </w:t>
      </w:r>
      <w:hyperlink r:id="rId263">
        <w:r>
          <w:rPr>
            <w:color w:val="1155CC"/>
            <w:u w:val="single"/>
          </w:rPr>
          <w:t>纹状体-多巴胺回路中的预测误差与信息增益相关</w:t>
        </w:r>
      </w:hyperlink>
    </w:p>
    <w:p>
      <w:pPr>
        <w:spacing w:before="0" w:after="80"/>
      </w:pPr>
      <w:r>
        <w:rPr>
          <w:i/>
          <w:sz w:val="20"/>
        </w:rPr>
        <w:t>EN: Prediction error correlates in the striosome-dopamine circuit emerge from information gain</w:t>
      </w:r>
    </w:p>
    <w:p>
      <w:pPr>
        <w:spacing w:before="0" w:after="120"/>
      </w:pPr>
      <w:r>
        <w:rPr>
          <w:b/>
        </w:rPr>
        <w:t xml:space="preserve">Source: </w:t>
      </w:r>
      <w:r>
        <w:t>Biological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纹状体中的纹状体区室控制皮质输入多巴胺神经元，然后反馈回纹状体和周围基质。这个循环是决策、学习和行动的基础。多巴胺信号与某些任务中的奖励预测错误（RPE）密切相关。然而，许多多巴胺能反应，例如对高成本、新奇、厌恶刺激和实时运动指导的反应，与 RPE 不一致。另外，信息论解释了多巴胺如何对不确定性做出反应，并在预期奖励发生时进行编码。在这里，我们证明了明显的 RPE 相关性在数学上是由行动政策 (policy-IG) 的信息增益产生的。 Policy-IG 量化新到达的信息改变选择的程度。在简单的奖励任务中，策略-IG 简化为经典的 RPE，但它也预测多巴胺对厌恶事件、非线性奖励缩放、新颖性、运动、状态评估和即时决策控制的反应。因此，RPE 可能是这种更通用功能的特例。我们表明，policy-IG 在数学上与一系列以信息为中心、贝叶斯、主动推理和随意关联模型相关，从而使这些模型能够正式将实验性 RPE 文献纳入其支持中。模拟受损的策略-IG 可以复制基底神经节疾病的特征，表明策略-IG 可作为治疗的目标。</w:t>
      </w:r>
    </w:p>
    <w:p>
      <w:pPr>
        <w:spacing w:before="0" w:after="200" w:lineRule="auto" w:line="276"/>
      </w:pPr>
      <w:r>
        <w:rPr>
          <w:b/>
        </w:rPr>
        <w:t xml:space="preserve">Abstract (EN): </w:t>
      </w:r>
      <w:r>
        <w:t>The striosome compartments in the striatum gate cortical inputs to dopamine neurons, which then feed back to the striosomes and surrounding matrix. This loop underlies decision-making, learning, and movement. Dopamine signals strongly correlate with reward prediction errors (RPEs) in certain tasks. However, many dopaminergic responses, such as to high costs, novelty, aversive stimuli, and real-time movement guidance, do not align with RPE. Separately, information theory explains how dopamine responds to uncertainty and encodes when rewards are expected to occur. Here, we show that apparent RPE correlations arise mathematically from the information gain of the policy of actions (policy-IG). Policy-IG quantifies how much newly arriving information changes choice. In simple reward tasks, policy-IG reduces to classic RPEs, but it also predicts dopamine responses to aversive events, nonlinear reward scaling, novelty, movement, state valuation, and moment-by-moment decision control. Thus, RPE could be a special case of this more general function. We show that policy-IG is mathematically related to a range of information-centric, Bayesian, active inference, and casual association models, allowing those models to formally incorporate the experimental RPE literature in their support. Simulating impaired policy-IG replicates basal ganglia disorder features, suggesting policy-IG as a target for therapies.</w:t>
      </w:r>
    </w:p>
    <w:p>
      <w:pPr>
        <w:spacing w:before="120" w:after="120"/>
      </w:pPr>
      <w:r>
        <w:rPr>
          <w:sz w:val="18"/>
        </w:rPr>
        <w:t>——————————————————————————————————————————————————————————————————————</w:t>
      </w:r>
    </w:p>
    <w:p>
      <w:pPr>
        <w:spacing w:before="160" w:after="40" w:line="240" w:lineRule="auto"/>
      </w:pPr>
      <w:r>
        <w:rPr>
          <w:b/>
        </w:rPr>
        <w:t xml:space="preserve">[26] </w:t>
      </w:r>
      <w:hyperlink r:id="rId264">
        <w:r>
          <w:rPr>
            <w:color w:val="1155CC"/>
            <w:u w:val="single"/>
          </w:rPr>
          <w:t>NAD+ 调节 MERTK 相关视网膜色素变性模型中的线粒体脆弱性</w:t>
        </w:r>
      </w:hyperlink>
    </w:p>
    <w:p>
      <w:pPr>
        <w:spacing w:before="0" w:after="80"/>
      </w:pPr>
      <w:r>
        <w:rPr>
          <w:i/>
          <w:sz w:val="20"/>
        </w:rPr>
        <w:t>EN: NAD+ modulates mitochondrial vulnerability in MERTK-associated models of retinitis pigmentosa</w:t>
      </w:r>
    </w:p>
    <w:p>
      <w:pPr>
        <w:spacing w:before="0" w:after="120"/>
      </w:pPr>
      <w:r>
        <w:rPr>
          <w:b/>
        </w:rPr>
        <w:t xml:space="preserve">Source: </w:t>
      </w:r>
      <w:r>
        <w:t>Biological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色素性视网膜炎（RP）是最常见的导致失明的遗传性视网膜退行性疾病。 RP 的特点是光感受器和视网膜色素上皮 (RPE) 逐渐丧失，导致视网膜变性。人们对引发 RP 和导致视网膜脆弱性的机制知之甚少，迫切需要预防和治疗 RP 的新策略。尽管线粒体功能障碍会引发许多神经退行性疾病，但线粒体功能障碍对 RP 的影响尚不清楚。单细胞 RNA 测序、透射电子显微镜和酶联免疫吸附测定显示 RP 大鼠的光感受器和 RPE 细胞具有异常线粒体。 RP 大鼠的烟酰胺腺嘌呤二核苷酸 (NAD+) 代谢下降，增加了对疾病相关损伤的脆弱性。在 Mer 酪氨酸激酶受体 (MERTK) 相关 RP 原代人 RPE 细胞模型中观察到类似的实验结果。视网膜电图、免疫荧光和眼底照相显示，口服 NAD+ 前体烟酰胺单核苷酸 (NMN) 可保护 RP 大鼠免受视网膜变性。单细胞 RNA 测序、siRNA 靶向和腺相关病毒应用表明，NMN 通过甘油醛-磷酸脱氢酶-线粒体途径产生治疗效果。这些结果表明线粒体异常可能是 RP 的驱动因素，而 NMN 对 RP 具有治疗作用。</w:t>
      </w:r>
    </w:p>
    <w:p>
      <w:pPr>
        <w:spacing w:before="0" w:after="200" w:lineRule="auto" w:line="276"/>
      </w:pPr>
      <w:r>
        <w:rPr>
          <w:b/>
        </w:rPr>
        <w:t xml:space="preserve">Abstract (EN): </w:t>
      </w:r>
      <w:r>
        <w:t>Retinitis pigmentosa (RP) is the most common inherited retinal degenerative disease leading to blindness. RP is characterized by progressive loss of photoreceptors and retinal pigment epithelium (RPE), leading to retinal degeneration. The mechanisms that initiate RP and drive retinal vulnerability are poorly understood, and new strategies for preventing and treating RP are urgently needed. Although mitochondrial dysfunction initiates many neurodegenerative diseases, the contribution of mitochondrial dysfunction to RP is unclear. Single-cell RNA sequencing, transmission electron microscopy, and enzyme-linked immunosorbent assays revealed that photoreceptor and RPE cells have abnormal mitochondria in rats with RP. Nicotinamide adenine dinucleotide (NAD+) metabolism decreased in rats with RP, increasing the vulnerability to disease-related insults. Similar experimental results were observed in a Mer tyrosine kinase receptor (MERTK)-associated RP primary human RPE cell model. Electroretinography, immunofluorescence, and fundus photography revealed that oral administration of the NAD+ precursor nicotinamide mononucleotide (NMN) protected rats with RP from retinal degeneration. Single-cell RNA sequencing, siRNA targeting, and Adeno-associated virus applications demonstrated that NMN elicits therapeutic effects via the glyceraldehyde-phosphate dehydrogenase-mitochondria pathway. These results indicate that mitochondrial abnormalities may be drivers of RP, and NMN elicits therapeutic effects on RP.</w:t>
      </w:r>
    </w:p>
    <w:p>
      <w:pPr>
        <w:spacing w:before="120" w:after="120"/>
      </w:pPr>
      <w:r>
        <w:rPr>
          <w:sz w:val="18"/>
        </w:rPr>
        <w:t>——————————————————————————————————————————————————————————————————————</w:t>
      </w:r>
    </w:p>
    <w:p>
      <w:pPr>
        <w:spacing w:before="160" w:after="40" w:line="240" w:lineRule="auto"/>
      </w:pPr>
      <w:r>
        <w:rPr>
          <w:b/>
        </w:rPr>
        <w:t xml:space="preserve">[27] </w:t>
      </w:r>
      <w:hyperlink r:id="rId265">
        <w:r>
          <w:rPr>
            <w:color w:val="1155CC"/>
            <w:u w:val="single"/>
          </w:rPr>
          <w:t>靶向巨噬细胞铁蛋白重链可减轻实验性急性呼吸窘迫综合征中的铁死亡和肺损伤</w:t>
        </w:r>
      </w:hyperlink>
    </w:p>
    <w:p>
      <w:pPr>
        <w:spacing w:before="0" w:after="80"/>
      </w:pPr>
      <w:r>
        <w:rPr>
          <w:i/>
          <w:sz w:val="20"/>
        </w:rPr>
        <w:t>EN: Targeting macrophage ferritin heavy chain mitigates ferroptosis and lung injury in experimental acute respiratory distress syndrome</w:t>
      </w:r>
    </w:p>
    <w:p>
      <w:pPr>
        <w:spacing w:before="0" w:after="120"/>
      </w:pPr>
      <w:r>
        <w:rPr>
          <w:b/>
        </w:rPr>
        <w:t xml:space="preserve">Source: </w:t>
      </w:r>
      <w:r>
        <w:t>Biological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铁蛋白由重链 (FTH1) 和轻链 (FTL) 亚基组成，是一种关键的细胞内铁储存蛋白，但细胞外铁蛋白 (ex-ferritin) 的起源和生物学作用仍知之甚少。 Elevated serum ex-ferritin is associated with worse outcomes in acute respiratory distress syndrome (ARDS).在这里，我们发现 FTH1 和 FTL 在 ARDS 个体的血清、血液单核细胞和肺泡巨噬细胞 (AM) 中显着富集，我们在小鼠高氧诱导的急性肺损伤模型中复制了这一发现。骨髓特异性 FTH1 (Fth1ΔLysM) 缺失可减轻肺损伤，并与巨噬细胞铁死亡减少、气道炎症反应改变、细胞外铁降低和 FTL-前铁蛋白的代偿性分泌相关。虽然高氧前的药物铁死亡抑制没有作用，但移植富含 FTL-ex-铁蛋白的支气管肺泡灌洗液可防止肺损伤。这些发现确定巨噬细胞铁蛋白代谢和前铁蛋白分泌是肺损伤的关键调节因子，为 ARDS 的病理学提供了新的见解。</w:t>
      </w:r>
    </w:p>
    <w:p>
      <w:pPr>
        <w:spacing w:before="0" w:after="200" w:lineRule="auto" w:line="276"/>
      </w:pPr>
      <w:r>
        <w:rPr>
          <w:b/>
        </w:rPr>
        <w:t xml:space="preserve">Abstract (EN): </w:t>
      </w:r>
      <w:r>
        <w:t>Ferritin, composed of heavy chain (FTH1) and light chain (FTL) subunits, is a key intracellular iron storage protein, but the origin and biological role of extracellular ferritin (ex-ferritin) remain poorly understood. Elevated serum ex-ferritin is associated with worse outcomes in acute respiratory distress syndrome (ARDS). Here, we show that both FTH1 and FTL are significantly enriched in the serum, blood monocytes, and alveolar macrophages (AM) of individuals with ARDS, findings we replicate in a murine hyperoxia-induced acute lung injury model. Myeloid-specific FTH1 (Fth1ΔLysM) deletion attenuates lung injury, and is associated with reduced macrophage ferroptosis, altered airway inflammatory responses, lower extracellular iron and compensatory secretion of FTL-ex-ferritin. While pharmacologic ferroptosis inhibition prior to hyperoxia had no effect, transplantation of FTL-ex-ferritin-enriched bronchoalveolar lavage fluid conferred protection from lung injury. These findings identify macrophage ferritin metabolism and ex-ferritin secretion as critical regulators of lung injury, offering new insights into the pathobiology of ARDS.</w:t>
      </w:r>
    </w:p>
    <w:p>
      <w:pPr>
        <w:spacing w:before="120" w:after="120"/>
      </w:pPr>
      <w:r>
        <w:rPr>
          <w:sz w:val="18"/>
        </w:rPr>
        <w:t>——————————————————————————————————————————————————————————————————————</w:t>
      </w:r>
    </w:p>
    <w:p>
      <w:pPr>
        <w:spacing w:before="160" w:after="40" w:line="240" w:lineRule="auto"/>
      </w:pPr>
      <w:r>
        <w:rPr>
          <w:b/>
        </w:rPr>
        <w:t xml:space="preserve">[28] </w:t>
      </w:r>
      <w:hyperlink r:id="rId266">
        <w:r>
          <w:rPr>
            <w:color w:val="1155CC"/>
            <w:u w:val="single"/>
          </w:rPr>
          <w:t>双特异性抗体工程细胞外囊泡重定向 T 细胞以预防术后硬膜外纤维化</w:t>
        </w:r>
      </w:hyperlink>
    </w:p>
    <w:p>
      <w:pPr>
        <w:spacing w:before="0" w:after="80"/>
      </w:pPr>
      <w:r>
        <w:rPr>
          <w:i/>
          <w:sz w:val="20"/>
        </w:rPr>
        <w:t>EN: Bispecific antibody engineered extracellular vesicles redirect T cells to prevent postoperative epidural fibrosis</w:t>
      </w:r>
    </w:p>
    <w:p>
      <w:pPr>
        <w:spacing w:before="0" w:after="120"/>
      </w:pPr>
      <w:r>
        <w:rPr>
          <w:b/>
        </w:rPr>
        <w:t xml:space="preserve">Source: </w:t>
      </w:r>
      <w:r>
        <w:t>Biological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硬膜外纤维化 (EF) 是一种常见且令人衰弱的并发症，会损害脊柱手术后的恢复，但缺乏有效的靶向治疗。在这里，我们观察椎板切除术后患者手术部位 FAP⁺ 成纤维细胞的富集。为了在治疗上针对这一亚群，我们开发了双特异性抗体修饰的细胞外囊泡（BsAb EV），它可以重定向内源性 T 细胞以原位消除 FAP⁺ 成纤维细胞。在临床前模型中，BsAb EV 选择性消除致病性成纤维细胞，减少纤维化胶原积累，并防止术后硬膜外纤维化的发展，在测试条件下未检测到全身毒性。单细胞 RNA 测序表明，FAP⁺ 成纤维细胞代表了与 α-SMA⁺ 肌成纤维细胞在转录上不同的子集，其特征是细胞外基质重塑和 TGF-β 生成增强。总之，这些发现强调了 EF 发病机制中的一个关键基质子集，并将 BsAb EV 定位为一种有前途的免疫治疗策略，用于靶向纤维化和组织重塑疾病中的致病性基质细胞。</w:t>
      </w:r>
    </w:p>
    <w:p>
      <w:pPr>
        <w:spacing w:before="0" w:after="200" w:lineRule="auto" w:line="276"/>
      </w:pPr>
      <w:r>
        <w:rPr>
          <w:b/>
        </w:rPr>
        <w:t xml:space="preserve">Abstract (EN): </w:t>
      </w:r>
      <w:r>
        <w:t>Epidural fibrosis (EF) is a frequent and debilitating complication that impairs recovery following spinal surgery, yet effective targeted therapies are lacking. Here we observe enrichment of FAP⁺ fibroblasts at surgical sites in patients after laminectomy. To therapeutically target this subset, we develop bispecific antibody–decorated extracellular vesicles (BsAb EVs), which redirect endogenous T cells to eliminate FAP⁺ fibroblasts in situ. In a preclinical model, BsAb EVs selectively eliminate pathogenic fibroblasts, reduce fibrotic collagen accumulation, and prevent the development of postoperative epidural fibrosis without detectable systemic toxicity under the tested conditions. Single-cell RNA sequencing reveals that FAP⁺ fibroblasts represent a transcriptionally distinct subset from α-SMA⁺ myofibroblasts, characterized by enhanced extracellular matrix remodeling and TGF-β production. Together, these findings highlight a critical stromal subset in EF pathogenesis and position BsAb EVs as a promising immunotherapeutic strategy for targeting pathogenic stromal cells in fibrotic and tissue-remodeling disorders.</w:t>
      </w:r>
    </w:p>
    <w:p>
      <w:pPr>
        <w:spacing w:before="120" w:after="120"/>
      </w:pPr>
      <w:r>
        <w:rPr>
          <w:sz w:val="18"/>
        </w:rPr>
        <w:t>——————————————————————————————————————————————————————————————————————</w:t>
      </w:r>
    </w:p>
    <w:p>
      <w:pPr>
        <w:spacing w:before="160" w:after="40" w:line="240" w:lineRule="auto"/>
      </w:pPr>
      <w:r>
        <w:rPr>
          <w:b/>
        </w:rPr>
        <w:t xml:space="preserve">[29] </w:t>
      </w:r>
      <w:hyperlink r:id="rId267">
        <w:r>
          <w:rPr>
            <w:color w:val="1155CC"/>
            <w:u w:val="single"/>
          </w:rPr>
          <w:t>共价泛 TEAD 抑制剂可阻断 YAP 活性并在 Hippo 依赖性癌症模型中显示脑外显率</w:t>
        </w:r>
      </w:hyperlink>
    </w:p>
    <w:p>
      <w:pPr>
        <w:spacing w:before="0" w:after="80"/>
      </w:pPr>
      <w:r>
        <w:rPr>
          <w:i/>
          <w:sz w:val="20"/>
        </w:rPr>
        <w:t>EN: Covalent pan-TEAD inhibitors block YAP activity and demonstrate brain penetrance in a Hippo-dependent cancer model</w:t>
      </w:r>
    </w:p>
    <w:p>
      <w:pPr>
        <w:spacing w:before="0" w:after="120"/>
      </w:pPr>
      <w:r>
        <w:rPr>
          <w:b/>
        </w:rPr>
        <w:t xml:space="preserve">Source: </w:t>
      </w:r>
      <w:r>
        <w:t>Biological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TEAD 转录因子能够解除 Hippo 信号传导的致癌活性，是肿瘤学中有前途的治疗靶点。靶向 TEAD 脂质袋是抑制辅因子 YAP 和 TAZ 致癌活性的既定途径。在这里，我们提出了两种泛 TEAD 抑制剂，GNE-8025 及其体内脑渗透衍生物 GNE-2181，它们在保守的半胱氨酸处共价结合脂质袋。这两种小分子在体外和体内均表现出对 YAP 驱动的肿瘤细胞生长的抑制作用。此外，我们还发现 GNE-8025 可以在体外增强多种 MAPK 通路抑制剂的活性，并在体外和体内增强 KRASG12C 抑制剂 Divarasib 的活性。此外，GNE-2181 还能抑制体内颅内肿瘤模型的生长。总之，我们推出了下一代 TEAD 抑制剂，代表着强效、特异性和有效的 Hippo 靶向癌症疗法的重大进步。</w:t>
      </w:r>
    </w:p>
    <w:p>
      <w:pPr>
        <w:spacing w:before="0" w:after="200" w:lineRule="auto" w:line="276"/>
      </w:pPr>
      <w:r>
        <w:rPr>
          <w:b/>
        </w:rPr>
        <w:t xml:space="preserve">Abstract (EN): </w:t>
      </w:r>
      <w:r>
        <w:t>TEAD transcription factors enable the oncogenic activity of deregulated Hippo signaling and are a promising therapeutic target in oncology. Targeting the TEAD lipid pocket is an established path to inhibit the oncogenic activities of cofactors YAP and TAZ. Here we present two pan-TEAD inhibitors, GNE-8025 and its in vivo brain-penetrant derivative GNE-2181, that covalently bind the lipid pocket at a conserved cysteine. Both small molecules show growth inhibition of YAP-driven tumor cells in vitro and in vivo. Moreover, we show that GNE-8025 increases the activity of a broad range of MAPK pathway inhibitors in vitro as well as the KRASG12C inhibitor Divarasib both in vitro and in vivo. In addition, GNE-2181 inhibits growth of an intracranial tumor model in vivo. Altogether we present a next-generation class of TEAD inhibitors representing a significant advancement towards potent, specific, and effective Hippo-targeting cancer therapies.</w:t>
      </w:r>
    </w:p>
    <w:p>
      <w:pPr>
        <w:spacing w:before="120" w:after="120"/>
      </w:pPr>
      <w:r>
        <w:rPr>
          <w:sz w:val="18"/>
        </w:rPr>
        <w:t>——————————————————————————————————————————————————————————————————————</w:t>
      </w:r>
    </w:p>
    <w:p>
      <w:pPr>
        <w:spacing w:before="160" w:after="40" w:line="240" w:lineRule="auto"/>
      </w:pPr>
      <w:r>
        <w:rPr>
          <w:b/>
        </w:rPr>
        <w:t xml:space="preserve">[30] </w:t>
      </w:r>
      <w:hyperlink r:id="rId268">
        <w:r>
          <w:rPr>
            <w:color w:val="1155CC"/>
            <w:u w:val="single"/>
          </w:rPr>
          <w:t>拟南芥中不同光系统II区室对非光化学猝灭的定量贡献</w:t>
        </w:r>
      </w:hyperlink>
    </w:p>
    <w:p>
      <w:pPr>
        <w:spacing w:before="0" w:after="80"/>
      </w:pPr>
      <w:r>
        <w:rPr>
          <w:i/>
          <w:sz w:val="20"/>
        </w:rPr>
        <w:t>EN: The quantitative contribution of different Photosystem II compartments to non-photochemical quenching in Arabidopsis</w:t>
      </w:r>
    </w:p>
    <w:p>
      <w:pPr>
        <w:spacing w:before="0" w:after="120"/>
      </w:pPr>
      <w:r>
        <w:rPr>
          <w:b/>
        </w:rPr>
        <w:t xml:space="preserve">Source: </w:t>
      </w:r>
      <w:r>
        <w:t>Biological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光系统 II (PSII) 的光捕获天线中的过量激发能量会对光合作用装置造成不可逆的损害。在高光强度时期，一种称为非光化学猝灭（NPQ）的反馈机制会诱导猝灭剂的形成，猝灭剂可以安全地以热量的形式消散多余的激发能。尽管已在 PSII 超复合物的多个区室中鉴定出猝灭剂，但目前还没有定量描述 NPQ 在每个位置发生的程度。在这里，我们对拟南芥 WT 和缺乏 LHCII 三聚体 (koLHCII) 的天线突变体和所有外围天线 (Ch1lhcb5) 进行时间分辨荧光测量。通过将结果与稳态荧光实验的结果相结合，我们能够估计每个植物和每个 PSII 区室的 NPQ 内在速率。结论是70%以上的猝灭发生在LHCII中，小于10%发生在小天线中，其余与PSII核心有关。</w:t>
      </w:r>
    </w:p>
    <w:p>
      <w:pPr>
        <w:spacing w:before="0" w:after="200" w:lineRule="auto" w:line="276"/>
      </w:pPr>
      <w:r>
        <w:rPr>
          <w:b/>
        </w:rPr>
        <w:t xml:space="preserve">Abstract (EN): </w:t>
      </w:r>
      <w:r>
        <w:t>Excess excitation energy in the light-harvesting antenna of Photosystem II (PSII) can cause irreversible damage to the photosynthetic apparatus. In periods of high light intensity, a feedback mechanism known as non-photochemical quenching (NPQ) induces the formation of quenchers, which can safely dissipate excess excitation energy as heat. Although quenchers have been identified in more than one compartment of the PSII supercomplex, there is currently no quantitative description of the extent to which NPQ occurs at each of these locations. Here, we perform time-resolved fluorescence measurements on Arabidopsis thaliana WT and antenna mutants lacking LHCII trimers (koLHCII) and all peripheral antenna (Ch1lhcb5). By combining the results with those from steady-state fluorescence experiments, we are able to estimate the intrinsic rate of NPQ for each plant and each PSII compartment. It is concluded that more than 70% of quenching occurs in LHCII, less than 10% in the minor antenna, and the rest is associated with the PSII core.</w:t>
      </w:r>
    </w:p>
    <w:p>
      <w:pPr>
        <w:spacing w:before="120" w:after="120"/>
      </w:pPr>
      <w:r>
        <w:rPr>
          <w:sz w:val="18"/>
        </w:rPr>
        <w:t>——————————————————————————————————————————————————————————————————————</w:t>
      </w:r>
    </w:p>
    <w:p>
      <w:pPr>
        <w:spacing w:before="160" w:after="40" w:line="240" w:lineRule="auto"/>
      </w:pPr>
      <w:r>
        <w:rPr>
          <w:b/>
        </w:rPr>
        <w:t xml:space="preserve">[31] </w:t>
      </w:r>
      <w:hyperlink r:id="rId269">
        <w:r>
          <w:rPr>
            <w:color w:val="1155CC"/>
            <w:u w:val="single"/>
          </w:rPr>
          <w:t>单倍型解析的基因组组装揭示了同源六倍体Tripidium arundinaceum的进化史</w:t>
        </w:r>
      </w:hyperlink>
    </w:p>
    <w:p>
      <w:pPr>
        <w:spacing w:before="0" w:after="80"/>
      </w:pPr>
      <w:r>
        <w:rPr>
          <w:i/>
          <w:sz w:val="20"/>
        </w:rPr>
        <w:t>EN: Haplotype-resolved genome assembly sheds light on the evolutionary history of autohexaploid Tripidium arundinaceum</w:t>
      </w:r>
    </w:p>
    <w:p>
      <w:pPr>
        <w:spacing w:before="0" w:after="120"/>
      </w:pPr>
      <w:r>
        <w:rPr>
          <w:b/>
        </w:rPr>
        <w:t xml:space="preserve">Source: </w:t>
      </w:r>
      <w:r>
        <w:t>Biological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Tripidium arundinaceum 是一种具有出色抗逆性的野生多年生草本植物，已在甘蔗育种中进行了测试。其复杂的多倍体基因组阻碍了对其进化和适应性特征的理解。在这里，我们提出了同源六倍体 T. arundinaceum Hainan92-105 (2n = 6x = 60) 的高质量、单倍型解析的参考基因组。 T. arundinaceum 可能起源于大约 131 万年前的二倍体祖先，并且包含来自多倍化后最近两次主要的长末端重复反转录转座子爆发的丰富重复序列。系统发育分析表明，甘蔗与高粱的关系比与高粱的关系更近，表明这两个谱系的多倍化是独立发生的。群体基因组学分析表明，中国西南部（云南）是中国青茅的多样性中心。基因型-环境关联强调温度和降水是由应激相关基因介导的关键局部适应驱动因素。这项研究为了解青冈的多倍体进化和气候适应提供了基因组资源。</w:t>
      </w:r>
    </w:p>
    <w:p>
      <w:pPr>
        <w:spacing w:before="0" w:after="200" w:lineRule="auto" w:line="276"/>
      </w:pPr>
      <w:r>
        <w:rPr>
          <w:b/>
        </w:rPr>
        <w:t xml:space="preserve">Abstract (EN): </w:t>
      </w:r>
      <w:r>
        <w:t>Tripidium arundinaceum, a wild perennial grass with exceptional stress tolerance, has been tested in sugarcane breeding. Its complex polyploid genome has hindered understanding of its evolution and adaptive traits. Here, we present a high-quality, haplotype-resolved reference genome for autohexaploid T. arundinaceum Hainan92-105 (2n = 6x = 60). T. arundinaceum is likely originated from a diploid ancestor approximately 1.31 million years ago and contains abundant repetitive sequences from two major recent bursts of long terminal repeat retrotransposons following polyploidization. Phylogenetic analyses place Saccharum closer to Sorghum bicolor than to T. arundinaceum, indicating that the polyploidizations in these two lineages occurred independently. Population genomics analysis reveals southwestern China (Yunnan) as a diversity center for T. arundinaceum within China. Genotype–environment associations highlight temperature and precipitation as key local adaptation drivers mediated by stress-associated genes. This study provides a genomic resource for understanding polyploid evolution and climate adaptation in T. arundinaceum.</w:t>
      </w:r>
    </w:p>
    <w:p>
      <w:pPr>
        <w:spacing w:before="120" w:after="120"/>
      </w:pPr>
      <w:r>
        <w:rPr>
          <w:sz w:val="18"/>
        </w:rPr>
        <w:t>——————————————————————————————————————————————————————————————————————</w:t>
      </w:r>
    </w:p>
    <w:p>
      <w:pPr>
        <w:spacing w:before="160" w:after="40" w:line="240" w:lineRule="auto"/>
      </w:pPr>
      <w:r>
        <w:rPr>
          <w:b/>
        </w:rPr>
        <w:t xml:space="preserve">[32] </w:t>
      </w:r>
      <w:hyperlink r:id="rId270">
        <w:r>
          <w:rPr>
            <w:color w:val="1155CC"/>
            <w:u w:val="single"/>
          </w:rPr>
          <w:t>mRNA 递送至细胞突起的多层控制可驱动局部微型细胞质的建立，从而实现应激诱导的细胞激活</w:t>
        </w:r>
      </w:hyperlink>
    </w:p>
    <w:p>
      <w:pPr>
        <w:spacing w:before="0" w:after="80"/>
      </w:pPr>
      <w:r>
        <w:rPr>
          <w:i/>
          <w:sz w:val="20"/>
        </w:rPr>
        <w:t>EN: Multilayered control of mRNA delivery to cell protrusions drives localized mini-cytoplasm establishment for stress-induced cell activation</w:t>
      </w:r>
    </w:p>
    <w:p>
      <w:pPr>
        <w:spacing w:before="0" w:after="120"/>
      </w:pPr>
      <w:r>
        <w:rPr>
          <w:b/>
        </w:rPr>
        <w:t xml:space="preserve">Source: </w:t>
      </w:r>
      <w:r>
        <w:t>Biological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为了应对压力，细胞利用可塑性进行自我激活并形成突出物，探索环境并引导迁移。虽然突起的起始已得到很好的表征，但它们的成熟和功能组成仍然知之甚少。在这里，使用新的汇集遗传方法 (ReGenT-seq) 来询问控制表皮祖细胞激活的染色质因子，我们意外地发现 Cbx3 是突起形成的关键决定因素。除了其核活动之外，我们还揭示了 CBX3 的细胞质兼职功能，该功能控制迁移表皮祖细胞的极化突起内以及鳞状癌细胞的侵袭伪足中特定 mRNA 的亚细胞定位。 CBX3 依赖性 mRNA 运输促进成熟突起内多个细胞器（包括内质网和溶酶体）的局部建立，并调节粘着斑动力学。总之，我们的研究结果揭示了通过突起发生控制细胞运动的多层基因调控机制，并确定了染色质到细胞突起的 mRNA 运输途径，该途径代表了增强伤口愈合和限制癌症侵袭的潜在治疗靶点。</w:t>
      </w:r>
    </w:p>
    <w:p>
      <w:pPr>
        <w:spacing w:before="0" w:after="200" w:lineRule="auto" w:line="276"/>
      </w:pPr>
      <w:r>
        <w:rPr>
          <w:b/>
        </w:rPr>
        <w:t xml:space="preserve">Abstract (EN): </w:t>
      </w:r>
      <w:r>
        <w:t>In response to stress, cells exploit plasticity to self-activate and form protrusions that explore the environment and guide migration. While protrusion initiation is well characterized, their maturation and functional composition remain poorly understood. Here, using a new pooled genetic approach (ReGenT-seq) to interrogate chromatin factors controlling epidermal progenitor activation, we unexpectedly identified Cbx3 as a critical determinant of protrusion formation. Beyond its nuclear activities, we revealed a cytoplasmic moonlighting function of CBX3 that governs the subcellular localization of specific mRNAs within polarizing protrusions of migrating epidermal progenitor cells, as well as in invadopodia of squamous carcinoma cells. CBX3-dependent mRNA transport promotes the localized establishment of multiple organelles, including the endoplasmic reticulum and lysosomes, within maturing protrusions, and regulates focal adhesion dynamics. Together, our findings uncover a multilayered gene regulatory mechanism controlling cell motility through protrusionogenesis and identify a chromatin-to-cell-protrusion mRNA transport pathway that represents a potential therapeutic target for enhancing wound healing and limiting cancer invasion.</w:t>
      </w:r>
    </w:p>
    <w:p>
      <w:pPr>
        <w:spacing w:before="120" w:after="120"/>
      </w:pPr>
      <w:r>
        <w:rPr>
          <w:sz w:val="18"/>
        </w:rPr>
        <w:t>——————————————————————————————————————————————————————————————————————</w:t>
      </w:r>
    </w:p>
    <w:p>
      <w:pPr>
        <w:spacing w:before="160" w:after="40" w:line="240" w:lineRule="auto"/>
      </w:pPr>
      <w:r>
        <w:rPr>
          <w:b/>
        </w:rPr>
        <w:t xml:space="preserve">[33] </w:t>
      </w:r>
      <w:hyperlink r:id="rId271">
        <w:r>
          <w:rPr>
            <w:color w:val="1155CC"/>
            <w:u w:val="single"/>
          </w:rPr>
          <w:t>鼻内加强诱导 SARS-CoV-2 疫苗印迹小鼠的变异特异性反应</w:t>
        </w:r>
      </w:hyperlink>
    </w:p>
    <w:p>
      <w:pPr>
        <w:spacing w:before="0" w:after="80"/>
      </w:pPr>
      <w:r>
        <w:rPr>
          <w:i/>
          <w:sz w:val="20"/>
        </w:rPr>
        <w:t>EN: Intranasal boosting induces variant-specific responses in SARS-CoV-2 vaccine-imprinted mice</w:t>
      </w:r>
    </w:p>
    <w:p>
      <w:pPr>
        <w:spacing w:before="0" w:after="120"/>
      </w:pPr>
      <w:r>
        <w:rPr>
          <w:b/>
        </w:rPr>
        <w:t xml:space="preserve">Source: </w:t>
      </w:r>
      <w:r>
        <w:t>Biological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逃避免疫的 SARS-CoV-2 变体的持续进化凸显了开发能够引发变体特异性抗体并中和新出现病毒株的疫苗的必要性。然而，先前暴露于 SARS-CoV-2 的免疫印记可能会限制此类抗体的产生。在这里，我们评估了增强雌性小鼠体内变异特异性抗体反应的策略，这些小鼠接种了 Wuuu-1 刺突蛋白 mRNA 或黑猩猩腺病毒载体 (ChAd) 疫苗，并使用 Omicron 变异匹配疫苗进行加强。改变肌内注射部位并没有显着影响变体特异性血清抗体反应。然而，增加加强抗原剂量、重复加强和鼻内注射加强疫苗可增强针对疫苗匹配的 Omicron 菌株的变体特异性反应。使用编码 Omicron XBB.1.5 刺突蛋白的 ChAd 疫苗进行鼻内加强，与使用相同疫苗进行肌内加强相比，在血清、支气管肺泡灌洗液和引流淋巴结中引发了更强的 XBB.1.5 特异性反应。无论加强方案如何，针对 XBB.1.5 的中和活性主要由对 Wuuhan-1 刺突无反应的抗体介导。这些发现证实，在小鼠中，鼻内或重复的变异匹配加强可以克服印记的影响并增强对 SARS-CoV-2 毒株的免疫力。</w:t>
      </w:r>
    </w:p>
    <w:p>
      <w:pPr>
        <w:spacing w:before="0" w:after="200" w:lineRule="auto" w:line="276"/>
      </w:pPr>
      <w:r>
        <w:rPr>
          <w:b/>
        </w:rPr>
        <w:t xml:space="preserve">Abstract (EN): </w:t>
      </w:r>
      <w:r>
        <w:t>The continued evolution of SARS-CoV-2 variants that evade immunity highlights a need to develop vaccines that elicit variant-specific antibodies and neutralize emerging strains. However, immune imprinting from antecedent SARS-CoV-2 exposure can limit the generation of such antibodies. Here, we evaluate strategies to enhance variant-specific antibody responses in female mice primed with Wuhan-1 spike-based mRNA or chimpanzee adenoviral-vectored (ChAd) vaccines and boosted with Omicron variant-matched vaccines. Altering the intramuscular injection site did not substantially affect variant-specific serum antibody responses. However, increasing booster antigen doses, performing repeated boosters, and administering booster vaccines intranasally enhanced variant-specific responses against the vaccine-matched Omicron strain. Boosting intranasally with a ChAd vaccine encoding the spike protein of Omicron XBB.1.5 elicited stronger XBB.1.5-specific responses in serum, bronchoalveolar lavage fluid, and draining lymph nodes than intramuscular boosting with the same vaccine. Regardless of booster regimen, neutralizing activity against XBB.1.5 was predominantly mediated by antibodies that were non-reactive to Wuhan-1 spike. These findings establish that in mice, intranasal or repeated variant-matched boosting can overcome the effects of imprinting and enhance immunity against SARS-CoV-2 strains.</w:t>
      </w:r>
    </w:p>
    <w:p>
      <w:pPr>
        <w:spacing w:before="120" w:after="120"/>
      </w:pPr>
      <w:r>
        <w:rPr>
          <w:sz w:val="18"/>
        </w:rPr>
        <w:t>——————————————————————————————————————————————————————————————————————</w:t>
      </w:r>
    </w:p>
    <w:p>
      <w:pPr>
        <w:spacing w:before="160" w:after="40" w:line="240" w:lineRule="auto"/>
      </w:pPr>
      <w:r>
        <w:rPr>
          <w:b/>
        </w:rPr>
        <w:t xml:space="preserve">[34] </w:t>
      </w:r>
      <w:hyperlink r:id="rId272">
        <w:r>
          <w:rPr>
            <w:color w:val="1155CC"/>
            <w:u w:val="single"/>
          </w:rPr>
          <w:t>流域的生态多功能性随着树种丰富度的增加而增强</w:t>
        </w:r>
      </w:hyperlink>
    </w:p>
    <w:p>
      <w:pPr>
        <w:spacing w:before="0" w:after="80"/>
      </w:pPr>
      <w:r>
        <w:rPr>
          <w:i/>
          <w:sz w:val="20"/>
        </w:rPr>
        <w:t>EN: Ecological multifunctionality of watersheds increases with tree species richness</w:t>
      </w:r>
    </w:p>
    <w:p>
      <w:pPr>
        <w:spacing w:before="0" w:after="120"/>
      </w:pPr>
      <w:r>
        <w:rPr>
          <w:b/>
        </w:rPr>
        <w:t xml:space="preserve">Source: </w:t>
      </w:r>
      <w:r>
        <w:t>Biological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流域是地球陆地表面的自然单位和元生态系统，提供多种生态功能。然而，人们对流域的生物多样性-生态多功能性关系知之甚少，特别是这些关系如何扩展到大型和复杂的景观。在这里，我们利用由全球森林生物多样性倡议的 846 个森林流域、全球水流指数和元数据档案以及遥感数据产品组成的综合地面来源森林清查数据集，探讨了森林树种丰富度对流域碳固存、碳储存、供水、水调节和土壤保持等生态多功能性的影响。通过考虑森林结构特征和环境条件等因素，我们发现森林树种丰富度与流域生态多功能性之间始终存在正相关关系。此外，我们发现这种生物多样性与多功能性的联系取决于空间尺度和气候背景，在较大的流域中变得更强，但在干旱的气候条件下减弱。这些见解增强了我们对生态系统多功能性的理解，并强调了在生态系统管理和保护战略中考虑流域规模的生态过程和生物多样性的重要性。</w:t>
      </w:r>
    </w:p>
    <w:p>
      <w:pPr>
        <w:spacing w:before="0" w:after="200" w:lineRule="auto" w:line="276"/>
      </w:pPr>
      <w:r>
        <w:rPr>
          <w:b/>
        </w:rPr>
        <w:t xml:space="preserve">Abstract (EN): </w:t>
      </w:r>
      <w:r>
        <w:t>Watersheds are natural units and meta-ecosystems of the earth’s land surface providing multiple ecological functions. However, little is known about the biodiversity-ecological multifunctionality relationships of watersheds, particularly regarding how these relationships scale to large and complex landscapes. Here, we explore the impact of forest tree species richness on the ecological multifunctionality of watersheds in terms of carbon sequestration, carbon storage, water supply, water regulation, and soil conservation, by utilizing integrated ground-sourced forest inventory datasets comprising 846 forest watersheds from the Global Forest Biodiversity Initiative, the Global Streamflow Indices and Metadata Archive, and remote sensing data products. We find a consistently positive relationship between forest tree species richness and watershed ecological multifunctionality by accounting for factors such as forest structural characteristics and environmental conditions. Furthermore, we find that this biodiversity-multifunctionality link is dependent on spatial scale and climatic context, becoming stronger in larger watersheds but diminishing in arid climatic conditions. These insights enhance our understanding of ecosystem multifunctionality and underscore the importance of considering watershed-scale ecological processes and biodiversity in ecosystem management and conservation strategies.</w:t>
      </w:r>
    </w:p>
    <w:p>
      <w:pPr>
        <w:spacing w:before="120" w:after="120"/>
      </w:pPr>
      <w:r>
        <w:rPr>
          <w:sz w:val="18"/>
        </w:rPr>
        <w:t>——————————————————————————————————————————————————————————————————————</w:t>
      </w:r>
    </w:p>
    <w:p>
      <w:pPr>
        <w:spacing w:before="160" w:after="40" w:line="240" w:lineRule="auto"/>
      </w:pPr>
      <w:r>
        <w:rPr>
          <w:b/>
        </w:rPr>
        <w:t xml:space="preserve">[35] </w:t>
      </w:r>
      <w:hyperlink r:id="rId273">
        <w:r>
          <w:rPr>
            <w:color w:val="1155CC"/>
            <w:u w:val="single"/>
          </w:rPr>
          <w:t>通过对称引导结构筛选揭示稀土氯化物原子纳米线中的受限离子序</w:t>
        </w:r>
      </w:hyperlink>
    </w:p>
    <w:p>
      <w:pPr>
        <w:spacing w:before="0" w:after="80"/>
      </w:pPr>
      <w:r>
        <w:rPr>
          <w:i/>
          <w:sz w:val="20"/>
        </w:rPr>
        <w:t>EN: Confined ionic order in atomic nanowires of rare-earth chlorides unveiled via symmetry-guided structural screening</w:t>
      </w:r>
    </w:p>
    <w:p>
      <w:pPr>
        <w:spacing w:before="0" w:after="120"/>
      </w:pPr>
      <w:r>
        <w:rPr>
          <w:b/>
        </w:rPr>
        <w:t xml:space="preserve">Source: </w:t>
      </w:r>
      <w:r>
        <w:t>Physical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低维材料可以表现出由纳米级限制和量子效应产生的不寻常的结构、电子和磁性特性。然而，确定它们的局部原子结构仍然具有挑战性，特别是当长程周期性有限并且传统的晶体学方法难以应用时。在这里，我们展示了一种通过将扫描透射电子显微镜与反应力场分子动力学和密度泛函理论相结合来解决受限一维材料的对称引导筛选策略。我们将稀土氯化物封装在单壁碳纳米管 (SWCNT) 内，形成稳定的 LnCl3@SWCNTs 杂化物 (Ln = Y、Gd、Dy、Er)，其中包含有序的一维原子纳米线。筛选策略确定了与实验成像和能量稳定性一致的结构模型，从而能够区分局部构型。电子和磁分析，特别是对于使用完整活性空间自洽场计算和玻尔兹曼输运理论的镝基系统，揭示了局部对称性和限制如何影响其功能特性。该实验理论框架为探测短程有序纳米结构、建立结构-性能关联以及指导功能低维材料的设计提供了广泛适用的途径。</w:t>
      </w:r>
    </w:p>
    <w:p>
      <w:pPr>
        <w:spacing w:before="0" w:after="200" w:lineRule="auto" w:line="276"/>
      </w:pPr>
      <w:r>
        <w:rPr>
          <w:b/>
        </w:rPr>
        <w:t xml:space="preserve">Abstract (EN): </w:t>
      </w:r>
      <w:r>
        <w:t>Low-dimensional materials can exhibit unusual structural, electronic, and magnetic properties that arise from nanoscale confinement and quantum effects. However, determining their local atomic structures remains challenging, especially when long-range periodicity is limited and conventional crystallographic approaches are difficult to apply. Here, we show a symmetry-guided screening strategy for resolving confined one-dimensional materials by combining scanning transmission electron microscopy with reactive force-field molecular dynamics and density functional theory. We encapsulate rare-earth chlorides within single-walled carbon nanotubes (SWCNTs) to form stable LnCl3@SWCNTs hybrids (Ln = Y, Gd, Dy, Er), which contain ordered one-dimensional atomic nanowires. The screening strategy identifies structural models that are consistent with experimental imaging and energetic stability, enabling local configurations to be distinguished. Electronic and magnetic analyses, particularly for Dy-based systems using complete active space self-consistent field calculations and Boltzmann transport theory, reveal how local symmetry and confinement influence their functional properties. This experiment–theory framework provides a broadly applicable route for probing short-range-ordered nanostructures, establishing structure–property correlations, and guiding the design of functional low-dimensional materials.</w:t>
      </w:r>
    </w:p>
    <w:p>
      <w:pPr>
        <w:spacing w:before="120" w:after="120"/>
      </w:pPr>
      <w:r>
        <w:rPr>
          <w:sz w:val="18"/>
        </w:rPr>
        <w:t>——————————————————————————————————————————————————————————————————————</w:t>
      </w:r>
    </w:p>
    <w:p>
      <w:pPr>
        <w:spacing w:before="160" w:after="40" w:line="240" w:lineRule="auto"/>
      </w:pPr>
      <w:r>
        <w:rPr>
          <w:b/>
        </w:rPr>
        <w:t xml:space="preserve">[36] </w:t>
      </w:r>
      <w:hyperlink r:id="rId274">
        <w:r>
          <w:rPr>
            <w:color w:val="1155CC"/>
            <w:u w:val="single"/>
          </w:rPr>
          <w:t>岩石圈作为山地植被恢复力的自下而上调节器</w:t>
        </w:r>
      </w:hyperlink>
    </w:p>
    <w:p>
      <w:pPr>
        <w:spacing w:before="0" w:after="80"/>
      </w:pPr>
      <w:r>
        <w:rPr>
          <w:i/>
          <w:sz w:val="20"/>
        </w:rPr>
        <w:t>EN: Lithosphere as a bottom-up modulator of mountain vegetation resilience</w:t>
      </w:r>
    </w:p>
    <w:p>
      <w:pPr>
        <w:spacing w:before="0" w:after="120"/>
      </w:pPr>
      <w:r>
        <w:rPr>
          <w:b/>
        </w:rPr>
        <w:t xml:space="preserve">Source: </w:t>
      </w:r>
      <w:r>
        <w:t>Earth and environmental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了解植被恢复力（定义为植被在外部扰动后的恢复速度）对于预测气候变化下生态系统的稳定性至关重要，但岩石圈在山区系统中的作用仍然知之甚少。在这里，我们利用综合气候、土壤、地形、人类足迹、岩性、土地覆盖和植被数据集评估岩性和构造如何调节全球山脉的植被恢复力。植被类型和温度主导着全球模式，树木的恢复力最高，其次是草本植物和灌木，共同解释了 86% 的空间变异。在考虑了气候和人为影响后，不同植被类型的恢复力很大程度上受到岩石圈路径的调节。在陡峭、活跃的切割地形中，树木的恢复能力达到顶峰，该地形下方是抗侵蚀的深成岩和变质岩，以及易溶解的碳酸盐岩。草本植物的恢复力与镁铁质和变质岩上富集的土壤有机碳密切相关。灌木的恢复力主要取决于温度（93%），但在营养贫乏的基质上表现出对变暖的敏感性降低。此外，恢复力在中等河道陡度处达到峰值（ksn ≈ 500），表明适度的构造隆升可促进植被恢复力。这些发现将岩石圈确定为山地植被恢复力的基本调节器，并强调了异质景观中生态系统稳定性的地质限制。</w:t>
      </w:r>
    </w:p>
    <w:p>
      <w:pPr>
        <w:spacing w:before="0" w:after="200" w:lineRule="auto" w:line="276"/>
      </w:pPr>
      <w:r>
        <w:rPr>
          <w:b/>
        </w:rPr>
        <w:t xml:space="preserve">Abstract (EN): </w:t>
      </w:r>
      <w:r>
        <w:t>Understanding vegetation resilience, defined as the recovery speed of vegetation following external perturbations, is essential for predicting ecosystem stability under climate change, yet the role of lithosphere in mountain systems remains poorly understood. Here, we assess how lithology and tectonics modulate vegetation resilience across global mountains using integrated climate, soil, topography, human footprint, lithology, land-cover, and vegetation datasets. Vegetation type and temperature dominate global patterns, with resilience highest in trees, followed by herbs and shrubs, together explaining 86% of the spatial variability. After accounting for climatic and anthropogenic effects, resilience across vegetation types is strongly mediated by lithospheric pathways. Tree resilience peaks in steep, actively incising terrains underlain by erosion-resistant plutonic and metamorphic rocks, as well as dissolution-prone carbonate rocks. Herb resilience is strongly linked to soil organic carbon enriched on mafic and metamorphic rocks. Shrub resilience is primarily temperature-dependent (93%) but shows reduced warming sensitivity on nutrient-poor substrates. Moreover, resilience peaks at intermediate channel steepness (ksn ≈ 500), suggesting that moderate tectonic uplift promotes vegetation resilience. These findings identify the lithosphere as a fundamental modulator of mountain vegetation resilience and highlight geological constraints on ecosystem stability across heterogeneous landscapes.</w:t>
      </w:r>
    </w:p>
    <w:p>
      <w:pPr>
        <w:spacing w:before="120" w:after="120"/>
      </w:pPr>
      <w:r>
        <w:rPr>
          <w:sz w:val="18"/>
        </w:rPr>
        <w:t>——————————————————————————————————————————————————————————————————————</w:t>
      </w:r>
    </w:p>
    <w:p>
      <w:pPr>
        <w:spacing w:before="160" w:after="40" w:line="240" w:lineRule="auto"/>
      </w:pPr>
      <w:r>
        <w:rPr>
          <w:b/>
        </w:rPr>
        <w:t xml:space="preserve">[37] </w:t>
      </w:r>
      <w:hyperlink r:id="rId275">
        <w:r>
          <w:rPr>
            <w:color w:val="1155CC"/>
            <w:u w:val="single"/>
          </w:rPr>
          <w:t>振动能源为离网能源获取和可持续能源转型做出贡献</w:t>
        </w:r>
      </w:hyperlink>
    </w:p>
    <w:p>
      <w:pPr>
        <w:spacing w:before="0" w:after="80"/>
      </w:pPr>
      <w:r>
        <w:rPr>
          <w:i/>
          <w:sz w:val="20"/>
        </w:rPr>
        <w:t>EN: Vibration energy as a contributor to off-grid energy access and the sustainable energy transition</w:t>
      </w:r>
    </w:p>
    <w:p>
      <w:pPr>
        <w:spacing w:before="0" w:after="120"/>
      </w:pPr>
      <w:r>
        <w:rPr>
          <w:b/>
        </w:rPr>
        <w:t xml:space="preserve">Source: </w:t>
      </w:r>
      <w:r>
        <w:t>ScienceDirect Publication: Applied Energy</w:t>
      </w:r>
      <w:r>
        <w:t xml:space="preserve">    </w:t>
      </w:r>
      <w:r>
        <w:rPr>
          <w:b/>
        </w:rPr>
        <w:t xml:space="preserve">Pub date: </w:t>
      </w:r>
      <w:r>
        <w:t>2026-06-27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 </w:t>
      </w:r>
      <w:hyperlink r:id="rId276">
        <w:r>
          <w:rPr>
            <w:color w:val="1155CC"/>
            <w:u w:val="single"/>
          </w:rPr>
          <w:t>人类 SMVT 识别和运输多种维生素的结构基础</w:t>
        </w:r>
      </w:hyperlink>
    </w:p>
    <w:p>
      <w:pPr>
        <w:spacing w:before="0" w:after="80"/>
      </w:pPr>
      <w:r>
        <w:rPr>
          <w:i/>
          <w:sz w:val="20"/>
        </w:rPr>
        <w:t>EN: Structural basis for multivitamin recognition and transport by human SMVT</w:t>
      </w:r>
    </w:p>
    <w:p>
      <w:pPr>
        <w:spacing w:before="0" w:after="120"/>
      </w:pPr>
      <w:r>
        <w:rPr>
          <w:b/>
        </w:rPr>
        <w:t xml:space="preserve">Source: </w:t>
      </w:r>
      <w:r>
        <w:t>Biological sciences : Nature Communications subject feeds</w:t>
      </w:r>
      <w:r>
        <w:t xml:space="preserve">    </w:t>
      </w:r>
      <w:r>
        <w:rPr>
          <w:b/>
        </w:rPr>
        <w:t xml:space="preserve">Pub date: </w:t>
      </w:r>
      <w:r>
        <w:t>2026-06-27 00:00:00+00:00</w:t>
      </w:r>
    </w:p>
    <w:p>
      <w:pPr>
        <w:spacing w:before="0" w:after="120"/>
      </w:pPr>
      <w:r>
        <w:rPr>
          <w:b/>
        </w:rPr>
        <w:t xml:space="preserve">Notes: </w:t>
      </w:r>
      <w:r>
        <w:t>abstract_source=nature_html</w:t>
      </w:r>
    </w:p>
    <w:p>
      <w:pPr>
        <w:spacing w:before="0" w:after="80" w:lineRule="auto" w:line="276"/>
      </w:pPr>
      <w:r>
        <w:rPr>
          <w:b/>
        </w:rPr>
        <w:t xml:space="preserve">摘要（ZH）: </w:t>
      </w:r>
      <w:r>
        <w:t>人钠依赖性多种维生素转运蛋白（SMVT、SLC5A6）介导细胞对必需代谢辅因子的摄取，包括生物素、泛酸和硫辛酸。其功能障碍与神经系统疾病、代谢异常和癌症有关。然而，其多底物运输的分子机制仍然难以捉摸。在这里，我们展示了人类 SMVT 三种构象状态的冷冻电子显微镜结构：闭塞、向外开放和向内开放。这些结构快照捕获了完整的运输循环，并揭示了扭结的跨膜螺旋 (TM1) 附近的保守底物结合口袋。在这个口袋内，底物羧基被静电锚定，而不同的化学部分与特定的极性和疏水残基相互作用。功能测定可识别关键结合残基并阐明疾病相关突变的致病作用。进一步的结构分析描述了 SLC5 转运蛋白家族内底物区分的原理。总之，我们的工作为 SMVT 的多特异性提供了一个结构框架，并为了解相关疾病和制定有针对性的治疗策略奠定了基础。</w:t>
      </w:r>
    </w:p>
    <w:p>
      <w:pPr>
        <w:spacing w:before="0" w:after="200" w:lineRule="auto" w:line="276"/>
      </w:pPr>
      <w:r>
        <w:rPr>
          <w:b/>
        </w:rPr>
        <w:t xml:space="preserve">Abstract (EN): </w:t>
      </w:r>
      <w:r>
        <w:t>The human sodium-dependent multivitamin transporter (SMVT, SLC5A6) mediates cellular uptake of essential metabolic cofactors, including biotin, pantothenate, and lipoate. Its dysfunction is associated with neurological disorders, metabolic abnormalities, and cancer. However, the molecular mechanism underlying its multi-substrate transport has remained elusive. Here, we present cryo-electron microscopy structures of human SMVT in three conformational states: occluded, outward-open, and inward-open. These structural snapshots capture the complete transport cycle and reveal a conserved substrate-binding pocket near a kinked transmembrane helix (TM1). Within this pocket, substrate carboxyl groups are electrostatically anchored, while distinct chemical moieties interact with specific polar and hydrophobic residues. Functional assays identify key binding residues and elucidate the pathogenic effects of disease-associated mutations. Further structural analysis delineates the principles of substrate discrimination within the SLC5 transporter family. Together, our work provides a structural framework for SMVT’s polyspecificity and lays a foundation for understanding related diseases and developing targeted therapeutic strategies.</w:t>
      </w:r>
    </w:p>
    <w:p>
      <w:pPr>
        <w:spacing w:before="120" w:after="120"/>
      </w:pPr>
      <w:r>
        <w:rPr>
          <w:sz w:val="18"/>
        </w:rPr>
        <w:t>——————————————————————————————————————————————————————————————————————</w:t>
      </w:r>
    </w:p>
    <w:p>
      <w:pPr>
        <w:spacing w:before="160" w:after="40" w:line="240" w:lineRule="auto"/>
      </w:pPr>
      <w:r>
        <w:rPr>
          <w:b/>
        </w:rPr>
        <w:t xml:space="preserve">[39] </w:t>
      </w:r>
      <w:hyperlink r:id="rId277">
        <w:r>
          <w:rPr>
            <w:color w:val="1155CC"/>
            <w:u w:val="single"/>
          </w:rPr>
          <w:t>用于室温 CMOS 电路的纳米碲基氧化物的原位 p 掺杂（Adv. Mater. 36/2026）</w:t>
        </w:r>
      </w:hyperlink>
    </w:p>
    <w:p>
      <w:pPr>
        <w:spacing w:before="0" w:after="80"/>
      </w:pPr>
      <w:r>
        <w:rPr>
          <w:i/>
          <w:sz w:val="20"/>
        </w:rPr>
        <w:t>EN: In‐situ p‐Doping of Nanometer Tellurium‐based Oxide for Room‐Temperature CMOS Circuits (Adv. Mater. 36/2026)</w:t>
      </w:r>
    </w:p>
    <w:p>
      <w:pPr>
        <w:spacing w:before="0" w:after="120"/>
      </w:pPr>
      <w:r>
        <w:rPr>
          <w:b/>
        </w:rPr>
        <w:t xml:space="preserve">Source: </w:t>
      </w:r>
      <w:r>
        <w:t>Wiley: Advanced Materials: Table of Contents</w:t>
      </w:r>
      <w:r>
        <w:t xml:space="preserve">    </w:t>
      </w:r>
      <w:r>
        <w:rPr>
          <w:b/>
        </w:rPr>
        <w:t xml:space="preserve">Pub date: </w:t>
      </w:r>
      <w:r>
        <w:t>2026-06-27 14:55:55+00:00</w:t>
      </w:r>
      <w:r>
        <w:t xml:space="preserve">    </w:t>
      </w:r>
      <w:r>
        <w:rPr>
          <w:b/>
        </w:rPr>
        <w:t xml:space="preserve">DOI: </w:t>
      </w:r>
      <w:hyperlink r:id="rId278">
        <w:r>
          <w:rPr>
            <w:color w:val="1155CC"/>
            <w:u w:val="single"/>
          </w:rPr>
          <w:t>10.1002/adma.73719</w:t>
        </w:r>
      </w:hyperlink>
    </w:p>
    <w:p>
      <w:pPr>
        <w:spacing w:before="0" w:after="120"/>
      </w:pPr>
      <w:r>
        <w:rPr>
          <w:b/>
        </w:rPr>
        <w:t xml:space="preserve">Notes: </w:t>
      </w:r>
      <w:r>
        <w:t>abstract_source=openalex</w:t>
      </w:r>
    </w:p>
    <w:p>
      <w:pPr>
        <w:spacing w:before="0" w:after="80" w:lineRule="auto" w:line="276"/>
      </w:pPr>
      <w:r>
        <w:rPr>
          <w:b/>
        </w:rPr>
        <w:t xml:space="preserve">摘要（ZH）: </w:t>
      </w:r>
      <w:r>
        <w:t>室温 CMOS 电路 室温原位氧化还原策略通过在氧化物基体中创建可调的 Te 导电通道，实现纳米碲基氧化物薄膜的固有 p 掺杂。由此产生的p型晶体管表现出高迁移率和广泛可调的载流子密度，并且可以与n型氧化物器件单片集成以实现完全室温的全氧化物CMOS电路。更多详细信息，请参阅 Ao Liu、Mingyang Wang、Huihui Zhu、Yong-Young Noh 及其同事的研究文章 (DOI: 10.1002/adma.72813)。</w:t>
      </w:r>
    </w:p>
    <w:p>
      <w:pPr>
        <w:spacing w:before="0" w:after="200" w:lineRule="auto" w:line="276"/>
      </w:pPr>
      <w:r>
        <w:rPr>
          <w:b/>
        </w:rPr>
        <w:t xml:space="preserve">Abstract (EN): </w:t>
      </w:r>
      <w:r>
        <w:t>Room-Temperature CMOS Circuits A room-temperature in-situ redox strategy enables intrinsic p-doping of nanometer tellurium-based oxide films by creating tunable Te conductive channels within an oxide matrix. The resulting p-type transistors exhibit high mobility and broadly tunable carrier density, and can be monolithically integrated with n-type oxide devices to realize fully room-temperature all-oxide CMOS circuits. More details can be found in the Research Article by Ao Liu, Mingyang Wang, Huihui Zhu, Yong-Young Noh, and co-workers (DOI: 10.1002/adma.72813).</w:t>
      </w:r>
    </w:p>
    <w:p>
      <w:pPr>
        <w:spacing w:before="120" w:after="120"/>
      </w:pPr>
      <w:r>
        <w:rPr>
          <w:sz w:val="18"/>
        </w:rPr>
        <w:t>——————————————————————————————————————————————————————————————————————</w:t>
      </w:r>
    </w:p>
    <w:p>
      <w:pPr>
        <w:spacing w:before="160" w:after="40" w:line="240" w:lineRule="auto"/>
      </w:pPr>
      <w:r>
        <w:rPr>
          <w:b/>
        </w:rPr>
        <w:t xml:space="preserve">[40] </w:t>
      </w:r>
      <w:hyperlink r:id="rId279">
        <w:r>
          <w:rPr>
            <w:color w:val="1155CC"/>
            <w:u w:val="single"/>
          </w:rPr>
          <w:t>材料挤出增材制造中的分辨率与吞吐量冲突（Adv. Mater. 36/2026）</w:t>
        </w:r>
      </w:hyperlink>
    </w:p>
    <w:p>
      <w:pPr>
        <w:spacing w:before="0" w:after="80"/>
      </w:pPr>
      <w:r>
        <w:rPr>
          <w:i/>
          <w:sz w:val="20"/>
        </w:rPr>
        <w:t>EN: The Resolution–Throughput Conflict In Material Extrusion Additive Manufacturing (Adv. Mater. 36/2026)</w:t>
      </w:r>
    </w:p>
    <w:p>
      <w:pPr>
        <w:spacing w:before="0" w:after="120"/>
      </w:pPr>
      <w:r>
        <w:rPr>
          <w:b/>
        </w:rPr>
        <w:t xml:space="preserve">Source: </w:t>
      </w:r>
      <w:r>
        <w:t>Wiley: Advanced Materials: Table of Contents</w:t>
      </w:r>
      <w:r>
        <w:t xml:space="preserve">    </w:t>
      </w:r>
      <w:r>
        <w:rPr>
          <w:b/>
        </w:rPr>
        <w:t xml:space="preserve">Pub date: </w:t>
      </w:r>
      <w:r>
        <w:t>2026-06-27 14:55:55+00:00</w:t>
      </w:r>
      <w:r>
        <w:t xml:space="preserve">    </w:t>
      </w:r>
      <w:r>
        <w:rPr>
          <w:b/>
        </w:rPr>
        <w:t xml:space="preserve">DOI: </w:t>
      </w:r>
      <w:hyperlink r:id="rId280">
        <w:r>
          <w:rPr>
            <w:color w:val="1155CC"/>
            <w:u w:val="single"/>
          </w:rPr>
          <w:t>10.1002/adma.73718</w:t>
        </w:r>
      </w:hyperlink>
    </w:p>
    <w:p>
      <w:pPr>
        <w:spacing w:before="0" w:after="120"/>
      </w:pPr>
      <w:r>
        <w:rPr>
          <w:b/>
        </w:rPr>
        <w:t xml:space="preserve">Notes: </w:t>
      </w:r>
      <w:r>
        <w:t>abstract_source=openalex</w:t>
      </w:r>
    </w:p>
    <w:p>
      <w:pPr>
        <w:spacing w:before="0" w:after="80" w:lineRule="auto" w:line="276"/>
      </w:pPr>
      <w:r>
        <w:rPr>
          <w:b/>
        </w:rPr>
        <w:t xml:space="preserve">摘要（ZH）: </w:t>
      </w:r>
      <w:r>
        <w:t>从微型建筑特征到大型结构印刷品这篇卷首文章捕捉了材料挤出增材制造中的基本分辨率-吞吐量权衡。流动的多尺度路径代表了材料行为、传输和打印架构的相互作用，强调了新兴的系统级方法，可以解耦精度和速度，从而实现跨不同材料和规模的稳健制造。更多详细信息，请参阅 Jochen Mueller 的研究文章（DOI：10.1002/adma.73039）。</w:t>
      </w:r>
    </w:p>
    <w:p>
      <w:pPr>
        <w:spacing w:before="0" w:after="200" w:lineRule="auto" w:line="276"/>
      </w:pPr>
      <w:r>
        <w:rPr>
          <w:b/>
        </w:rPr>
        <w:t xml:space="preserve">Abstract (EN): </w:t>
      </w:r>
      <w:r>
        <w:t>From Microscale Architected Features to Large Structural Prints This frontispiece captures the fundamental resolution–throughput tradeoff in material extrusion additive manufacturing. The flowing multiscale paths represent the interplay of material behavior, transport, and print architecture, emphasizing emerging system-level approaches that could decouple precision and speed to enable robust manufacturing across diverse materials and scales. More details can be found in the Research Article by Jochen Mueller (DOI: 10.1002/adma.73039).</w:t>
      </w:r>
    </w:p>
    <w:p>
      <w:pPr>
        <w:spacing w:before="120" w:after="120"/>
      </w:pPr>
      <w:r>
        <w:rPr>
          <w:sz w:val="18"/>
        </w:rPr>
        <w:t>——————————————————————————————————————————————————————————————————————</w:t>
      </w:r>
    </w:p>
    <w:p>
      <w:pPr>
        <w:spacing w:before="160" w:after="40" w:line="240" w:lineRule="auto"/>
      </w:pPr>
      <w:r>
        <w:rPr>
          <w:b/>
        </w:rPr>
        <w:t xml:space="preserve">[41] </w:t>
      </w:r>
      <w:hyperlink r:id="rId281">
        <w:r>
          <w:rPr>
            <w:color w:val="1155CC"/>
            <w:u w:val="single"/>
          </w:rPr>
          <w:t>通过荧光 QR 码进行多重透皮传感的数字微针 (Adv. Mater. 36/2026)</w:t>
        </w:r>
      </w:hyperlink>
    </w:p>
    <w:p>
      <w:pPr>
        <w:spacing w:before="0" w:after="80"/>
      </w:pPr>
      <w:r>
        <w:rPr>
          <w:i/>
          <w:sz w:val="20"/>
        </w:rPr>
        <w:t>EN: Digital Microneedles for Multiplexed Transdermal Sensing via Fluorescent QR Codes (Adv. Mater. 36/2026)</w:t>
      </w:r>
    </w:p>
    <w:p>
      <w:pPr>
        <w:spacing w:before="0" w:after="120"/>
      </w:pPr>
      <w:r>
        <w:rPr>
          <w:b/>
        </w:rPr>
        <w:t xml:space="preserve">Source: </w:t>
      </w:r>
      <w:r>
        <w:t>Wiley: Advanced Materials: Table of Contents</w:t>
      </w:r>
      <w:r>
        <w:t xml:space="preserve">    </w:t>
      </w:r>
      <w:r>
        <w:rPr>
          <w:b/>
        </w:rPr>
        <w:t xml:space="preserve">Pub date: </w:t>
      </w:r>
      <w:r>
        <w:t>2026-06-27 14:55:55+00:00</w:t>
      </w:r>
      <w:r>
        <w:t xml:space="preserve">    </w:t>
      </w:r>
      <w:r>
        <w:rPr>
          <w:b/>
        </w:rPr>
        <w:t xml:space="preserve">DOI: </w:t>
      </w:r>
      <w:hyperlink r:id="rId282">
        <w:r>
          <w:rPr>
            <w:color w:val="1155CC"/>
            <w:u w:val="single"/>
          </w:rPr>
          <w:t>10.1002/adma.73716</w:t>
        </w:r>
      </w:hyperlink>
    </w:p>
    <w:p>
      <w:pPr>
        <w:spacing w:before="0" w:after="120"/>
      </w:pPr>
      <w:r>
        <w:rPr>
          <w:b/>
        </w:rPr>
        <w:t xml:space="preserve">Notes: </w:t>
      </w:r>
      <w:r>
        <w:t>abstract_source=openalex</w:t>
      </w:r>
    </w:p>
    <w:p>
      <w:pPr>
        <w:spacing w:before="0" w:after="80" w:lineRule="auto" w:line="276"/>
      </w:pPr>
      <w:r>
        <w:rPr>
          <w:b/>
        </w:rPr>
        <w:t xml:space="preserve">摘要（ZH）: </w:t>
      </w:r>
      <w:r>
        <w:t>用于多重透皮传感的数字微针 数字微针将皮肤中的生化信号转换为二进制荧光输出，然后组装成可扫描的二维码。通过将模拟化学转化为开关荧光状态，数字微针实现了免校准、多重透皮生物传感，并建立了分散式健康监测的数字范例。更多详细信息，请参阅 Giuseppe Barillaro 及其同事的研究文章 (DOI: 10.1002/adma.202518935)。</w:t>
      </w:r>
    </w:p>
    <w:p>
      <w:pPr>
        <w:spacing w:before="0" w:after="200" w:lineRule="auto" w:line="276"/>
      </w:pPr>
      <w:r>
        <w:rPr>
          <w:b/>
        </w:rPr>
        <w:t xml:space="preserve">Abstract (EN): </w:t>
      </w:r>
      <w:r>
        <w:t>Digital Microneedles for Multiplexed Transdermal Sensing Digital microneedles convert biochemical signals in skin into binary fluorescent outputs that assemble into scannable QR codes. By transforming analog chemistry into on-off fluorescence states, digital microneedles enables calibration-free, multiplexed transdermal biosensing and establishes a digital paradigm for decentralized health monitoring. More details can be found in the Research Article by Giuseppe Barillaro and co-workers (DOI: 10.1002/adma.202518935).</w:t>
      </w:r>
    </w:p>
    <w:p>
      <w:pPr>
        <w:spacing w:before="120" w:after="120"/>
      </w:pPr>
      <w:r>
        <w:rPr>
          <w:sz w:val="18"/>
        </w:rPr>
        <w:t>——————————————————————————————————————————————————————————————————————</w:t>
      </w:r>
    </w:p>
    <w:p>
      <w:pPr>
        <w:spacing w:before="160" w:after="40" w:line="240" w:lineRule="auto"/>
      </w:pPr>
      <w:r>
        <w:rPr>
          <w:b/>
        </w:rPr>
        <w:t xml:space="preserve">[42] </w:t>
      </w:r>
      <w:hyperlink r:id="rId283">
        <w:r>
          <w:rPr>
            <w:color w:val="1155CC"/>
            <w:u w:val="single"/>
          </w:rPr>
          <w:t>基于大面积二维超表面的摩擦电电子皮肤阵列：具有宽带声学读数的接触和接近触觉测绘（Adv. Mater. 36/2026）</w:t>
        </w:r>
      </w:hyperlink>
    </w:p>
    <w:p>
      <w:pPr>
        <w:spacing w:before="0" w:after="80"/>
      </w:pPr>
      <w:r>
        <w:rPr>
          <w:i/>
          <w:sz w:val="20"/>
        </w:rPr>
        <w:t>EN: Large‐Area 2D Metasurface‐Based Triboelectric E‐Skin Arrays: Contact &amp; Proximity Tactile Mapping with Broadband Acoustic Readouts (Adv. Mater. 36/2026)</w:t>
      </w:r>
    </w:p>
    <w:p>
      <w:pPr>
        <w:spacing w:before="0" w:after="120"/>
      </w:pPr>
      <w:r>
        <w:rPr>
          <w:b/>
        </w:rPr>
        <w:t xml:space="preserve">Source: </w:t>
      </w:r>
      <w:r>
        <w:t>Wiley: Advanced Materials: Table of Contents</w:t>
      </w:r>
      <w:r>
        <w:t xml:space="preserve">    </w:t>
      </w:r>
      <w:r>
        <w:rPr>
          <w:b/>
        </w:rPr>
        <w:t xml:space="preserve">Pub date: </w:t>
      </w:r>
      <w:r>
        <w:t>2026-06-27 14:55:55+00:00</w:t>
      </w:r>
      <w:r>
        <w:t xml:space="preserve">    </w:t>
      </w:r>
      <w:r>
        <w:rPr>
          <w:b/>
        </w:rPr>
        <w:t xml:space="preserve">DOI: </w:t>
      </w:r>
      <w:hyperlink r:id="rId284">
        <w:r>
          <w:rPr>
            <w:color w:val="1155CC"/>
            <w:u w:val="single"/>
          </w:rPr>
          <w:t>10.1002/adma.73715</w:t>
        </w:r>
      </w:hyperlink>
    </w:p>
    <w:p>
      <w:pPr>
        <w:spacing w:before="0" w:after="120"/>
      </w:pPr>
      <w:r>
        <w:rPr>
          <w:b/>
        </w:rPr>
        <w:t xml:space="preserve">Notes: </w:t>
      </w:r>
      <w:r>
        <w:t>abstract_source=openalex</w:t>
      </w:r>
    </w:p>
    <w:p>
      <w:pPr>
        <w:spacing w:before="0" w:after="80" w:lineRule="auto" w:line="276"/>
      </w:pPr>
      <w:r>
        <w:rPr>
          <w:b/>
        </w:rPr>
        <w:t xml:space="preserve">摘要（ZH）: </w:t>
      </w:r>
      <w:r>
        <w:t>基于大面积二维超表面的摩擦电电子皮肤阵列工程摩擦电超表面可实现触觉压力、感应非接触刺激和宽带声波的多模态传感。通过将微结构有源像素集成到顺应的电子皮肤中，介电超表面实现了先进人机界面的机械和场介导输入的空间分辨转换。更多详细信息，请参阅 Injamamul Arief 及其同事的研究文章 (DOI: 10.1002/adma.202521525)。</w:t>
      </w:r>
    </w:p>
    <w:p>
      <w:pPr>
        <w:spacing w:before="0" w:after="200" w:lineRule="auto" w:line="276"/>
      </w:pPr>
      <w:r>
        <w:rPr>
          <w:b/>
        </w:rPr>
        <w:t xml:space="preserve">Abstract (EN): </w:t>
      </w:r>
      <w:r>
        <w:t>Large-Area 2D Metasurface-Based Triboelectric E-Skin Arrays An engineered triboelectric metasurface enables multimodal sensing of tactile pressure, inductive non-contact stimuli, and broadband acoustic waves. By integrating microstructured active pixels into a conformable electronic skin, the dielectric metasurface achieves spatially resolved transduction of mechanical and field-mediated inputs for advanced human-machine interfaces. More details can be found in the Research Article by Injamamul Arief and co-workers (DOI: 10.1002/adma.202521525).</w:t>
      </w:r>
    </w:p>
    <w:p>
      <w:pPr>
        <w:spacing w:before="120" w:after="120"/>
      </w:pPr>
      <w:r>
        <w:rPr>
          <w:sz w:val="18"/>
        </w:rPr>
        <w:t>——————————————————————————————————————————————————————————————————————</w:t>
      </w:r>
    </w:p>
    <w:p>
      <w:pPr>
        <w:spacing w:before="160" w:after="40" w:line="240" w:lineRule="auto"/>
      </w:pPr>
      <w:r>
        <w:rPr>
          <w:b/>
        </w:rPr>
        <w:t xml:space="preserve">[43] </w:t>
      </w:r>
      <w:hyperlink r:id="rId285">
        <w:r>
          <w:rPr>
            <w:color w:val="1155CC"/>
            <w:u w:val="single"/>
          </w:rPr>
          <w:t>用于声源检测的智能声电超材料 (IAM)（Adv. Mater. 36/2026）</w:t>
        </w:r>
      </w:hyperlink>
    </w:p>
    <w:p>
      <w:pPr>
        <w:spacing w:before="0" w:after="80"/>
      </w:pPr>
      <w:r>
        <w:rPr>
          <w:i/>
          <w:sz w:val="20"/>
        </w:rPr>
        <w:t>EN: Intelligent Acousto‐Electrical Metamaterials (IAM) for Sound Source Detection (Adv. Mater. 36/2026)</w:t>
      </w:r>
    </w:p>
    <w:p>
      <w:pPr>
        <w:spacing w:before="0" w:after="120"/>
      </w:pPr>
      <w:r>
        <w:rPr>
          <w:b/>
        </w:rPr>
        <w:t xml:space="preserve">Source: </w:t>
      </w:r>
      <w:r>
        <w:t>Wiley: Advanced Materials: Table of Contents</w:t>
      </w:r>
      <w:r>
        <w:t xml:space="preserve">    </w:t>
      </w:r>
      <w:r>
        <w:rPr>
          <w:b/>
        </w:rPr>
        <w:t xml:space="preserve">Pub date: </w:t>
      </w:r>
      <w:r>
        <w:t>2026-06-27 14:55:55+00:00</w:t>
      </w:r>
      <w:r>
        <w:t xml:space="preserve">    </w:t>
      </w:r>
      <w:r>
        <w:rPr>
          <w:b/>
        </w:rPr>
        <w:t xml:space="preserve">DOI: </w:t>
      </w:r>
      <w:hyperlink r:id="rId286">
        <w:r>
          <w:rPr>
            <w:color w:val="1155CC"/>
            <w:u w:val="single"/>
          </w:rPr>
          <w:t>10.1002/adma.73717</w:t>
        </w:r>
      </w:hyperlink>
    </w:p>
    <w:p>
      <w:pPr>
        <w:spacing w:before="0" w:after="120"/>
      </w:pPr>
      <w:r>
        <w:rPr>
          <w:b/>
        </w:rPr>
        <w:t xml:space="preserve">Notes: </w:t>
      </w:r>
      <w:r>
        <w:t>abstract_source=openalex</w:t>
      </w:r>
    </w:p>
    <w:p>
      <w:pPr>
        <w:spacing w:before="0" w:after="80" w:lineRule="auto" w:line="276"/>
      </w:pPr>
      <w:r>
        <w:rPr>
          <w:b/>
        </w:rPr>
        <w:t xml:space="preserve">摘要（ZH）: </w:t>
      </w:r>
      <w:r>
        <w:t>智能声电超材料本封面展示了由独特的 3D 微架构组成的压电水听器。与传统晶体不同，这些智能声电超材料通过几何形状而不是化学来动态编程压电性。这种结构多样性产生独特的机电响应，使单个设备能够对海洋野生动物和水下车辆等不同水下目标进行实时、自动声音定位，从而推进下一代声学传感。更多详细信息，请参阅Xiaoyu (Rayne) Cheng、Victor Couëdel 及其同事的研究文章（DOI：10.1002/adma.202513205）。</w:t>
      </w:r>
    </w:p>
    <w:p>
      <w:pPr>
        <w:spacing w:before="0" w:after="200" w:lineRule="auto" w:line="276"/>
      </w:pPr>
      <w:r>
        <w:rPr>
          <w:b/>
        </w:rPr>
        <w:t xml:space="preserve">Abstract (EN): </w:t>
      </w:r>
      <w:r>
        <w:t>Intelligent Acousto-Electrical Metamaterials This cover illustrates an architected piezoelectric hydrophone composed of distinct 3D micro-architectures. Unlike traditional crystals, these Intelligent Acousto-Electrical Metamaterials dynamically program piezoelectricity through geometry rather than chemistry. This structural variety yields unique electromechanical responses, enabling a single device to perform real-time, automatic sound localization of diverse underwater targets, such as marine wildlife and submerged vehicles, thereby advancing next-generation acoustic sensing. More details can be found in the Research Article by Xiaoyu (Rayne) Zheng, Victor Couëdel, and co-workers (DOI: 10.1002/adma.202513205).</w:t>
      </w:r>
    </w:p>
    <w:p>
      <w:pPr>
        <w:spacing w:before="120" w:after="120"/>
      </w:pPr>
      <w:r>
        <w:rPr>
          <w:sz w:val="18"/>
        </w:rPr>
        <w:t>——————————————————————————————————————————————————————————————————————</w:t>
      </w:r>
    </w:p>
    <w:p>
      <w:pPr>
        <w:spacing w:before="160" w:after="40" w:line="240" w:lineRule="auto"/>
      </w:pPr>
      <w:r>
        <w:rPr>
          <w:b/>
        </w:rPr>
        <w:t xml:space="preserve">[44] </w:t>
      </w:r>
      <w:hyperlink r:id="rId287">
        <w:r>
          <w:rPr>
            <w:color w:val="1155CC"/>
            <w:u w:val="single"/>
          </w:rPr>
          <w:t>用于风力涡轮机尾流预测的物理信息神经网络：不同数据密度下的约束层次结构</w:t>
        </w:r>
      </w:hyperlink>
    </w:p>
    <w:p>
      <w:pPr>
        <w:spacing w:before="0" w:after="80"/>
      </w:pPr>
      <w:r>
        <w:rPr>
          <w:i/>
          <w:sz w:val="20"/>
        </w:rPr>
        <w:t>EN: Physics-informed neural networks for wind turbine wake prediction: Constraint hierarchy under varying data density</w:t>
      </w:r>
    </w:p>
    <w:p>
      <w:pPr>
        <w:spacing w:before="0" w:after="120"/>
      </w:pPr>
      <w:r>
        <w:rPr>
          <w:b/>
        </w:rPr>
        <w:t xml:space="preserve">Source: </w:t>
      </w:r>
      <w:r>
        <w:t>ScienceDirect Publication: Applied Energy</w:t>
      </w:r>
      <w:r>
        <w:t xml:space="preserve">    </w:t>
      </w:r>
      <w:r>
        <w:rPr>
          <w:b/>
        </w:rPr>
        <w:t xml:space="preserve">Pub date: </w:t>
      </w:r>
      <w:r>
        <w:t>2026-06-28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 </w:t>
      </w:r>
      <w:hyperlink r:id="rId288">
        <w:r>
          <w:rPr>
            <w:color w:val="1155CC"/>
            <w:u w:val="single"/>
          </w:rPr>
          <w:t>非唤醒和唤醒条件下风力发电机的动态响应</w:t>
        </w:r>
      </w:hyperlink>
    </w:p>
    <w:p>
      <w:pPr>
        <w:spacing w:before="0" w:after="80"/>
      </w:pPr>
      <w:r>
        <w:rPr>
          <w:i/>
          <w:sz w:val="20"/>
        </w:rPr>
        <w:t>EN: Dynamic responses of wind turbines under unwaked and waked conditions</w:t>
      </w:r>
    </w:p>
    <w:p>
      <w:pPr>
        <w:spacing w:before="0" w:after="120"/>
      </w:pPr>
      <w:r>
        <w:rPr>
          <w:b/>
        </w:rPr>
        <w:t xml:space="preserve">Source: </w:t>
      </w:r>
      <w:r>
        <w:t>ScienceDirect Publication: Applied Energy</w:t>
      </w:r>
      <w:r>
        <w:t xml:space="preserve">    </w:t>
      </w:r>
      <w:r>
        <w:rPr>
          <w:b/>
        </w:rPr>
        <w:t xml:space="preserve">Pub date: </w:t>
      </w:r>
      <w:r>
        <w:t>2026-06-28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 </w:t>
      </w:r>
      <w:hyperlink r:id="rId289">
        <w:r>
          <w:rPr>
            <w:color w:val="1155CC"/>
            <w:u w:val="single"/>
          </w:rPr>
          <w:t>附带影响：中美紧张局势和第三国能源转型</w:t>
        </w:r>
      </w:hyperlink>
    </w:p>
    <w:p>
      <w:pPr>
        <w:spacing w:before="0" w:after="80"/>
      </w:pPr>
      <w:r>
        <w:rPr>
          <w:i/>
          <w:sz w:val="20"/>
        </w:rPr>
        <w:t>EN: Collateral impact: U.S.-China tensions and energy transition in third countries</w:t>
      </w:r>
    </w:p>
    <w:p>
      <w:pPr>
        <w:spacing w:before="0" w:after="120"/>
      </w:pPr>
      <w:r>
        <w:rPr>
          <w:b/>
        </w:rPr>
        <w:t xml:space="preserve">Source: </w:t>
      </w:r>
      <w:r>
        <w:t>ScienceDirect Publication: Energy Policy</w:t>
      </w:r>
      <w:r>
        <w:t xml:space="preserve">    </w:t>
      </w:r>
      <w:r>
        <w:rPr>
          <w:b/>
        </w:rPr>
        <w:t xml:space="preserve">Pub date: </w:t>
      </w:r>
      <w:r>
        <w:t>2026-06-28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 </w:t>
      </w:r>
      <w:hyperlink r:id="rId290">
        <w:r>
          <w:rPr>
            <w:color w:val="1155CC"/>
            <w:u w:val="single"/>
          </w:rPr>
          <w:t>通过电网现代化缓解能源贫困：中国特高压输电项目的微观证据</w:t>
        </w:r>
      </w:hyperlink>
    </w:p>
    <w:p>
      <w:pPr>
        <w:spacing w:before="0" w:after="80"/>
      </w:pPr>
      <w:r>
        <w:rPr>
          <w:i/>
          <w:sz w:val="20"/>
        </w:rPr>
        <w:t>EN: Alleviating energy poverty through grid modernization: Micro-evidence from China's ultra-high-voltage transmission projects</w:t>
      </w:r>
    </w:p>
    <w:p>
      <w:pPr>
        <w:spacing w:before="0" w:after="120"/>
      </w:pPr>
      <w:r>
        <w:rPr>
          <w:b/>
        </w:rPr>
        <w:t xml:space="preserve">Source: </w:t>
      </w:r>
      <w:r>
        <w:t>ScienceDirect Publication: Energy Policy</w:t>
      </w:r>
      <w:r>
        <w:t xml:space="preserve">    </w:t>
      </w:r>
      <w:r>
        <w:rPr>
          <w:b/>
        </w:rPr>
        <w:t xml:space="preserve">Pub date: </w:t>
      </w:r>
      <w:r>
        <w:t>2026-06-28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 </w:t>
      </w:r>
      <w:hyperlink r:id="rId291">
        <w:r>
          <w:rPr>
            <w:color w:val="1155CC"/>
            <w:u w:val="single"/>
          </w:rPr>
          <w:t>地缘政治风险、绿色金融和环境技术动态如何塑造金砖国家经济体的能源三难困境？</w:t>
        </w:r>
      </w:hyperlink>
    </w:p>
    <w:p>
      <w:pPr>
        <w:spacing w:before="0" w:after="80"/>
      </w:pPr>
      <w:r>
        <w:rPr>
          <w:i/>
          <w:sz w:val="20"/>
        </w:rPr>
        <w:t>EN: How geopolitical risks, green finance, and environmental technologies dynamics shape energy trilemma in BRICS economies?</w:t>
      </w:r>
    </w:p>
    <w:p>
      <w:pPr>
        <w:spacing w:before="0" w:after="120"/>
      </w:pPr>
      <w:r>
        <w:rPr>
          <w:b/>
        </w:rPr>
        <w:t xml:space="preserve">Source: </w:t>
      </w:r>
      <w:r>
        <w:t>ScienceDirect Publication: Energy Policy</w:t>
      </w:r>
      <w:r>
        <w:t xml:space="preserve">    </w:t>
      </w:r>
      <w:r>
        <w:rPr>
          <w:b/>
        </w:rPr>
        <w:t xml:space="preserve">Pub date: </w:t>
      </w:r>
      <w:r>
        <w:t>2026-06-28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 </w:t>
      </w:r>
      <w:hyperlink r:id="rId292">
        <w:r>
          <w:rPr>
            <w:color w:val="1155CC"/>
            <w:u w:val="single"/>
          </w:rPr>
          <w:t>具有领导者驱动的梦想优化算法的电动汽车充电站动态定价的随机模拟框架</w:t>
        </w:r>
      </w:hyperlink>
    </w:p>
    <w:p>
      <w:pPr>
        <w:spacing w:before="0" w:after="80"/>
      </w:pPr>
      <w:r>
        <w:rPr>
          <w:i/>
          <w:sz w:val="20"/>
        </w:rPr>
        <w:t>EN: A stochastic simulation framework for EV charging station dynamic pricing with leader-driven dream optimization algorithm</w:t>
      </w:r>
    </w:p>
    <w:p>
      <w:pPr>
        <w:spacing w:before="0" w:after="120"/>
      </w:pPr>
      <w:r>
        <w:rPr>
          <w:b/>
        </w:rPr>
        <w:t xml:space="preserve">Source: </w:t>
      </w:r>
      <w:r>
        <w:t>ScienceDirect Publication: Applied Energy</w:t>
      </w:r>
      <w:r>
        <w:t xml:space="preserve">    </w:t>
      </w:r>
      <w:r>
        <w:rPr>
          <w:b/>
        </w:rPr>
        <w:t xml:space="preserve">Pub date: </w:t>
      </w:r>
      <w:r>
        <w:t>2026-06-28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 </w:t>
      </w:r>
      <w:hyperlink r:id="rId293">
        <w:r>
          <w:rPr>
            <w:color w:val="1155CC"/>
            <w:u w:val="single"/>
          </w:rPr>
          <w:t>海上混合风浪能转换系统的稳态动力学</w:t>
        </w:r>
      </w:hyperlink>
    </w:p>
    <w:p>
      <w:pPr>
        <w:spacing w:before="0" w:after="80"/>
      </w:pPr>
      <w:r>
        <w:rPr>
          <w:i/>
          <w:sz w:val="20"/>
        </w:rPr>
        <w:t>EN: Steady-state dynamics of an offshore hybrid wind-wave energy conversion system</w:t>
      </w:r>
    </w:p>
    <w:p>
      <w:pPr>
        <w:spacing w:before="0" w:after="120"/>
      </w:pPr>
      <w:r>
        <w:rPr>
          <w:b/>
        </w:rPr>
        <w:t xml:space="preserve">Source: </w:t>
      </w:r>
      <w:r>
        <w:t>ScienceDirect Publication: Applied Energy</w:t>
      </w:r>
      <w:r>
        <w:t xml:space="preserve">    </w:t>
      </w:r>
      <w:r>
        <w:rPr>
          <w:b/>
        </w:rPr>
        <w:t xml:space="preserve">Pub date: </w:t>
      </w:r>
      <w:r>
        <w:t>2026-06-28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 </w:t>
      </w:r>
      <w:hyperlink r:id="rId294">
        <w:r>
          <w:rPr>
            <w:color w:val="1155CC"/>
            <w:u w:val="single"/>
          </w:rPr>
          <w:t>集体自消费社区中数据驱动的能源共享：中期预测集成框架</w:t>
        </w:r>
      </w:hyperlink>
    </w:p>
    <w:p>
      <w:pPr>
        <w:spacing w:before="0" w:after="80"/>
      </w:pPr>
      <w:r>
        <w:rPr>
          <w:i/>
          <w:sz w:val="20"/>
        </w:rPr>
        <w:t>EN: Data-driven energy sharing in collective self-consumption communities: a medium-term predictive ensemble framework</w:t>
      </w:r>
    </w:p>
    <w:p>
      <w:pPr>
        <w:spacing w:before="0" w:after="120"/>
      </w:pPr>
      <w:r>
        <w:rPr>
          <w:b/>
        </w:rPr>
        <w:t xml:space="preserve">Source: </w:t>
      </w:r>
      <w:r>
        <w:t>ScienceDirect Publication: Applied Energy</w:t>
      </w:r>
      <w:r>
        <w:t xml:space="preserve">    </w:t>
      </w:r>
      <w:r>
        <w:rPr>
          <w:b/>
        </w:rPr>
        <w:t xml:space="preserve">Pub date: </w:t>
      </w:r>
      <w:r>
        <w:t>2026-06-28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 </w:t>
      </w:r>
      <w:hyperlink r:id="rId295">
        <w:r>
          <w:rPr>
            <w:color w:val="1155CC"/>
            <w:u w:val="single"/>
          </w:rPr>
          <w:t>具有深度代表性的风电预测：一项调查</w:t>
        </w:r>
      </w:hyperlink>
    </w:p>
    <w:p>
      <w:pPr>
        <w:spacing w:before="0" w:after="80"/>
      </w:pPr>
      <w:r>
        <w:rPr>
          <w:i/>
          <w:sz w:val="20"/>
        </w:rPr>
        <w:t>EN: Wind power forecasting with deep representation: A survey</w:t>
      </w:r>
    </w:p>
    <w:p>
      <w:pPr>
        <w:spacing w:before="0" w:after="120"/>
      </w:pPr>
      <w:r>
        <w:rPr>
          <w:b/>
        </w:rPr>
        <w:t xml:space="preserve">Source: </w:t>
      </w:r>
      <w:r>
        <w:t>ScienceDirect Publication: Applied Energy</w:t>
      </w:r>
      <w:r>
        <w:t xml:space="preserve">    </w:t>
      </w:r>
      <w:r>
        <w:rPr>
          <w:b/>
        </w:rPr>
        <w:t xml:space="preserve">Pub date: </w:t>
      </w:r>
      <w:r>
        <w:t>2026-06-28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 </w:t>
      </w:r>
      <w:hyperlink r:id="rId296">
        <w:r>
          <w:rPr>
            <w:color w:val="1155CC"/>
            <w:u w:val="single"/>
          </w:rPr>
          <w:t>主编致辞</w:t>
        </w:r>
      </w:hyperlink>
    </w:p>
    <w:p>
      <w:pPr>
        <w:spacing w:before="0" w:after="80"/>
      </w:pPr>
      <w:r>
        <w:rPr>
          <w:i/>
          <w:sz w:val="20"/>
        </w:rPr>
        <w:t>EN: A Message from the Editor-in-Chief</w:t>
      </w:r>
    </w:p>
    <w:p>
      <w:pPr>
        <w:spacing w:before="0" w:after="120"/>
      </w:pPr>
      <w:r>
        <w:rPr>
          <w:b/>
        </w:rPr>
        <w:t xml:space="preserve">Source: </w:t>
      </w:r>
      <w:r>
        <w:t>Nuclear Fusion - latest papers</w:t>
      </w:r>
      <w:r>
        <w:t xml:space="preserve">    </w:t>
      </w:r>
      <w:r>
        <w:rPr>
          <w:b/>
        </w:rPr>
        <w:t xml:space="preserve">Pub date: </w:t>
      </w:r>
      <w:r>
        <w:t>2026-06-28 23:00:00+00:00</w:t>
      </w:r>
      <w:r>
        <w:t xml:space="preserve">    </w:t>
      </w:r>
      <w:r>
        <w:rPr>
          <w:b/>
        </w:rPr>
        <w:t xml:space="preserve">DOI: </w:t>
      </w:r>
      <w:hyperlink r:id="rId297">
        <w:r>
          <w:rPr>
            <w:color w:val="1155CC"/>
            <w:u w:val="single"/>
          </w:rPr>
          <w:t>10.1088/1741-4326/ae7e09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 </w:t>
      </w:r>
      <w:hyperlink r:id="rId298">
        <w:r>
          <w:rPr>
            <w:color w:val="1155CC"/>
            <w:u w:val="single"/>
          </w:rPr>
          <w:t>锰(II)光电开关中光磁弛豫的共价控制</w:t>
        </w:r>
      </w:hyperlink>
    </w:p>
    <w:p>
      <w:pPr>
        <w:spacing w:before="0" w:after="80"/>
      </w:pPr>
      <w:r>
        <w:rPr>
          <w:i/>
          <w:sz w:val="20"/>
        </w:rPr>
        <w:t>EN: Covalency control of photomagnetic relaxation in a manganese(II) photoswitch</w:t>
      </w:r>
    </w:p>
    <w:p>
      <w:pPr>
        <w:spacing w:before="0" w:after="120"/>
      </w:pPr>
      <w:r>
        <w:rPr>
          <w:b/>
        </w:rPr>
        <w:t xml:space="preserve">Source: </w:t>
      </w:r>
      <w:r>
        <w:t>Nature Chemistry</w:t>
      </w:r>
      <w:r>
        <w:t xml:space="preserve">    </w:t>
      </w:r>
      <w:r>
        <w:rPr>
          <w:b/>
        </w:rPr>
        <w:t xml:space="preserve">Pub date: </w:t>
      </w:r>
      <w:r>
        <w:t>2026-06-29 00:00:00+00:00</w:t>
      </w:r>
      <w:r>
        <w:t xml:space="preserve">    </w:t>
      </w:r>
      <w:r>
        <w:rPr>
          <w:b/>
        </w:rPr>
        <w:t xml:space="preserve">DOI: </w:t>
      </w:r>
      <w:hyperlink r:id="rId299">
        <w:r>
          <w:rPr>
            <w:color w:val="1155CC"/>
            <w:u w:val="single"/>
          </w:rPr>
          <w:t>10.1038/s41557-026-02193-8</w:t>
        </w:r>
      </w:hyperlink>
    </w:p>
    <w:p>
      <w:pPr>
        <w:spacing w:before="0" w:after="120"/>
      </w:pPr>
      <w:r>
        <w:rPr>
          <w:b/>
        </w:rPr>
        <w:t xml:space="preserve">Notes: </w:t>
      </w:r>
      <w:r>
        <w:t>abstract_source=nature_html</w:t>
      </w:r>
    </w:p>
    <w:p>
      <w:pPr>
        <w:spacing w:before="0" w:after="80" w:lineRule="auto" w:line="276"/>
      </w:pPr>
      <w:r>
        <w:rPr>
          <w:b/>
        </w:rPr>
        <w:t xml:space="preserve">摘要（ZH）: </w:t>
      </w:r>
      <w:r>
        <w:t>通过光切换分子中的电子自旋态是通过化学键重组或光诱导的激发自旋态捕获来实现的。这些过程要么需要大幅核运动，要么需要低温，限制了它们在数据存储或量子计算设备中的应用。在这里，我们展示了卡宾锰 (II) 配合物在溶液中 141 K 和固态 112.5 K 下经历光诱导激发自旋态捕获。辐照在溶液和固体中定量地从低自旋转变为高自旋。从实验数据推断，亚稳态高自旋态的寿命在 77 K 下可达超过 100 万年。超长寿命成功的关键是由于高金属配体键共价性而产生的高重组能，因此自旋弛豫的势垒高度和宽度很大，为在环境温度下工作的光可切换磁性材料铺平了道路。</w:t>
      </w:r>
    </w:p>
    <w:p>
      <w:pPr>
        <w:spacing w:before="0" w:after="200" w:lineRule="auto" w:line="276"/>
      </w:pPr>
      <w:r>
        <w:rPr>
          <w:b/>
        </w:rPr>
        <w:t xml:space="preserve">Abstract (EN): </w:t>
      </w:r>
      <w:r>
        <w:t>Switching the electronic spin state in molecules by light is achieved via chemical bond reshuffling or light-induced excited spin state trapping. These procedures either require large-amplitude nuclear motions or cryogenic temperatures limiting their application in data storage or quantum computing devices. Here we show that a carbene manganese(II) complex undergoes light-induced excited spin state trapping at 141 K in solution and 112.5 K in the solid state. Irradiation quantitatively switches from low- to high-spin in solution and in the solid. The lifetime of the metastable high-spin state extrapolated from experimental data amounts to over 1 million years at 77 K. Key to success for the very long lifetime is the high reorganization energy due to high metal–ligand bond covalency, and hence, a large barrier height and width for the spin relaxation, paving the way for photo-switchable magnetic materials operating at ambient temperature.</w:t>
      </w:r>
    </w:p>
    <w:p>
      <w:pPr>
        <w:spacing w:before="120" w:after="120"/>
      </w:pPr>
      <w:r>
        <w:rPr>
          <w:sz w:val="18"/>
        </w:rPr>
        <w:t>——————————————————————————————————————————————————————————————————————</w:t>
      </w:r>
    </w:p>
    <w:p>
      <w:pPr>
        <w:spacing w:before="160" w:after="40" w:line="240" w:lineRule="auto"/>
      </w:pPr>
      <w:r>
        <w:rPr>
          <w:b/>
        </w:rPr>
        <w:t xml:space="preserve">[55] </w:t>
      </w:r>
      <w:hyperlink r:id="rId300">
        <w:r>
          <w:rPr>
            <w:color w:val="1155CC"/>
            <w:u w:val="single"/>
          </w:rPr>
          <w:t>作者更正：奇偶校验-时间对称性和电子电路中的异常点</w:t>
        </w:r>
      </w:hyperlink>
    </w:p>
    <w:p>
      <w:pPr>
        <w:spacing w:before="0" w:after="80"/>
      </w:pPr>
      <w:r>
        <w:rPr>
          <w:i/>
          <w:sz w:val="20"/>
        </w:rPr>
        <w:t>EN: Author Correction: Parity–time symmetry and exceptional points in electronic circuits</w:t>
      </w:r>
    </w:p>
    <w:p>
      <w:pPr>
        <w:spacing w:before="0" w:after="120"/>
      </w:pPr>
      <w:r>
        <w:rPr>
          <w:b/>
        </w:rPr>
        <w:t xml:space="preserve">Source: </w:t>
      </w:r>
      <w:r>
        <w:t>Nature Electronics</w:t>
      </w:r>
      <w:r>
        <w:t xml:space="preserve">    </w:t>
      </w:r>
      <w:r>
        <w:rPr>
          <w:b/>
        </w:rPr>
        <w:t xml:space="preserve">Pub date: </w:t>
      </w:r>
      <w:r>
        <w:t>2026-06-29 00:00:00+00:00</w:t>
      </w:r>
      <w:r>
        <w:t xml:space="preserve">    </w:t>
      </w:r>
      <w:r>
        <w:rPr>
          <w:b/>
        </w:rPr>
        <w:t xml:space="preserve">DOI: </w:t>
      </w:r>
      <w:hyperlink r:id="rId301">
        <w:r>
          <w:rPr>
            <w:color w:val="1155CC"/>
            <w:u w:val="single"/>
          </w:rPr>
          <w:t>10.1038/s41928-026-01671-8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 </w:t>
      </w:r>
      <w:hyperlink r:id="rId302">
        <w:r>
          <w:rPr>
            <w:color w:val="1155CC"/>
            <w:u w:val="single"/>
          </w:rPr>
          <w:t>大气等离子体诱导化学过程驱动的汞同位素的极端质量无关分馏</w:t>
        </w:r>
      </w:hyperlink>
    </w:p>
    <w:p>
      <w:pPr>
        <w:spacing w:before="0" w:after="80"/>
      </w:pPr>
      <w:r>
        <w:rPr>
          <w:i/>
          <w:sz w:val="20"/>
        </w:rPr>
        <w:t>EN: Extreme mass-independent fractionation of mercury isotopes driven by atmospheric plasma-induced chemical process</w:t>
      </w:r>
    </w:p>
    <w:p>
      <w:pPr>
        <w:spacing w:before="0" w:after="120"/>
      </w:pPr>
      <w:r>
        <w:rPr>
          <w:b/>
        </w:rPr>
        <w:t xml:space="preserve">Source: </w:t>
      </w:r>
      <w:r>
        <w:t>Physical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汞 (Hg) 的质量无关分馏 (MIF) 为重建地球系统中的汞循环提供了强大的示踪剂。尽管通常归因于光化学，但许多天然同位素特征仍然与已建立的机制不一致。在这里，我们提出了实验证据，表明大气等离子体诱导的还原会产生奇怪的 Hg-MIF，其幅度和模式与光化学过程不同。等离子体反应产生的奇数 MIF 特征比光还原大得多，Δ199Hg 的范围为 -78% 至 +28%，是所有汞还原实验中负值最高的 Hg-MIF。 Hg-MIF 的符号随溶液 pH 值反转，在 pH ≥ 3.0 时产生强负 Hg-MIF，但在 pH ≤ 2.0 时产生正 Hg-MIF。这种逆转源于等离子体产生的物质之间的竞争，其中溶剂化电子在较高 pH 值下驱动负磁同位素效应 (MIE)，而氢自由基在低 pH 值下产生正 MIE。这些发现揭示了等离子体化学是汞同位素分馏的基本但以前被忽视的驱动因素。鉴于闪电和极光等自然等离子体的普遍存在，等离子体过程需要集成到地球大气和表面环境中的汞循环模型中。</w:t>
      </w:r>
    </w:p>
    <w:p>
      <w:pPr>
        <w:spacing w:before="0" w:after="200" w:lineRule="auto" w:line="276"/>
      </w:pPr>
      <w:r>
        <w:rPr>
          <w:b/>
        </w:rPr>
        <w:t xml:space="preserve">Abstract (EN): </w:t>
      </w:r>
      <w:r>
        <w:t>Mass-independent fractionation (MIF) of mercury (Hg) provides a powerful tracer for reconstructing Hg cycling in the Earth system. Although generally attributed to photochemistry, many natural isotope signatures remain inconsistent with the established mechanisms. Here, we present experimental evidence that atmospheric plasma-induced reduction produces odd Hg-MIF with magnitudes and patterns distinct from photochemical processes. Plasma reactions yielded far larger odd-MIF signatures than photoreduction, with Δ199Hg spanning −78‰ to +28‰, the most negative Hg-MIF across all Hg-reduction experiments. The sign of Hg-MIF reverses with solution pH, yielding strongly negative Hg-MIF at pH ≥ 3.0 but positive Hg-MIF at pH ≤ 2.0. This reversal arises from competition between plasma-generated species, where solvated electrons drive negative magnetic isotope effects (MIE) at higher pH, while hydrogen radicals produce positive MIE at low pH. These findings reveal plasma chemistry as a fundamental but previously overlooked driver of Hg isotope fractionation. Given the ubiquity of natural plasmas such as lightning and aurora, plasma processes need to be integrated into models of Hg cycling in Earth’s atmosphere and surface environments.</w:t>
      </w:r>
    </w:p>
    <w:p>
      <w:pPr>
        <w:spacing w:before="120" w:after="120"/>
      </w:pPr>
      <w:r>
        <w:rPr>
          <w:sz w:val="18"/>
        </w:rPr>
        <w:t>——————————————————————————————————————————————————————————————————————</w:t>
      </w:r>
    </w:p>
    <w:p>
      <w:pPr>
        <w:spacing w:before="160" w:after="40" w:line="240" w:lineRule="auto"/>
      </w:pPr>
      <w:r>
        <w:rPr>
          <w:b/>
        </w:rPr>
        <w:t xml:space="preserve">[57] </w:t>
      </w:r>
      <w:hyperlink r:id="rId303">
        <w:r>
          <w:rPr>
            <w:color w:val="1155CC"/>
            <w:u w:val="single"/>
          </w:rPr>
          <w:t>侵袭性增强促进了广泛分布的耐碳青霉烯类毒力质粒携带肺炎克雷伯菌亚系的优势</w:t>
        </w:r>
      </w:hyperlink>
    </w:p>
    <w:p>
      <w:pPr>
        <w:spacing w:before="0" w:after="80"/>
      </w:pPr>
      <w:r>
        <w:rPr>
          <w:i/>
          <w:sz w:val="20"/>
        </w:rPr>
        <w:t>EN: Enhanced invasiveness promotes the dominance of a widely-distributed carbapenem-resistant virulence-plasmid-carrying Klebsiella pneumoniae sublineage</w:t>
      </w:r>
    </w:p>
    <w:p>
      <w:pPr>
        <w:spacing w:before="0" w:after="120"/>
      </w:pPr>
      <w:r>
        <w:rPr>
          <w:b/>
        </w:rPr>
        <w:t xml:space="preserve">Source: </w:t>
      </w:r>
      <w:r>
        <w:t>Biological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耐碳青霉烯类肺炎克雷伯菌 (CRKP) 是世卫组织的重点优先病原体，它不断进化，产生威胁健康的高风险（亚）谱系。在这里，我们对医院 CRKP 感染进行了为期 10 年的监测，收集了 1513 个临床分离株并进行了全基因组测序，并附有临床数据。我们对 60,724 个非本地公开的肺炎克雷伯菌基因组进行了精细基因组分析。我们确定了一个在中国广泛传播并在国际上分布的主要 ST11-KL64 亚系。该亚系的分离株在季节性流感高峰期间更频繁地被发现，并含有编码“高毒力”因子的质粒，但不会导致患者死亡率增加。相反，它们表现出增强的侵袭性和易位能力。从机制上讲，这表明高度侵袭性的 CRKP (hiCRKP) 亚系对巨噬细胞介导的吞噬作用表现出较高的抵抗力，部分原因是毒力编码质粒和两个染色体 fimD 基因拷贝的丢失。此外，hiCRKP 分离株携带更多的抗菌药物耐药基因，导致对临床重要的喹诺酮类药物和四环素类药物的耐药性增强。为了应对 hiCRKP 带来的挑战，我们构建了一种噬菌体混合物，它显着提高了小鼠感染模型的存活率。我们的研究结果揭示了 CRKP 持续进化多样化产生的临床相关高风险亚系。重要的是，“高毒力”CRKP 更能引起疾病，而不是被认为会造成更多死亡，这解释了其</w:t>
      </w:r>
    </w:p>
    <w:p>
      <w:pPr>
        <w:spacing w:before="0" w:after="200" w:lineRule="auto" w:line="276"/>
      </w:pPr>
      <w:r>
        <w:rPr>
          <w:b/>
        </w:rPr>
        <w:t xml:space="preserve">Abstract (EN): </w:t>
      </w:r>
      <w:r>
        <w:t>Carbapenem-resistant Klebsiella pneumoniae (CRKP), a WHO’s critical priority pathogen, continuously evolves to generate health-threatening high-risk (sub)lineages. Here, we conducted a 10-year surveillance of nosocomial CRKP infections, collecting and whole-genome sequencing 1513 clinical isolates, accompanied by clinical data. We applied fine-scale genome analysis for 60,724 non-local public-available K. pneumoniae genomes. We identified a predominant ST11-KL64 sublineage widely-disseminated across China and internationally-distributed. Isolates of this sublineage were more frequently recovered during seasonal influenza peaks and harbored plasmids encoding ‘hypervirulence’ factors but caused no increase in patient mortality. Instead, they exhibited enhanced invasiveness and translocation capacity. Mechanistically, this suggested highly invasive CRKP (hiCRKP) sublineage showed elevated resistance to macrophage-mediated phagocytosis, partly due to the virulence-encoding plasmid and the loss of two chromosomal fimD gene copies. Additionally, hiCRKP isolates carried more antimicrobial resistance genes, resulting in enhanced resistance to clinically important quinolones and tetracyclines. To address the hiCRKP-imposed challenge, we constituted a phage cocktail, which significantly improved survival in a murine infection model. Our findings unveil a clinically-relevant high-risk sublineage resulted from the ongoing evolutionary diversification of CRKP. Importantly, the ‘hypervirulent’ CRKP is more potent to cause diseases rather than the thought-to-be more deaths, explaining its rapid emergence in healthcare settings.</w:t>
      </w:r>
    </w:p>
    <w:p>
      <w:pPr>
        <w:spacing w:before="120" w:after="120"/>
      </w:pPr>
      <w:r>
        <w:rPr>
          <w:sz w:val="18"/>
        </w:rPr>
        <w:t>——————————————————————————————————————————————————————————————————————</w:t>
      </w:r>
    </w:p>
    <w:p>
      <w:pPr>
        <w:spacing w:before="160" w:after="40" w:line="240" w:lineRule="auto"/>
      </w:pPr>
      <w:r>
        <w:rPr>
          <w:b/>
        </w:rPr>
        <w:t xml:space="preserve">[58] </w:t>
      </w:r>
      <w:hyperlink r:id="rId304">
        <w:r>
          <w:rPr>
            <w:color w:val="1155CC"/>
            <w:u w:val="single"/>
          </w:rPr>
          <w:t>使用 3D 扩散自动编码器导出的数百个心脏 MRI 特征具有共同的遗传结构</w:t>
        </w:r>
      </w:hyperlink>
    </w:p>
    <w:p>
      <w:pPr>
        <w:spacing w:before="0" w:after="80"/>
      </w:pPr>
      <w:r>
        <w:rPr>
          <w:i/>
          <w:sz w:val="20"/>
        </w:rPr>
        <w:t>EN: Hundreds of cardiac MRI traits derived using 3D diffusion autoencoders share a common genetic architecture</w:t>
      </w:r>
    </w:p>
    <w:p>
      <w:pPr>
        <w:spacing w:before="0" w:after="120"/>
      </w:pPr>
      <w:r>
        <w:rPr>
          <w:b/>
        </w:rPr>
        <w:t xml:space="preserve">Source: </w:t>
      </w:r>
      <w:r>
        <w:t>Biological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生物库规模的成像提供了前所未有的机会来描述人群中数千种器官表型的变化。然而，从成像数据中得出特定表型需要耗时的专家注释，限制了可扩展性。在这项研究中，我们开发了一个 3D 扩散自动编码器，从 71,017 名英国生物银行参与者的时间分辨心脏 MRI 数据中得出潜在表型。这些表型是可重复的、可遗传的（h2 = [4—18%]），并且与心脏代谢特征显着相关。为了建立这些性状的遗传基础，我们进行了全基因组关联研究，在 42 个基因座（包括 7 个新基因座）中鉴定了 89 个显着的常见变异 (P −9)。广泛的多性状共定位分析（PP.H4 &gt; 0.8）将各个表型尺度的变异联系起来，从中间心脏性状到心脏病终点。总之，本研究展示了扩散自动编码方法作为强大工具的用途，可利用心脏 MRI 数据进行无监督表型分析、基因发现和疾病风险预测。</w:t>
      </w:r>
    </w:p>
    <w:p>
      <w:pPr>
        <w:spacing w:before="0" w:after="200" w:lineRule="auto" w:line="276"/>
      </w:pPr>
      <w:r>
        <w:rPr>
          <w:b/>
        </w:rPr>
        <w:t xml:space="preserve">Abstract (EN): </w:t>
      </w:r>
      <w:r>
        <w:t>Biobank-scale imaging provides an unprecedented opportunity to characterise how thousands of organ phenotypes vary in populations. However, deriving specific phenotypes from imaging data requires time-consuming expert annotation, limiting scalability. In this study, we develop a 3D diffusion autoencoder to derive latent phenotypes from temporally resolved cardiac MRI data of 71,017 UK Biobank participants. These phenotypes are reproducible, heritable (h2 = [4—18%]), and significantly associated with cardiometabolic traits. To establish the genetic basis of such traits, we perform a genome-wide association study, identifying 89 significant common variants (P −9) across 42 loci, including seven novel loci. Extensive multi-trait colocalisation analyses (PP.H4 &gt; 0.8) link variants across phenotypic scales, from intermediate cardiac traits to cardiac disease endpoints. In conclusion, this study showcases the use of diffusion autoencoding methods as powerful tools for unsupervised phenotyping, genetic discovery and disease risk prediction using cardiac MRI data.</w:t>
      </w:r>
    </w:p>
    <w:p>
      <w:pPr>
        <w:spacing w:before="120" w:after="120"/>
      </w:pPr>
      <w:r>
        <w:rPr>
          <w:sz w:val="18"/>
        </w:rPr>
        <w:t>——————————————————————————————————————————————————————————————————————</w:t>
      </w:r>
    </w:p>
    <w:p>
      <w:pPr>
        <w:spacing w:before="160" w:after="40" w:line="240" w:lineRule="auto"/>
      </w:pPr>
      <w:r>
        <w:rPr>
          <w:b/>
        </w:rPr>
        <w:t xml:space="preserve">[59] </w:t>
      </w:r>
      <w:hyperlink r:id="rId305">
        <w:r>
          <w:rPr>
            <w:color w:val="1155CC"/>
            <w:u w:val="single"/>
          </w:rPr>
          <w:t>绘制出生后早期人类内分泌胰腺的组织学和功能成熟图</w:t>
        </w:r>
      </w:hyperlink>
    </w:p>
    <w:p>
      <w:pPr>
        <w:spacing w:before="0" w:after="80"/>
      </w:pPr>
      <w:r>
        <w:rPr>
          <w:i/>
          <w:sz w:val="20"/>
        </w:rPr>
        <w:t>EN: Mapping histologic and functional maturation of human endocrine pancreas across early postnatal periods</w:t>
      </w:r>
    </w:p>
    <w:p>
      <w:pPr>
        <w:spacing w:before="0" w:after="120"/>
      </w:pPr>
      <w:r>
        <w:rPr>
          <w:b/>
        </w:rPr>
        <w:t xml:space="preserve">Source: </w:t>
      </w:r>
      <w:r>
        <w:t>Biological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人类内分泌细胞分化和胰岛形态发生在确定胰岛细胞质量和功能方面发挥着关键作用，但这些过程的事件和时间线尚未完全确定。为了更好地了解早期人类胰岛细胞的发育和成熟，我们收集了 123 个儿童胰腺，并绘制了从出生到生命前十年的形态和时空变化图。利用定量分析和互补组织成像方法（包括共焦显微镜和全玻片多重成像）的组合，我们开发了内分泌细胞形成和胰岛结构的集成模型，包括内分泌细胞类型异质性和丰度、内分泌细胞增殖以及胰岛血管化和神经支配。我们还评估了 2 个月至 10 岁儿科捐赠者的分离胰岛制剂中的胰岛素和胰高血糖素分泌谱，发现胰岛素分泌的成熟度与胰高血糖素分泌相比存在时间差异。对产后和儿童胰岛发育的全面总结为未来的研究以及整合与胰岛生物学和糖尿病风险相关的新兴遗传和基因组数据提供了框架。</w:t>
      </w:r>
    </w:p>
    <w:p>
      <w:pPr>
        <w:spacing w:before="0" w:after="200" w:lineRule="auto" w:line="276"/>
      </w:pPr>
      <w:r>
        <w:rPr>
          <w:b/>
        </w:rPr>
        <w:t xml:space="preserve">Abstract (EN): </w:t>
      </w:r>
      <w:r>
        <w:t>Human endocrine cell differentiation and islet morphogenesis play critical roles in determining islet cell mass and function, but the events and timeline of these processes are incompletely defined. To better understand early human islet cell development and maturation, we collected 123 pediatric pancreata and mapped morphological and spatiotemporal changes from birth through the first ten years of life. Using quantitative analyses and a combination of complementary tissue imaging approaches, including confocal microscopy and whole-slide multiplex imaging, we developed an integrated model for endocrine cell formation and islet architecture, including endocrine cell type heterogeneity and abundance, endocrine cell proliferation, and islet vascularization and innervation. We also assessed insulin and glucagon secretory profiles in isolated islet preparations from pediatric donors aged 2 months to 10 years and found a temporal difference in the maturation of insulin secretion compared to glucagon secretion. This comprehensive summary of postnatal and pediatric pancreatic islet development provides a framework for future studies and for integrating emerging genetic and genomic data related to islet biology and diabetes risk.</w:t>
      </w:r>
    </w:p>
    <w:p>
      <w:pPr>
        <w:spacing w:before="120" w:after="120"/>
      </w:pPr>
      <w:r>
        <w:rPr>
          <w:sz w:val="18"/>
        </w:rPr>
        <w:t>——————————————————————————————————————————————————————————————————————</w:t>
      </w:r>
    </w:p>
    <w:p>
      <w:pPr>
        <w:spacing w:before="160" w:after="40" w:line="240" w:lineRule="auto"/>
      </w:pPr>
      <w:r>
        <w:rPr>
          <w:b/>
        </w:rPr>
        <w:t xml:space="preserve">[60] </w:t>
      </w:r>
      <w:hyperlink r:id="rId306">
        <w:r>
          <w:rPr>
            <w:color w:val="1155CC"/>
            <w:u w:val="single"/>
          </w:rPr>
          <w:t>穿着水下服的机器人昆虫能够进行数小时的潜水和 Terra Aqua 旅行</w:t>
        </w:r>
      </w:hyperlink>
    </w:p>
    <w:p>
      <w:pPr>
        <w:spacing w:before="0" w:after="80"/>
      </w:pPr>
      <w:r>
        <w:rPr>
          <w:i/>
          <w:sz w:val="20"/>
        </w:rPr>
        <w:t>EN: Underwater Suit-Wearing Cyborg Insect Capable of Hours-Long Diving and Terra-Aqua Travel</w:t>
      </w:r>
    </w:p>
    <w:p>
      <w:pPr>
        <w:spacing w:before="0" w:after="120"/>
      </w:pPr>
      <w:r>
        <w:rPr>
          <w:b/>
        </w:rPr>
        <w:t xml:space="preserve">Source: </w:t>
      </w:r>
      <w:r>
        <w:t>Physical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半机器人昆虫是一种将活昆虫与电子控制器结合在一起的混合机器人，其基本操作范围本质上受到宿主自然环境的限制。为了扩大它们的活动范围，我们为陆生昆虫开发了一种可穿戴潜水服。该套装集成了微型制氧模块和柔性防水外壳，可实现持续供氧并与周围的水隔离。通过将陆地物种蟑螂装入潜水服中，我们让它能够在水下等缺氧环境中生存和活动，将其转变为能够在陆地和水中作业的两栖机器人机器人。该套装可在水下持续呼吸和运动长达 3 小时，形成两栖机器人昆虫，将生物适应性与工程保护相结合，以便在极端、狭窄的环境中进行长时间探索。</w:t>
      </w:r>
    </w:p>
    <w:p>
      <w:pPr>
        <w:spacing w:before="0" w:after="200" w:lineRule="auto" w:line="276"/>
      </w:pPr>
      <w:r>
        <w:rPr>
          <w:b/>
        </w:rPr>
        <w:t xml:space="preserve">Abstract (EN): </w:t>
      </w:r>
      <w:r>
        <w:t>The fundamental operational range of cyborg insects, which are hybrid robots that combine a living insect with an electronic controller, is inherently restricted to the host’s natural environment. To extend their operational range, we developed a wearable diving suit for terrestrial insects. The suit integrates a miniaturised oxygen generation module with a flexible waterproof shell, enabling continuous oxygen supply and isolation from surrounding water. By fitting a cockroach, which is a terrestrial species, into this diving suit, we allowed it to survive and operate in oxygen-deprived environments such as underwater, transforming it into an amphibious cyborg robot capable of operation across land and water. The suit sustained respiration and locomotion for up to 3 h underwater, establishing amphibious cyborg insects that combine biological adaptability with engineered protection for prolonged exploration in extreme, confined environments.</w:t>
      </w:r>
    </w:p>
    <w:p>
      <w:pPr>
        <w:spacing w:before="120" w:after="120"/>
      </w:pPr>
      <w:r>
        <w:rPr>
          <w:sz w:val="18"/>
        </w:rPr>
        <w:t>——————————————————————————————————————————————————————————————————————</w:t>
      </w:r>
    </w:p>
    <w:p>
      <w:pPr>
        <w:spacing w:before="160" w:after="40" w:line="240" w:lineRule="auto"/>
      </w:pPr>
      <w:r>
        <w:rPr>
          <w:b/>
        </w:rPr>
        <w:t xml:space="preserve">[61] </w:t>
      </w:r>
      <w:hyperlink r:id="rId307">
        <w:r>
          <w:rPr>
            <w:color w:val="1155CC"/>
            <w:u w:val="single"/>
          </w:rPr>
          <w:t>HIV-2 Vif拮抗人APOBEC3H的结构机制</w:t>
        </w:r>
      </w:hyperlink>
    </w:p>
    <w:p>
      <w:pPr>
        <w:spacing w:before="0" w:after="80"/>
      </w:pPr>
      <w:r>
        <w:rPr>
          <w:i/>
          <w:sz w:val="20"/>
        </w:rPr>
        <w:t>EN: The structural mechanism of HIV-2 Vif antagonism of human APOBEC3H</w:t>
      </w:r>
    </w:p>
    <w:p>
      <w:pPr>
        <w:spacing w:before="0" w:after="120"/>
      </w:pPr>
      <w:r>
        <w:rPr>
          <w:b/>
        </w:rPr>
        <w:t xml:space="preserve">Source: </w:t>
      </w:r>
      <w:r>
        <w:t>Biological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人类 APOBEC3 (A3) 蛋白通过诱导病毒 cDNA 的超突变来限制逆转录病毒感染。为了抵消这种限制，慢病毒（例如 HIV-1 和 HIV-2）编码病毒感染因子 (Vif)，该因子劫持宿主 Cullin-RING E3 泛素连接酶复合物，以靶向 A3 蛋白进行蛋白酶体降解。在这里，我们展示了 HIV-2 Vif 与人 A3H 和 CBFβ 复合物的冷冻电镜结构。该结构揭示了 A3H 形成由 dsRNA 介导的二聚体，其中每个 A3H 单体直接与 HIV-2 Vif 和宿主蛋白 CBFβ 相互作用。 HIV-2 Vif-A3H 和 CBFβ-A3H 界面对于 A3H 降解至关重要。然而值得注意的是，HIV-2 Vif-A3H 界面与之前确定的 HIV-1 Vif 和 A​​3H 复合物的冷冻电镜结构完全不同。这些发现表明，HIV-1 和 HIV-2 Vif 是具有不同 A3H 特征的物种之间不同的跨物种传播的结果，它们遵循不同的进化轨迹来抵消人类 A3H。</w:t>
      </w:r>
    </w:p>
    <w:p>
      <w:pPr>
        <w:spacing w:before="0" w:after="200" w:lineRule="auto" w:line="276"/>
      </w:pPr>
      <w:r>
        <w:rPr>
          <w:b/>
        </w:rPr>
        <w:t xml:space="preserve">Abstract (EN): </w:t>
      </w:r>
      <w:r>
        <w:t>Human APOBEC3 (A3) proteins restrict retrovirus infection by inducing hypermutations in viral cDNA. To counteract this restriction, lentiviruses, such as HIV-1 and HIV-2 encode the viral infectivity factor (Vif), which hijacks a host Cullin-RING E3 ubiquitin ligase complex to target A3 proteins for proteasomal degradation. Here, we present the cryo-EM structure of HIV-2 Vif in complex with human A3H and CBFβ. The structure reveals that A3H forms a dimer mediated by dsRNA where each A3H monomer directly interacts with an HIV-2 Vif and the host protein CBFβ. Both HIV-2 Vif-A3H and CBFβ-A3H interfaces are critical for A3H degradation. Notably, however, the HIV-2 Vif-A3H interface is entirely distinct from the previously determined cryo-EM structure of the HIV-1 Vif and A3H complex. These findings suggest that HIV-1 and HIV-2 Vif, which are the result of distinct cross-species transmissions from species with different A3H characteristics, have followed separate evolutionary trajectories to counteract human A3H.</w:t>
      </w:r>
    </w:p>
    <w:p>
      <w:pPr>
        <w:spacing w:before="120" w:after="120"/>
      </w:pPr>
      <w:r>
        <w:rPr>
          <w:sz w:val="18"/>
        </w:rPr>
        <w:t>——————————————————————————————————————————————————————————————————————</w:t>
      </w:r>
    </w:p>
    <w:p>
      <w:pPr>
        <w:spacing w:before="160" w:after="40" w:line="240" w:lineRule="auto"/>
      </w:pPr>
      <w:r>
        <w:rPr>
          <w:b/>
        </w:rPr>
        <w:t xml:space="preserve">[62] </w:t>
      </w:r>
      <w:hyperlink r:id="rId308">
        <w:r>
          <w:rPr>
            <w:color w:val="1155CC"/>
            <w:u w:val="single"/>
          </w:rPr>
          <w:t>板块构造历史和海洋氧化塑造热液细菌群落的生物地理学</w:t>
        </w:r>
      </w:hyperlink>
    </w:p>
    <w:p>
      <w:pPr>
        <w:spacing w:before="0" w:after="80"/>
      </w:pPr>
      <w:r>
        <w:rPr>
          <w:i/>
          <w:sz w:val="20"/>
        </w:rPr>
        <w:t>EN: Plate tectonic history and ocean oxygenation shaping biogeography of hydrothermal bacterial community</w:t>
      </w:r>
    </w:p>
    <w:p>
      <w:pPr>
        <w:spacing w:before="0" w:after="120"/>
      </w:pPr>
      <w:r>
        <w:rPr>
          <w:b/>
        </w:rPr>
        <w:t xml:space="preserve">Source: </w:t>
      </w:r>
      <w:r>
        <w:t>Biological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板块构造对微生物分布的影响仍然知之甚少。在这里，我们证明了热液喷口特有的化能自养微生物群的全球生物地理学是由全球主要海洋的构造历史构成的。这些微生物群，特别是厌氧微生物群，在早期起源的太平洋、北冰洋和地中海中明显更加丰富，而在晚期形成的大西洋和印度洋中则明显稀少。这种模式归因于海洋形成的时间及其与全球氧化还原演化的相互作用。后两个海洋形成过程中显生宙的充分氧化条件在海洋之间施加了双重扩散屏障：分子氧对厌氧生物的毒性和需氧生物能源（特别是还原化学物质）的耗尽，但这种屏障在前三个海洋开始的显生宙之前并不存在。这些结果将微生物生物地理学整合到地球动力学框架中，揭示即使微生物生命也受到行星尺度的地质限制。</w:t>
      </w:r>
    </w:p>
    <w:p>
      <w:pPr>
        <w:spacing w:before="0" w:after="200" w:lineRule="auto" w:line="276"/>
      </w:pPr>
      <w:r>
        <w:rPr>
          <w:b/>
        </w:rPr>
        <w:t xml:space="preserve">Abstract (EN): </w:t>
      </w:r>
      <w:r>
        <w:t>The influence of plate tectonics on microbial distributions remains poorly understood. Here, we demonstrate that the global biogeography of hydrothermal vent-endemic chemoautotrophic microbiota is structured by the tectonic history of the global major oceans. These microbiota, particularly anaerobic ones, are significantly more abundant in early-origin Pacific, Arctic, and Mediterranean oceans, whereas they are notably scarce in late-formed Atlantic and Indian Oceans. This pattern was attributed to the timing of ocean formation and its interplay with global redox evolution. Fully oxygenated conditions in the Phanerozoic during the formation of the latter two oceans imposed a dual-dispersal barrier among oceans: toxicity of molecular oxygen to anaerobes and depletion of energy sources (especially reduced chemicals) for aerobes, but such a barrier didn’t exist before the Phanerozoic, when the former three oceans started. These results integrate microbial biogeography into a geodynamic framework, revealing that even microbial life is subject to planetary-scale geological constraints.</w:t>
      </w:r>
    </w:p>
    <w:p>
      <w:pPr>
        <w:spacing w:before="120" w:after="120"/>
      </w:pPr>
      <w:r>
        <w:rPr>
          <w:sz w:val="18"/>
        </w:rPr>
        <w:t>——————————————————————————————————————————————————————————————————————</w:t>
      </w:r>
    </w:p>
    <w:p>
      <w:pPr>
        <w:spacing w:before="160" w:after="40" w:line="240" w:lineRule="auto"/>
      </w:pPr>
      <w:r>
        <w:rPr>
          <w:b/>
        </w:rPr>
        <w:t xml:space="preserve">[63] </w:t>
      </w:r>
      <w:hyperlink r:id="rId309">
        <w:r>
          <w:rPr>
            <w:color w:val="1155CC"/>
            <w:u w:val="single"/>
          </w:rPr>
          <w:t>钴催化炔烃与卤代烷和亚胺的不对称三组分还原加成</w:t>
        </w:r>
      </w:hyperlink>
    </w:p>
    <w:p>
      <w:pPr>
        <w:spacing w:before="0" w:after="80"/>
      </w:pPr>
      <w:r>
        <w:rPr>
          <w:i/>
          <w:sz w:val="20"/>
        </w:rPr>
        <w:t>EN: Cobalt-catalyzed asymmetric three-component reductive addition of alkynes with alkyl halides and imines</w:t>
      </w:r>
    </w:p>
    <w:p>
      <w:pPr>
        <w:spacing w:before="0" w:after="120"/>
      </w:pPr>
      <w:r>
        <w:rPr>
          <w:b/>
        </w:rPr>
        <w:t xml:space="preserve">Source: </w:t>
      </w:r>
      <w:r>
        <w:t>Physical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炔烃的催化二碳官能化是从简单原料快速组装复杂的多取代无环烯烃的高效策略。尽管在各种外消旋转化方面取得了重大进展，但通过多组分自由基途径直接对映选择性构建带有空间拥挤的四取代立构中心的多取代无环烯烃仍然是有机化学中艰巨且尚未解决的挑战。在此，我们报道了末端炔烃、酮亚胺和未活化的烷基碘的钴催化不对称三组分自由基加成，其有效地产生具有挑战性的四取代立体中心的多取代烯丙胺衍生物。这种对映选择性加成方案在温和的还原条件下进行，具有广泛的底物范围和高官能团耐受性，提供具有优异立体选择性的产品。初步机理研究表明，基于自由基的级联过程涉及立体特异性烷基自由基加成到炔烃上，然后立体选择性加成到酮亚胺上。这项工作提供了一种简单且模块化的策略，可以从容易获得的起始材料中获取高度功能化的手性烯丙胺。</w:t>
      </w:r>
    </w:p>
    <w:p>
      <w:pPr>
        <w:spacing w:before="0" w:after="200" w:lineRule="auto" w:line="276"/>
      </w:pPr>
      <w:r>
        <w:rPr>
          <w:b/>
        </w:rPr>
        <w:t xml:space="preserve">Abstract (EN): </w:t>
      </w:r>
      <w:r>
        <w:t>The catalytic dicarbofunctionalization of alkynes is a highly efficient strategy for the rapid assembly of complex, multi-substituted acyclic alkenes from simple feedstocks. Despite significant progress having been made in various racemic transformations, the direct enantioselective construction of multi-substituted acyclic alkenes bearing sterically congested tetrasubstituted stereocenters via multicomponent radical pathways remains a formidable and unsolved challenge in organic chemistry. Herein, we report a cobalt-catalyzed asymmetric three-component radical addition of terminal alkynes, ketimines, and unactivated alkyl iodides, which efficiently delivers polysubstituted allylamine derivatives featuring challenging tetrasubstituted stereocenters. This enantioselective addition protocol proceeds under mild reductive conditions and exhibits broad substrate scope with high functional group tolerance, delivering products with excellent stereoselectivity. Preliminary mechanistic investigations suggest a radical-based cascade process involving stereospecific alkyl radical addition to the alkyne followed by stereoselective addition to the ketimine. This work provides a straightforward and modular strategy to access highly functionalized chiral allylic amines from readily available starting materials.</w:t>
      </w:r>
    </w:p>
    <w:p>
      <w:pPr>
        <w:spacing w:before="120" w:after="120"/>
      </w:pPr>
      <w:r>
        <w:rPr>
          <w:sz w:val="18"/>
        </w:rPr>
        <w:t>——————————————————————————————————————————————————————————————————————</w:t>
      </w:r>
    </w:p>
    <w:p>
      <w:pPr>
        <w:spacing w:before="160" w:after="40" w:line="240" w:lineRule="auto"/>
      </w:pPr>
      <w:r>
        <w:rPr>
          <w:b/>
        </w:rPr>
        <w:t xml:space="preserve">[64] </w:t>
      </w:r>
      <w:hyperlink r:id="rId310">
        <w:r>
          <w:rPr>
            <w:color w:val="1155CC"/>
            <w:u w:val="single"/>
          </w:rPr>
          <w:t>通过轴介导的大环化反向无金属活性模板合成轮烷</w:t>
        </w:r>
      </w:hyperlink>
    </w:p>
    <w:p>
      <w:pPr>
        <w:spacing w:before="0" w:after="80"/>
      </w:pPr>
      <w:r>
        <w:rPr>
          <w:i/>
          <w:sz w:val="20"/>
        </w:rPr>
        <w:t>EN: Inverted metal-free active template synthesis of rotaxanes via axle‑mediated macrocyclization</w:t>
      </w:r>
    </w:p>
    <w:p>
      <w:pPr>
        <w:spacing w:before="0" w:after="120"/>
      </w:pPr>
      <w:r>
        <w:rPr>
          <w:b/>
        </w:rPr>
        <w:t xml:space="preserve">Source: </w:t>
      </w:r>
      <w:r>
        <w:t>Nature Chemistry</w:t>
      </w:r>
      <w:r>
        <w:t xml:space="preserve">    </w:t>
      </w:r>
      <w:r>
        <w:rPr>
          <w:b/>
        </w:rPr>
        <w:t xml:space="preserve">Pub date: </w:t>
      </w:r>
      <w:r>
        <w:t>2026-06-29 00:00:00+00:00</w:t>
      </w:r>
      <w:r>
        <w:t xml:space="preserve">    </w:t>
      </w:r>
      <w:r>
        <w:rPr>
          <w:b/>
        </w:rPr>
        <w:t xml:space="preserve">DOI: </w:t>
      </w:r>
      <w:hyperlink r:id="rId311">
        <w:r>
          <w:rPr>
            <w:color w:val="1155CC"/>
            <w:u w:val="single"/>
          </w:rPr>
          <w:t>10.1038/s41557-026-02188-5</w:t>
        </w:r>
      </w:hyperlink>
    </w:p>
    <w:p>
      <w:pPr>
        <w:spacing w:before="0" w:after="120"/>
      </w:pPr>
      <w:r>
        <w:rPr>
          <w:b/>
        </w:rPr>
        <w:t xml:space="preserve">Notes: </w:t>
      </w:r>
      <w:r>
        <w:t>abstract_source=nature_html</w:t>
      </w:r>
    </w:p>
    <w:p>
      <w:pPr>
        <w:spacing w:before="0" w:after="80" w:lineRule="auto" w:line="276"/>
      </w:pPr>
      <w:r>
        <w:rPr>
          <w:b/>
        </w:rPr>
        <w:t xml:space="preserve">摘要（ZH）: </w:t>
      </w:r>
      <w:r>
        <w:t>轮烷合成通常需要大环包含螺纹轴或其构件的识别位点。在这里，我们表明，柔性低聚（乙二醇）轴可以促进自身周围大环的形成，从而实现从简单构建单元到轮烷的反向、无金属活性模板路线。该轴通过氢键加速酰胺键形成大环化，使[2]轮烷的产率高达 70%。较长的轴可以迭代组装高阶[n]轮烷，最多可将四个大环螺纹连接到八（乙二醇）链上。这种[5]轮烷的X射线晶体结构揭示了通过芳族堆积和氢键稳定的拥挤的螺旋状环堆叠，解释了后来的大环化的增强功效。随后删除新形成的酰胺，得到结构简约的轮烷，其包含穿过环烃的低聚（乙二醇）轴。消除轮烷大环中对特定官能团和结构基序的要求增加了机械互锁分子的可接近结构。</w:t>
      </w:r>
    </w:p>
    <w:p>
      <w:pPr>
        <w:spacing w:before="0" w:after="200" w:lineRule="auto" w:line="276"/>
      </w:pPr>
      <w:r>
        <w:rPr>
          <w:b/>
        </w:rPr>
        <w:t xml:space="preserve">Abstract (EN): </w:t>
      </w:r>
      <w:r>
        <w:t>Rotaxane synthesis generally requires the macrocycle to contain recognition sites for the threaded axle or its building blocks. Here we show that flexible oligo(ethylene glycol) axles can instead promote the formation of macrocycles around themselves, enabling an inverted, metal-free active-template route to rotaxanes from simple building blocks. The axle accelerates amide-bond-forming macrocyclization through hydrogen bonding, giving [2]rotaxanes in up to 70% yield. Longer axles enable the iterative assembly of higher-order [n]rotaxanes, with up to four macrocycles threaded onto an octa(ethylene glycol) chain. The X-ray crystal structure of such a [5]rotaxane reveals a crowded helical stack of rings stabilized by aromatic stacking and hydrogen bonding, explaining the enhanced efficacy of the later macrocyclizations. Subsequent deletion of the newly formed amides gives structurally minimalist rotaxanes comprising an oligo(ethylene glycol) axle threaded through a cyclohydrocarbon. Removing the requirement for particular functional groups and structural motifs in rotaxane macrocycles increases the accessible structures of mechanically interlocked molecules.</w:t>
      </w:r>
    </w:p>
    <w:p>
      <w:pPr>
        <w:spacing w:before="120" w:after="120"/>
      </w:pPr>
      <w:r>
        <w:rPr>
          <w:sz w:val="18"/>
        </w:rPr>
        <w:t>——————————————————————————————————————————————————————————————————————</w:t>
      </w:r>
    </w:p>
    <w:p>
      <w:pPr>
        <w:spacing w:before="160" w:after="40" w:line="240" w:lineRule="auto"/>
      </w:pPr>
      <w:r>
        <w:rPr>
          <w:b/>
        </w:rPr>
        <w:t xml:space="preserve">[65] </w:t>
      </w:r>
      <w:hyperlink r:id="rId312">
        <w:r>
          <w:rPr>
            <w:color w:val="1155CC"/>
            <w:u w:val="single"/>
          </w:rPr>
          <w:t>音频长读：肽热潮有科学支持吗？炒作背后的承诺</w:t>
        </w:r>
      </w:hyperlink>
    </w:p>
    <w:p>
      <w:pPr>
        <w:spacing w:before="0" w:after="80"/>
      </w:pPr>
      <w:r>
        <w:rPr>
          <w:i/>
          <w:sz w:val="20"/>
        </w:rPr>
        <w:t>EN: Audio long read: Is the peptide craze backed by science? The promise behind the hype</w:t>
      </w:r>
    </w:p>
    <w:p>
      <w:pPr>
        <w:spacing w:before="0" w:after="120"/>
      </w:pPr>
      <w:r>
        <w:rPr>
          <w:b/>
        </w:rPr>
        <w:t xml:space="preserve">Source: </w:t>
      </w:r>
      <w:r>
        <w:t>Nature</w:t>
      </w:r>
      <w:r>
        <w:t xml:space="preserve">    </w:t>
      </w:r>
      <w:r>
        <w:rPr>
          <w:b/>
        </w:rPr>
        <w:t xml:space="preserve">Pub date: </w:t>
      </w:r>
      <w:r>
        <w:t>2026-06-29 00:00:00+00:00</w:t>
      </w:r>
      <w:r>
        <w:t xml:space="preserve">    </w:t>
      </w:r>
      <w:r>
        <w:rPr>
          <w:b/>
        </w:rPr>
        <w:t xml:space="preserve">DOI: </w:t>
      </w:r>
      <w:hyperlink r:id="rId313">
        <w:r>
          <w:rPr>
            <w:color w:val="1155CC"/>
            <w:u w:val="single"/>
          </w:rPr>
          <w:t>10.1038/d41586-026-02063-w</w:t>
        </w:r>
      </w:hyperlink>
    </w:p>
    <w:p>
      <w:pPr>
        <w:spacing w:before="0" w:after="120"/>
      </w:pPr>
      <w:r>
        <w:rPr>
          <w:b/>
        </w:rPr>
        <w:t xml:space="preserve">Notes: </w:t>
      </w:r>
      <w:r>
        <w:t>abstract_source=nature_html</w:t>
      </w:r>
    </w:p>
    <w:p>
      <w:pPr>
        <w:spacing w:before="0" w:after="80" w:lineRule="auto" w:line="276"/>
      </w:pPr>
      <w:r>
        <w:rPr>
          <w:b/>
        </w:rPr>
        <w:t xml:space="preserve">摘要（ZH）: </w:t>
      </w:r>
      <w:r>
        <w:t>不受监管的肽市场巨大。最热门的健康趋势是否已经领先于科学？聆听最近自然专题的音频版本。</w:t>
      </w:r>
    </w:p>
    <w:p>
      <w:pPr>
        <w:spacing w:before="0" w:after="200" w:lineRule="auto" w:line="276"/>
      </w:pPr>
      <w:r>
        <w:rPr>
          <w:b/>
        </w:rPr>
        <w:t xml:space="preserve">Abstract (EN): </w:t>
      </w:r>
      <w:r>
        <w:t>The market for unregulated peptides is huge. Has the hottest trend in wellness got ahead of the science? Listen to an audio version of a recent Nature Feature.</w:t>
      </w:r>
    </w:p>
    <w:p>
      <w:pPr>
        <w:spacing w:before="120" w:after="120"/>
      </w:pPr>
      <w:r>
        <w:rPr>
          <w:sz w:val="18"/>
        </w:rPr>
        <w:t>——————————————————————————————————————————————————————————————————————</w:t>
      </w:r>
    </w:p>
    <w:p>
      <w:pPr>
        <w:spacing w:before="160" w:after="40" w:line="240" w:lineRule="auto"/>
      </w:pPr>
      <w:r>
        <w:rPr>
          <w:b/>
        </w:rPr>
        <w:t xml:space="preserve">[66] </w:t>
      </w:r>
      <w:hyperlink r:id="rId314">
        <w:r>
          <w:rPr>
            <w:color w:val="1155CC"/>
            <w:u w:val="single"/>
          </w:rPr>
          <w:t>基于 MXene 的生物可吸收绷带加速糖尿病伤口修复</w:t>
        </w:r>
      </w:hyperlink>
    </w:p>
    <w:p>
      <w:pPr>
        <w:spacing w:before="0" w:after="80"/>
      </w:pPr>
      <w:r>
        <w:rPr>
          <w:i/>
          <w:sz w:val="20"/>
        </w:rPr>
        <w:t>EN: MXene-based bioabsorbable bandage speeds up diabetic wound repair</w:t>
      </w:r>
    </w:p>
    <w:p>
      <w:pPr>
        <w:spacing w:before="0" w:after="120"/>
      </w:pPr>
      <w:r>
        <w:rPr>
          <w:b/>
        </w:rPr>
        <w:t xml:space="preserve">Source: </w:t>
      </w:r>
      <w:r>
        <w:t>Nature Reviews Materials</w:t>
      </w:r>
      <w:r>
        <w:t xml:space="preserve">    </w:t>
      </w:r>
      <w:r>
        <w:rPr>
          <w:b/>
        </w:rPr>
        <w:t xml:space="preserve">Pub date: </w:t>
      </w:r>
      <w:r>
        <w:t>2026-06-29 00:00:00+00:00</w:t>
      </w:r>
      <w:r>
        <w:t xml:space="preserve">    </w:t>
      </w:r>
      <w:r>
        <w:rPr>
          <w:b/>
        </w:rPr>
        <w:t xml:space="preserve">DOI: </w:t>
      </w:r>
      <w:hyperlink r:id="rId315">
        <w:r>
          <w:rPr>
            <w:color w:val="1155CC"/>
            <w:u w:val="single"/>
          </w:rPr>
          <w:t>10.1038/s41578-026-00941-3</w:t>
        </w:r>
      </w:hyperlink>
    </w:p>
    <w:p>
      <w:pPr>
        <w:spacing w:before="0" w:after="120"/>
      </w:pPr>
      <w:r>
        <w:rPr>
          <w:b/>
        </w:rPr>
        <w:t xml:space="preserve">Notes: </w:t>
      </w:r>
      <w:r>
        <w:t>abstract_source=nature_html</w:t>
      </w:r>
    </w:p>
    <w:p>
      <w:pPr>
        <w:spacing w:before="0" w:after="80" w:lineRule="auto" w:line="276"/>
      </w:pPr>
      <w:r>
        <w:rPr>
          <w:b/>
        </w:rPr>
        <w:t xml:space="preserve">摘要（ZH）: </w:t>
      </w:r>
      <w:r>
        <w:t>Science Advances 上的一篇文章报道了一种完全生物可吸收的、葡萄糖驱动的电子绷带，它使用基于 MXene 的电极来收集生化能量并恢复糖尿病组织中的伤口边缘区域。</w:t>
      </w:r>
    </w:p>
    <w:p>
      <w:pPr>
        <w:spacing w:before="0" w:after="200" w:lineRule="auto" w:line="276"/>
      </w:pPr>
      <w:r>
        <w:rPr>
          <w:b/>
        </w:rPr>
        <w:t xml:space="preserve">Abstract (EN): </w:t>
      </w:r>
      <w:r>
        <w:t>An article in Science Advances reports a fully bioabsorbable, glucose-powered electronic bandage that uses MXene-based electrodes to harvest biochemical energy and restore wound edge fields in diabetic tissues.</w:t>
      </w:r>
    </w:p>
    <w:p>
      <w:pPr>
        <w:spacing w:before="120" w:after="120"/>
      </w:pPr>
      <w:r>
        <w:rPr>
          <w:sz w:val="18"/>
        </w:rPr>
        <w:t>——————————————————————————————————————————————————————————————————————</w:t>
      </w:r>
    </w:p>
    <w:p>
      <w:pPr>
        <w:spacing w:before="160" w:after="40" w:line="240" w:lineRule="auto"/>
      </w:pPr>
      <w:r>
        <w:rPr>
          <w:b/>
        </w:rPr>
        <w:t xml:space="preserve">[67] </w:t>
      </w:r>
      <w:hyperlink r:id="rId316">
        <w:r>
          <w:rPr>
            <w:color w:val="1155CC"/>
            <w:u w:val="single"/>
          </w:rPr>
          <w:t>科学家反击德国限制学术自由的极右翼计划</w:t>
        </w:r>
      </w:hyperlink>
    </w:p>
    <w:p>
      <w:pPr>
        <w:spacing w:before="0" w:after="80"/>
      </w:pPr>
      <w:r>
        <w:rPr>
          <w:i/>
          <w:sz w:val="20"/>
        </w:rPr>
        <w:t>EN: Scientists fight back against far-right plans to restrict academic freedom in Germany</w:t>
      </w:r>
    </w:p>
    <w:p>
      <w:pPr>
        <w:spacing w:before="0" w:after="120"/>
      </w:pPr>
      <w:r>
        <w:rPr>
          <w:b/>
        </w:rPr>
        <w:t xml:space="preserve">Source: </w:t>
      </w:r>
      <w:r>
        <w:t>Nature</w:t>
      </w:r>
      <w:r>
        <w:t xml:space="preserve">    </w:t>
      </w:r>
      <w:r>
        <w:rPr>
          <w:b/>
        </w:rPr>
        <w:t xml:space="preserve">Pub date: </w:t>
      </w:r>
      <w:r>
        <w:t>2026-06-29 00:00:00+00:00</w:t>
      </w:r>
      <w:r>
        <w:t xml:space="preserve">    </w:t>
      </w:r>
      <w:r>
        <w:rPr>
          <w:b/>
        </w:rPr>
        <w:t xml:space="preserve">DOI: </w:t>
      </w:r>
      <w:hyperlink r:id="rId317">
        <w:r>
          <w:rPr>
            <w:color w:val="1155CC"/>
            <w:u w:val="single"/>
          </w:rPr>
          <w:t>10.1038/d41586-026-01496-7</w:t>
        </w:r>
      </w:hyperlink>
    </w:p>
    <w:p>
      <w:pPr>
        <w:spacing w:before="0" w:after="120"/>
      </w:pPr>
      <w:r>
        <w:rPr>
          <w:b/>
        </w:rPr>
        <w:t xml:space="preserve">Notes: </w:t>
      </w:r>
      <w:r>
        <w:t>abstract_source=nature_html</w:t>
      </w:r>
    </w:p>
    <w:p>
      <w:pPr>
        <w:spacing w:before="0" w:after="80" w:lineRule="auto" w:line="276"/>
      </w:pPr>
      <w:r>
        <w:rPr>
          <w:b/>
        </w:rPr>
        <w:t xml:space="preserve">摘要（ZH）: </w:t>
      </w:r>
      <w:r>
        <w:t>随着极右翼德国另类选择党在全国和州选举的民意调查中领先，各机构正面临拟议的学术自由限制。随着极右翼德国另类选择党在全国和州选举的民意调查中领先，各机构正面临拟议的学术自由限制。</w:t>
      </w:r>
    </w:p>
    <w:p>
      <w:pPr>
        <w:spacing w:before="0" w:after="200" w:lineRule="auto" w:line="276"/>
      </w:pPr>
      <w:r>
        <w:rPr>
          <w:b/>
        </w:rPr>
        <w:t xml:space="preserve">Abstract (EN): </w:t>
      </w:r>
      <w:r>
        <w:t>With the far-right Alternative for Germany leading in polls for national and state elections, institutions are facing up to proposed restrictions on academic freedom. With the far-right Alternative for Germany leading in polls for national and state elections, institutions are facing up to proposed restrictions on academic freedom.</w:t>
      </w:r>
    </w:p>
    <w:p>
      <w:pPr>
        <w:spacing w:before="120" w:after="120"/>
      </w:pPr>
      <w:r>
        <w:rPr>
          <w:sz w:val="18"/>
        </w:rPr>
        <w:t>——————————————————————————————————————————————————————————————————————</w:t>
      </w:r>
    </w:p>
    <w:p>
      <w:pPr>
        <w:spacing w:before="160" w:after="40" w:line="240" w:lineRule="auto"/>
      </w:pPr>
      <w:r>
        <w:rPr>
          <w:b/>
        </w:rPr>
        <w:t xml:space="preserve">[68] </w:t>
      </w:r>
      <w:hyperlink r:id="rId318">
        <w:r>
          <w:rPr>
            <w:color w:val="1155CC"/>
            <w:u w:val="single"/>
          </w:rPr>
          <w:t>美国研究风暴造成的人员成本是多少？一部新电影发现了</w:t>
        </w:r>
      </w:hyperlink>
    </w:p>
    <w:p>
      <w:pPr>
        <w:spacing w:before="0" w:after="80"/>
      </w:pPr>
      <w:r>
        <w:rPr>
          <w:i/>
          <w:sz w:val="20"/>
        </w:rPr>
        <w:t>EN: What’s the human cost of US research turmoil? A new film finds out</w:t>
      </w:r>
    </w:p>
    <w:p>
      <w:pPr>
        <w:spacing w:before="0" w:after="120"/>
      </w:pPr>
      <w:r>
        <w:rPr>
          <w:b/>
        </w:rPr>
        <w:t xml:space="preserve">Source: </w:t>
      </w:r>
      <w:r>
        <w:t>Nature</w:t>
      </w:r>
      <w:r>
        <w:t xml:space="preserve">    </w:t>
      </w:r>
      <w:r>
        <w:rPr>
          <w:b/>
        </w:rPr>
        <w:t xml:space="preserve">Pub date: </w:t>
      </w:r>
      <w:r>
        <w:t>2026-06-29 00:00:00+00:00</w:t>
      </w:r>
      <w:r>
        <w:t xml:space="preserve">    </w:t>
      </w:r>
      <w:r>
        <w:rPr>
          <w:b/>
        </w:rPr>
        <w:t xml:space="preserve">DOI: </w:t>
      </w:r>
      <w:hyperlink r:id="rId319">
        <w:r>
          <w:rPr>
            <w:color w:val="1155CC"/>
            <w:u w:val="single"/>
          </w:rPr>
          <w:t>10.1038/d41586-026-01979-7</w:t>
        </w:r>
      </w:hyperlink>
    </w:p>
    <w:p>
      <w:pPr>
        <w:spacing w:before="0" w:after="120"/>
      </w:pPr>
      <w:r>
        <w:rPr>
          <w:b/>
        </w:rPr>
        <w:t xml:space="preserve">Notes: </w:t>
      </w:r>
      <w:r>
        <w:t>abstract_source=nature_html</w:t>
      </w:r>
    </w:p>
    <w:p>
      <w:pPr>
        <w:spacing w:before="0" w:after="80" w:lineRule="auto" w:line="276"/>
      </w:pPr>
      <w:r>
        <w:rPr>
          <w:b/>
        </w:rPr>
        <w:t xml:space="preserve">摘要（ZH）: </w:t>
      </w:r>
      <w:r>
        <w:t>科学是一项复杂、相互关联、高度人性化的事业，涉及艰苦的磨练——资金削减和拨款延迟对许多人来说都是一记重拳。科学是一项复杂、相互关联、高度人性化的事业，涉及艰苦的磨练——资金削减和拨款延迟对许多人来说都是一记重拳。</w:t>
      </w:r>
    </w:p>
    <w:p>
      <w:pPr>
        <w:spacing w:before="0" w:after="200" w:lineRule="auto" w:line="276"/>
      </w:pPr>
      <w:r>
        <w:rPr>
          <w:b/>
        </w:rPr>
        <w:t xml:space="preserve">Abstract (EN): </w:t>
      </w:r>
      <w:r>
        <w:t>Science is a complex, interconnected, deeply human enterprise involving hard grind — and funding cuts and grant delays have come as a sucker punch to many. Science is a complex, interconnected, deeply human enterprise involving hard grind — and funding cuts and grant delays have come as a sucker punch to many.</w:t>
      </w:r>
    </w:p>
    <w:p>
      <w:pPr>
        <w:spacing w:before="120" w:after="120"/>
      </w:pPr>
      <w:r>
        <w:rPr>
          <w:sz w:val="18"/>
        </w:rPr>
        <w:t>——————————————————————————————————————————————————————————————————————</w:t>
      </w:r>
    </w:p>
    <w:p>
      <w:pPr>
        <w:spacing w:before="160" w:after="40" w:line="240" w:lineRule="auto"/>
      </w:pPr>
      <w:r>
        <w:rPr>
          <w:b/>
        </w:rPr>
        <w:t xml:space="preserve">[69] </w:t>
      </w:r>
      <w:hyperlink r:id="rId320">
        <w:r>
          <w:rPr>
            <w:color w:val="1155CC"/>
            <w:u w:val="single"/>
          </w:rPr>
          <w:t>人工智能如何为神经分歧的学生打开“隐藏课程”</w:t>
        </w:r>
      </w:hyperlink>
    </w:p>
    <w:p>
      <w:pPr>
        <w:spacing w:before="0" w:after="80"/>
      </w:pPr>
      <w:r>
        <w:rPr>
          <w:i/>
          <w:sz w:val="20"/>
        </w:rPr>
        <w:t>EN: How AI can crack open the ‘hidden curriculum’ for neurodivergent students</w:t>
      </w:r>
    </w:p>
    <w:p>
      <w:pPr>
        <w:spacing w:before="0" w:after="120"/>
      </w:pPr>
      <w:r>
        <w:rPr>
          <w:b/>
        </w:rPr>
        <w:t xml:space="preserve">Source: </w:t>
      </w:r>
      <w:r>
        <w:t>Nature</w:t>
      </w:r>
      <w:r>
        <w:t xml:space="preserve">    </w:t>
      </w:r>
      <w:r>
        <w:rPr>
          <w:b/>
        </w:rPr>
        <w:t xml:space="preserve">Pub date: </w:t>
      </w:r>
      <w:r>
        <w:t>2026-06-29 00:00:00+00:00</w:t>
      </w:r>
      <w:r>
        <w:t xml:space="preserve">    </w:t>
      </w:r>
      <w:r>
        <w:rPr>
          <w:b/>
        </w:rPr>
        <w:t xml:space="preserve">DOI: </w:t>
      </w:r>
      <w:hyperlink r:id="rId321">
        <w:r>
          <w:rPr>
            <w:color w:val="1155CC"/>
            <w:u w:val="single"/>
          </w:rPr>
          <w:t>10.1038/d41586-026-01672-9</w:t>
        </w:r>
      </w:hyperlink>
    </w:p>
    <w:p>
      <w:pPr>
        <w:spacing w:before="0" w:after="120"/>
      </w:pPr>
      <w:r>
        <w:rPr>
          <w:b/>
        </w:rPr>
        <w:t xml:space="preserve">Notes: </w:t>
      </w:r>
      <w:r>
        <w:t>abstract_source=nature_html</w:t>
      </w:r>
    </w:p>
    <w:p>
      <w:pPr>
        <w:spacing w:before="0" w:after="80" w:lineRule="auto" w:line="276"/>
      </w:pPr>
      <w:r>
        <w:rPr>
          <w:b/>
        </w:rPr>
        <w:t xml:space="preserve">摘要（ZH）: </w:t>
      </w:r>
      <w:r>
        <w:t>Marisa Chrysochoou 和 Keivan Stassun 认为人工智能工具可以帮助学生驾驭学术界不成文的规则。 Marisa Chrysochoou 和 Keivan Stassun 认为人工智能工具可以帮助学生驾驭学术界不成文的规则。</w:t>
      </w:r>
    </w:p>
    <w:p>
      <w:pPr>
        <w:spacing w:before="0" w:after="200" w:lineRule="auto" w:line="276"/>
      </w:pPr>
      <w:r>
        <w:rPr>
          <w:b/>
        </w:rPr>
        <w:t xml:space="preserve">Abstract (EN): </w:t>
      </w:r>
      <w:r>
        <w:t>Marisa Chrysochoou and Keivan Stassun argue that AI tools could help students to navigate academia’s unwritten rules. Marisa Chrysochoou and Keivan Stassun argue that AI tools could help students to navigate academia’s unwritten rules.</w:t>
      </w:r>
    </w:p>
    <w:p>
      <w:pPr>
        <w:spacing w:before="120" w:after="120"/>
      </w:pPr>
      <w:r>
        <w:rPr>
          <w:sz w:val="18"/>
        </w:rPr>
        <w:t>——————————————————————————————————————————————————————————————————————</w:t>
      </w:r>
    </w:p>
    <w:p>
      <w:pPr>
        <w:spacing w:before="160" w:after="40" w:line="240" w:lineRule="auto"/>
      </w:pPr>
      <w:r>
        <w:rPr>
          <w:b/>
        </w:rPr>
        <w:t xml:space="preserve">[70] </w:t>
      </w:r>
      <w:hyperlink r:id="rId322">
        <w:r>
          <w:rPr>
            <w:color w:val="1155CC"/>
            <w:u w:val="single"/>
          </w:rPr>
          <w:t>DOGE 削减后，一位美国科学家如何适应国外生活</w:t>
        </w:r>
      </w:hyperlink>
    </w:p>
    <w:p>
      <w:pPr>
        <w:spacing w:before="0" w:after="80"/>
      </w:pPr>
      <w:r>
        <w:rPr>
          <w:i/>
          <w:sz w:val="20"/>
        </w:rPr>
        <w:t>EN: How one US scientist is adapting to life abroad after DOGE cuts</w:t>
      </w:r>
    </w:p>
    <w:p>
      <w:pPr>
        <w:spacing w:before="0" w:after="120"/>
      </w:pPr>
      <w:r>
        <w:rPr>
          <w:b/>
        </w:rPr>
        <w:t xml:space="preserve">Source: </w:t>
      </w:r>
      <w:r>
        <w:t>Nature</w:t>
      </w:r>
      <w:r>
        <w:t xml:space="preserve">    </w:t>
      </w:r>
      <w:r>
        <w:rPr>
          <w:b/>
        </w:rPr>
        <w:t xml:space="preserve">Pub date: </w:t>
      </w:r>
      <w:r>
        <w:t>2026-06-29 00:00:00+00:00</w:t>
      </w:r>
      <w:r>
        <w:t xml:space="preserve">    </w:t>
      </w:r>
      <w:r>
        <w:rPr>
          <w:b/>
        </w:rPr>
        <w:t xml:space="preserve">DOI: </w:t>
      </w:r>
      <w:hyperlink r:id="rId323">
        <w:r>
          <w:rPr>
            <w:color w:val="1155CC"/>
            <w:u w:val="single"/>
          </w:rPr>
          <w:t>10.1038/d41586-026-01137-z</w:t>
        </w:r>
      </w:hyperlink>
    </w:p>
    <w:p>
      <w:pPr>
        <w:spacing w:before="0" w:after="120"/>
      </w:pPr>
      <w:r>
        <w:rPr>
          <w:b/>
        </w:rPr>
        <w:t xml:space="preserve">Notes: </w:t>
      </w:r>
      <w:r>
        <w:t>abstract_source=nature_html</w:t>
      </w:r>
    </w:p>
    <w:p>
      <w:pPr>
        <w:spacing w:before="0" w:after="80" w:lineRule="auto" w:line="276"/>
      </w:pPr>
      <w:r>
        <w:rPr>
          <w:b/>
        </w:rPr>
        <w:t xml:space="preserve">摘要（ZH）: </w:t>
      </w:r>
      <w:r>
        <w:t>莎拉·韦斯伯格是众多为了工作保障而移居欧洲的科学家之一。莎拉·韦斯伯格是众多为了工作保障而移居欧洲的科学家之一。</w:t>
      </w:r>
    </w:p>
    <w:p>
      <w:pPr>
        <w:spacing w:before="0" w:after="200" w:lineRule="auto" w:line="276"/>
      </w:pPr>
      <w:r>
        <w:rPr>
          <w:b/>
        </w:rPr>
        <w:t xml:space="preserve">Abstract (EN): </w:t>
      </w:r>
      <w:r>
        <w:t>Sarah Weisberg is one of a number of scientists who have made the move to Europe for job security. Sarah Weisberg is one of a number of scientists who have made the move to Europe for job security.</w:t>
      </w:r>
    </w:p>
    <w:p>
      <w:pPr>
        <w:spacing w:before="120" w:after="120"/>
      </w:pPr>
      <w:r>
        <w:rPr>
          <w:sz w:val="18"/>
        </w:rPr>
        <w:t>——————————————————————————————————————————————————————————————————————</w:t>
      </w:r>
    </w:p>
    <w:p>
      <w:pPr>
        <w:spacing w:before="160" w:after="40" w:line="240" w:lineRule="auto"/>
      </w:pPr>
      <w:r>
        <w:rPr>
          <w:b/>
        </w:rPr>
        <w:t xml:space="preserve">[71] </w:t>
      </w:r>
      <w:hyperlink r:id="rId324">
        <w:r>
          <w:rPr>
            <w:color w:val="1155CC"/>
            <w:u w:val="single"/>
          </w:rPr>
          <w:t>特朗普拥有巨大的人工智能和量子野心：这位科学家的工作就是让它们成为现实</w:t>
        </w:r>
      </w:hyperlink>
    </w:p>
    <w:p>
      <w:pPr>
        <w:spacing w:before="0" w:after="80"/>
      </w:pPr>
      <w:r>
        <w:rPr>
          <w:i/>
          <w:sz w:val="20"/>
        </w:rPr>
        <w:t>EN: Trump has big AI and quantum ambitions: this scientist’s job is to make them reality</w:t>
      </w:r>
    </w:p>
    <w:p>
      <w:pPr>
        <w:spacing w:before="0" w:after="120"/>
      </w:pPr>
      <w:r>
        <w:rPr>
          <w:b/>
        </w:rPr>
        <w:t xml:space="preserve">Source: </w:t>
      </w:r>
      <w:r>
        <w:t>Nature</w:t>
      </w:r>
      <w:r>
        <w:t xml:space="preserve">    </w:t>
      </w:r>
      <w:r>
        <w:rPr>
          <w:b/>
        </w:rPr>
        <w:t xml:space="preserve">Pub date: </w:t>
      </w:r>
      <w:r>
        <w:t>2026-06-29 00:00:00+00:00</w:t>
      </w:r>
      <w:r>
        <w:t xml:space="preserve">    </w:t>
      </w:r>
      <w:r>
        <w:rPr>
          <w:b/>
        </w:rPr>
        <w:t xml:space="preserve">DOI: </w:t>
      </w:r>
      <w:hyperlink r:id="rId325">
        <w:r>
          <w:rPr>
            <w:color w:val="1155CC"/>
            <w:u w:val="single"/>
          </w:rPr>
          <w:t>10.1038/d41586-026-02023-4</w:t>
        </w:r>
      </w:hyperlink>
    </w:p>
    <w:p>
      <w:pPr>
        <w:spacing w:before="0" w:after="120"/>
      </w:pPr>
      <w:r>
        <w:rPr>
          <w:b/>
        </w:rPr>
        <w:t xml:space="preserve">Notes: </w:t>
      </w:r>
      <w:r>
        <w:t>abstract_source=nature_html</w:t>
      </w:r>
    </w:p>
    <w:p>
      <w:pPr>
        <w:spacing w:before="0" w:after="80" w:lineRule="auto" w:line="276"/>
      </w:pPr>
      <w:r>
        <w:rPr>
          <w:b/>
        </w:rPr>
        <w:t xml:space="preserve">摘要（ZH）: </w:t>
      </w:r>
      <w:r>
        <w:t>达里奥吉尔知道研究人员对美国大规模的人工智能推动持怀疑态度——他要求他们保持开放的态度。达里奥吉尔知道研究人员对美国大规模的人工智能推动持怀疑态度——他要求他们保持开放的态度。</w:t>
      </w:r>
    </w:p>
    <w:p>
      <w:pPr>
        <w:spacing w:before="0" w:after="200" w:lineRule="auto" w:line="276"/>
      </w:pPr>
      <w:r>
        <w:rPr>
          <w:b/>
        </w:rPr>
        <w:t xml:space="preserve">Abstract (EN): </w:t>
      </w:r>
      <w:r>
        <w:t>Darío Gil knows that researchers are sceptical of the massive US artificial-intelligence push — he’s asking them to keep an open mind. Darío Gil knows that researchers are sceptical of the massive US artificial-intelligence push — he’s asking them to keep an open mind.</w:t>
      </w:r>
    </w:p>
    <w:p>
      <w:pPr>
        <w:spacing w:before="120" w:after="120"/>
      </w:pPr>
      <w:r>
        <w:rPr>
          <w:sz w:val="18"/>
        </w:rPr>
        <w:t>——————————————————————————————————————————————————————————————————————</w:t>
      </w:r>
    </w:p>
    <w:p>
      <w:pPr>
        <w:spacing w:before="160" w:after="40" w:line="240" w:lineRule="auto"/>
      </w:pPr>
      <w:r>
        <w:rPr>
          <w:b/>
        </w:rPr>
        <w:t xml:space="preserve">[72] </w:t>
      </w:r>
      <w:hyperlink r:id="rId326">
        <w:r>
          <w:rPr>
            <w:color w:val="1155CC"/>
            <w:u w:val="single"/>
          </w:rPr>
          <w:t>菱面体石墨烯中的磁场增强超导体家族</w:t>
        </w:r>
      </w:hyperlink>
    </w:p>
    <w:p>
      <w:pPr>
        <w:spacing w:before="0" w:after="80"/>
      </w:pPr>
      <w:r>
        <w:rPr>
          <w:i/>
          <w:sz w:val="20"/>
        </w:rPr>
        <w:t>EN: Family of magnetic field-boosted superconductors in rhombohedral graphene</w:t>
      </w:r>
    </w:p>
    <w:p>
      <w:pPr>
        <w:spacing w:before="0" w:after="120"/>
      </w:pPr>
      <w:r>
        <w:rPr>
          <w:b/>
        </w:rPr>
        <w:t xml:space="preserve">Source: </w:t>
      </w:r>
      <w:r>
        <w:t>Nature</w:t>
      </w:r>
      <w:r>
        <w:t xml:space="preserve">    </w:t>
      </w:r>
      <w:r>
        <w:rPr>
          <w:b/>
        </w:rPr>
        <w:t xml:space="preserve">Pub date: </w:t>
      </w:r>
      <w:r>
        <w:t>2026-06-29 00:00:00+00:00</w:t>
      </w:r>
      <w:r>
        <w:t xml:space="preserve">    </w:t>
      </w:r>
      <w:r>
        <w:rPr>
          <w:b/>
        </w:rPr>
        <w:t xml:space="preserve">DOI: </w:t>
      </w:r>
      <w:hyperlink r:id="rId327">
        <w:r>
          <w:rPr>
            <w:color w:val="1155CC"/>
            <w:u w:val="single"/>
          </w:rPr>
          <w:t>10.1038/s41586-026-10815-x</w:t>
        </w:r>
      </w:hyperlink>
    </w:p>
    <w:p>
      <w:pPr>
        <w:spacing w:before="0" w:after="120"/>
      </w:pPr>
      <w:r>
        <w:rPr>
          <w:b/>
        </w:rPr>
        <w:t xml:space="preserve">Notes: </w:t>
      </w:r>
      <w:r>
        <w:t>abstract_source=nature_html</w:t>
      </w:r>
    </w:p>
    <w:p>
      <w:pPr>
        <w:spacing w:before="0" w:after="80" w:lineRule="auto" w:line="276"/>
      </w:pPr>
      <w:r>
        <w:rPr>
          <w:b/>
        </w:rPr>
        <w:t xml:space="preserve">摘要（ZH）: </w:t>
      </w:r>
      <w:r>
        <w:t>在一些非常规超导体中，除了规范对称性之外，时间反演对称性也可能被破坏，从而产生可以通过磁场增强或感应的超导性。然而，场增强超导体比巴丁-库珀-施里弗超导体更容易受到杂质的影响3。结晶菱形多层石墨烯因其卓越的材料质量和门可调的强相关效应而成为探索它们的有前途的平台4,5。在这里，我们报告了菱面体四层和五层石墨烯的输运测量，展示了一系列清洁极限超导性。我们在五层中发现了三种不同类型的场增强和场诱导超导性。它们都能抵抗高达 8.5 特斯拉的面内场，超出泡利极限数十倍。与仅显示面内场增强的伯纳尔双层石墨烯相比，五层石墨烯具有通过面外场和面内场增强的超导体。由于本质上更平坦的能带色散，它们还处于低得多的栅极电场，从而有利于它们的研究和进一步的工程设计。此外，我们观察到邻近自旋轨道耦合（SOC）会产生多个新的超导体，而不会引入额外的无序效应。我们的工作在菱面体石墨烯中建立了一个新的磁场增强超导体家族。利用中等栅极电压的高可达性，这将为通过界面工程实现非阿贝尔准粒子铺平道路7</w:t>
      </w:r>
    </w:p>
    <w:p>
      <w:pPr>
        <w:spacing w:before="0" w:after="200" w:lineRule="auto" w:line="276"/>
      </w:pPr>
      <w:r>
        <w:rPr>
          <w:b/>
        </w:rPr>
        <w:t xml:space="preserve">Abstract (EN): </w:t>
      </w:r>
      <w:r>
        <w:t>In some unconventional superconductors, time-reversal symmetry can be broken in addition to the gauge symmetry1, resulting in superconductivities that can be enhanced or induced by magnetic fields2. However, field-enhanced superconductors are more vulnerable to impurities than Bardeen-Cooper-Schrieffer counterparts3. Crystalline rhombohedral multilayer graphene is a promising platform to explore them due to its superior material quality and gate-tunable strong correlation effects4,5. Here we report transport measurements of rhombohedral tetralayer and pentalayer graphene, demonstrating a spectrum of clean-limit superconductivities. We found three different types of field-enhanced and field-induced superconductivities in the pentalayer. They are all robust against an in-plane field up to 8.5 Tesla, exceeding the Pauli limit by tens of times. Compared to Bernal bilayer graphene showing only in-plane field-enhancement6, pentalayer graphene features superconductors enhanced by out-of-plane as well as in-plane fields. They also reside at much lower gate electric fields owing to the intrinsically flatter band dispersion—facilitating their study and further engineering. Additionally, we observed that proximitized spin-orbit coupling (SOC) generates multiple new superconductors without introducing additional disorder effects. Our work establishes a new family of magnetic field-boosted superconductors in rhombohedral graphene. Utilizing the high accessibility with moderate gate voltages, this will pave the way for realizing non-Abelian quasiparticles through interfacial engineering7 in the extreme clean limit, in that proximitized SOC leads to topological states8 and maintains the ultrahigh quality of crystalline graphene.</w:t>
      </w:r>
    </w:p>
    <w:p>
      <w:pPr>
        <w:spacing w:before="120" w:after="120"/>
      </w:pPr>
      <w:r>
        <w:rPr>
          <w:sz w:val="18"/>
        </w:rPr>
        <w:t>——————————————————————————————————————————————————————————————————————</w:t>
      </w:r>
    </w:p>
    <w:p>
      <w:pPr>
        <w:spacing w:before="160" w:after="40" w:line="240" w:lineRule="auto"/>
      </w:pPr>
      <w:r>
        <w:rPr>
          <w:b/>
        </w:rPr>
        <w:t xml:space="preserve">[73] </w:t>
      </w:r>
      <w:hyperlink r:id="rId328">
        <w:r>
          <w:rPr>
            <w:color w:val="1155CC"/>
            <w:u w:val="single"/>
          </w:rPr>
          <w:t>异化碘酸盐还原微生物栖息在海洋最低氧区</w:t>
        </w:r>
      </w:hyperlink>
    </w:p>
    <w:p>
      <w:pPr>
        <w:spacing w:before="0" w:after="80"/>
      </w:pPr>
      <w:r>
        <w:rPr>
          <w:i/>
          <w:sz w:val="20"/>
        </w:rPr>
        <w:t>EN: Dissimilatory iodate-reducing microorganisms inhabit marine oxygen minimum zones</w:t>
      </w:r>
    </w:p>
    <w:p>
      <w:pPr>
        <w:spacing w:before="0" w:after="120"/>
      </w:pPr>
      <w:r>
        <w:rPr>
          <w:b/>
        </w:rPr>
        <w:t xml:space="preserve">Source: </w:t>
      </w:r>
      <w:r>
        <w:t>National Science Review Advance Access</w:t>
      </w:r>
      <w:r>
        <w:t xml:space="preserve">    </w:t>
      </w:r>
      <w:r>
        <w:rPr>
          <w:b/>
        </w:rPr>
        <w:t xml:space="preserve">Pub date: </w:t>
      </w:r>
      <w:r>
        <w:t>2026-06-29 00:00:00+00:00</w:t>
      </w:r>
      <w:r>
        <w:t xml:space="preserve">    </w:t>
      </w:r>
      <w:r>
        <w:rPr>
          <w:b/>
        </w:rPr>
        <w:t xml:space="preserve">DOI: </w:t>
      </w:r>
      <w:hyperlink r:id="rId329">
        <w:r>
          <w:rPr>
            <w:color w:val="1155CC"/>
            <w:u w:val="single"/>
          </w:rPr>
          <w:t>10.1093/nsr/nwag397</w:t>
        </w:r>
      </w:hyperlink>
    </w:p>
    <w:p>
      <w:pPr>
        <w:spacing w:before="0" w:after="120"/>
      </w:pPr>
      <w:r>
        <w:rPr>
          <w:b/>
        </w:rPr>
        <w:t xml:space="preserve">Notes: </w:t>
      </w:r>
      <w:r>
        <w:t>abstract_source=rss_oup</w:t>
      </w:r>
    </w:p>
    <w:p>
      <w:pPr>
        <w:spacing w:before="0" w:after="80" w:lineRule="auto" w:line="276"/>
      </w:pPr>
      <w:r>
        <w:rPr>
          <w:b/>
        </w:rPr>
        <w:t xml:space="preserve">摘要（ZH）: </w:t>
      </w:r>
      <w:r>
        <w:t>根据理论热力学计算，微生物 IO3− 还原先于 NO3− 还原，并且先前提出异化碘酸盐还原微生物 (DIRM) 栖息在海洋最低氧区 (OMZ) 上方的独特生态位。在这里，我们证明，在两个代表性菌株 Azonexus Hydrophilus NCP973 和 Denitromonas iodatirespirans IR-12 中，异化 IO3− 还原滞后于 NO3− 还原。相应地，发现 DIRM 的功能基因 idrABP1P2 专门分布在 NO3− 还原活跃的全局 OMZ 的深度剖面上。结合 OMZ 中 MAG 的 idrABP1P2 的广泛检测和异源表达，这些发现表明 DIRM 栖息于海洋 OMZ 中，并有助于 I− 的产生和积累。随着 OMZ 在全球变暖的情况下扩张，DIRM 可以通过产生前体 I− 来增强挥发性碘通量到大气中。鉴于大气碘对环境健康的重要性，将该途径整合到海洋碘生物地球化学模型中将提高我们理解和预测海洋碘排放未来变化的能力。</w:t>
      </w:r>
    </w:p>
    <w:p>
      <w:pPr>
        <w:spacing w:before="0" w:after="200" w:lineRule="auto" w:line="276"/>
      </w:pPr>
      <w:r>
        <w:rPr>
          <w:b/>
        </w:rPr>
        <w:t xml:space="preserve">Abstract (EN): </w:t>
      </w:r>
      <w:r>
        <w:t>Based on theoretical thermodynamic calculations, microbial IO3− reduction precedes NO3− reduction, and it was previously proposed that dissimilatory iodate-reducing microorganisms (DIRMs) inhabit a unique niche above marine oxygen minimum zones (OMZs). Here we demonstrate that dissimilatory IO3− reduction lags behind NO3− reduction in two representative strains Azonexus hydrophilus NCP973 and Denitromonas iodatirespirans IR-12. Correspondingly, the functional genes idrABP1P2 for DIRMs were found to be exclusively distributed across depth profiles of global OMZs where NO3− reduction is active. Combined with widespread detection and heterologous expression of the idrABP1P2 of MAGs from the OMZs, these findings suggest that DIRMs inhabit marine OMZs and contribute to I− production and accumulation. As OMZs expand under global warming, DIRMs could enhance volatile iodine fluxes to the atmosphere by producing the precursor I−. Given the environmental health importance of atmospheric iodine, integrating this pathway into marine iodine biogeochemical models will improve our capability of understanding and predicting the future changes in oceanic iodine emissions.</w:t>
      </w:r>
    </w:p>
    <w:p>
      <w:pPr>
        <w:spacing w:before="120" w:after="120"/>
      </w:pPr>
      <w:r>
        <w:rPr>
          <w:sz w:val="18"/>
        </w:rPr>
        <w:t>——————————————————————————————————————————————————————————————————————</w:t>
      </w:r>
    </w:p>
    <w:p>
      <w:pPr>
        <w:spacing w:before="160" w:after="40" w:line="240" w:lineRule="auto"/>
      </w:pPr>
      <w:r>
        <w:rPr>
          <w:b/>
        </w:rPr>
        <w:t xml:space="preserve">[74] </w:t>
      </w:r>
      <w:hyperlink r:id="rId330">
        <w:r>
          <w:rPr>
            <w:color w:val="1155CC"/>
            <w:u w:val="single"/>
          </w:rPr>
          <w:t>吉尔吉斯斯坦家庭流动性对极端天气的反应</w:t>
        </w:r>
      </w:hyperlink>
    </w:p>
    <w:p>
      <w:pPr>
        <w:spacing w:before="0" w:after="80"/>
      </w:pPr>
      <w:r>
        <w:rPr>
          <w:i/>
          <w:sz w:val="20"/>
        </w:rPr>
        <w:t>EN: Household mobility responses to weather extremes in Kyrgyzstan</w:t>
      </w:r>
    </w:p>
    <w:p>
      <w:pPr>
        <w:spacing w:before="0" w:after="120"/>
      </w:pPr>
      <w:r>
        <w:rPr>
          <w:b/>
        </w:rPr>
        <w:t xml:space="preserve">Source: </w:t>
      </w:r>
      <w:r>
        <w:t>Scientific community and society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极端天气日益影响人类流动，但其影响因家庭和地点而异。我们通过区分四种结果来增进对与气候相关的流动性的理解：国内流动性、国际流动性、国内-国际综合流动性和不动性，而不是将流动性视为简单的二元选择。我们以中亚气候脆弱的山区国家吉尔吉斯斯坦为重点，将2013年至2022年具有全国代表性的家庭面板数据与高分辨率气候数据结合起来。在这里，我们表明，地区内和邻近地区的极端天气与国际流动性和不流动性的相关性比与国内和国内-国际综合流动性的相关性更强。不同家庭社会经济地位的反应存在很大差异，社会经济地位较低的家庭中流动性更常见，而社会经济地位较高的家庭中观察到的流动模式更加多样化。我们的研究结果表明，吉尔吉斯斯坦对极端天气的流动性反应是由地理环境和家庭社会经济地位决定的。</w:t>
      </w:r>
    </w:p>
    <w:p>
      <w:pPr>
        <w:spacing w:before="0" w:after="200" w:lineRule="auto" w:line="276"/>
      </w:pPr>
      <w:r>
        <w:rPr>
          <w:b/>
        </w:rPr>
        <w:t xml:space="preserve">Abstract (EN): </w:t>
      </w:r>
      <w:r>
        <w:t>Weather extremes increasingly shape human mobility, yet their effects differ across households and locations. We advance understanding of climate-related mobility by distinguishing among four outcomes: domestic mobility, international mobility, combined domestic-international mobility, and immobility, rather than treating mobility as a simple binary choice. Focusing on Kyrgyzstan, a climate-vulnerable mountainous country in Central Asia, we combine nationally representative household panel data from 2013–2022 with high-resolution climate data. Here, we show that weather extremes, both within districts and in neighboring districts, are more strongly associated with international mobility and immobility than with domestic and combined domestic-international mobility. Responses differ substantially across households’ socioeconomic position, with immobility more common among households with lower socioeconomic position and more diverse mobility patterns observed among households with higher socioeconomic position. Our findings suggest that mobility responses to weather extremes in Kyrgyzstan are shaped by both geographic context and household socioeconomic position.</w:t>
      </w:r>
    </w:p>
    <w:p>
      <w:pPr>
        <w:spacing w:before="120" w:after="120"/>
      </w:pPr>
      <w:r>
        <w:rPr>
          <w:sz w:val="18"/>
        </w:rPr>
        <w:t>——————————————————————————————————————————————————————————————————————</w:t>
      </w:r>
    </w:p>
    <w:p>
      <w:pPr>
        <w:spacing w:before="160" w:after="40" w:line="240" w:lineRule="auto"/>
      </w:pPr>
      <w:r>
        <w:rPr>
          <w:b/>
        </w:rPr>
        <w:t xml:space="preserve">[75] </w:t>
      </w:r>
      <w:hyperlink r:id="rId331">
        <w:r>
          <w:rPr>
            <w:color w:val="1155CC"/>
            <w:u w:val="single"/>
          </w:rPr>
          <w:t>每日简报：用 CRISPR 编辑表观基因组来治疗疾病</w:t>
        </w:r>
      </w:hyperlink>
    </w:p>
    <w:p>
      <w:pPr>
        <w:spacing w:before="0" w:after="80"/>
      </w:pPr>
      <w:r>
        <w:rPr>
          <w:i/>
          <w:sz w:val="20"/>
        </w:rPr>
        <w:t>EN: Daily briefing: Editing the epigenome with CRISPR to treat disease</w:t>
      </w:r>
    </w:p>
    <w:p>
      <w:pPr>
        <w:spacing w:before="0" w:after="120"/>
      </w:pPr>
      <w:r>
        <w:rPr>
          <w:b/>
        </w:rPr>
        <w:t xml:space="preserve">Source: </w:t>
      </w:r>
      <w:r>
        <w:t>Nature</w:t>
      </w:r>
      <w:r>
        <w:t xml:space="preserve">    </w:t>
      </w:r>
      <w:r>
        <w:rPr>
          <w:b/>
        </w:rPr>
        <w:t xml:space="preserve">Pub date: </w:t>
      </w:r>
      <w:r>
        <w:t>2026-06-29 00:00:00+00:00</w:t>
      </w:r>
      <w:r>
        <w:t xml:space="preserve">    </w:t>
      </w:r>
      <w:r>
        <w:rPr>
          <w:b/>
        </w:rPr>
        <w:t xml:space="preserve">DOI: </w:t>
      </w:r>
      <w:hyperlink r:id="rId332">
        <w:r>
          <w:rPr>
            <w:color w:val="1155CC"/>
            <w:u w:val="single"/>
          </w:rPr>
          <w:t>10.1038/d41586-026-02075-6</w:t>
        </w:r>
      </w:hyperlink>
    </w:p>
    <w:p>
      <w:pPr>
        <w:spacing w:before="0" w:after="120"/>
      </w:pPr>
      <w:r>
        <w:rPr>
          <w:b/>
        </w:rPr>
        <w:t xml:space="preserve">Notes: </w:t>
      </w:r>
      <w:r>
        <w:t>abstract_source=nature_html</w:t>
      </w:r>
    </w:p>
    <w:p>
      <w:pPr>
        <w:spacing w:before="0" w:after="80" w:lineRule="auto" w:line="276"/>
      </w:pPr>
      <w:r>
        <w:rPr>
          <w:b/>
        </w:rPr>
        <w:t xml:space="preserve">摘要（ZH）: </w:t>
      </w:r>
      <w:r>
        <w:t>CRISPR 的下一步，新的“世界上最快的计算机”以及如何在生命的隐喻点球大战中取得胜利。 CRISPR 的下一步，新的“世界上最快的计算机”以及如何在生命的隐喻点球大战中取得胜利。</w:t>
      </w:r>
    </w:p>
    <w:p>
      <w:pPr>
        <w:spacing w:before="0" w:after="200" w:lineRule="auto" w:line="276"/>
      </w:pPr>
      <w:r>
        <w:rPr>
          <w:b/>
        </w:rPr>
        <w:t xml:space="preserve">Abstract (EN): </w:t>
      </w:r>
      <w:r>
        <w:t>CRISPR’s next act, the new ‘world’s fastest computer’ and how to triumph in the metaphorical penalty shootout of life. CRISPR’s next act, the new ‘world’s fastest computer’ and how to triumph in the metaphorical penalty shootout of life.</w:t>
      </w:r>
    </w:p>
    <w:p>
      <w:pPr>
        <w:spacing w:before="120" w:after="120"/>
      </w:pPr>
      <w:r>
        <w:rPr>
          <w:sz w:val="18"/>
        </w:rPr>
        <w:t>——————————————————————————————————————————————————————————————————————</w:t>
      </w:r>
    </w:p>
    <w:p>
      <w:pPr>
        <w:spacing w:before="160" w:after="40" w:line="240" w:lineRule="auto"/>
      </w:pPr>
      <w:r>
        <w:rPr>
          <w:b/>
        </w:rPr>
        <w:t xml:space="preserve">[76] </w:t>
      </w:r>
      <w:hyperlink r:id="rId333">
        <w:r>
          <w:rPr>
            <w:color w:val="1155CC"/>
            <w:u w:val="single"/>
          </w:rPr>
          <w:t>严重 COVID-19 后发生结核病的风险：一项全国性队列研究</w:t>
        </w:r>
      </w:hyperlink>
    </w:p>
    <w:p>
      <w:pPr>
        <w:spacing w:before="0" w:after="80"/>
      </w:pPr>
      <w:r>
        <w:rPr>
          <w:i/>
          <w:sz w:val="20"/>
        </w:rPr>
        <w:t>EN: Risk of incident tuberculosis after severe COVID-19: a nationwide cohort study</w:t>
      </w:r>
    </w:p>
    <w:p>
      <w:pPr>
        <w:spacing w:before="0" w:after="120"/>
      </w:pPr>
      <w:r>
        <w:rPr>
          <w:b/>
        </w:rPr>
        <w:t xml:space="preserve">Source: </w:t>
      </w:r>
      <w:r>
        <w:t>Biological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严重的病毒感染会破坏宿主免疫力并增加对继发病原体的易感性。实验和临床前研究表明，严重的病毒性肺炎也可能引发结核分枝杆菌感染的重新激活，但人群水平的证据仍然有限。我们在智利进行了一项全国范围的回顾性队列研究，其中包括超过 360 万确诊 SARS-CoV-2 感染的成年人，以评估随访期间发生结核病的风险。与非重症患者相比，患有严重 COVID-19 且需要住院治疗的个体在一年内患结核病的风险高出八倍以上。 SARS-CoV-2 疫苗接种改变了这种关联：未接种疫苗的个体的超额风险要大得多，而之前的疫苗接种则可以减弱这种风险。这些研究结果表明，重症COVID-19与短期和长期结核病风险增加有关，并支持将有针对性的结核病筛查和预防策略纳入COVID-19后护理中，特别是在重症患者中。</w:t>
      </w:r>
    </w:p>
    <w:p>
      <w:pPr>
        <w:spacing w:before="0" w:after="200" w:lineRule="auto" w:line="276"/>
      </w:pPr>
      <w:r>
        <w:rPr>
          <w:b/>
        </w:rPr>
        <w:t xml:space="preserve">Abstract (EN): </w:t>
      </w:r>
      <w:r>
        <w:t>Severe viral infections can disrupt host immunity and increase susceptibility to secondary pathogens. Experimental and preclinical studies suggest that severe viral pneumonia may also trigger reactivation of Mycobacterium tuberculosis infection, yet population-level evidence remains limited. We conducted a nationwide retrospective cohort study in Chile, including more than 3.6 million adults with confirmed SARS-CoV-2 infection, to assess the risk of incident tuberculosis during follow-up. Individuals who developed severe COVID-19 requiring hospitalization had more than an eightfold higher hazard of tuberculosis within one year compared with those with non-severe disease. SARS-CoV-2 vaccination modified this association: the excess risk was substantially greater among unvaccinated individuals, whereas prior vaccination attenuated it. These findings indicate that severe COVID-19 is associated with an increased short- and long-term risk of tuberculosis and support the integration of targeted tuberculosis screening and preventive strategies into post-COVID-19 care, particularly among patients with severe disease.</w:t>
      </w:r>
    </w:p>
    <w:p>
      <w:pPr>
        <w:spacing w:before="120" w:after="120"/>
      </w:pPr>
      <w:r>
        <w:rPr>
          <w:sz w:val="18"/>
        </w:rPr>
        <w:t>——————————————————————————————————————————————————————————————————————</w:t>
      </w:r>
    </w:p>
    <w:p>
      <w:pPr>
        <w:spacing w:before="160" w:after="40" w:line="240" w:lineRule="auto"/>
      </w:pPr>
      <w:r>
        <w:rPr>
          <w:b/>
        </w:rPr>
        <w:t xml:space="preserve">[77] </w:t>
      </w:r>
      <w:hyperlink r:id="rId334">
        <w:r>
          <w:rPr>
            <w:color w:val="1155CC"/>
            <w:u w:val="single"/>
          </w:rPr>
          <w:t>来自打结合成子的三叶形聚合物</w:t>
        </w:r>
      </w:hyperlink>
    </w:p>
    <w:p>
      <w:pPr>
        <w:spacing w:before="0" w:after="80"/>
      </w:pPr>
      <w:r>
        <w:rPr>
          <w:i/>
          <w:sz w:val="20"/>
        </w:rPr>
        <w:t>EN: Trefoil polymers from a knotted synthon</w:t>
      </w:r>
    </w:p>
    <w:p>
      <w:pPr>
        <w:spacing w:before="0" w:after="120"/>
      </w:pPr>
      <w:r>
        <w:rPr>
          <w:b/>
        </w:rPr>
        <w:t xml:space="preserve">Source: </w:t>
      </w:r>
      <w:r>
        <w:t>Nature Chemistry</w:t>
      </w:r>
      <w:r>
        <w:t xml:space="preserve">    </w:t>
      </w:r>
      <w:r>
        <w:rPr>
          <w:b/>
        </w:rPr>
        <w:t xml:space="preserve">Pub date: </w:t>
      </w:r>
      <w:r>
        <w:t>2026-06-29 00:00:00+00:00</w:t>
      </w:r>
      <w:r>
        <w:t xml:space="preserve">    </w:t>
      </w:r>
      <w:r>
        <w:rPr>
          <w:b/>
        </w:rPr>
        <w:t xml:space="preserve">DOI: </w:t>
      </w:r>
      <w:hyperlink r:id="rId335">
        <w:r>
          <w:rPr>
            <w:color w:val="1155CC"/>
            <w:u w:val="single"/>
          </w:rPr>
          <w:t>10.1038/s41557-026-02197-4</w:t>
        </w:r>
      </w:hyperlink>
    </w:p>
    <w:p>
      <w:pPr>
        <w:spacing w:before="0" w:after="120"/>
      </w:pPr>
      <w:r>
        <w:rPr>
          <w:b/>
        </w:rPr>
        <w:t xml:space="preserve">Notes: </w:t>
      </w:r>
      <w:r>
        <w:t>abstract_source=nature_html</w:t>
      </w:r>
    </w:p>
    <w:p>
      <w:pPr>
        <w:spacing w:before="0" w:after="80" w:lineRule="auto" w:line="276"/>
      </w:pPr>
      <w:r>
        <w:rPr>
          <w:b/>
        </w:rPr>
        <w:t xml:space="preserve">摘要（ZH）: </w:t>
      </w:r>
      <w:r>
        <w:t>精确控制聚合物中结的存在和位置仍然是一个长期存在的合成挑战，理论表明其对性能和功能具有广泛的影响。在这里，我们报告了一种拓扑合成方法——反手结的延伸和大环化——能够高产地合成具有窄多分散性和可调拓扑参数的闭环三叶形聚合物。从同一组构建块中，我们制备了化学成分相匹配的线性、环状和三叶形拓扑异构体，从而可以直接检查拓扑-性质关系。低温超高真空扫描隧道显微镜解析了三叶聚苯乙烯的三种构象异构体，具有高、中和低对称性形式，其数量取决于链长、局部柔性和溶剂化。粗粒朗之万动力学重现了这些分布，并表明弯曲能和构象熵控制构象异构体的稳定性。金属结合定位打结区域，让人想起蛋白质/DNA 结易位。该合成子还提供了三叶聚乙二醇和三叶聚苯乙烯-聚乙二醇二嵌段共聚物，证明了该方法在聚合物主链上的通用性。</w:t>
      </w:r>
    </w:p>
    <w:p>
      <w:pPr>
        <w:spacing w:before="0" w:after="200" w:lineRule="auto" w:line="276"/>
      </w:pPr>
      <w:r>
        <w:rPr>
          <w:b/>
        </w:rPr>
        <w:t xml:space="preserve">Abstract (EN): </w:t>
      </w:r>
      <w:r>
        <w:t>Precise control over the presence and position of knots in polymers remains a long-standing synthetic challenge, with theory indicating broad implications for properties and function. Here we report on a topological synthon approach—extension and macrocyclization of an overhand knot—that enables the high yielding synthesis of closed-loop trefoiled polymers with narrow polydispersity and tunable topological parameters. From the same set of building blocks we prepared linear, cyclic and trefoiled topoisomers of matched chemical composition, allowing topology–property relationships to be examined directly. Low-temperature ultrahigh-vacuum scanning tunnelling microscopy resolved three conformers of trefoiled polystyrene, with high-, medium- and low-symmetry forms whose populations depend on chain length, local flexibility and solvation. Coarse‑grained Langevin dynamics reproduce these distributions and indicate that bending energy and conformational entropy govern conformer stability. Metal binding localizes the knotted region, reminiscent of protein/DNA knot translocation. The synthon also affords trefoiled poly(ethylene glycol) and trefoiled polystyrene–poly(ethylene glycol) diblock copolymers, demonstrating the generality of the approach across polymer backbones.</w:t>
      </w:r>
    </w:p>
    <w:p>
      <w:pPr>
        <w:spacing w:before="120" w:after="120"/>
      </w:pPr>
      <w:r>
        <w:rPr>
          <w:sz w:val="18"/>
        </w:rPr>
        <w:t>——————————————————————————————————————————————————————————————————————</w:t>
      </w:r>
    </w:p>
    <w:p>
      <w:pPr>
        <w:spacing w:before="160" w:after="40" w:line="240" w:lineRule="auto"/>
      </w:pPr>
      <w:r>
        <w:rPr>
          <w:b/>
        </w:rPr>
        <w:t xml:space="preserve">[78] </w:t>
      </w:r>
      <w:hyperlink r:id="rId336">
        <w:r>
          <w:rPr>
            <w:color w:val="1155CC"/>
            <w:u w:val="single"/>
          </w:rPr>
          <w:t>具有结构约束的最佳传输的时间序列空间转录组学的准确轨迹推断</w:t>
        </w:r>
      </w:hyperlink>
    </w:p>
    <w:p>
      <w:pPr>
        <w:spacing w:before="0" w:after="80"/>
      </w:pPr>
      <w:r>
        <w:rPr>
          <w:i/>
          <w:sz w:val="20"/>
        </w:rPr>
        <w:t>EN: Accurate trajectory inference in time-series spatial transcriptomics with structurally-constrained optimal transport</w:t>
      </w:r>
    </w:p>
    <w:p>
      <w:pPr>
        <w:spacing w:before="0" w:after="120"/>
      </w:pPr>
      <w:r>
        <w:rPr>
          <w:b/>
        </w:rPr>
        <w:t xml:space="preserve">Source: </w:t>
      </w:r>
      <w:r>
        <w:t>Biological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新的实验和计算方法使用单细胞分辨率的遗传或基因表达观察来研究单细胞分子谱和发育轨迹之间的关系。大多数组织包含作为一个单元发育的空间连续区域，例如卵巢中的卵泡，或肾脏中的肾小管和肾小球。我们发现，现有的旨在使用时间序列空间转录组学（ST）数据的方法会产生生物学上不相干的轨迹，无法随着时间的推移维持这些结构单元。我们提出了具有连续结构的时空最佳传输（SOCS），这是一种基于最佳传输的时间序列 ST 轨迹推断方法，它产生的轨迹推断保留了连续的具有生物学意义的单元的结构完整性，以及基因表达相似性和全局几何结构。我们表明，SOCS 可以产生更合理的轨迹估计，保持生物结构随时间的空间一致性，从而比其他方法实现更准确的轨迹推断和生物学洞察。</w:t>
      </w:r>
    </w:p>
    <w:p>
      <w:pPr>
        <w:spacing w:before="0" w:after="200" w:lineRule="auto" w:line="276"/>
      </w:pPr>
      <w:r>
        <w:rPr>
          <w:b/>
        </w:rPr>
        <w:t xml:space="preserve">Abstract (EN): </w:t>
      </w:r>
      <w:r>
        <w:t>New experimental and computational methods use genetic or gene expression observations with single cell resolution to study the relationship between single-cell molecular profiles and developmental trajectories. Most tissues contain spatially contiguous regions that develop as a unit, such as follicles in the ovary, or tubules and glomeruli in the kidney. We find that existing approaches designed to use time series spatial transcriptomics (ST) data produce biologically incoherent trajectories that fail to maintain these structural units over time. We present Spatiotemporal Optimal transport with Contiguous Structures (SOCS), an Optimal Transport-based trajectory inference method for time-series ST that produces trajectory inferences preserving the structural integrity of contiguous biologically meaningful units, along with gene expression similarity and global geometric structure. We show that SOCS produces more plausible trajectory estimates, maintaining the spatial coherence of biological structures across time, enabling more accurate trajectory inference and biological insight than other approaches.</w:t>
      </w:r>
    </w:p>
    <w:p>
      <w:pPr>
        <w:spacing w:before="120" w:after="120"/>
      </w:pPr>
      <w:r>
        <w:rPr>
          <w:sz w:val="18"/>
        </w:rPr>
        <w:t>——————————————————————————————————————————————————————————————————————</w:t>
      </w:r>
    </w:p>
    <w:p>
      <w:pPr>
        <w:spacing w:before="160" w:after="40" w:line="240" w:lineRule="auto"/>
      </w:pPr>
      <w:r>
        <w:rPr>
          <w:b/>
        </w:rPr>
        <w:t xml:space="preserve">[79] </w:t>
      </w:r>
      <w:hyperlink r:id="rId337">
        <w:r>
          <w:rPr>
            <w:color w:val="1155CC"/>
            <w:u w:val="single"/>
          </w:rPr>
          <w:t>通过离子解锁范德华界面的独立式铁电膜</w:t>
        </w:r>
      </w:hyperlink>
    </w:p>
    <w:p>
      <w:pPr>
        <w:spacing w:before="0" w:after="80"/>
      </w:pPr>
      <w:r>
        <w:rPr>
          <w:i/>
          <w:sz w:val="20"/>
        </w:rPr>
        <w:t>EN: Freestanding ferroelectric membranes via ionic unlocking van der Waals interface</w:t>
      </w:r>
    </w:p>
    <w:p>
      <w:pPr>
        <w:spacing w:before="0" w:after="120"/>
      </w:pPr>
      <w:r>
        <w:rPr>
          <w:b/>
        </w:rPr>
        <w:t xml:space="preserve">Source: </w:t>
      </w:r>
      <w:r>
        <w:t>Physical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独立式氧化物薄膜因其在柔性电子产品中的潜在应用而引起了人们的极大兴趣。然而，牺牲层的普遍使用阻碍了独立氧化膜的发展，而独立氧化膜无法满足工业对更大面积、器件可扩展厚度和低成本的需求。在这里，我们提出了一种水辅助离子解锁策略，能够从 Pb(Zr,Ti)O3/Pt/云母上快速剥离厘米级独立铁电 Pb(Zr,Ti)O3 膜。利用密度泛函理论和从头算分子动力学模拟，我们发现水诱导的钾离子从云母基质中浸出是关键的界面弱化途径，可显着降低 Pt/云母界面结合能，从而使毛细管力驱动裂纹沿弱化界面扩展。由此产生的 1×1 cm2 Pb(Zr,Ti)O3 膜表现出 528 pC N−1 的显着压电系数，大约是云母上夹紧对应物的两倍。此外，通过结合这些薄膜，我们制造了用于高保真录音和语音识别的自供电柔性声学传感器，实现了超过 93% 的语音识别准确率。这项工作代表了独立式铁电膜的可扩展制造和高性能柔性传感器工程方面的重大进步。</w:t>
      </w:r>
    </w:p>
    <w:p>
      <w:pPr>
        <w:spacing w:before="0" w:after="200" w:lineRule="auto" w:line="276"/>
      </w:pPr>
      <w:r>
        <w:rPr>
          <w:b/>
        </w:rPr>
        <w:t xml:space="preserve">Abstract (EN): </w:t>
      </w:r>
      <w:r>
        <w:t>Freestanding oxide films have attracted significant interest for their potential applications in flexible electronics. However, the common use of sacrificial layers hinders the development of freestanding oxide films that meet industrial demands for larger area, device-scalable thickness and low cost. Here, we present a water-assisted ionic unlocking strategy that enables the rapid exfoliation of centimeter-scale, freestanding ferroelectric Pb(Zr,Ti)O3 membranes from Pb(Zr,Ti)O3/Pt/Mica. Leveraging density functional theory and ab initio molecular dynamics simulations, we identify water-induced potassium ion leaching from the Mica substrate as a key interfacial weakening pathway that substantially reduces the Pt/Mica interfacial binding energy, thereby enabling crack propagation driven by capillary forces along the weakened interface. The resulting 1×1 cm2 Pb(Zr,Ti)O3 membranes demonstrate a remarkable piezoelectric coefficient of 528 pC N−1, approximately twice that of their clamped counterparts on Mica. Moreover, by incorporating these membranes, we fabricate self-powered flexible acoustic sensors for high-fidelity sound recording and speech recognition, achieving a speech recognition accuracy exceeding 93%. This work represents a significant advance in both the scalable fabrication of freestanding ferroelectric membranes and the engineering of high-performance flexible sensors.</w:t>
      </w:r>
    </w:p>
    <w:p>
      <w:pPr>
        <w:spacing w:before="120" w:after="120"/>
      </w:pPr>
      <w:r>
        <w:rPr>
          <w:sz w:val="18"/>
        </w:rPr>
        <w:t>——————————————————————————————————————————————————————————————————————</w:t>
      </w:r>
    </w:p>
    <w:p>
      <w:pPr>
        <w:spacing w:before="160" w:after="40" w:line="240" w:lineRule="auto"/>
      </w:pPr>
      <w:r>
        <w:rPr>
          <w:b/>
        </w:rPr>
        <w:t xml:space="preserve">[80] </w:t>
      </w:r>
      <w:hyperlink r:id="rId338">
        <w:r>
          <w:rPr>
            <w:color w:val="1155CC"/>
            <w:u w:val="single"/>
          </w:rPr>
          <w:t>复制偶联双链断裂时不依赖 53BP1 的 Shieldin-BRCA1 拮抗作用</w:t>
        </w:r>
      </w:hyperlink>
    </w:p>
    <w:p>
      <w:pPr>
        <w:spacing w:before="0" w:after="80"/>
      </w:pPr>
      <w:r>
        <w:rPr>
          <w:i/>
          <w:sz w:val="20"/>
        </w:rPr>
        <w:t>EN: 53BP1-independent Shieldin-BRCA1 antagonism at replication-coupled double-strand breaks</w:t>
      </w:r>
    </w:p>
    <w:p>
      <w:pPr>
        <w:spacing w:before="0" w:after="120"/>
      </w:pPr>
      <w:r>
        <w:rPr>
          <w:b/>
        </w:rPr>
        <w:t xml:space="preserve">Source: </w:t>
      </w:r>
      <w:r>
        <w:t>Biological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由于同源重组 (HR) 受损，BRCA1 缺陷型肿瘤对 PARP 抑制剂 (PARPi) 高度敏感。 53BP1-Shieldin 复合物抑制复制独立 DNA 双链断裂 (DSB) 处的末端切除，从而提高 BRCA1 缺陷细胞中的 PARPi 敏感性。然而，它在复制耦合 DSB 中的作用尚不清楚。在这里，我们发现，Shld2 或 Shld3 的缺失（而非 53bp1）会在缺乏功能性 BRCA1 BRCT 结构域的小鼠胚胎干细胞中赋予 PARPi 抗性。与 53bp1 丢失不同，Shld2 或 Shld3 的删除可部分恢复复制耦合 DSB 处的 HR，减少 BRCA1 相关插入/删除特征，并促进 RAD51 加载。这种独立于 53BP1 的功能需要 CST 复合物，并抵消 RAD51 加载中残留的 BRCA1 卷曲螺旋结构域活性。 Shld2 缺失还会在保留残留 BRCA1 的 Bard1-null 细胞中赋予 PARPi 抗性，但在表达 RING-less BRCA1 且 BARD1 降解的细胞中则不会。这些发现确定了 Shieldin 在维持 BRCA1 缺陷细胞中 HR 缺陷方面具有独立于 53BP1 的功能，为 PARPi 耐药性提供了新的机制见解。</w:t>
      </w:r>
    </w:p>
    <w:p>
      <w:pPr>
        <w:spacing w:before="0" w:after="200" w:lineRule="auto" w:line="276"/>
      </w:pPr>
      <w:r>
        <w:rPr>
          <w:b/>
        </w:rPr>
        <w:t xml:space="preserve">Abstract (EN): </w:t>
      </w:r>
      <w:r>
        <w:t>BRCA1-deficient tumors are hypersensitive to PARP inhibitors (PARPi) due to impaired homologous recombination (HR). The 53BP1-Shieldin complex inhibits end resection at replication-independent DNA double-strand breaks (DSBs), promoting PARPi sensitivity in BRCA1-deficient cells. However, its role in replication-coupled DSBs is less clear. Here, we show that loss of Shld2 or Shld3, but not 53bp1, confers PARPi resistance in mouse embryonic stem cells lacking a functional BRCA1 BRCT domain. Unlike 53bp1 loss, deletion of Shld2 or Shld3 partially restores HR at replication-coupled DSBs, reduces BRCA1-linked insertion/deletion signatures, and promotes RAD51 loading. This 53BP1-independent function requires the CST complex and counteracts residual BRCA1 coiled-coil domain activity in RAD51 loading. Shld2 loss also confers PARPi resistance in Bard1-null cells retaining residual BRCA1, but not in cells expressing RING-less BRCA1 with degraded BARD1. These findings identify a 53BP1-independent function for Shieldin in sustaining HR deficiency in BRCA1-deficient cells, providing new mechanistic insights into PARPi resistance.</w:t>
      </w:r>
    </w:p>
    <w:p>
      <w:pPr>
        <w:spacing w:before="120" w:after="120"/>
      </w:pPr>
      <w:r>
        <w:rPr>
          <w:sz w:val="18"/>
        </w:rPr>
        <w:t>——————————————————————————————————————————————————————————————————————</w:t>
      </w:r>
    </w:p>
    <w:p>
      <w:pPr>
        <w:spacing w:before="160" w:after="40" w:line="240" w:lineRule="auto"/>
      </w:pPr>
      <w:r>
        <w:rPr>
          <w:b/>
        </w:rPr>
        <w:t xml:space="preserve">[81] </w:t>
      </w:r>
      <w:hyperlink r:id="rId339">
        <w:r>
          <w:rPr>
            <w:color w:val="1155CC"/>
            <w:u w:val="single"/>
          </w:rPr>
          <w:t>斑马鱼少突胶质细胞谱系细胞利用突触后蛋白 Gephyrin 使 GABA 能轴突有髓鞘化并限制髓鞘生长</w:t>
        </w:r>
      </w:hyperlink>
    </w:p>
    <w:p>
      <w:pPr>
        <w:spacing w:before="0" w:after="80"/>
      </w:pPr>
      <w:r>
        <w:rPr>
          <w:i/>
          <w:sz w:val="20"/>
        </w:rPr>
        <w:t>EN: Zebrafish oligodendrocyte lineage cells use the postsynaptic protein Gephyrin to myelinate GABAergic axons and limit myelin sheath growth</w:t>
      </w:r>
    </w:p>
    <w:p>
      <w:pPr>
        <w:spacing w:before="0" w:after="120"/>
      </w:pPr>
      <w:r>
        <w:rPr>
          <w:b/>
        </w:rPr>
        <w:t xml:space="preserve">Source: </w:t>
      </w:r>
      <w:r>
        <w:t>Biological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轴突髓鞘化可以通过在不同类型的轴突上放置和调节不同模式的髓鞘来调节神经元回路。髓磷脂的形成如何在不同的轴突类别上协调仍然很大程度上未知。最近的研究表明，神经元活动和囊泡释放促进髓鞘形成，并且产生髓鞘的少突胶质细胞表达典型的突触后因子，这些因子可能促进少突胶质细胞与轴突相互作用以形成髓鞘。在这里，我们检查了抑制性突触后支架蛋白 Gephyrin (Gphn) 是否介导斑马鱼幼虫中特定轴突类别的选择性髓鞘化。与这种可能性一致，Gphn 富含 GABA 能和甘氨酸能轴突上的髓磷脂。在 gphnb 缺陷的幼虫少突胶质细胞中，髓鞘更长，并且髓鞘放置在 GABA 能轴突上的频率降低。总的来说，我们的结果表明少突胶质细胞谱系细胞利用 Gphn 促进 GABA 能轴突上髓磷脂的形成并限制髓鞘长度。</w:t>
      </w:r>
    </w:p>
    <w:p>
      <w:pPr>
        <w:spacing w:before="0" w:after="200" w:lineRule="auto" w:line="276"/>
      </w:pPr>
      <w:r>
        <w:rPr>
          <w:b/>
        </w:rPr>
        <w:t xml:space="preserve">Abstract (EN): </w:t>
      </w:r>
      <w:r>
        <w:t>Axon myelination can tune neuronal circuits through placement and modulation of different patterns of myelin sheaths on distinct types of axons. How myelin formation is coordinated on distinct axon classes remains largely unknown. Recent work indicates neuronal activity and vesicle release promote myelin formation, and myelin-producing oligodendrocytes express canonical postsynaptic factors that potentially facilitate oligodendrocyte-axon interaction for myelin ensheathment. Here, we examined whether the inhibitory postsynaptic scaffold protein Gephyrin (Gphn) mediates selective myelination of specific axon classes in the larval zebrafish. Consistent with this possibility, Gphn was enriched in myelin on GABAergic and glycinergic axons. In gphnb deficient larval oligodendrocytes, myelin sheaths were longer and the frequency of myelin placement on GABAergic axons was reduced. Collectively, our results indicate that oligodendrocyte lineage cells use Gphn to promote myelin formation on GABAergic axons and limit myelin sheath length.</w:t>
      </w:r>
    </w:p>
    <w:p>
      <w:pPr>
        <w:spacing w:before="120" w:after="120"/>
      </w:pPr>
      <w:r>
        <w:rPr>
          <w:sz w:val="18"/>
        </w:rPr>
        <w:t>——————————————————————————————————————————————————————————————————————</w:t>
      </w:r>
    </w:p>
    <w:p>
      <w:pPr>
        <w:spacing w:before="160" w:after="40" w:line="240" w:lineRule="auto"/>
      </w:pPr>
      <w:r>
        <w:rPr>
          <w:b/>
        </w:rPr>
        <w:t xml:space="preserve">[82] </w:t>
      </w:r>
      <w:hyperlink r:id="rId340">
        <w:r>
          <w:rPr>
            <w:color w:val="1155CC"/>
            <w:u w:val="single"/>
          </w:rPr>
          <w:t>雄性小鼠室旁下丘脑区的 Nos1 神经元通过交感神经系统调节脂质代谢</w:t>
        </w:r>
      </w:hyperlink>
    </w:p>
    <w:p>
      <w:pPr>
        <w:spacing w:before="0" w:after="80"/>
      </w:pPr>
      <w:r>
        <w:rPr>
          <w:i/>
          <w:sz w:val="20"/>
        </w:rPr>
        <w:t>EN: Nos1 neurons in the paraventricular hypothalamic area modulate lipid metabolism via the sympathetic nervous system in male mice</w:t>
      </w:r>
    </w:p>
    <w:p>
      <w:pPr>
        <w:spacing w:before="0" w:after="120"/>
      </w:pPr>
      <w:r>
        <w:rPr>
          <w:b/>
        </w:rPr>
        <w:t xml:space="preserve">Source: </w:t>
      </w:r>
      <w:r>
        <w:t>Biological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在不同生理条件下选择合适的能量底物是能量代谢稳态的关键方面。我们在此表明​​，下丘脑室旁核 (PVH) 中表达 Nos1（一氧化氮合酶 1）的细胞是控制雄性小鼠全身脂肪消耗的关键节点。 Nos1 神经元约占 PVH 神经元的 30%，这些神经元通过多突触通路将信号传递至个体外周组织，包括骨骼肌以及棕色 (BAT) 和白色 (WAT) 脂肪组织。 PVH区这些Nos1神经元的激活通过交感神经系统诱导其他周围组织中的WAT脂解和脂肪氧化，从而增加全身脂肪消耗。抑制这些神经元可以消除光照期间脂肪消耗的增加，而长期沉默会导致与能量摄入无关的肥胖。这些神经元对于 BAT 中寒冷诱导的产热以及食物匮乏或其他压力源引起的脂肪消耗的快速增加也是必需的。因此，PVH 区域的 Nos1 神经元对于控制脂肪消耗和能量稳态至关重要。</w:t>
      </w:r>
    </w:p>
    <w:p>
      <w:pPr>
        <w:spacing w:before="0" w:after="200" w:lineRule="auto" w:line="276"/>
      </w:pPr>
      <w:r>
        <w:rPr>
          <w:b/>
        </w:rPr>
        <w:t xml:space="preserve">Abstract (EN): </w:t>
      </w:r>
      <w:r>
        <w:t>The selection of the appropriate energy substrate under different physiological conditions is a key aspect of the energy metabolism homeostasis. We here show that Nos1 (nitric oxide synthase 1)-expressing cells in the paraventricular hypothalamic nucleus (PVH) serve as a pivotal node for controlling whole-body fat consumption in male mice. Nos1 neurons account for ~30% of PVH neurons that convey signals via polysynaptic pathways to individual peripheral tissues, including skeletal muscle and brown (BAT) and white (WAT) adipose tissues. Activation of these Nos1 neurons in the PVH area induces WAT lipolysis and fat oxidation in other peripheral tissues via the sympathetic nervous system, thereby increasing whole-body fat consumption. Inhibition of these neurons abolishes the increase in fat consumption during the light period, whereas long-term silencing lead to obesity independent of energy intake. These neurons are also necessary for cold-induced thermogenesis in BAT and the rapid increase in fat consumption elicited by food deprivation or other stressors. Nos1 neurons in the PVH area are therefore essential for controlling fat consumption and energy homeostasis.</w:t>
      </w:r>
    </w:p>
    <w:p>
      <w:pPr>
        <w:spacing w:before="120" w:after="120"/>
      </w:pPr>
      <w:r>
        <w:rPr>
          <w:sz w:val="18"/>
        </w:rPr>
        <w:t>——————————————————————————————————————————————————————————————————————</w:t>
      </w:r>
    </w:p>
    <w:p>
      <w:pPr>
        <w:spacing w:before="160" w:after="40" w:line="240" w:lineRule="auto"/>
      </w:pPr>
      <w:r>
        <w:rPr>
          <w:b/>
        </w:rPr>
        <w:t xml:space="preserve">[83] </w:t>
      </w:r>
      <w:hyperlink r:id="rId341">
        <w:r>
          <w:rPr>
            <w:color w:val="1155CC"/>
            <w:u w:val="single"/>
          </w:rPr>
          <w:t>用于碲偏振计算的互补非线性光学</w:t>
        </w:r>
      </w:hyperlink>
    </w:p>
    <w:p>
      <w:pPr>
        <w:spacing w:before="0" w:after="80"/>
      </w:pPr>
      <w:r>
        <w:rPr>
          <w:i/>
          <w:sz w:val="20"/>
        </w:rPr>
        <w:t>EN: Complementary nonlinear optics for polarimetric computing in tellurium</w:t>
      </w:r>
    </w:p>
    <w:p>
      <w:pPr>
        <w:spacing w:before="0" w:after="120"/>
      </w:pPr>
      <w:r>
        <w:rPr>
          <w:b/>
        </w:rPr>
        <w:t xml:space="preserve">Source: </w:t>
      </w:r>
      <w:r>
        <w:t>Physical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偏振作为高维信息载体，但当前的偏振敏感光学系统通常将传感与处理分开，产生大量冗余和延迟。在这里，我们展示了一种基于低维碲纳米线和纳米片互补集成的智能范例，利用其固有的光学各向异性和相反偏置调制的二次谐波生成行为。我们在两个关键领域系统地利用这些机制。在信息安全中，光学各向异性充当物理不可克隆函数的熵源，同时集成碲纳米线和纳米片构建了强大的加密单元。在偏振图像处理中，各向异性有利于干扰的光学过滤，而且至关重要的是，互补偏置调制使系统能够协同执行背景去噪和边缘提取。该策略直接在检测阶段有效地执行复杂的信息编码和图像预处理任务，为下一代智能光学系统提供紧凑的解决方案。</w:t>
      </w:r>
    </w:p>
    <w:p>
      <w:pPr>
        <w:spacing w:before="0" w:after="200" w:lineRule="auto" w:line="276"/>
      </w:pPr>
      <w:r>
        <w:rPr>
          <w:b/>
        </w:rPr>
        <w:t xml:space="preserve">Abstract (EN): </w:t>
      </w:r>
      <w:r>
        <w:t>Polarization serves as a high-dimensional information carrier, yet current polarization-sensitive optical systems typically separate sensing from processing, generating massive redundancy and latency. Here, we demonstrate an intelligent paradigm based on the complementary integration of low-dimensional tellurium nanowires and nanosheets, leveraging their intrinsic optical anisotropy and opposite bias-modulated second-harmonic generation behaviors. We systematically exploit these mechanisms across two key domains. In information security, optical anisotropy serves as an entropy source for physical unclonable functions, while integrating tellurium nanowires and nanosheets constructs robust encryption units. In polarized image processing, anisotropy facilitates optical filtering of interference, and, crucially, the complementary bias modulation empowers the system to synergistically perform background denoising and edge extraction. This strategy effectively executes complex information encoding and image pre-processing tasks directly at the detection stage, offering a compact solution for next-generation intelligent optical systems.</w:t>
      </w:r>
    </w:p>
    <w:p>
      <w:pPr>
        <w:spacing w:before="120" w:after="120"/>
      </w:pPr>
      <w:r>
        <w:rPr>
          <w:sz w:val="18"/>
        </w:rPr>
        <w:t>——————————————————————————————————————————————————————————————————————</w:t>
      </w:r>
    </w:p>
    <w:p>
      <w:pPr>
        <w:spacing w:before="160" w:after="40" w:line="240" w:lineRule="auto"/>
      </w:pPr>
      <w:r>
        <w:rPr>
          <w:b/>
        </w:rPr>
        <w:t xml:space="preserve">[84] </w:t>
      </w:r>
      <w:hyperlink r:id="rId342">
        <w:r>
          <w:rPr>
            <w:color w:val="1155CC"/>
            <w:u w:val="single"/>
          </w:rPr>
          <w:t>全金属 Jellium σ-aromats 的场致非线性磁响应</w:t>
        </w:r>
      </w:hyperlink>
    </w:p>
    <w:p>
      <w:pPr>
        <w:spacing w:before="0" w:after="80"/>
      </w:pPr>
      <w:r>
        <w:rPr>
          <w:i/>
          <w:sz w:val="20"/>
        </w:rPr>
        <w:t>EN: Field-induced non-linear magnetic responses of all-metal Jellium σ-aromats</w:t>
      </w:r>
    </w:p>
    <w:p>
      <w:pPr>
        <w:spacing w:before="0" w:after="120"/>
      </w:pPr>
      <w:r>
        <w:rPr>
          <w:b/>
        </w:rPr>
        <w:t xml:space="preserve">Source: </w:t>
      </w:r>
      <w:r>
        <w:t>Physical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近年来，全金属芳香性的兴起，挑战了芳香性的经典观点。全金属芳香性会引发金属-金属键合，但这对于锕系元素来说仍然很少见。最近，据报道，单电子三钍超原子簇表现出高抗磁性，因此具有开壳层凝胶芳香性。这些簇补充了闭壳双电子同系物，但计算评估提出了相互矛盾的解释。在这里，我们报道了一电子和二电子的三钍簇，它们都表现出高抗磁性，表现出开壳层和闭壳层的钍芳香性。我们证明这些 Jellium 芳香剂表现出非线性磁响应，因此不满足环电流计算的基本假设，从而解释了实验与计算的不一致。这项工作表明，虽然 π-芳香性是由预组织的相干波函数产生的，但对于 σ-芳香族来说，内聚波函数和 Jellium 芳环电流可能存在电子重组势垒。这项工作证明了如果不理解实验磁响应，则在使用环电流计算来分配芳香特征时要小心谨慎的重要性。</w:t>
      </w:r>
    </w:p>
    <w:p>
      <w:pPr>
        <w:spacing w:before="0" w:after="200" w:lineRule="auto" w:line="276"/>
      </w:pPr>
      <w:r>
        <w:rPr>
          <w:b/>
        </w:rPr>
        <w:t xml:space="preserve">Abstract (EN): </w:t>
      </w:r>
      <w:r>
        <w:t>In recent times all-metal aromaticity has arisen, challenging classical views of aromaticity. All-metal aromaticity invokes metal-metal bonding, but this remains rare for the actinides. Recently, one-electron trithorium superatom clusters exhibiting exalted diamagnetism and hence open-shell Jellium aromaticity have been reported. Those clusters complement closed-shell two-electron congeners, but computational assessments advanced conflicting interpretations. Here, we report one- and two-electron trithorium clusters that all exhibit exalted diamagnetism, demonstrating open- and closed-shell Jellium aromaticities. We show that these Jellium aromats exhibit non-linear magnetic responses, so a foundational assumption of ring current calculations is not met, accounting for the experimental-computational disagreement. This work suggests that while π-aromaticity results from preorganized coherent wave functions, for σ-aromats there may be an electronic reorganization barrier to cohesive wave functions and Jellium aromatic ring currents. This work demonstrates the importance of caution when using ring current calculations to assign aromatic character if the experimental magnetic response is not understood.</w:t>
      </w:r>
    </w:p>
    <w:p>
      <w:pPr>
        <w:spacing w:before="120" w:after="120"/>
      </w:pPr>
      <w:r>
        <w:rPr>
          <w:sz w:val="18"/>
        </w:rPr>
        <w:t>——————————————————————————————————————————————————————————————————————</w:t>
      </w:r>
    </w:p>
    <w:p>
      <w:pPr>
        <w:spacing w:before="160" w:after="40" w:line="240" w:lineRule="auto"/>
      </w:pPr>
      <w:r>
        <w:rPr>
          <w:b/>
        </w:rPr>
        <w:t xml:space="preserve">[85] </w:t>
      </w:r>
      <w:hyperlink r:id="rId343">
        <w:r>
          <w:rPr>
            <w:color w:val="1155CC"/>
            <w:u w:val="single"/>
          </w:rPr>
          <w:t>采用三体异质结有机适应晶体管的自主运动视觉</w:t>
        </w:r>
      </w:hyperlink>
    </w:p>
    <w:p>
      <w:pPr>
        <w:spacing w:before="0" w:after="80"/>
      </w:pPr>
      <w:r>
        <w:rPr>
          <w:i/>
          <w:sz w:val="20"/>
        </w:rPr>
        <w:t>EN: Autonomous Motion Vision with Tri-bulk-heterojunctioned Organic Adaptation Transistor</w:t>
      </w:r>
    </w:p>
    <w:p>
      <w:pPr>
        <w:spacing w:before="0" w:after="120"/>
      </w:pPr>
      <w:r>
        <w:rPr>
          <w:b/>
        </w:rPr>
        <w:t xml:space="preserve">Source: </w:t>
      </w:r>
      <w:r>
        <w:t>Physical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运动视觉在自动驾驶和体现智能等场景中变得越来越重要。现有传感器将运动分析和运动对象提取作为单独的任务执行，这增加了计算和存储需求，对高效应用提出了挑战。在这里，我们设计了一种有机三体异质结自适应光电晶体管（OTAT），它将两种功能集成在单个器件中。值得注意的是，OTAT 采用了栅极相邻的半导体绝缘体异质结作为光敏渗流通道，在跨越六个数量级的照明下提供微调的光适应。在成像实验中，该设备的传感器内运动物体提取高光比高达 45.3%，接近人类视觉系统的能力，同时在方向和速度检测方面的运动分析精度超过 99.4%。重要的是，基于 OTAT 的代理在多个路线规划模拟中产生的风险最低。这些结果表明，OTAT 有效地弥合了运动提取和分析之间的差距，标志着下一代传感器内运动视觉系统向前迈出了重要一步。</w:t>
      </w:r>
    </w:p>
    <w:p>
      <w:pPr>
        <w:spacing w:before="0" w:after="200" w:lineRule="auto" w:line="276"/>
      </w:pPr>
      <w:r>
        <w:rPr>
          <w:b/>
        </w:rPr>
        <w:t xml:space="preserve">Abstract (EN): </w:t>
      </w:r>
      <w:r>
        <w:t>Motion vision is increasingly critical in scenarios such as autonomous driving and embodied intelligence. Existing sensors perform motion analysis and moving‑object extraction as separate tasks, which increases computation and storage needs to challenge highly efficient applications. Here, we design an organic tri-bulk-heterojunctioned adaptation phototransistor (OTAT) that integrates both functionalities in a single device. Notably, the OTAT incorporates a gate-adjacent semiconductor-insulator heterojunction as a photosensitive percolation channel, providing fine-tuned photoadaptation under illumination spanning six orders of magnitude. In imaging experiments, the device exhibits in‑sensor moving‑object extraction with a 45.3% highlight ratio, approaching the capability of the human visual system, while yielding motion analysis accuracy over 99.4% in both direction and speed detection. Importantly, the OTAT-based agents generated the lowest risk in multiple route-planning simulation. These results show that the OTAT effectively bridges the gap between motion extraction and analysis, marking a significant step forward for next-generation in‑sensor motion vision systems.</w:t>
      </w:r>
    </w:p>
    <w:p>
      <w:pPr>
        <w:spacing w:before="120" w:after="120"/>
      </w:pPr>
      <w:r>
        <w:rPr>
          <w:sz w:val="18"/>
        </w:rPr>
        <w:t>——————————————————————————————————————————————————————————————————————</w:t>
      </w:r>
    </w:p>
    <w:p>
      <w:pPr>
        <w:spacing w:before="160" w:after="40" w:line="240" w:lineRule="auto"/>
      </w:pPr>
      <w:r>
        <w:rPr>
          <w:b/>
        </w:rPr>
        <w:t xml:space="preserve">[86] </w:t>
      </w:r>
      <w:hyperlink r:id="rId344">
        <w:r>
          <w:rPr>
            <w:color w:val="1155CC"/>
            <w:u w:val="single"/>
          </w:rPr>
          <w:t>气相展开分析可快速预测工程化抗体中的结构-功能关系，并具有调整的灵活性</w:t>
        </w:r>
      </w:hyperlink>
    </w:p>
    <w:p>
      <w:pPr>
        <w:spacing w:before="0" w:after="80"/>
      </w:pPr>
      <w:r>
        <w:rPr>
          <w:i/>
          <w:sz w:val="20"/>
        </w:rPr>
        <w:t>EN: Gas-phase unfolding assay rapidly predicts structure-function relationships in engineered antibodies with tuned flexibilities</w:t>
      </w:r>
    </w:p>
    <w:p>
      <w:pPr>
        <w:spacing w:before="0" w:after="120"/>
      </w:pPr>
      <w:r>
        <w:rPr>
          <w:b/>
        </w:rPr>
        <w:t xml:space="preserve">Source: </w:t>
      </w:r>
      <w:r>
        <w:t>Biological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人 (h)IgG2 单克隆抗体 (mAb) 是有效的激动剂，部分原因在于它们能够在铰链区内进行二硫键改组。在此，我们描述了一种快速、灵敏的碰撞诱导解折叠 (CIU) 测定，该测定具有气相蛋白解折叠和 hIgG2 变体激动作用之间的预测关系。此外，我们的结果强调了铰链工程在调整单克隆抗体结构-功能关系方面对于未来生物治疗药物开发的重要性。</w:t>
      </w:r>
    </w:p>
    <w:p>
      <w:pPr>
        <w:spacing w:before="0" w:after="200" w:lineRule="auto" w:line="276"/>
      </w:pPr>
      <w:r>
        <w:rPr>
          <w:b/>
        </w:rPr>
        <w:t xml:space="preserve">Abstract (EN): </w:t>
      </w:r>
      <w:r>
        <w:t>Human (h)IgG2 monoclonal antibodies (mAbs) are potent agonists due, in part, to their ability to undergo disulfide shuffling within their hinge regions. Herein, we describe a rapid, sensitive, collision-induced unfolding (CIU) assay that possesses a predictive relationship between gas-phase protein unfolding and agonism in hIgG2 variants. Furthermore, our results highlight the significance of hinge engineering in tuning mAb structure-function relationships for the development of future biotherapeutics.</w:t>
      </w:r>
    </w:p>
    <w:p>
      <w:pPr>
        <w:spacing w:before="120" w:after="120"/>
      </w:pPr>
      <w:r>
        <w:rPr>
          <w:sz w:val="18"/>
        </w:rPr>
        <w:t>——————————————————————————————————————————————————————————————————————</w:t>
      </w:r>
    </w:p>
    <w:p>
      <w:pPr>
        <w:spacing w:before="160" w:after="40" w:line="240" w:lineRule="auto"/>
      </w:pPr>
      <w:r>
        <w:rPr>
          <w:b/>
        </w:rPr>
        <w:t xml:space="preserve">[87] </w:t>
      </w:r>
      <w:hyperlink r:id="rId345">
        <w:r>
          <w:rPr>
            <w:color w:val="1155CC"/>
            <w:u w:val="single"/>
          </w:rPr>
          <w:t>消色差中子透镜</w:t>
        </w:r>
      </w:hyperlink>
    </w:p>
    <w:p>
      <w:pPr>
        <w:spacing w:before="0" w:after="80"/>
      </w:pPr>
      <w:r>
        <w:rPr>
          <w:i/>
          <w:sz w:val="20"/>
        </w:rPr>
        <w:t>EN: An achromatic neutron lens</w:t>
      </w:r>
    </w:p>
    <w:p>
      <w:pPr>
        <w:spacing w:before="0" w:after="120"/>
      </w:pPr>
      <w:r>
        <w:rPr>
          <w:b/>
        </w:rPr>
        <w:t xml:space="preserve">Source: </w:t>
      </w:r>
      <w:r>
        <w:t>Physical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由于中子对轻元素、同位素组成、磁矩和高穿透性的敏感性，因此可以对材料进行特殊的洞察。然而，中子源是多色的且亮度低。中子光学提供了一条通过聚焦来解决这些限制的途径，迄今为止，已经开发出基于反射、折射、衍射和磁性的各种类型的中子光学。值得注意的是，复合折射透镜和菲涅尔波带片已被证明可用于成像，但它们在多色光束下的严重色差阻碍了它们的广泛使用，并限制了真正的高分辨率中子显微镜的进展。在这里，我们展示了用于全视场中子显微镜的消色差中子透镜。这一发展克服了基于针孔的射线照相中固有的样本探测器距离限制。透镜放大倍率使得能够在不损失空间分辨率的情况下使用高效的检测系统，并为高分辨率中子显微镜建立了一条途径。我们预计中子消色差透镜将推动广泛的中子方法的发展。</w:t>
      </w:r>
    </w:p>
    <w:p>
      <w:pPr>
        <w:spacing w:before="0" w:after="200" w:lineRule="auto" w:line="276"/>
      </w:pPr>
      <w:r>
        <w:rPr>
          <w:b/>
        </w:rPr>
        <w:t xml:space="preserve">Abstract (EN): </w:t>
      </w:r>
      <w:r>
        <w:t>Neutrons provide exceptional insight into materials, owing to their sensitivity to light elements, isotopic composition, magnetic moments, and high-penetration. However, neutron sources are polychromatic and of low brightness. Neutron optics provides a route to address these limitations by focusing, and to date, various types of neutron optics have been developed based on reflection, refraction, diffraction, and magnetism. Notably, compound refractive lenses and Fresnel zone plates have been demonstrated for imaging, yet their severe chromatic aberration under polychromatic beams has prevented their widespread use and limits progress towards true high-resolution neutron microscopy. Here, we demonstrate an achromatic neutron lens for full-field neutron microscopy. This development overcomes the intrinsic sample-detector distance constraint in pinhole-based radiography. The lens magnification enables the use of efficient detection systems without loss of spatial resolution and establishes a pathway towards high-resolution neutron microscopy. We anticipate the neutron achromat will advance a broad range of neutron methods.</w:t>
      </w:r>
    </w:p>
    <w:p>
      <w:pPr>
        <w:spacing w:before="120" w:after="120"/>
      </w:pPr>
      <w:r>
        <w:rPr>
          <w:sz w:val="18"/>
        </w:rPr>
        <w:t>——————————————————————————————————————————————————————————————————————</w:t>
      </w:r>
    </w:p>
    <w:p>
      <w:pPr>
        <w:spacing w:before="160" w:after="40" w:line="240" w:lineRule="auto"/>
      </w:pPr>
      <w:r>
        <w:rPr>
          <w:b/>
        </w:rPr>
        <w:t xml:space="preserve">[88] </w:t>
      </w:r>
      <w:hyperlink r:id="rId346">
        <w:r>
          <w:rPr>
            <w:color w:val="1155CC"/>
            <w:u w:val="single"/>
          </w:rPr>
          <w:t>提取二分网络的传递性主干</w:t>
        </w:r>
      </w:hyperlink>
    </w:p>
    <w:p>
      <w:pPr>
        <w:spacing w:before="0" w:after="80"/>
      </w:pPr>
      <w:r>
        <w:rPr>
          <w:i/>
          <w:sz w:val="20"/>
        </w:rPr>
        <w:t>EN: Extracting the transitivity backbone of bipartite networks</w:t>
      </w:r>
    </w:p>
    <w:p>
      <w:pPr>
        <w:spacing w:before="0" w:after="120"/>
      </w:pPr>
      <w:r>
        <w:rPr>
          <w:b/>
        </w:rPr>
        <w:t xml:space="preserve">Source: </w:t>
      </w:r>
      <w:r>
        <w:t>Physical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真正的二分网络将程度受限的随机混合与平衡短程和长程连接的结构化连接相结合，并通过几何网络模型有效地进行了解释。我们引入了一种统计过滤器，该过滤器根据保留程度的随机化对节点级二分聚类进行基准测试，以将节点分类为几何（信号）或程度受限的噪声。在具有已知地面实况的合成混合物中，过滤器实现了高分类精度并锐化了潜在几何参数的推断。应用于四个经验系统——新陈代谢、在线群体成员、植物-传粉者相互作用和语言——过滤器隔离经常出现的邻域，同时删除普遍存在或弱共现的实体。过滤暴露了一个紧凑的几何主干，该主干在渗透下不成比例地维持连接性，并保留节点特征任务中下游分类器的准确性，提供了一种简单、可扩展的方法来将结构与二分网络中的噪声分开。</w:t>
      </w:r>
    </w:p>
    <w:p>
      <w:pPr>
        <w:spacing w:before="0" w:after="200" w:lineRule="auto" w:line="276"/>
      </w:pPr>
      <w:r>
        <w:rPr>
          <w:b/>
        </w:rPr>
        <w:t xml:space="preserve">Abstract (EN): </w:t>
      </w:r>
      <w:r>
        <w:t>Real bipartite networks combine degree-constrained random mixing with structured connectivity balancing short and long range connections, effectively accounted for by geometric network models. We introduce a statistical filter that benchmarks node-level bipartite clustering against degree-preserving randomizations to classify nodes as geometric (signal) or degree constrained noise. In synthetic mixtures with known ground truth, the filter achieves high classification accuracy and sharpens inference of latent geometric parameters. Applied to four empirical systems –metabolism, online group membership, plant-pollinator interactions, and languages– the filter isolates recurrent neighborhoods while removing ubiquitous or weakly co-occurring entities. Filtering exposes a compact geometric backbone that disproportionately sustains connectivity under percolation and preserves downstream classifier accuracy in node-feature tasks, offering a simple, scalable way to disentangle structure from noise in bipartite networks.</w:t>
      </w:r>
    </w:p>
    <w:p>
      <w:pPr>
        <w:spacing w:before="120" w:after="120"/>
      </w:pPr>
      <w:r>
        <w:rPr>
          <w:sz w:val="18"/>
        </w:rPr>
        <w:t>——————————————————————————————————————————————————————————————————————</w:t>
      </w:r>
    </w:p>
    <w:p>
      <w:pPr>
        <w:spacing w:before="160" w:after="40" w:line="240" w:lineRule="auto"/>
      </w:pPr>
      <w:r>
        <w:rPr>
          <w:b/>
        </w:rPr>
        <w:t xml:space="preserve">[89] </w:t>
      </w:r>
      <w:hyperlink r:id="rId347">
        <w:r>
          <w:rPr>
            <w:color w:val="1155CC"/>
            <w:u w:val="single"/>
          </w:rPr>
          <w:t>波动力学的通用卷积：合成维度中的光子处理和加密</w:t>
        </w:r>
      </w:hyperlink>
    </w:p>
    <w:p>
      <w:pPr>
        <w:spacing w:before="0" w:after="80"/>
      </w:pPr>
      <w:r>
        <w:rPr>
          <w:i/>
          <w:sz w:val="20"/>
        </w:rPr>
        <w:t>EN: Universal convolution from wave dynamics: photonic processing and encryption in synthetic dimension</w:t>
      </w:r>
    </w:p>
    <w:p>
      <w:pPr>
        <w:spacing w:before="0" w:after="120"/>
      </w:pPr>
      <w:r>
        <w:rPr>
          <w:b/>
        </w:rPr>
        <w:t xml:space="preserve">Source: </w:t>
      </w:r>
      <w:r>
        <w:t>Physical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卷积是信号处理和光学神经网络的基石，传统上是通过将数学运算映射到复杂的硬件上来实现的。在这里，我们通过揭示平移对称晶格中的波动力学本质上执行卷积来克服这一挑战，色散关系唯一地定义了复值内核。利用这一通用原理，我们通过可编程光子合成晶格中的波演化开发了一种复杂性最小的卷积架构，以每秒 13.5 兆次运算 (TOPS) 的速度提供高吞吐量、多功能的图像处理能力。除了卷积加速之外，内核的复杂性质还促进了经典非相干激发下不可逆扩散和可逆酉量子动力学的光子模拟。利用基于物理的可逆性和不可检测的相位信息，我们演示了一种卷积驱动的光学加密策略。这项工作通过在波动力学中奠定卷积基础，为光子计算建立了统一的视角，为具有高集成潜力的可扩展、多功能光子处理器开辟了道路。</w:t>
      </w:r>
    </w:p>
    <w:p>
      <w:pPr>
        <w:spacing w:before="0" w:after="200" w:lineRule="auto" w:line="276"/>
      </w:pPr>
      <w:r>
        <w:rPr>
          <w:b/>
        </w:rPr>
        <w:t xml:space="preserve">Abstract (EN): </w:t>
      </w:r>
      <w:r>
        <w:t>Convolution, a cornerstone of signal processing and optical neural networks, has traditionally been implemented by mapping mathematical operations onto complex hardware. Here, we overcome this challenge by revealing that wave dynamics in translation-symmetric lattices intrinsically performs convolution, with the dispersion relation uniquely defining the complex-valued kernel. Leveraging this universal principle, we develop a convolutional architecture of minimal complexity through wave evolution in programmable photonic synthetic lattices, delivering high-throughput, multifunctional capabilities at a rate of 13.5 tera-operations per second (TOPS) for image processing. Beyond convolution acceleration, the kernel’s complex nature facilitates the photonic simulation of both irreversible diffusion and reversible unitary quantum dynamics under classical incoherent excitation. Capitalizing on the physics-based reversibility and undetectable phase information, we demonstrate a convolution-driven optical encryption strategy. This work establishes a unified perspective for photonic computing by grounding convolution in wave dynamics, opening avenues toward scalable, multifunctional photonic processors with high integration potential.</w:t>
      </w:r>
    </w:p>
    <w:p>
      <w:pPr>
        <w:spacing w:before="120" w:after="120"/>
      </w:pPr>
      <w:r>
        <w:rPr>
          <w:sz w:val="18"/>
        </w:rPr>
        <w:t>——————————————————————————————————————————————————————————————————————</w:t>
      </w:r>
    </w:p>
    <w:p>
      <w:pPr>
        <w:spacing w:before="160" w:after="40" w:line="240" w:lineRule="auto"/>
      </w:pPr>
      <w:r>
        <w:rPr>
          <w:b/>
        </w:rPr>
        <w:t xml:space="preserve">[90] </w:t>
      </w:r>
      <w:hyperlink r:id="rId348">
        <w:r>
          <w:rPr>
            <w:color w:val="1155CC"/>
            <w:u w:val="single"/>
          </w:rPr>
          <w:t>肺纤维化中纤维化周细胞的出现及其转录调控</w:t>
        </w:r>
      </w:hyperlink>
    </w:p>
    <w:p>
      <w:pPr>
        <w:spacing w:before="0" w:after="80"/>
      </w:pPr>
      <w:r>
        <w:rPr>
          <w:i/>
          <w:sz w:val="20"/>
        </w:rPr>
        <w:t>EN: Emergence of fibrotic pericytes and their transcriptional regulation in pulmonary fibrosis</w:t>
      </w:r>
    </w:p>
    <w:p>
      <w:pPr>
        <w:spacing w:before="0" w:after="120"/>
      </w:pPr>
      <w:r>
        <w:rPr>
          <w:b/>
        </w:rPr>
        <w:t xml:space="preserve">Source: </w:t>
      </w:r>
      <w:r>
        <w:t>Biological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多种细胞类型与肺纤维化的发病机制有关，周细胞因其在促进纤维化重塑中的作用而成为新的焦点。纤维化环境改变了正常的周细胞功能，但调节周细胞向纤维化状态转变的转录程序仍不清楚。利用人肺纤维化肺和小鼠遗传模型的单细胞RNA测序，我们鉴定了正常肺中不存在的独特的纤维化相关周细胞簇，并表现出独特的转录特征，表明正常周细胞向纤维化状态的转变。 FOXF1 被确定为纤维化周细胞中减少的转录因子之一。周细胞特异性缺失 Foxf1 会增加博来霉素小鼠模型中肺纤维化的严重程度，表现为存活率降低、肺功能受损、体重减轻增加和纤维化重塑增加。 Foxf1 周细胞特异性过度表达可减轻肺纤维化、逆转纤维化变化并改善生存结果。基于单细胞 RNA 测序和染色质免疫沉淀测序，FOXF1 转录调节对肺纤维化至关重要的广泛周细胞信号网络。在体外，FOXF1 转录激活 ID3，通过减少周细胞分泌 IL8 和 CXCL1 来抑制成纤维细胞活化。总而言之，FOXF1 可以防止周细胞向纤维化状态转变，这为治疗肺纤维化提供了新的治疗机会。</w:t>
      </w:r>
    </w:p>
    <w:p>
      <w:pPr>
        <w:spacing w:before="0" w:after="200" w:lineRule="auto" w:line="276"/>
      </w:pPr>
      <w:r>
        <w:rPr>
          <w:b/>
        </w:rPr>
        <w:t xml:space="preserve">Abstract (EN): </w:t>
      </w:r>
      <w:r>
        <w:t>Multiple cell types have been implicated in pathogenesis of pulmonary fibrosis with pericytes emerging as a new focus due to their role in promoting fibrotic remodeling. Fibrotic environment changes normal pericyte functions, but transcriptional programs regulating pericyte transition towards fibrotic state remain unclear. Utilizing single cell RNA-sequencing of human pulmonary fibrotic lungs and mouse genetic models, we identified a unique cluster of fibrosis-associated pericytes which was not present in normal lungs and exhibited a distinctive transcriptional signature indicating transition of normal pericytes to a fibrotic state. FOXF1 was identified as one of the transcription factors decreased in fibrotic pericytes. Pericyte-specific deletion of Foxf1 increased severity of pulmonary fibrosis in bleomycin mouse model as demonstrated by reduced survival, impaired lung functions, increased body weight loss and increased fibrotic remodeling. Pericyte-specific overexpression of Foxf1 attenuated pulmonary fibrosis, reversed fibrotic changes and improved survival outcomes. Based on single cell RNA-sequencing and chromatin immunoprecipitation sequencing, FOXF1 transcriptionally regulates an extensive pericyte signaling network critical for pulmonary fibrosis. In vitro, FOXF1 transcriptionally activated ID3 which inhibited fibroblast activation through decreased secretion of IL8 and CXCL1 by pericytes. Altogether, FOXF1 prevents transition of pericytes to a fibrotic state, suggesting new therapeutic opportunities for treatment of pulmonary fibrosis.</w:t>
      </w:r>
    </w:p>
    <w:p>
      <w:pPr>
        <w:spacing w:before="120" w:after="120"/>
      </w:pPr>
      <w:r>
        <w:rPr>
          <w:sz w:val="18"/>
        </w:rPr>
        <w:t>——————————————————————————————————————————————————————————————————————</w:t>
      </w:r>
    </w:p>
    <w:p>
      <w:pPr>
        <w:spacing w:before="160" w:after="40" w:line="240" w:lineRule="auto"/>
      </w:pPr>
      <w:r>
        <w:rPr>
          <w:b/>
        </w:rPr>
        <w:t xml:space="preserve">[91] </w:t>
      </w:r>
      <w:hyperlink r:id="rId349">
        <w:r>
          <w:rPr>
            <w:color w:val="1155CC"/>
            <w:u w:val="single"/>
          </w:rPr>
          <w:t>HSV-1 起源结合蛋白 UL9 形成分子间 DNA 链和分子内 DNA 环</w:t>
        </w:r>
      </w:hyperlink>
    </w:p>
    <w:p>
      <w:pPr>
        <w:spacing w:before="0" w:after="80"/>
      </w:pPr>
      <w:r>
        <w:rPr>
          <w:i/>
          <w:sz w:val="20"/>
        </w:rPr>
        <w:t>EN: HSV-1 origin binding protein UL9 forms intermolecular DNA tethers and intramolecular DNA loops</w:t>
      </w:r>
    </w:p>
    <w:p>
      <w:pPr>
        <w:spacing w:before="0" w:after="120"/>
      </w:pPr>
      <w:r>
        <w:rPr>
          <w:b/>
        </w:rPr>
        <w:t xml:space="preserve">Source: </w:t>
      </w:r>
      <w:r>
        <w:t>Biological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疱疹病毒是普遍存在的人类病原体，可引起从唇疱疹到鼻咽癌等轻度到重度的症状。尽管双链 DNA 基因组的复制已经被研究了几十年，但我们仍然缺乏对其机制的完整分子理解。之前曾提出，但从未直接证明，HSV-1 起点结合蛋白 UL9 与 oriS 起点序列内两个紧密间隔的位点相互作用，从而介导起点环，进而促进复制起始。在这里，我们使用一系列单分子方法来直接检验这个长期存在的假设。令人惊讶的是，数据显示 UL9 不能有效地循环 oriS。然而，我们证明 UL9 可以非常有效地在非源序列处形成大的 DNA 环，以及在分子间束缚两个 oriS DNA 分子。与起点弯曲假说相反，我们的研究结果表明，UL9 主要并不环化 oriS DNA，而是可能在复制起始中发挥替代作用，例如束缚两个单独的分子以促进重组。</w:t>
      </w:r>
    </w:p>
    <w:p>
      <w:pPr>
        <w:spacing w:before="0" w:after="200" w:lineRule="auto" w:line="276"/>
      </w:pPr>
      <w:r>
        <w:rPr>
          <w:b/>
        </w:rPr>
        <w:t xml:space="preserve">Abstract (EN): </w:t>
      </w:r>
      <w:r>
        <w:t>Herpesviruses are ubiquitous human pathogens, causing mild to severe symptoms ranging from cold sores to nasopharyngeal carcinoma. Even though replication of the dsDNA genome has been studied for decades, we still lack a complete molecular understanding of its mechanism. It has been previously proposed, but never shown directly, that the HSV-1 origin-binding protein UL9 interacts with two closely spaced sites within the oriS origin sequence, thereby mediating origin looping, which in turn facilitates replication initiation. Here, we use an array of single-molecule approaches to test this long-standing hypothesis directly. Surprisingly, the data show that UL9 does not efficiently loop oriS. However, we demonstrate that UL9 can form large DNA loops at non-origin sequences very efficiently, as well as tether two oriS DNA molecules intermolecularly. Contrary to the origin-bending hypothesis, our findings indicate that UL9 does not primarily loop oriS DNA but rather may play an alternative role in replication initiation, such as tethering two separate molecules to facilitate recombination.</w:t>
      </w:r>
    </w:p>
    <w:p>
      <w:pPr>
        <w:spacing w:before="120" w:after="120"/>
      </w:pPr>
      <w:r>
        <w:rPr>
          <w:sz w:val="18"/>
        </w:rPr>
        <w:t>——————————————————————————————————————————————————————————————————————</w:t>
      </w:r>
    </w:p>
    <w:p>
      <w:pPr>
        <w:spacing w:before="160" w:after="40" w:line="240" w:lineRule="auto"/>
      </w:pPr>
      <w:r>
        <w:rPr>
          <w:b/>
        </w:rPr>
        <w:t xml:space="preserve">[92] </w:t>
      </w:r>
      <w:hyperlink r:id="rId350">
        <w:r>
          <w:rPr>
            <w:color w:val="1155CC"/>
            <w:u w:val="single"/>
          </w:rPr>
          <w:t>组蛋白变体 H2B.8 的复制独立驱逐揭示了种子吸胀过程中的染色质重编程</w:t>
        </w:r>
      </w:hyperlink>
    </w:p>
    <w:p>
      <w:pPr>
        <w:spacing w:before="0" w:after="80"/>
      </w:pPr>
      <w:r>
        <w:rPr>
          <w:i/>
          <w:sz w:val="20"/>
        </w:rPr>
        <w:t>EN: Replication-independent eviction of the histone variant H2B.8 reveals chromatin reprogramming during seed imbibition</w:t>
      </w:r>
    </w:p>
    <w:p>
      <w:pPr>
        <w:spacing w:before="0" w:after="120"/>
      </w:pPr>
      <w:r>
        <w:rPr>
          <w:b/>
        </w:rPr>
        <w:t xml:space="preserve">Source: </w:t>
      </w:r>
      <w:r>
        <w:t>Biological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从种子到幼苗的转变涉及核组织和基因表达的重大变化，但这种发育转变需要染色质重编程的程度在很大程度上仍未被探索。在这里，我们报告拟南芥干种子胚胎积累组蛋白变体 H2B.8，它通过形成构建 3D 核空间的空间簇来促进高阶染色质组织。 H2B.8 主要组装成异型核小体，富集常染色质转座子和低表达基因，并在吸入过程中调节这些基因子集的转录激活。水的吸收会引发 H2B.8 转录物的减少以及 H2B.8 变体从染色质中的驱逐，这一过程独立于 DNA 复制，但需要从头转录。组蛋白驱逐不仅限于 H2B.8，因为吸入还会诱导 H3.3 组蛋白变体的更新，从而启动不依赖于复制的染色质重编程过程。这些发现强调了早期植物发育过程中表观遗传调控的基本机制。</w:t>
      </w:r>
    </w:p>
    <w:p>
      <w:pPr>
        <w:spacing w:before="0" w:after="200" w:lineRule="auto" w:line="276"/>
      </w:pPr>
      <w:r>
        <w:rPr>
          <w:b/>
        </w:rPr>
        <w:t xml:space="preserve">Abstract (EN): </w:t>
      </w:r>
      <w:r>
        <w:t>The transition from seed to seedling involves major changes in nuclear organization and gene expression, yet the extent to which this developmental transition requires chromatin reprogramming remains largely unexplored. Here, we report that Arabidopsis dry seed embryos accumulate the histone variant H2B.8, which contributes to higher-order chromatin organization by forming spatial clusters that structure the 3D nuclear space. H2B.8 predominantly assembles into heterotypic nucleosomes, is enriched at euchromatic transposons and lowly expressed genes and, during imbibition, modulates the transcriptional activation of a subset of these genes. Water uptake triggers a decrease in H2B.8 transcripts and the eviction of the H2B.8 variant from chromatin, in a process that operates independently of DNA replication but requires de novo transcription. Histone eviction is not restricted to H2B.8, as imbibition also induces turnover of the H3.3 histone variant and therefore initiates a replication-independent chromatin reprogramming process. These findings highlight a fundamental mechanism of epigenetic regulation during early plant development.</w:t>
      </w:r>
    </w:p>
    <w:p>
      <w:pPr>
        <w:spacing w:before="120" w:after="120"/>
      </w:pPr>
      <w:r>
        <w:rPr>
          <w:sz w:val="18"/>
        </w:rPr>
        <w:t>——————————————————————————————————————————————————————————————————————</w:t>
      </w:r>
    </w:p>
    <w:p>
      <w:pPr>
        <w:spacing w:before="160" w:after="40" w:line="240" w:lineRule="auto"/>
      </w:pPr>
      <w:r>
        <w:rPr>
          <w:b/>
        </w:rPr>
        <w:t xml:space="preserve">[93] </w:t>
      </w:r>
      <w:hyperlink r:id="rId351">
        <w:r>
          <w:rPr>
            <w:color w:val="1155CC"/>
            <w:u w:val="single"/>
          </w:rPr>
          <w:t>与成人 MR1T 细胞相比，人类新生儿 MR1T 细胞具有更多样化的 TCR 库，但细菌识别能力较低</w:t>
        </w:r>
      </w:hyperlink>
    </w:p>
    <w:p>
      <w:pPr>
        <w:spacing w:before="0" w:after="80"/>
      </w:pPr>
      <w:r>
        <w:rPr>
          <w:i/>
          <w:sz w:val="20"/>
        </w:rPr>
        <w:t>EN: Human neonatal MR1T cells have more diverse TCR repertoires but reduced bacterial recognition than adult MR1T cells</w:t>
      </w:r>
    </w:p>
    <w:p>
      <w:pPr>
        <w:spacing w:before="0" w:after="120"/>
      </w:pPr>
      <w:r>
        <w:rPr>
          <w:b/>
        </w:rPr>
        <w:t xml:space="preserve">Source: </w:t>
      </w:r>
      <w:r>
        <w:t>Biological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细菌性败血症是新生儿死亡的主要原因。促炎性 MR1 限制性 T (MR1T) 细胞可能通过识别产生典型 MR1 抗原 5-OP-RU 的细菌病原体来帮助预防败血症。大多数成人 MR1T 细胞是表达半不变 TCRα 的粘膜相关不变 T (MAIT) 细胞，而新生儿 MR1T 细胞表达不同的 TCRα 链。在这里，我们对新生儿脐带血 (CB) 和成人血液中的 MR1/5-OP-RU 四聚体阳性细胞进行单细胞 RNA 测序和 TCR 库分析。与成人 MR1T 细胞相比，CB MR1T 细胞表现出更大的 TCR 多样性、细胞毒性和促炎基因表达减少、细菌识别减少以及与 MR1/5-OP-RU 的结合减少。 CB MAIT TCR 的结构分析表明，相对于成人 MAIT TCR，β 链对 TCR-MR1 界面的贡献减少。这些发现证明了 MR1T 细胞库、功能和 MAIT TCR 结构的发育阶段特异性差异，对新生儿败血症具有影响。</w:t>
      </w:r>
    </w:p>
    <w:p>
      <w:pPr>
        <w:spacing w:before="0" w:after="200" w:lineRule="auto" w:line="276"/>
      </w:pPr>
      <w:r>
        <w:rPr>
          <w:b/>
        </w:rPr>
        <w:t xml:space="preserve">Abstract (EN): </w:t>
      </w:r>
      <w:r>
        <w:t>Bacterial sepsis is a leading cause of neonatal mortality. Pro-inflammatory MR1-restricted T (MR1T) cells may help protect from sepsis by recognizing bacterial pathogens producing the canonical MR1 antigen 5-OP-RU. Most adult MR1T cells are mucosal-associated invariant T (MAIT) cells expressing a semi-invariant TCRα, while neonatal MR1T cells express diverse TCRα chains. Here, we perform combined single-cell RNA-sequencing and TCR repertoire analyses on MR1/5-OP-RU tetramer-positive cells from neonatal cord blood (CB) and adult blood. Compared to adult MR1T cells, CB MR1T cells exhibit greater TCR diversity, reduced cytotoxic and proinflammatory gene expression, diminished bacterial recognition and reduced binding to MR1/5-OP-RU. Structural analysis of a CB MAIT TCR reveals decreased β chain contribution to the TCR–MR1 interface relative to an adult MAIT TCR. These findings demonstrate developmental stage-specific differences in MR1T cell repertoire, function and MAIT TCR structure with implications for neonatal sepsis.</w:t>
      </w:r>
    </w:p>
    <w:p>
      <w:pPr>
        <w:spacing w:before="120" w:after="120"/>
      </w:pPr>
      <w:r>
        <w:rPr>
          <w:sz w:val="18"/>
        </w:rPr>
        <w:t>——————————————————————————————————————————————————————————————————————</w:t>
      </w:r>
    </w:p>
    <w:p>
      <w:pPr>
        <w:spacing w:before="160" w:after="40" w:line="240" w:lineRule="auto"/>
      </w:pPr>
      <w:r>
        <w:rPr>
          <w:b/>
        </w:rPr>
        <w:t xml:space="preserve">[94] </w:t>
      </w:r>
      <w:hyperlink r:id="rId352">
        <w:r>
          <w:rPr>
            <w:color w:val="1155CC"/>
            <w:u w:val="single"/>
          </w:rPr>
          <w:t>纵向代谢组学概况揭示了太空飞行期间肠道微生物蛋白质发酵的增加</w:t>
        </w:r>
      </w:hyperlink>
    </w:p>
    <w:p>
      <w:pPr>
        <w:spacing w:before="0" w:after="80"/>
      </w:pPr>
      <w:r>
        <w:rPr>
          <w:i/>
          <w:sz w:val="20"/>
        </w:rPr>
        <w:t>EN: Longitudinal metabolomics profiles reveal increased gut microbial protein fermentation during Spaceflight</w:t>
      </w:r>
    </w:p>
    <w:p>
      <w:pPr>
        <w:spacing w:before="0" w:after="120"/>
      </w:pPr>
      <w:r>
        <w:rPr>
          <w:b/>
        </w:rPr>
        <w:t xml:space="preserve">Source: </w:t>
      </w:r>
      <w:r>
        <w:t>Biological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微重力是一种可能影响太空飞行期间胃肠功能和新陈代谢的状况。尽管在国际空间站试图保持正常的饮食习惯，但在隔离期间，食物的选择和进餐时间也可能会受到干扰。为了了解太空飞行对人类新陈代谢的影响，我们使用液相色谱和质谱联用技术对国际空间站 (ISS) 执行任务之前、期间和之后宇航员 (n = 52) 的血浆代谢组进行了表征。在这里，我们表明太空飞行影响了大约 40 种循环化合物。在这项纵向评估中，发射后不久就观察到了代谢变化，并在着陆后几天内消退。飞行引起的代谢物变化反映了肠道微生物群蛋白质发酵的增加，可能反映了微重力引起的肠道运输时间延长。还观察到与咖啡因、鱼和一些脂肪的摄入有关的轻微饮食变化，但影响的所有代谢物中不到三分之一对太空飞行有反应。我们没有观察到新陈代谢方面的主要性别差异。在国际空间站增加慢发酵碳水化合物的消耗以减少蛋白质发酵可能会改善未来人类长期太空飞行中宇航员的胃肠健康。</w:t>
      </w:r>
    </w:p>
    <w:p>
      <w:pPr>
        <w:spacing w:before="0" w:after="200" w:lineRule="auto" w:line="276"/>
      </w:pPr>
      <w:r>
        <w:rPr>
          <w:b/>
        </w:rPr>
        <w:t xml:space="preserve">Abstract (EN): </w:t>
      </w:r>
      <w:r>
        <w:t>Microgravity is a condition that may affect gastrointestinal function and metabolism during spaceflight. Despite attempts to keep normal dietary habits at the ISS, the food selection and meal timing may also be perturbed during the confinement. To understand the impact of spaceflight on human metabolism, we characterized the plasma metabolome of astronauts (n = 52) before, during, and after missions on board the International Space Station (ISS) using liquid chromatography coupled with mass spectrometry. Here we show that spaceflight affected around 40 circulating compounds. In this longitudinal assessment, the metabolic changes were already observed shortly after launch and subsided within a few days after landing. The flight-induced changes in metabolites reflected increased protein fermentation by the gut microbiota, possibly reflecting prolonged intestinal transit time caused by microgravity. Minor diet-related changes related to intakes of caffeine, fish, and some fats were also observed but affected less than one third of all metabolites responding to spaceflight. We did not observe major sex-specific differences in metabolism. Increasing the consumption of slow-fermented carbohydrates at ISS to reduce protein fermentation might improve gastrointestinal health in astronauts in future human long-term spaceflights.</w:t>
      </w:r>
    </w:p>
    <w:p>
      <w:pPr>
        <w:spacing w:before="120" w:after="120"/>
      </w:pPr>
      <w:r>
        <w:rPr>
          <w:sz w:val="18"/>
        </w:rPr>
        <w:t>——————————————————————————————————————————————————————————————————————</w:t>
      </w:r>
    </w:p>
    <w:p>
      <w:pPr>
        <w:spacing w:before="160" w:after="40" w:line="240" w:lineRule="auto"/>
      </w:pPr>
      <w:r>
        <w:rPr>
          <w:b/>
        </w:rPr>
        <w:t xml:space="preserve">[95] </w:t>
      </w:r>
      <w:hyperlink r:id="rId353">
        <w:r>
          <w:rPr>
            <w:color w:val="1155CC"/>
            <w:u w:val="single"/>
          </w:rPr>
          <w:t>唾液酸锚定的血凝素茎中和抗体 M-SiaB 增强对高致病性流感 H5N1/德克萨斯州/2024 的保护</w:t>
        </w:r>
      </w:hyperlink>
    </w:p>
    <w:p>
      <w:pPr>
        <w:spacing w:before="0" w:after="80"/>
      </w:pPr>
      <w:r>
        <w:rPr>
          <w:i/>
          <w:sz w:val="20"/>
        </w:rPr>
        <w:t>EN: Sialic acid-anchored haemagglutinin stalk neutralizing antibody M-SiaB enhances protection against highly pathogenic influenza H5N1/Texas/2024</w:t>
      </w:r>
    </w:p>
    <w:p>
      <w:pPr>
        <w:spacing w:before="0" w:after="120"/>
      </w:pPr>
      <w:r>
        <w:rPr>
          <w:b/>
        </w:rPr>
        <w:t xml:space="preserve">Source: </w:t>
      </w:r>
      <w:r>
        <w:t>Biological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最近出现的牛 H5N1/Texas/2024 毒株凸显了对有效预防和治疗药物干预的需求，但大多数现有中和抗体 (NAb) 对遗传上不同的致病性流感病毒的功效有限。在这里，我们通过将血凝素 (HA) 茎特异性单克隆 NAb 与唾液酸受体结合域 (SiaB) 融合来设计唾液酸锚定的串联 M-SiaB。与亲本 NAb 相比，M-SiaB 对多种真实流感病毒的中和效力高出 4 至 20 倍，并抑制病毒生命周期的多个阶段，包括病毒附着、进入和释放。重要的是，鼻内 M-SiaB 可显着增强对致病性 H1N1/PR8 和 H5N1/Texas/2024 菌株鼻部攻击的保护。值得注意的是，单剂量的 M-SiaB 在高度致命的 H5N1/Texas/2024 攻击后可维持存活长达 21 天。这些发现表明，同时靶向 HA 茎和唾液酸受体是增强 NAb 对抗遗传差异致病性流感病毒的效力和广度的有前途的策略。</w:t>
      </w:r>
    </w:p>
    <w:p>
      <w:pPr>
        <w:spacing w:before="0" w:after="200" w:lineRule="auto" w:line="276"/>
      </w:pPr>
      <w:r>
        <w:rPr>
          <w:b/>
        </w:rPr>
        <w:t xml:space="preserve">Abstract (EN): </w:t>
      </w:r>
      <w:r>
        <w:t>The recently emerged cattle H5N1/Texas/2024 strain highlights the need for effective prophylactic and therapeutic drug interventions, yet most existing neutralizing antibodies (NAbs) have limited efficacy against genetically divergent pathogenic influenza viruses. Here we engineer a sialic acid-anchored tandem M-SiaB by fusing a hemagglutinin (HA) stalk-specific monoclonal NAb with a sialic acid-receptor-binding domain (SiaB). M-SiaB shows 4- to 20-fold greater neutralizing potency against diverse authentic influenza viruses compared to the parental NAb and suppresses multiple stages of the viral life cycle, including viral attachment, entry and release. Importantly, intranasal M-SiaB confers markedly enhanced protection against nasal challenges with the pathogenic H1N1/PR8 and H5N1/Texas/2024 strains. Notably, a single dose of M‑SiaB maintains survival after a highly lethal H5N1/Texas/2024 challenge for up to 21 days. These findings demonstrate that simultaneously targeting HA stalk and sialic acid-receptor is a promising strategy to enhance the potency and breadth of NAbs against genetically divergent pathogenic influenza viruses.</w:t>
      </w:r>
    </w:p>
    <w:p>
      <w:pPr>
        <w:spacing w:before="120" w:after="120"/>
      </w:pPr>
      <w:r>
        <w:rPr>
          <w:sz w:val="18"/>
        </w:rPr>
        <w:t>——————————————————————————————————————————————————————————————————————</w:t>
      </w:r>
    </w:p>
    <w:p>
      <w:pPr>
        <w:spacing w:before="160" w:after="40" w:line="240" w:lineRule="auto"/>
      </w:pPr>
      <w:r>
        <w:rPr>
          <w:b/>
        </w:rPr>
        <w:t xml:space="preserve">[96] </w:t>
      </w:r>
      <w:hyperlink r:id="rId354">
        <w:r>
          <w:rPr>
            <w:color w:val="1155CC"/>
            <w:u w:val="single"/>
          </w:rPr>
          <w:t>实时稳健的自动对焦方法可实现持续的活体扫描光场成像</w:t>
        </w:r>
      </w:hyperlink>
    </w:p>
    <w:p>
      <w:pPr>
        <w:spacing w:before="0" w:after="80"/>
      </w:pPr>
      <w:r>
        <w:rPr>
          <w:i/>
          <w:sz w:val="20"/>
        </w:rPr>
        <w:t>EN: Real-time robust autofocus method enabling sustained intravital scanning light field imaging</w:t>
      </w:r>
    </w:p>
    <w:p>
      <w:pPr>
        <w:spacing w:before="0" w:after="120"/>
      </w:pPr>
      <w:r>
        <w:rPr>
          <w:b/>
        </w:rPr>
        <w:t xml:space="preserve">Source: </w:t>
      </w:r>
      <w:r>
        <w:t>Biological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计算显微镜的最新进展使得高速高分辨率的活体 3D 成像成为可能，且光毒性较低。然而，多细胞生物中不可避免的样品振动和组织变形使得即使在有效景深扩展的情况下，长期保持样品稳定聚焦也极具挑战性。在这里，我们提出了一种基于扫描光场显微镜 (AFsLF) 的实时鲁棒自动对焦方法，通过连续跟踪样本焦平面，无需修改硬件，即可在几天内对不同样本进行持续高速 3D 成像。基于光场角度测量的固有差异，AFsLF 在 500 µm 深度范围内以小于 2 µm 的误差估计焦平面，在 0.1 秒内完成，比以前的方法快 300 倍。我们在不同组织和具有挑战性的条件下验证 AFsLF，包括低激发功率、多通道照明和大轴向位移，从而能够对小鼠大脑和肝脏的神经活动和免疫反应进行稳定、长期、多通道的亚细胞成像。</w:t>
      </w:r>
    </w:p>
    <w:p>
      <w:pPr>
        <w:spacing w:before="0" w:after="200" w:lineRule="auto" w:line="276"/>
      </w:pPr>
      <w:r>
        <w:rPr>
          <w:b/>
        </w:rPr>
        <w:t xml:space="preserve">Abstract (EN): </w:t>
      </w:r>
      <w:r>
        <w:t>Recent advances in computational microscopy enable highspeed high-resolution intravital 3D imaging with low phototoxicity. However, inevitable sample vibration and tissue deformation in multi-cellular organisms make it extremely challenging to maintain samples stably in focus over long-term even with an extended effective depth of field. Here, we propose a real-time robust autofocus method based on scanning light-field microscopy (AFsLF), enabling sustained high-speed 3D imaging of diverse samples across several days by continuously tracking the sample focal plane without hardware modifications. Based on the intrinsic disparity of light-field angular measurements, AFsLF estimates the focal plane with less than 2 µm error over a 500 µm depth range, completing within 0.1 s, 300-time faster than previous methods. We validate AFsLF across diverse tissues and challenging conditions, including low excitation power, multichannel illumination, and large axial displacements, enabling stable, long-term, multichannel subcellular imaging of neural activities and immune responses in mouse brain and liver.</w:t>
      </w:r>
    </w:p>
    <w:p>
      <w:pPr>
        <w:spacing w:before="120" w:after="120"/>
      </w:pPr>
      <w:r>
        <w:rPr>
          <w:sz w:val="18"/>
        </w:rPr>
        <w:t>——————————————————————————————————————————————————————————————————————</w:t>
      </w:r>
    </w:p>
    <w:p>
      <w:pPr>
        <w:spacing w:before="160" w:after="40" w:line="240" w:lineRule="auto"/>
      </w:pPr>
      <w:r>
        <w:rPr>
          <w:b/>
        </w:rPr>
        <w:t xml:space="preserve">[97] </w:t>
      </w:r>
      <w:hyperlink r:id="rId355">
        <w:r>
          <w:rPr>
            <w:color w:val="1155CC"/>
            <w:u w:val="single"/>
          </w:rPr>
          <w:t>完整的酶簇通过底物通道增强辅酶 Q 生物合成</w:t>
        </w:r>
      </w:hyperlink>
    </w:p>
    <w:p>
      <w:pPr>
        <w:spacing w:before="0" w:after="80"/>
      </w:pPr>
      <w:r>
        <w:rPr>
          <w:i/>
          <w:sz w:val="20"/>
        </w:rPr>
        <w:t>EN: Complete enzyme clustering enhances coenzyme Q biosynthesis via substrate channeling</w:t>
      </w:r>
    </w:p>
    <w:p>
      <w:pPr>
        <w:spacing w:before="0" w:after="120"/>
      </w:pPr>
      <w:r>
        <w:rPr>
          <w:b/>
        </w:rPr>
        <w:t xml:space="preserve">Source: </w:t>
      </w:r>
      <w:r>
        <w:t>Biological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代谢 - 连续代谢酶的瞬时组装 - 促进多步骤代谢途径的反应，然而，它们如何机械地促进代谢通量仍然未知。在这里，我们利用粗粒度分子动力学模拟和生化实验研究辅酶 Q (CoQ) 生物合成中代谢形成的分子决定因素。我们表明，COQ 代谢物在相变的关键区域形成，其中代谢物聚类和代谢通量对蛋白质-蛋白质相互作用强度的变化表现出协调的 S 形响应。这些完整的代谢能够实现连续酶之间的底物通道，从而显着提高 CoQ 生产效率。选择性破坏蛋白质-蛋白质相互作用并随机改组相互作用网络表明，对于底物通道来说，蛋白质邻近性而不是代谢簇的明确空间组织是必要的。这些发现以实验和模拟为基础，为理解不同代谢途径中代谢物的组织和功能提供了一个框架。</w:t>
      </w:r>
    </w:p>
    <w:p>
      <w:pPr>
        <w:spacing w:before="0" w:after="200" w:lineRule="auto" w:line="276"/>
      </w:pPr>
      <w:r>
        <w:rPr>
          <w:b/>
        </w:rPr>
        <w:t xml:space="preserve">Abstract (EN): </w:t>
      </w:r>
      <w:r>
        <w:t>Metabolons - transient assemblies of sequential metabolic enzymes - facilitate the reactions of multi-step metabolic pathways, yet, how they mechanistically bolster metabolic flux remains unknown. Here, we investigate the molecular determinants of metabolon formation in coenzyme Q (CoQ) biosynthesis using coarse-grained molecular dynamics simulations and biochemical experiments. We show that the COQ metabolon forms at the critical region of a phase transition, where both metabolon clustering and metabolic flux exhibit coordinated sigmoidal responses to changes in protein-protein interaction strength. These complete metabolons enable substrate channeling between sequential enzymes, leading to a crucial enhancement of CoQ production efficiency. Selectively disrupting protein-protein interactions and randomly shuffling the interaction network demonstrate that protein-proximity rather than a defined spatial organization of the metabolon clusters is imperative for substrate channeling. Grounded in both experiments and simulations, these findings provide a framework for understanding the organization and function of metabolons across diverse metabolic pathways.</w:t>
      </w:r>
    </w:p>
    <w:p>
      <w:pPr>
        <w:spacing w:before="120" w:after="120"/>
      </w:pPr>
      <w:r>
        <w:rPr>
          <w:sz w:val="18"/>
        </w:rPr>
        <w:t>——————————————————————————————————————————————————————————————————————</w:t>
      </w:r>
    </w:p>
    <w:p>
      <w:pPr>
        <w:spacing w:before="160" w:after="40" w:line="240" w:lineRule="auto"/>
      </w:pPr>
      <w:r>
        <w:rPr>
          <w:b/>
        </w:rPr>
        <w:t xml:space="preserve">[98] </w:t>
      </w:r>
      <w:hyperlink r:id="rId356">
        <w:r>
          <w:rPr>
            <w:color w:val="1155CC"/>
            <w:u w:val="single"/>
          </w:rPr>
          <w:t>用于外周光遗传学神经调节的组织粘附水凝胶光纤</w:t>
        </w:r>
      </w:hyperlink>
    </w:p>
    <w:p>
      <w:pPr>
        <w:spacing w:before="0" w:after="80"/>
      </w:pPr>
      <w:r>
        <w:rPr>
          <w:i/>
          <w:sz w:val="20"/>
        </w:rPr>
        <w:t>EN: Tissue-adhesive hydrogel optical fiber for peripheral optogenetic neuromodulation</w:t>
      </w:r>
    </w:p>
    <w:p>
      <w:pPr>
        <w:spacing w:before="0" w:after="120"/>
      </w:pPr>
      <w:r>
        <w:rPr>
          <w:b/>
        </w:rPr>
        <w:t xml:space="preserve">Source: </w:t>
      </w:r>
      <w:r>
        <w:t>Physical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虽然水凝胶光纤有望用于内脏周边光遗传学，但其实用性受到组织粘附不良、光传输不稳定以及生理运动下的微错位的限制，从而导致照明偏离目标。为了应对这些挑战，我们开发了组织粘附水凝胶光纤（TAHOF），将聚（HEMA）光导芯（ncore = 1.429 ± 0.004）与生物粘附包层（ncladding = 1.343 ± 0.002）集成，通过折射率对比度（Δn = 0.086）和强大的组织集成（11.5 ± 1.8）实现双重功能千帕）。该架构可实现高效光学限制和低传播损耗 (0.534 ± 0.092 dB/cm)，同时在 30% 拉伸应变下保持空间瞄准保真度。自由活动的 ChAT-ChR2 小鼠的胰腺植入显示出精确的迷走神经纤维激活，通过机械和光学稳定的光传输有效触发胰岛素分泌。与皮下连续血糖监测相结合，TAHOF 能够在糖尿病模型中实现 3 天的血糖控制，显示出稳定的血糖降低和实时调节。慢性植入表明 TAHOF 支持在胰腺上稳定的体内粘附，同时维持光遗传学功能长达 14 天。 TAHOF 结合了高光学效率、机械顺应性和生物集成，为移动动物（特别是机械动态和解剖复杂的器官）的光遗传学神经调节提供了特定于应用的设计策略。</w:t>
      </w:r>
    </w:p>
    <w:p>
      <w:pPr>
        <w:spacing w:before="0" w:after="200" w:lineRule="auto" w:line="276"/>
      </w:pPr>
      <w:r>
        <w:rPr>
          <w:b/>
        </w:rPr>
        <w:t xml:space="preserve">Abstract (EN): </w:t>
      </w:r>
      <w:r>
        <w:t>While hydrogel optical fibers hold promises for visceral peripheral optogenetics, their utility is limited by poor tissue adhesion, unstable light delivery, and micromisplacement under physiological motion, leading to off-target illumination. To address these challenges, we developed tissue-adhesive hydrogel optical fibers (TAHOFs) integrating a poly(HEMA) light-guiding core (ncore = 1.429 ± 0.004) with a bioadhesive cladding (ncladding = 1.343 ± 0.002), achieving dual functionality through refractive index contrast (Δn = 0.086) and robust tissue integration (11.5 ± 1.8 kPa). This architecture enables efficient optical confinement with low propagation loss (0.534 ± 0.092 dB/cm) while maintaining spatial targeting fidelity under 30% tensile strain. Pancreatic implantation in freely moving ChAT-ChR2 mice demonstrated precise vagal fiber activation, effectively triggering insulin secretion through mechanically and optically stable light delivery. Integrated with subcutaneous continuous glucose monitoring, TAHOFs enabled 3-day glycemic control in diabetic models, showing stable blood glucose reduction and real-time regulation. Chronic implantation demonstrated that TAHOF supports stable in vivo adhesion on the pancreas while maintaining optogenetic function for up to 14 days. The TAHOF uniting high optical efficiency, mechanical compliance, and biological integration, offering an application-specific design strategy for optogenetic neuromodulation in moving animals, particularly mechanically dynamic and anatomically complex organs.</w:t>
      </w:r>
    </w:p>
    <w:p>
      <w:pPr>
        <w:spacing w:before="120" w:after="120"/>
      </w:pPr>
      <w:r>
        <w:rPr>
          <w:sz w:val="18"/>
        </w:rPr>
        <w:t>——————————————————————————————————————————————————————————————————————</w:t>
      </w:r>
    </w:p>
    <w:p>
      <w:pPr>
        <w:spacing w:before="160" w:after="40" w:line="240" w:lineRule="auto"/>
      </w:pPr>
      <w:r>
        <w:rPr>
          <w:b/>
        </w:rPr>
        <w:t xml:space="preserve">[99] </w:t>
      </w:r>
      <w:hyperlink r:id="rId357">
        <w:r>
          <w:rPr>
            <w:color w:val="1155CC"/>
            <w:u w:val="single"/>
          </w:rPr>
          <w:t>细胞复制体由柔性燃料发动机提供动力，用于解旋 DNA</w:t>
        </w:r>
      </w:hyperlink>
    </w:p>
    <w:p>
      <w:pPr>
        <w:spacing w:before="0" w:after="80"/>
      </w:pPr>
      <w:r>
        <w:rPr>
          <w:i/>
          <w:sz w:val="20"/>
        </w:rPr>
        <w:t>EN: Cellular replisomes are powered by flex-fuel motors for unwinding DNA</w:t>
      </w:r>
    </w:p>
    <w:p>
      <w:pPr>
        <w:spacing w:before="0" w:after="120"/>
      </w:pPr>
      <w:r>
        <w:rPr>
          <w:b/>
        </w:rPr>
        <w:t xml:space="preserve">Source: </w:t>
      </w:r>
      <w:r>
        <w:t>Biological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DNA 复制依靠六聚体、环形解旋酶来解开亲本 DNA，以支持数万个碱基对的分叉进展。奇怪的是，生化研究表明，复制解旋酶本身是相当有限的马达，难以将快速运动与核苷酸周转（通常认为只是 ATP）结合起来。在这里，单分子研究表明，当正确加载时，大肠杆菌 (E. coli) 复制解旋酶 DnaB 是一种速度极快的单链 DNA 转位酶，其移动速度比复制体 (3 knt/s) 快三倍。易位具有高度持续性，耐拉力/高盐，并且可以置换短的 3' 尾 DNA 双链体，而速度没有明显变化。令人惊讶的是，我们发现 DnaB、DnaC 的装载机可以使用任何 rNTP 或 dATP 将 DnaB 沉积到 ssDNA 上，并且解旋酶本身也必须水解核苷酸才能稳定装载。 DnaB 易位也得到任何 r/dNTP 的支持，这一特性被证明可延伸至真核细胞 CMG 复制解旋酶。总体而言，支持细胞复制体的 DNA 解旋引擎对其燃料来源高度不加区分，这一功能在细胞遇到核苷酸池压力但仍致力于 DNA 合成时可能有用。</w:t>
      </w:r>
    </w:p>
    <w:p>
      <w:pPr>
        <w:spacing w:before="0" w:after="200" w:lineRule="auto" w:line="276"/>
      </w:pPr>
      <w:r>
        <w:rPr>
          <w:b/>
        </w:rPr>
        <w:t xml:space="preserve">Abstract (EN): </w:t>
      </w:r>
      <w:r>
        <w:t>DNA replication relies on hexameric, ring-shaped helicases to unwind parental DNA for supporting fork progression over tens of thousands of base pairs. Oddly, biochemical studies have suggested that, on their own, replicative helicases are rather limited motors that struggle to couple rapid movement to nucleotide turnover (typically believed to be solely ATP). Here, single-molecule studies reveal that when properly loaded, the Escherichia coli (E. coli) replicative helicase, DnaB, is a tremendously fast single-stranded DNA translocase that moves up to three times more rapidly than the replisome (3 knt/s). Translocation is highly processive, resistant to pulling force/high salt, and can displace short, 3’-tailed DNA duplexes without apparent changes in speed. Surprisingly, we find that the loader for DnaB, DnaC, can use any rNTP or dATP for depositing DnaB onto ssDNA and that the helicase itself also must hydrolyze nucleotide for stable loading. DnaB translocation also turns out to be supported by any r/dNTP, a property shown to extend to the eukaryotic CMG replicative helicase. Overall, the DNA unwinding engines that support cellular replisomes are highly indiscriminate of their fuel source, a feature that may be of utility during times when cells encounter nucleotide pool stress but have committed to DNA synthesis.</w:t>
      </w:r>
    </w:p>
    <w:p>
      <w:pPr>
        <w:spacing w:before="120" w:after="120"/>
      </w:pPr>
      <w:r>
        <w:rPr>
          <w:sz w:val="18"/>
        </w:rPr>
        <w:t>——————————————————————————————————————————————————————————————————————</w:t>
      </w:r>
    </w:p>
    <w:p>
      <w:pPr>
        <w:spacing w:before="160" w:after="40" w:line="240" w:lineRule="auto"/>
      </w:pPr>
      <w:r>
        <w:rPr>
          <w:b/>
        </w:rPr>
        <w:t xml:space="preserve">[100] </w:t>
      </w:r>
      <w:hyperlink r:id="rId358">
        <w:r>
          <w:rPr>
            <w:color w:val="1155CC"/>
            <w:u w:val="single"/>
          </w:rPr>
          <w:t>用于受日晷启发的高维日盲光电探测元系统的单晶 4 英寸超薄氧化镓</w:t>
        </w:r>
      </w:hyperlink>
    </w:p>
    <w:p>
      <w:pPr>
        <w:spacing w:before="0" w:after="80"/>
      </w:pPr>
      <w:r>
        <w:rPr>
          <w:i/>
          <w:sz w:val="20"/>
        </w:rPr>
        <w:t>EN: Single-crystal, 4-inch and ultrathin gallium oxide for sundial-inspired high-dimensional solar-blind photodetection metasystem</w:t>
      </w:r>
    </w:p>
    <w:p>
      <w:pPr>
        <w:spacing w:before="0" w:after="120"/>
      </w:pPr>
      <w:r>
        <w:rPr>
          <w:b/>
        </w:rPr>
        <w:t xml:space="preserve">Source: </w:t>
      </w:r>
      <w:r>
        <w:t>Physical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超宽带隙氧化镓为开发短波光电器件提供了巨大的可能性。然而，生产单晶氧化镓晶圆并开发高性能高维光电器件面临着巨大的挑战。在这里，我们展示了一种液态金属辅助直接合成和转移单晶、大面积和超薄 β-Ga2O3 的策略。受益于液态镓的紫外曝光氧化以及与镓的强相互作用，我们的 β-Ga2O3 薄膜具有 4 英寸晶圆级尺寸、7.5 纳米厚度和灵活的转移操作。日盲β-Ga2O3探测器实现了高响应率（16.3 A W−1）、快速响应（基于2O3的探测器）。此外，我们开发了一种受日晷启发的元系统，可以同时检测日盲辐射的入射方向、偏振和强度。这些发现说明了高质量Ga2O3晶片用于高维光电探测的潜力，为下一代日盲通信铺平了道路。</w:t>
      </w:r>
    </w:p>
    <w:p>
      <w:pPr>
        <w:spacing w:before="0" w:after="200" w:lineRule="auto" w:line="276"/>
      </w:pPr>
      <w:r>
        <w:rPr>
          <w:b/>
        </w:rPr>
        <w:t xml:space="preserve">Abstract (EN): </w:t>
      </w:r>
      <w:r>
        <w:t>Ultra-wide bandgap gallium oxides offer tremendous possibilities to develop short-wave optoelectronic devices. However, it is formidably challenging to produce single-crystal gallium oxide wafer and develop high-performance high-dimensional optoelectronics. Here we show a liquid-metal-assisted strategy to directly synthesize and transfer single-crystal, large-area and ultrathin β-Ga2O3. Benefiting from the UV-exposure oxidation of liquid gallium and strong interaction with gallium, our β-Ga2O3 film shows a 4-inch wafer-scale size, a 7.5-nm thickness and a flexible transfer operation. The solar-blind β-Ga2O3 detector achieves high responsivity (16.3 A W−1), fast response (2O3-based detectors. Moreover, we develop a sundial-inspired metasystem to simultaneously detect the incident direction, polarization, and intensity of solar-blind irradiation. These findings illustrate the potential of high-quality Ga2O3 wafer for high-dimensional photodetection, paving the way for next-generation solar-blind communications.</w:t>
      </w:r>
    </w:p>
    <w:p>
      <w:pPr>
        <w:spacing w:before="120" w:after="120"/>
      </w:pPr>
      <w:r>
        <w:rPr>
          <w:sz w:val="18"/>
        </w:rPr>
        <w:t>——————————————————————————————————————————————————————————————————————</w:t>
      </w:r>
    </w:p>
    <w:p>
      <w:pPr>
        <w:spacing w:before="160" w:after="40" w:line="240" w:lineRule="auto"/>
      </w:pPr>
      <w:r>
        <w:rPr>
          <w:b/>
        </w:rPr>
        <w:t xml:space="preserve">[101] </w:t>
      </w:r>
      <w:hyperlink r:id="rId359">
        <w:r>
          <w:rPr>
            <w:color w:val="1155CC"/>
            <w:u w:val="single"/>
          </w:rPr>
          <w:t>蛇纹石化系统中极端碱性条件下的甲烷氧化</w:t>
        </w:r>
      </w:hyperlink>
    </w:p>
    <w:p>
      <w:pPr>
        <w:spacing w:before="0" w:after="80"/>
      </w:pPr>
      <w:r>
        <w:rPr>
          <w:i/>
          <w:sz w:val="20"/>
        </w:rPr>
        <w:t>EN: Methanotrophy under extreme alkalinity in a serpentinizing system</w:t>
      </w:r>
    </w:p>
    <w:p>
      <w:pPr>
        <w:spacing w:before="0" w:after="120"/>
      </w:pPr>
      <w:r>
        <w:rPr>
          <w:b/>
        </w:rPr>
        <w:t xml:space="preserve">Source: </w:t>
      </w:r>
      <w:r>
        <w:t>Biological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蛇纹石化作用产生超碱性、富含 H2 和 CH4 的流体，这些流体支持微生物的生命，并可作为土卫二等海洋世界的类似物。虽然这些系统中的甲烷生成已得到充分研究，但甲烷消耗（尤其是在高 pH 值下）仍然知之甚少。在这里，我们提出了阿曼萨迈伊蛇绿岩中超嗜碱（pH &gt; 11）甲烷氧化作用的同位素、地球化学和基因组证据。使用考虑流体混合和气体逸出的模型，我们确定了不能仅用非生物过程解释的 δ13CH₄ 富集。 13CH4 的富集与甲烷氧化菌 16S rRNA 基因序列共同发生，特别是在通过将富含 CH4 的还原流体与富含氧化剂的水混合形成的流体中。鸟枪法宏基因组测序揭示了与甲基胚芽相关的宏基因组组装基因组，编码完整的甲烷氧化途径、多种碳同化途径和Na⁺/H⁺逆向转运蛋白——这些适应可能使pH值高于11。我们的研究结果强调了甲烷氧化菌在极高pH条件下的生存能力，并为解释地球及其他蛇纹石化环境中的δ13CH₄信号提供了一个框架。</w:t>
      </w:r>
    </w:p>
    <w:p>
      <w:pPr>
        <w:spacing w:before="0" w:after="200" w:lineRule="auto" w:line="276"/>
      </w:pPr>
      <w:r>
        <w:rPr>
          <w:b/>
        </w:rPr>
        <w:t xml:space="preserve">Abstract (EN): </w:t>
      </w:r>
      <w:r>
        <w:t>Serpentinization produces hyperalkaline, H₂- and CH₄-rich fluids that support microbial life and serve as analogs for ocean worlds such as Enceladus. While methane production in these systems has been well studied, methane consumption—especially under high pH—remains poorly understood. Here, we present isotopic, geochemical, and genomic evidence for hyperalkaliphilic (pH &gt; 11) methanotrophy in the Samail ophiolite of Oman. Using models that account for fluid mixing and gas exsolution, we identify δ¹³CH₄ enrichment that cannot be explained by abiotic processes alone. The enrichment of 13CH4 co-occurs with methanotroph 16S rRNA gene sequences, particularly in fluids formed by mixing CH₄-rich, reduced fluids with oxidant-rich waters. Shotgun metagenome sequencing reveals a metagenome-assembled genome affiliated with Methylovulum, encoding a complete methane oxidation pathway, multiple carbon assimilation routes, and Na⁺/H⁺ antiporters—adaptations likely enabling growth above pH 11. Our findings highlight the viability of methanotrophy under extreme high pH conditions and provide a framework for interpreting δ¹³CH₄ signals in serpentinizing environments on Earth and beyond.</w:t>
      </w:r>
    </w:p>
    <w:p>
      <w:pPr>
        <w:spacing w:before="120" w:after="120"/>
      </w:pPr>
      <w:r>
        <w:rPr>
          <w:sz w:val="18"/>
        </w:rPr>
        <w:t>——————————————————————————————————————————————————————————————————————</w:t>
      </w:r>
    </w:p>
    <w:p>
      <w:pPr>
        <w:spacing w:before="160" w:after="40" w:line="240" w:lineRule="auto"/>
      </w:pPr>
      <w:r>
        <w:rPr>
          <w:b/>
        </w:rPr>
        <w:t xml:space="preserve">[102] </w:t>
      </w:r>
      <w:hyperlink r:id="rId360">
        <w:r>
          <w:rPr>
            <w:color w:val="1155CC"/>
            <w:u w:val="single"/>
          </w:rPr>
          <w:t>开发用于粘细菌生物勘探的高效遗传工具包和异源底盘</w:t>
        </w:r>
      </w:hyperlink>
    </w:p>
    <w:p>
      <w:pPr>
        <w:spacing w:before="0" w:after="80"/>
      </w:pPr>
      <w:r>
        <w:rPr>
          <w:i/>
          <w:sz w:val="20"/>
        </w:rPr>
        <w:t>EN: Development of efficient genetic toolkits and heterologous chassis for bioprospecting of myxobacteria</w:t>
      </w:r>
    </w:p>
    <w:p>
      <w:pPr>
        <w:spacing w:before="0" w:after="120"/>
      </w:pPr>
      <w:r>
        <w:rPr>
          <w:b/>
        </w:rPr>
        <w:t xml:space="preserve">Source: </w:t>
      </w:r>
      <w:r>
        <w:t>Biological sciences : Nature Communications subject feeds</w:t>
      </w:r>
      <w:r>
        <w:t xml:space="preserve">    </w:t>
      </w:r>
      <w:r>
        <w:rPr>
          <w:b/>
        </w:rPr>
        <w:t xml:space="preserve">Pub date: </w:t>
      </w:r>
      <w:r>
        <w:t>2026-06-29 00:00:00+00:00</w:t>
      </w:r>
    </w:p>
    <w:p>
      <w:pPr>
        <w:spacing w:before="0" w:after="120"/>
      </w:pPr>
      <w:r>
        <w:rPr>
          <w:b/>
        </w:rPr>
        <w:t xml:space="preserve">Notes: </w:t>
      </w:r>
      <w:r>
        <w:t>abstract_source=nature_html</w:t>
      </w:r>
    </w:p>
    <w:p>
      <w:pPr>
        <w:spacing w:before="0" w:after="80" w:lineRule="auto" w:line="276"/>
      </w:pPr>
      <w:r>
        <w:rPr>
          <w:b/>
        </w:rPr>
        <w:t xml:space="preserve">摘要（ZH）: </w:t>
      </w:r>
      <w:r>
        <w:t>粘细菌是结构多样的生物活性天然产物的著名生产者。在粘细菌生物合成基因簇（BGC）全面清单的推动下，我们开发了高效的遗传工具包并构建了强大的异源表达底盘。我们鉴定了一对源自粘球菌的重组酶，命名为 MxRecET，它能够在模型菌株 Myxococcus xanthus DK1622 中进行有效的基因组编辑。 MxRecET 重组工程与转座子相关核酸酶 TnpB (ISDra2) 的协同组合可实现多种遗传操作，包括大 DNA 片段（高达 200 kb）的无缝删除、双基因座的串联编辑以及在简化的两周工作流程中进行灵活的单核苷酸替换。这种称为 MxDIRECT 的集成技术有助于将 DK1622 合理设计为称为 MxPKS 的即插即用底盘，具有增强的生长特性、消除竞争途径、改进的前体供应和增强的稳健性。 MxPKS 的有效性通过四种聚酮合酶 BGC 的异源表达得到证明，从而发现了多种未知的聚酮化合物。这项工作为加速粘细菌生物勘探奠定了基础。</w:t>
      </w:r>
    </w:p>
    <w:p>
      <w:pPr>
        <w:spacing w:before="0" w:after="200" w:lineRule="auto" w:line="276"/>
      </w:pPr>
      <w:r>
        <w:rPr>
          <w:b/>
        </w:rPr>
        <w:t xml:space="preserve">Abstract (EN): </w:t>
      </w:r>
      <w:r>
        <w:t>Myxobacteria are renowned producers of structurally diverse bioactive natural products. Motivated by a comprehensive inventory of myxobacterial biosynthetic gene clusters (BGCs), we develop efficient genetic toolkits and construct a robust heterologous expression chassis. We identify a pair of Myxococcus-derived recombinases, designated MxRecET, that enables efficient genome editing in the model strain Myxococcus xanthus DK1622. The synergistic combination of MxRecET recombineering with the transposon-associated nuclease TnpB (ISDra2) enables versatile genetic manipulations, including seamless deletion of large DNA fragments (up to 200 kb), tandem editing of dual loci, and flexible single-nucleotide substitutions within a streamlined two-week workflow. This integrated technology, termed MxDIRECT, facilitates the rational engineering of DK1622 into a plug-and-play chassis designated MxPKS, featuring enhanced growth properties, elimination of competing pathways, an improved precursor supply, and increased robustness. The effectiveness of MxPKS is demonstrated through heterologous expression of four polyketide synthase BGCs, leading to the discovery of multiple unknown polyketides. This work establishes a foundation for accelerated bioprospecting of myxobacteria.</w:t>
      </w:r>
    </w:p>
    <w:p>
      <w:pPr>
        <w:spacing w:before="120" w:after="120"/>
      </w:pPr>
      <w:r>
        <w:rPr>
          <w:sz w:val="18"/>
        </w:rPr>
        <w:t>——————————————————————————————————————————————————————————————————————</w:t>
      </w:r>
    </w:p>
    <w:p>
      <w:pPr>
        <w:spacing w:before="160" w:after="40" w:line="240" w:lineRule="auto"/>
      </w:pPr>
      <w:r>
        <w:rPr>
          <w:b/>
        </w:rPr>
        <w:t xml:space="preserve">[103] </w:t>
      </w:r>
      <w:hyperlink r:id="rId361">
        <w:r>
          <w:rPr>
            <w:color w:val="1155CC"/>
            <w:u w:val="single"/>
          </w:rPr>
          <w:t>回复王：可以从观察到的结果来评估政策失败</w:t>
        </w:r>
      </w:hyperlink>
    </w:p>
    <w:p>
      <w:pPr>
        <w:spacing w:before="0" w:after="80"/>
      </w:pPr>
      <w:r>
        <w:rPr>
          <w:i/>
          <w:sz w:val="20"/>
        </w:rPr>
        <w:t>EN: Reply to Wang: Policy failure can be assessed from observed outcomes</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362">
        <w:r>
          <w:rPr>
            <w:color w:val="1155CC"/>
            <w:u w:val="single"/>
          </w:rPr>
          <w:t>10.1073/pnas.2617762123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[104] </w:t>
      </w:r>
      <w:hyperlink r:id="rId363">
        <w:r>
          <w:rPr>
            <w:color w:val="1155CC"/>
            <w:u w:val="single"/>
          </w:rPr>
          <w:t>策略快照无法确定日志 AI 策略失败</w:t>
        </w:r>
      </w:hyperlink>
    </w:p>
    <w:p>
      <w:pPr>
        <w:spacing w:before="0" w:after="80"/>
      </w:pPr>
      <w:r>
        <w:rPr>
          <w:i/>
          <w:sz w:val="20"/>
        </w:rPr>
        <w:t>EN: Policy snapshots cannot establish journal AI-policy failure</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364">
        <w:r>
          <w:rPr>
            <w:color w:val="1155CC"/>
            <w:u w:val="single"/>
          </w:rPr>
          <w:t>10.1073/pnas.2616276123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[105] </w:t>
      </w:r>
      <w:hyperlink r:id="rId365">
        <w:r>
          <w:rPr>
            <w:color w:val="1155CC"/>
            <w:u w:val="single"/>
          </w:rPr>
          <w:t>20 世纪 60 年代人类对臭氧层的影响逐渐显现</w:t>
        </w:r>
      </w:hyperlink>
    </w:p>
    <w:p>
      <w:pPr>
        <w:spacing w:before="0" w:after="80"/>
      </w:pPr>
      <w:r>
        <w:rPr>
          <w:i/>
          <w:sz w:val="20"/>
        </w:rPr>
        <w:t>EN: The emergence of human influence on the ozone layer by the 1960s</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366">
        <w:r>
          <w:rPr>
            <w:color w:val="1155CC"/>
            <w:u w:val="single"/>
          </w:rPr>
          <w:t>10.1073/pnas.2608286123</w:t>
        </w:r>
      </w:hyperlink>
    </w:p>
    <w:p>
      <w:pPr>
        <w:spacing w:before="0" w:after="120"/>
      </w:pPr>
      <w:r>
        <w:rPr>
          <w:b/>
        </w:rPr>
        <w:t xml:space="preserve">Notes: </w:t>
      </w:r>
      <w:r>
        <w:t>abstract_source=crossref</w:t>
      </w:r>
    </w:p>
    <w:p>
      <w:pPr>
        <w:spacing w:before="0" w:after="80" w:lineRule="auto" w:line="276"/>
      </w:pPr>
      <w:r>
        <w:rPr>
          <w:b/>
        </w:rPr>
        <w:t xml:space="preserve">摘要（ZH）: </w:t>
      </w:r>
      <w:r>
        <w:t>南极臭氧空洞于 1985 年首次被报道，并在 20 世纪 80 年代末观察到全球范围内的臭氧小幅损失。结合现场和实验室测量以及建模，很快就确定了人为氯氟烃 (CFC) 是造成南极和全球臭氧消耗的原因。然而，最早检测到臭氧消耗的时间、地点和原因尚未确定。在这里，我们进行了一项思想实验，假设从 1950 年起就可以进行准确的平流层臭氧观测，以调查何时可以首次检测到人类引起的臭氧消耗。我们发现早在 1957 年就可能在热带平流层上层发现人为造成的臭氧消耗。尽管平流层上层的热带臭氧损失小于高纬度地区，但该地区的低内部变率使得能够最早检测到人为信号。我们的结果强调了在检测研究中考虑内部变异性（“噪声”）和强制响应（“信号”）的关键作用。此外，虽然 CFC 被广泛认为是当前臭氧消耗的主要驱动因素，但我们发现早期臭氧损失主要是由人造四氯化碳 (CCl</w:t>
      </w:r>
      <w:r>
        <w:rPr>
          <w:vertAlign w:val="subscript"/>
        </w:rPr>
        <w:t>4</w:t>
      </w:r>
      <w:r>
        <w:t>），主要用作溶剂。这些发现表明，人类对平流层臭氧层的明显影响早在近 70 年前就开始了，甚至早于喷雾罐或空调大量排放氟氯化碳之前。</w:t>
      </w:r>
    </w:p>
    <w:p>
      <w:pPr>
        <w:spacing w:before="0" w:after="200" w:lineRule="auto" w:line="276"/>
      </w:pPr>
      <w:r>
        <w:rPr>
          <w:b/>
        </w:rPr>
        <w:t xml:space="preserve">Abstract (EN): </w:t>
      </w:r>
      <w:r>
        <w:t>The Antarctic ozone hole was first reported in 1985, and small ozone losses at the global scale were also observed in the late 1980s. The combination of field and laboratory measurements, together with modeling, quickly established anthropogenic chlorofluorocarbons (CFCs) as the cause of both the Antarctic and global ozone depletion. However, when, where, and why the earliest ozone depletion could have been detected has not been determined. Here, we conduct a thought experiment to investigate when human-induced ozone depletion could have first been detectable, assuming the availability of accurate stratospheric ozone observations from 1950 onward. We find that human-caused ozone depletion was likely identifiable as early as 1957 in the tropical upper stratosphere. This region’s low internal variability enables the earliest detection of the anthropogenic signal, even though tropical ozone losses in the upper stratosphere were smaller than those in higher-latitude regions. Our results highlight the key role of considering both internal variability (“noise”) and the forced response (“signal”) in detection studies. Further, while CFCs are widely recognized as the primary drivers of current ozone depletion, we find that early ozone loss was primarily caused by human-made carbon tetrachloride (CCl</w:t>
      </w:r>
      <w:r>
        <w:rPr>
          <w:vertAlign w:val="subscript"/>
        </w:rPr>
        <w:t>4</w:t>
      </w:r>
      <w:r>
        <w:t>), used mainly as a solvent. These findings suggest that a clear human influence on the stratospheric ozone layer began nearly 70 y ago, even before substantial emissions of CFCs from spray cans or air conditioning.</w:t>
      </w:r>
    </w:p>
    <w:p>
      <w:pPr>
        <w:spacing w:before="120" w:after="120"/>
      </w:pPr>
      <w:r>
        <w:rPr>
          <w:sz w:val="18"/>
        </w:rPr>
        <w:t>——————————————————————————————————————————————————————————————————————</w:t>
      </w:r>
    </w:p>
    <w:p>
      <w:pPr>
        <w:spacing w:before="160" w:after="40" w:line="240" w:lineRule="auto"/>
      </w:pPr>
      <w:r>
        <w:rPr>
          <w:b/>
        </w:rPr>
        <w:t xml:space="preserve">[106] </w:t>
      </w:r>
      <w:hyperlink r:id="rId367">
        <w:r>
          <w:rPr>
            <w:color w:val="1155CC"/>
            <w:u w:val="single"/>
          </w:rPr>
          <w:t>蜂巢思维：微生物群落和记忆的形成</w:t>
        </w:r>
      </w:hyperlink>
    </w:p>
    <w:p>
      <w:pPr>
        <w:spacing w:before="0" w:after="80"/>
      </w:pPr>
      <w:r>
        <w:rPr>
          <w:i/>
          <w:sz w:val="20"/>
        </w:rPr>
        <w:t>EN: Hive mind: Microbial communities and the making of memory</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368">
        <w:r>
          <w:rPr>
            <w:color w:val="1155CC"/>
            <w:u w:val="single"/>
          </w:rPr>
          <w:t>10.1073/pnas.2616703123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[107] </w:t>
      </w:r>
      <w:hyperlink r:id="rId369">
        <w:r>
          <w:rPr>
            <w:color w:val="1155CC"/>
            <w:u w:val="single"/>
          </w:rPr>
          <w:t>回复 McDannell 等人：热叠印并没有掩盖大不整合面的构造起源</w:t>
        </w:r>
      </w:hyperlink>
    </w:p>
    <w:p>
      <w:pPr>
        <w:spacing w:before="0" w:after="80"/>
      </w:pPr>
      <w:r>
        <w:rPr>
          <w:i/>
          <w:sz w:val="20"/>
        </w:rPr>
        <w:t>EN: Reply to McDannell et al.: Thermal overprinting does not obscure the tectonic origin of the Great Unconformity</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370">
        <w:r>
          <w:rPr>
            <w:color w:val="1155CC"/>
            <w:u w:val="single"/>
          </w:rPr>
          <w:t>10.1073/pnas.2617312123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[108] </w:t>
      </w:r>
      <w:hyperlink r:id="rId371">
        <w:r>
          <w:rPr>
            <w:color w:val="1155CC"/>
            <w:u w:val="single"/>
          </w:rPr>
          <w:t>发酵求生存：需氧细菌如何在缺氧期间持续存在</w:t>
        </w:r>
      </w:hyperlink>
    </w:p>
    <w:p>
      <w:pPr>
        <w:spacing w:before="0" w:after="80"/>
      </w:pPr>
      <w:r>
        <w:rPr>
          <w:i/>
          <w:sz w:val="20"/>
        </w:rPr>
        <w:t>EN: Ferment to survive: How an aerobic bacterium persists during hypoxia</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372">
        <w:r>
          <w:rPr>
            <w:color w:val="1155CC"/>
            <w:u w:val="single"/>
          </w:rPr>
          <w:t>10.1073/pnas.2617172123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[109] </w:t>
      </w:r>
      <w:hyperlink r:id="rId373">
        <w:r>
          <w:rPr>
            <w:color w:val="1155CC"/>
            <w:u w:val="single"/>
          </w:rPr>
          <w:t>Reinhart 等人的更正，实时 COVID-19 指标的开放存储库</w:t>
        </w:r>
      </w:hyperlink>
    </w:p>
    <w:p>
      <w:pPr>
        <w:spacing w:before="0" w:after="80"/>
      </w:pPr>
      <w:r>
        <w:rPr>
          <w:i/>
          <w:sz w:val="20"/>
        </w:rPr>
        <w:t>EN: Correction for Reinhart et al., An open repository of real-time COVID-19 indicators</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374">
        <w:r>
          <w:rPr>
            <w:color w:val="1155CC"/>
            <w:u w:val="single"/>
          </w:rPr>
          <w:t>10.1073/pnas.2620564123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[110] </w:t>
      </w:r>
      <w:hyperlink r:id="rId375">
        <w:r>
          <w:rPr>
            <w:color w:val="1155CC"/>
            <w:u w:val="single"/>
          </w:rPr>
          <w:t>更正 Otsuki 等人的观点，细胞外硫酸酯酶通过调节 BMP 和 FGF 信号通路支持软骨稳态</w:t>
        </w:r>
      </w:hyperlink>
    </w:p>
    <w:p>
      <w:pPr>
        <w:spacing w:before="0" w:after="80"/>
      </w:pPr>
      <w:r>
        <w:rPr>
          <w:i/>
          <w:sz w:val="20"/>
        </w:rPr>
        <w:t>EN: Correction for Otsuki et al., Extracellular sulfatases support cartilage homeostasis by regulating BMP and FGF signaling pathways</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376">
        <w:r>
          <w:rPr>
            <w:color w:val="1155CC"/>
            <w:u w:val="single"/>
          </w:rPr>
          <w:t>10.1073/pnas.2621332123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[111] </w:t>
      </w:r>
      <w:hyperlink r:id="rId377">
        <w:r>
          <w:rPr>
            <w:color w:val="1155CC"/>
            <w:u w:val="single"/>
          </w:rPr>
          <w:t>粗丝分子界面在肥厚型心肌病的发病机制中发挥着关键作用</w:t>
        </w:r>
      </w:hyperlink>
    </w:p>
    <w:p>
      <w:pPr>
        <w:spacing w:before="0" w:after="80"/>
      </w:pPr>
      <w:r>
        <w:rPr>
          <w:i/>
          <w:sz w:val="20"/>
        </w:rPr>
        <w:t>EN: Thick filament molecular interfaces play a critical role in the pathogenesis of hypertrophic cardiomyopathy</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378">
        <w:r>
          <w:rPr>
            <w:color w:val="1155CC"/>
            <w:u w:val="single"/>
          </w:rPr>
          <w:t>10.1073/pnas.2529234123</w:t>
        </w:r>
      </w:hyperlink>
    </w:p>
    <w:p>
      <w:pPr>
        <w:spacing w:before="0" w:after="120"/>
      </w:pPr>
      <w:r>
        <w:rPr>
          <w:b/>
        </w:rPr>
        <w:t xml:space="preserve">Notes: </w:t>
      </w:r>
      <w:r>
        <w:t>abstract_source=crossref</w:t>
      </w:r>
    </w:p>
    <w:p>
      <w:pPr>
        <w:spacing w:before="0" w:after="80" w:lineRule="auto" w:line="276"/>
      </w:pPr>
      <w:r>
        <w:rPr>
          <w:b/>
        </w:rPr>
        <w:t xml:space="preserve">摘要（ZH）: </w:t>
      </w:r>
      <w:r>
        <w:t>肥厚型心肌病 (HCM) 编码肌球蛋白重链 (MHC) 的基因变异（</w:t>
      </w:r>
      <w:r>
        <w:t xml:space="preserve"> </w:t>
      </w:r>
      <w:r>
        <w:t>MYH7</w:t>
      </w:r>
      <w:r>
        <w:t xml:space="preserve"> </w:t>
      </w:r>
      <w:r>
        <w:t>）、肌球蛋白轻链（</w:t>
      </w:r>
      <w:r>
        <w:t xml:space="preserve"> </w:t>
      </w:r>
      <w:r>
        <w:t>MYL2</w:t>
      </w:r>
      <w:r>
        <w:t xml:space="preserve"> </w:t>
      </w:r>
      <w:r>
        <w:t>和</w:t>
      </w:r>
      <w:r>
        <w:t xml:space="preserve"> </w:t>
      </w:r>
      <w:r>
        <w:t>MYL3</w:t>
      </w:r>
      <w:r>
        <w:t xml:space="preserve"> </w:t>
      </w:r>
      <w:r>
        <w:t>）和心肌肌球蛋白结合蛋白-C（cMyBP-C，</w:t>
      </w:r>
      <w:r>
        <w:t xml:space="preserve"> </w:t>
      </w:r>
      <w:r>
        <w:t>MYBPC3</w:t>
      </w:r>
      <w:r>
        <w:t xml:space="preserve"> </w:t>
      </w:r>
      <w:r>
        <w:t>）导致心脏肥大，收缩力、松弛和能量消耗异常。在这里，我们通过绘制 233 个变异来定义这些基因中致病性和良性错义变异的结构后果（</w:t>
      </w:r>
      <w:r>
        <w:t xml:space="preserve"> </w:t>
      </w:r>
      <w:r>
        <w:t>MYH7</w:t>
      </w:r>
      <w:r>
        <w:t xml:space="preserve"> </w:t>
      </w:r>
      <w:r>
        <w:t>，n = 175；</w:t>
      </w:r>
      <w:r>
        <w:t xml:space="preserve"> </w:t>
      </w:r>
      <w:r>
        <w:t>MYBPC3</w:t>
      </w:r>
      <w:r>
        <w:t xml:space="preserve"> </w:t>
      </w:r>
      <w:r>
        <w:t>，n = 41；</w:t>
      </w:r>
      <w:r>
        <w:t xml:space="preserve"> </w:t>
      </w:r>
      <w:r>
        <w:t>MYL2</w:t>
      </w:r>
      <w:r>
        <w:t xml:space="preserve"> </w:t>
      </w:r>
      <w:r>
        <w:t>，n = 12；</w:t>
      </w:r>
      <w:r>
        <w:t xml:space="preserve"> </w:t>
      </w:r>
      <w:r>
        <w:t>MYL3</w:t>
      </w:r>
      <w:r>
        <w:t xml:space="preserve"> </w:t>
      </w:r>
      <w:r>
        <w:t>，n = 5）到基于冷冻电镜的人类心脏粗丝原子模型上。我们鉴定了存在于复杂粗丝相互作用组的 30 个分子界面中的 HCM 变体，包括肌球蛋白相互作用头基序 (IHM) 的两个主要界面，以及涉及 MHC、必需和调节轻链以及 cMyBP-C 的界面。被归类为良性的 21 个变体中没有一个位于接口内。我们证明了分子界面内和分子界面外致病性变异的 HCM 患者的早期疾病发作和不良后果，强调了它们在正常粗丝功能和改善患者风险分层中的重要性。</w:t>
      </w:r>
    </w:p>
    <w:p>
      <w:pPr>
        <w:spacing w:before="0" w:after="200" w:lineRule="auto" w:line="276"/>
      </w:pPr>
      <w:r>
        <w:rPr>
          <w:b/>
        </w:rPr>
        <w:t xml:space="preserve">Abstract (EN): </w:t>
      </w:r>
      <w:r>
        <w:t>Hypertrophic cardiomyopathy (HCM) variants in genes encoding the myosin heavy chain (MHC) (</w:t>
      </w:r>
      <w:r>
        <w:t xml:space="preserve"> </w:t>
      </w:r>
      <w:r>
        <w:t>MYH7</w:t>
      </w:r>
      <w:r>
        <w:t xml:space="preserve"> </w:t>
      </w:r>
      <w:r>
        <w:t>), myosin light chains (</w:t>
      </w:r>
      <w:r>
        <w:t xml:space="preserve"> </w:t>
      </w:r>
      <w:r>
        <w:t>MYL2</w:t>
      </w:r>
      <w:r>
        <w:t xml:space="preserve"> </w:t>
      </w:r>
      <w:r>
        <w:t>and</w:t>
      </w:r>
      <w:r>
        <w:t xml:space="preserve"> </w:t>
      </w:r>
      <w:r>
        <w:t>MYL3</w:t>
      </w:r>
      <w:r>
        <w:t xml:space="preserve"> </w:t>
      </w:r>
      <w:r>
        <w:t>), and cardiac myosin binding protein-C (cMyBP-C,</w:t>
      </w:r>
      <w:r>
        <w:t xml:space="preserve"> </w:t>
      </w:r>
      <w:r>
        <w:t>MYBPC3</w:t>
      </w:r>
      <w:r>
        <w:t xml:space="preserve"> </w:t>
      </w:r>
      <w:r>
        <w:t>) lead to cardiac hypertrophy, with abnormal contractility, relaxation, and energy consumption. Here, we defined the structural consequences of pathogenic and benign missense variants in these genes by mapping 233 variants (</w:t>
      </w:r>
      <w:r>
        <w:t xml:space="preserve"> </w:t>
      </w:r>
      <w:r>
        <w:t>MYH7</w:t>
      </w:r>
      <w:r>
        <w:t xml:space="preserve"> </w:t>
      </w:r>
      <w:r>
        <w:t>, n = 175;</w:t>
      </w:r>
      <w:r>
        <w:t xml:space="preserve"> </w:t>
      </w:r>
      <w:r>
        <w:t>MYBPC3</w:t>
      </w:r>
      <w:r>
        <w:t xml:space="preserve"> </w:t>
      </w:r>
      <w:r>
        <w:t>, n = 41;</w:t>
      </w:r>
      <w:r>
        <w:t xml:space="preserve"> </w:t>
      </w:r>
      <w:r>
        <w:t>MYL2</w:t>
      </w:r>
      <w:r>
        <w:t xml:space="preserve"> </w:t>
      </w:r>
      <w:r>
        <w:t>, n = 12;</w:t>
      </w:r>
      <w:r>
        <w:t xml:space="preserve"> </w:t>
      </w:r>
      <w:r>
        <w:t>MYL3</w:t>
      </w:r>
      <w:r>
        <w:t xml:space="preserve"> </w:t>
      </w:r>
      <w:r>
        <w:t>, n = 5) onto a cryo-EM-based atomic model of the human cardiac thick filament. We identified HCM variants residing in 30 molecular interfaces of the complex thick filament interactome, including the two main interfaces of the myosin interacting-heads motif (IHM), and interfaces involving the MHC, essential and regulatory light chains, and cMyBP-C. None of the 21 variants classified as benign were within interfaces. We demonstrated earlier disease onset and adverse outcomes in HCM patients with pathogenic variants within vs. outside of molecular interfaces, emphasizing their importance in normal thick filament function and improving risk stratification of patients.</w:t>
      </w:r>
    </w:p>
    <w:p>
      <w:pPr>
        <w:spacing w:before="120" w:after="120"/>
      </w:pPr>
      <w:r>
        <w:rPr>
          <w:sz w:val="18"/>
        </w:rPr>
        <w:t>——————————————————————————————————————————————————————————————————————</w:t>
      </w:r>
    </w:p>
    <w:p>
      <w:pPr>
        <w:spacing w:before="160" w:after="40" w:line="240" w:lineRule="auto"/>
      </w:pPr>
      <w:r>
        <w:rPr>
          <w:b/>
        </w:rPr>
        <w:t xml:space="preserve">[112] </w:t>
      </w:r>
      <w:hyperlink r:id="rId379">
        <w:r>
          <w:rPr>
            <w:color w:val="1155CC"/>
            <w:u w:val="single"/>
          </w:rPr>
          <w:t>数量性状与背景选择的演变</w:t>
        </w:r>
      </w:hyperlink>
    </w:p>
    <w:p>
      <w:pPr>
        <w:spacing w:before="0" w:after="80"/>
      </w:pPr>
      <w:r>
        <w:rPr>
          <w:i/>
          <w:sz w:val="20"/>
        </w:rPr>
        <w:t>EN: Evolution of quantitative traits with background selection</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380">
        <w:r>
          <w:rPr>
            <w:color w:val="1155CC"/>
            <w:u w:val="single"/>
          </w:rPr>
          <w:t>10.1073/pnas.2610119123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[113] </w:t>
      </w:r>
      <w:hyperlink r:id="rId381">
        <w:r>
          <w:rPr>
            <w:color w:val="1155CC"/>
            <w:u w:val="single"/>
          </w:rPr>
          <w:t>晚更新世克洛维阿特拉特狩猎未能按时间顺序建模测试</w:t>
        </w:r>
      </w:hyperlink>
    </w:p>
    <w:p>
      <w:pPr>
        <w:spacing w:before="0" w:after="80"/>
      </w:pPr>
      <w:r>
        <w:rPr>
          <w:i/>
          <w:sz w:val="20"/>
        </w:rPr>
        <w:t>EN: Late Pleistocene Clovis atlatl hunting fails a chronological modeling test</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382">
        <w:r>
          <w:rPr>
            <w:color w:val="1155CC"/>
            <w:u w:val="single"/>
          </w:rPr>
          <w:t>10.1073/pnas.2607964123</w:t>
        </w:r>
      </w:hyperlink>
    </w:p>
    <w:p>
      <w:pPr>
        <w:spacing w:before="0" w:after="120"/>
      </w:pPr>
      <w:r>
        <w:rPr>
          <w:b/>
        </w:rPr>
        <w:t xml:space="preserve">Notes: </w:t>
      </w:r>
      <w:r>
        <w:t>abstract_source=crossref</w:t>
      </w:r>
    </w:p>
    <w:p>
      <w:pPr>
        <w:spacing w:before="0" w:after="80" w:lineRule="auto" w:line="276"/>
      </w:pPr>
      <w:r>
        <w:rPr>
          <w:b/>
        </w:rPr>
        <w:t xml:space="preserve">摘要（ZH）: </w:t>
      </w:r>
      <w:r>
        <w:t>长期以来，更新世晚期的北美采集者一直被认为是用atlatl捕猎巨型动物，这将带来一些优势。然而，我们根据保存的全新世地图集按时间顺序对放射性碳年龄进行了建模，并表明不支持克洛维地图集的使用。如果克洛维斯狩猎者没有使用atlatl技术，那么它在全新世早期在美洲的出现代表了类似于晚更新世欧洲atlatls的技术趋同进化的案例。进一步的含义是，如果克洛维猎人使用长矛、标枪或弓箭技术，那么考虑到与这些武器相关的独特有效性、狩猎风险和策略，需要重新考虑有关巨型动物狩猎的模型。</w:t>
      </w:r>
    </w:p>
    <w:p>
      <w:pPr>
        <w:spacing w:before="0" w:after="200" w:lineRule="auto" w:line="276"/>
      </w:pPr>
      <w:r>
        <w:rPr>
          <w:b/>
        </w:rPr>
        <w:t xml:space="preserve">Abstract (EN): </w:t>
      </w:r>
      <w:r>
        <w:t>Late Pleistocene North American foragers assigned to the Clovis culture have long been assumed to have hunted megafauna with the atlatl, which would have provided several advantages. Yet, we chronologically modeled radiocarbon ages from preserved Holocene atlatls and show that Clovis atlatl use is not supported. If Clovis hunters did not use atlatl technology, then its emergence in the Americas during the early Holocene represents a case of technological convergent evolution analogous to atlatls in Late Pleistocene Europe. A further implication is if Clovis hunters used spears, javelins, or bow technology then models concerning megafaunal hunting need to be rethought given the distinct effectiveness, hunting risk, and tactics associated with these weapons.</w:t>
      </w:r>
    </w:p>
    <w:p>
      <w:pPr>
        <w:spacing w:before="120" w:after="120"/>
      </w:pPr>
      <w:r>
        <w:rPr>
          <w:sz w:val="18"/>
        </w:rPr>
        <w:t>——————————————————————————————————————————————————————————————————————</w:t>
      </w:r>
    </w:p>
    <w:p>
      <w:pPr>
        <w:spacing w:before="160" w:after="40" w:line="240" w:lineRule="auto"/>
      </w:pPr>
      <w:r>
        <w:rPr>
          <w:b/>
        </w:rPr>
        <w:t xml:space="preserve">[114] </w:t>
      </w:r>
      <w:hyperlink r:id="rId383">
        <w:r>
          <w:rPr>
            <w:color w:val="1155CC"/>
            <w:u w:val="single"/>
          </w:rPr>
          <w:t>预测海洋系统范围扩张的生态影响的通用框架</w:t>
        </w:r>
      </w:hyperlink>
    </w:p>
    <w:p>
      <w:pPr>
        <w:spacing w:before="0" w:after="80"/>
      </w:pPr>
      <w:r>
        <w:rPr>
          <w:i/>
          <w:sz w:val="20"/>
        </w:rPr>
        <w:t>EN: A general framework for predicting the ecological effects of range expansions in marine systems</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384">
        <w:r>
          <w:rPr>
            <w:color w:val="1155CC"/>
            <w:u w:val="single"/>
          </w:rPr>
          <w:t>10.1073/pnas.2600491123</w:t>
        </w:r>
      </w:hyperlink>
    </w:p>
    <w:p>
      <w:pPr>
        <w:spacing w:before="0" w:after="120"/>
      </w:pPr>
      <w:r>
        <w:rPr>
          <w:b/>
        </w:rPr>
        <w:t xml:space="preserve">Notes: </w:t>
      </w:r>
      <w:r>
        <w:t>abstract_source=crossref</w:t>
      </w:r>
    </w:p>
    <w:p>
      <w:pPr>
        <w:spacing w:before="0" w:after="80" w:lineRule="auto" w:line="276"/>
      </w:pPr>
      <w:r>
        <w:rPr>
          <w:b/>
        </w:rPr>
        <w:t xml:space="preserve">摘要（ZH）: </w:t>
      </w:r>
      <w:r>
        <w:t>全球气温变暖正在促使物种超越其历史地理范围，进入新的、扩大的范围，这可能对接受种群产生积极和消极的影响。尽管目前不存在预测这些影响的框架，但入侵生物学理论表明，扩张者的影响可以通过扩张者的历史作用和营养位置来预测。我们对 1,075 项研究报告的海洋范围扩大物种对种群水平的影响进行了全球综合分析。我们假设，与入侵物种类似，扩大物种的影响可以通过（H1）它们在历史范围内的生态作用和（H2）它们的营养水平来预测。我们发现，这些物种历史分布范围的影响可以可靠地预测它们对扩大范围的影响，但总体而言，海洋范围扩大者在新群落中往往更有害，或更不有益。较高营养级扩张者往往比较低营养级扩张者对常驻物种产生更强的影响（正面和负面）。相互作用的类型（例如捕食、竞争、物理干扰等）进一步调节效应强度，其中间接相互作用产生最强的效应。最后，我们发现与人类、脊椎动物或无脊椎动物相比，本地生产者经历了一些最强烈的影响。总之，我们的结果表明，现有的关于物种作用的知识对于预测哪些气候驱动的范围扩张可能对物种产生最大影响至关重要。</w:t>
      </w:r>
    </w:p>
    <w:p>
      <w:pPr>
        <w:spacing w:before="0" w:after="200" w:lineRule="auto" w:line="276"/>
      </w:pPr>
      <w:r>
        <w:rPr>
          <w:b/>
        </w:rPr>
        <w:t xml:space="preserve">Abstract (EN): </w:t>
      </w:r>
      <w:r>
        <w:t>Warming global temperatures are driving species to shift beyond their historical geographic ranges into novel, expanded ranges, where they may have both positive and negative effects on recipient populations. Although no framework currently exists to anticipate these effects, invasion biology theory suggests expanders’ effects may be predictable from expanders’ historical roles and trophic positions. We conducted a global synthesis of over 1,200 population-level effects of marine range-expanding species reported across 1,075 studies. We hypothesized that, similar to invasive species, expanding species’ impacts could be predicted by (H1) their ecological roles in their historical ranges and (H2) their trophic levels. We found that effects in these species’ historical ranges reliably predict their impacts in expanded ranges, but that, overall, marine range expanders tend to be more detrimental—or less beneficial—in novel communities. Higher trophic level expanders tend to have stronger effects (both positive and negative) on resident species than lower trophic level expanders. Effect magnitudes were further modulated by the type of interaction (e.g., predation, competition, physical disturbance, etc.), with the strongest effects arising from indirect interactions. Finally, we found that native producers experienced some of the strongest effects when compared to humans, vertebrates, or invertebrates. Together, our results indicate that existing knowledge of species’ roles are key to anticipating which climate-driven range expansions are likely to have the largest effects on recipient communities.</w:t>
      </w:r>
    </w:p>
    <w:p>
      <w:pPr>
        <w:spacing w:before="120" w:after="120"/>
      </w:pPr>
      <w:r>
        <w:rPr>
          <w:sz w:val="18"/>
        </w:rPr>
        <w:t>——————————————————————————————————————————————————————————————————————</w:t>
      </w:r>
    </w:p>
    <w:p>
      <w:pPr>
        <w:spacing w:before="160" w:after="40" w:line="240" w:lineRule="auto"/>
      </w:pPr>
      <w:r>
        <w:rPr>
          <w:b/>
        </w:rPr>
        <w:t xml:space="preserve">[115] </w:t>
      </w:r>
      <w:hyperlink r:id="rId385">
        <w:r>
          <w:rPr>
            <w:color w:val="1155CC"/>
            <w:u w:val="single"/>
          </w:rPr>
          <w:t>回复 Górski 等人：两极分化需要意见，而不仅仅是负面联系</w:t>
        </w:r>
      </w:hyperlink>
    </w:p>
    <w:p>
      <w:pPr>
        <w:spacing w:before="0" w:after="80"/>
      </w:pPr>
      <w:r>
        <w:rPr>
          <w:i/>
          <w:sz w:val="20"/>
        </w:rPr>
        <w:t>EN: Reply to Górski et al.: Polarization requires opinions, not just negative ties</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386">
        <w:r>
          <w:rPr>
            <w:color w:val="1155CC"/>
            <w:u w:val="single"/>
          </w:rPr>
          <w:t>10.1073/pnas.2615768123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[116] </w:t>
      </w:r>
      <w:hyperlink r:id="rId387">
        <w:r>
          <w:rPr>
            <w:color w:val="1155CC"/>
            <w:u w:val="single"/>
          </w:rPr>
          <w:t>Liu 等人的修正，Occludin 充当调节通透性和侧支血管生成的动力蛋白适配器</w:t>
        </w:r>
      </w:hyperlink>
    </w:p>
    <w:p>
      <w:pPr>
        <w:spacing w:before="0" w:after="80"/>
      </w:pPr>
      <w:r>
        <w:rPr>
          <w:i/>
          <w:sz w:val="20"/>
        </w:rPr>
        <w:t>EN: Correction for Liu et al., Occludin acts as a dynein adaptor regulating permeability and collateral angiogenesis</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388">
        <w:r>
          <w:rPr>
            <w:color w:val="1155CC"/>
            <w:u w:val="single"/>
          </w:rPr>
          <w:t>10.1073/pnas.2620356123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[117] </w:t>
      </w:r>
      <w:hyperlink r:id="rId389">
        <w:r>
          <w:rPr>
            <w:color w:val="1155CC"/>
            <w:u w:val="single"/>
          </w:rPr>
          <w:t>人类神经元/小鼠神经胶质细胞共培养物中的蛋白质稳态和未折叠蛋白质反应动力学揭示了细胞特异性的成熟反应</w:t>
        </w:r>
      </w:hyperlink>
    </w:p>
    <w:p>
      <w:pPr>
        <w:spacing w:before="0" w:after="80"/>
      </w:pPr>
      <w:r>
        <w:rPr>
          <w:i/>
          <w:sz w:val="20"/>
        </w:rPr>
        <w:t>EN: Proteostasis and unfolded protein response dynamics in human neuron/mouse glia co-cultures reveal a cell-specific maturation response</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390">
        <w:r>
          <w:rPr>
            <w:color w:val="1155CC"/>
            <w:u w:val="single"/>
          </w:rPr>
          <w:t>10.1073/pnas.2521663123</w:t>
        </w:r>
      </w:hyperlink>
    </w:p>
    <w:p>
      <w:pPr>
        <w:spacing w:before="0" w:after="120"/>
      </w:pPr>
      <w:r>
        <w:rPr>
          <w:b/>
        </w:rPr>
        <w:t xml:space="preserve">Notes: </w:t>
      </w:r>
      <w:r>
        <w:t>abstract_source=crossref</w:t>
      </w:r>
    </w:p>
    <w:p>
      <w:pPr>
        <w:spacing w:before="0" w:after="80" w:lineRule="auto" w:line="276"/>
      </w:pPr>
      <w:r>
        <w:rPr>
          <w:b/>
        </w:rPr>
        <w:t xml:space="preserve">摘要（ZH）: </w:t>
      </w:r>
      <w:r>
        <w:t>蛋白质稳态或蛋白质稳态是一个严格调控的细胞通路网络，对于维持适当的蛋白质折叠、运输和降解至关重要。神经元由于其有丝分裂后和长寿命的性质而特别容易受到蛋白质稳态崩溃的影响，因此代表了一种独特的细胞类型，可以理解整个发育和成熟过程中蛋白质稳态的动态。在这里，我们利用人类兴奋性神经元和小鼠神经胶质细胞的双物种共培养模型，使用数据独立的采集 LC-MS/MS 蛋白质组学来概括和研究蛋白质稳态网络中细胞类型特异性、成熟相关的变化。我们通过监测 ATF6、IRE1/XBP1 和 PERK 通路下游的策划效应蛋白来量化分支特异性未折叠蛋白反应 (UPR) 激活，从而能够对 30 天至 60 天的体外神经元成熟过程中的 UPR 动态进行全面、公正的评估。物种特异性分析表明，成熟神经元在很大程度上保留了蛋白质稳态，尽管它们显示出一些崩溃的迹象，主要是在内质网（ER）到高尔基体的运输机制中。然而，随着时间的推移，这些变化伴随着蛋白质稳态相关机制的上调和 ATF6 分支的激活，以及 UPR 的 XBP1 和 PERK 分支的维持。相比之下，神经胶质细胞表现出蛋白质稳态因子和 UPR 成分的广泛下调，与神经元的存在无关。此外，我们量化了暴露于药物 ER 的成熟神经元中选择的 UPR 分支的刺激特异性调节</w:t>
      </w:r>
    </w:p>
    <w:p>
      <w:pPr>
        <w:spacing w:before="0" w:after="200" w:lineRule="auto" w:line="276"/>
      </w:pPr>
      <w:r>
        <w:rPr>
          <w:b/>
        </w:rPr>
        <w:t xml:space="preserve">Abstract (EN): </w:t>
      </w:r>
      <w:r>
        <w:t>Proteostasis, or protein homeostasis, is a tightly regulated network of cellular pathways essential for maintaining proper protein folding, trafficking, and degradation. Neurons are particularly vulnerable to proteostasis collapse due to their postmitotic and long-lived nature and thus represent a unique cell type to understand the dynamics of proteostasis throughout development and maturation. Here, we utilized a dual-species co-culture model of human excitatory neurons and mouse glia to recapitulate and investigate cell type–specific, maturation-related changes in the proteostasis network using data-independent acquisition LC–MS/MS proteomics. We quantified branch-specific unfolded protein response (UPR) activation by monitoring curated effector proteins downstream of the ATF6, IRE1/XBP1s, and PERK pathways, enabling a comprehensive, unbiased evaluation of UPR dynamics during in vitro neuronal maturation between 30 d and 60 d. Species-specific analysis revealed that mature neurons largely preserved proteostasis, although they showed some signs of collapse, primarily in endoplasmic reticulum (ER)-to-Golgi transport mechanisms. However, these changes were accompanied by upregulation of proteostasis-related machinery and activation of the ATF6 branch, as well as maintenance of the XBP1s and PERK branches of the UPR over time. In contrast, glia exhibited broad downregulation of proteostasis factors and UPR components, independent of neuronal presence. Furthermore, we quantified stimulus-specific modulation of select UPR branches in matured neurons exposed to pharmacologic ER stressors. These findings highlight distinct, cell-type-specific stress adaptations during in vitro maturation and provide a valuable proteomic resource for dissecting proteostasis and UPR regulation in human neurons.</w:t>
      </w:r>
    </w:p>
    <w:p>
      <w:pPr>
        <w:spacing w:before="120" w:after="120"/>
      </w:pPr>
      <w:r>
        <w:rPr>
          <w:sz w:val="18"/>
        </w:rPr>
        <w:t>——————————————————————————————————————————————————————————————————————</w:t>
      </w:r>
    </w:p>
    <w:p>
      <w:pPr>
        <w:spacing w:before="160" w:after="40" w:line="240" w:lineRule="auto"/>
      </w:pPr>
      <w:r>
        <w:rPr>
          <w:b/>
        </w:rPr>
        <w:t xml:space="preserve">[118] </w:t>
      </w:r>
      <w:hyperlink r:id="rId391">
        <w:r>
          <w:rPr>
            <w:color w:val="1155CC"/>
            <w:u w:val="single"/>
          </w:rPr>
          <w:t>精神分裂症疾病改变的目标：新发现增加了免疫补体系统参与的证据</w:t>
        </w:r>
      </w:hyperlink>
    </w:p>
    <w:p>
      <w:pPr>
        <w:spacing w:before="0" w:after="80"/>
      </w:pPr>
      <w:r>
        <w:rPr>
          <w:i/>
          <w:sz w:val="20"/>
        </w:rPr>
        <w:t>EN: Targets for disease modification in schizophrenia: New findings add to evidence for the involvement of the immune complement system</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392">
        <w:r>
          <w:rPr>
            <w:color w:val="1155CC"/>
            <w:u w:val="single"/>
          </w:rPr>
          <w:t>10.1073/pnas.2613745123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[119] </w:t>
      </w:r>
      <w:hyperlink r:id="rId393">
        <w:r>
          <w:rPr>
            <w:color w:val="1155CC"/>
            <w:u w:val="single"/>
          </w:rPr>
          <w:t>核酸标记化学揭示了外泌体的表面 DNA</w:t>
        </w:r>
      </w:hyperlink>
    </w:p>
    <w:p>
      <w:pPr>
        <w:spacing w:before="0" w:after="80"/>
      </w:pPr>
      <w:r>
        <w:rPr>
          <w:i/>
          <w:sz w:val="20"/>
        </w:rPr>
        <w:t>EN: A nucleic acid labeling chemistry reveals surface DNA on exosomes</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394">
        <w:r>
          <w:rPr>
            <w:color w:val="1155CC"/>
            <w:u w:val="single"/>
          </w:rPr>
          <w:t>10.1073/pnas.2532281123</w:t>
        </w:r>
      </w:hyperlink>
    </w:p>
    <w:p>
      <w:pPr>
        <w:spacing w:before="0" w:after="120"/>
      </w:pPr>
      <w:r>
        <w:rPr>
          <w:b/>
        </w:rPr>
        <w:t xml:space="preserve">Notes: </w:t>
      </w:r>
      <w:r>
        <w:t>abstract_source=crossref</w:t>
      </w:r>
    </w:p>
    <w:p>
      <w:pPr>
        <w:spacing w:before="0" w:after="80" w:lineRule="auto" w:line="276"/>
      </w:pPr>
      <w:r>
        <w:rPr>
          <w:b/>
        </w:rPr>
        <w:t xml:space="preserve">摘要（ZH）: </w:t>
      </w:r>
      <w:r>
        <w:t>核酸的化学标记对于查明 RNA 和 DNA 的结构、定位和功能至关重要。然而，能够标记天然 RNA 和 DNA 的、与序列无关的可逆化学方法仍然进展缓慢。在这里，我们描述了可逆尿苷腈介导的加成 (RUNA)，这是一种可逆共价化学，通过 N3 去质子化以及与醛和异腈生成的腈离子中间体反应，选择性地修饰尿苷和胸苷残基。该反应形成稳定的 N3 加合物，可通过水解定量逆转。通过使用膜可渗透或不可渗透的试剂，我们证明了 DNA 在外泌体上的定位和功能。尽管外泌体含有核酸，但后者是否被封装在外泌体腔内或表面粘附尚不清楚。 RUNA 揭示外泌体在其外表面展示 DNA。在用 PARP 抑制剂处理的癌细胞中，DNA 损伤积累后，这种表面 DNA 的丰度就会增加。这种表面 DNA 通过清道夫受体驱动 M2 极化巨噬细胞摄取外泌体，并引发向 M1 样促炎状态的转变。表面 DNA 的选择性标记揭示了外泌体与先天免疫细胞相互作用的意想不到的机制。 RUNA 是一种多功能工具，用于分析健康和疾病中细胞外囊泡的核酸含量和功能。</w:t>
      </w:r>
    </w:p>
    <w:p>
      <w:pPr>
        <w:spacing w:before="0" w:after="200" w:lineRule="auto" w:line="276"/>
      </w:pPr>
      <w:r>
        <w:rPr>
          <w:b/>
        </w:rPr>
        <w:t xml:space="preserve">Abstract (EN): </w:t>
      </w:r>
      <w:r>
        <w:t>Chemical labeling of nucleic acids is essential to pinpoint the structure, localization, and function of RNA and DNA. Yet, reversible sequence-independent chemistries that can label native RNA and DNA remain poorly developed. Here, we describe Reversible Uridine Nitrilium-mediated Addition (RUNA), a reversible covalent chemistry that selectively modifies uridine and thymidine residues via N3 deprotonation and reaction with a nitrilium ion intermediate generated from an aldehyde and an isonitrile. The reaction forms a stable N3 adduct that can be quantitatively reversed by hydrolysis. By using reagents that are either membrane permeable or impermeable, we demonstrate the localization and function of DNA on exosomes. Although exosomes harbor nucleic acids, whether the latter are encapsulated in the exosome lumen or are surface-adhered is unknown. RUNA revealed that exosomes display DNA on their outer surface. The abundance of such surface DNA increases upon DNA-damage accumulation in cancer cells that are treated with a PARP inhibitor. This surface DNA drives exosome uptake by M2-polarized macrophages through scavenger receptors and triggers a shift toward an M1-like proinflammatory state. The selective labeling of surface DNA revealed an unexpected mechanism by which exosomes engage innate immune cells. RUNA is a versatile tool to analyze the nucleic acid content and functionality of extracellular vesicles in health and disease.</w:t>
      </w:r>
    </w:p>
    <w:p>
      <w:pPr>
        <w:spacing w:before="120" w:after="120"/>
      </w:pPr>
      <w:r>
        <w:rPr>
          <w:sz w:val="18"/>
        </w:rPr>
        <w:t>——————————————————————————————————————————————————————————————————————</w:t>
      </w:r>
    </w:p>
    <w:p>
      <w:pPr>
        <w:spacing w:before="160" w:after="40" w:line="240" w:lineRule="auto"/>
      </w:pPr>
      <w:r>
        <w:rPr>
          <w:b/>
        </w:rPr>
        <w:t xml:space="preserve">[120] </w:t>
      </w:r>
      <w:hyperlink r:id="rId395">
        <w:r>
          <w:rPr>
            <w:color w:val="1155CC"/>
            <w:u w:val="single"/>
          </w:rPr>
          <w:t>一维多米诺骨牌相变使二维 MoTe2 材料编程成为可能</w:t>
        </w:r>
      </w:hyperlink>
    </w:p>
    <w:p>
      <w:pPr>
        <w:spacing w:before="0" w:after="80"/>
      </w:pPr>
      <w:r>
        <w:rPr>
          <w:i/>
          <w:sz w:val="20"/>
        </w:rPr>
        <w:t>EN: 1D domino-like phase transformation enables material programming in 2D MoTe2</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396">
        <w:r>
          <w:rPr>
            <w:color w:val="1155CC"/>
            <w:u w:val="single"/>
          </w:rPr>
          <w:t>10.1073/pnas.2528037123</w:t>
        </w:r>
      </w:hyperlink>
    </w:p>
    <w:p>
      <w:pPr>
        <w:spacing w:before="0" w:after="120"/>
      </w:pPr>
      <w:r>
        <w:rPr>
          <w:b/>
        </w:rPr>
        <w:t xml:space="preserve">Notes: </w:t>
      </w:r>
      <w:r>
        <w:t>abstract_source=crossref</w:t>
      </w:r>
    </w:p>
    <w:p>
      <w:pPr>
        <w:spacing w:before="0" w:after="80" w:lineRule="auto" w:line="276"/>
      </w:pPr>
      <w:r>
        <w:rPr>
          <w:b/>
        </w:rPr>
        <w:t xml:space="preserve">摘要（ZH）: </w:t>
      </w:r>
      <w:r>
        <w:t>相变是自然界的一种基本现象，对于材料的科学理解和工业应用都至关重要。二维 (2D) 材料的出现引入了新的物理属性，由于其维度降低，对传统相变理论提出了挑战。在单层过渡金属二硫属化物 (TMDC) 中，相变通常被描述为以协调的原子位移为特征的马氏体过程。然而，二维TMDCs巨大的能垒使得这种转变难以实现，给微观机制的实验研究带来了巨大的挑战，并阻碍了材料性能的精确调控。为了解决这个问题，我们研究了单层 MoTe 的相变</w:t>
      </w:r>
      <w:r>
        <w:rPr>
          <w:vertAlign w:val="subscript"/>
        </w:rPr>
        <w:t>2</w:t>
      </w:r>
      <w:r>
        <w:t>通过深度学习潜力加速的先进分子动力学模拟。我们的结果表明，相变以一维（1D）、多米诺骨牌式的方式进行，表现出马氏体相变和重构相变的特征。这种独特的机制提供了整个过程的可调谐性，从而显着增强了非线性光学响应和快速电切换。这项工作推进了当前相变的理解，并为其他二维材料中的相变工程提供了前景。</w:t>
      </w:r>
    </w:p>
    <w:p>
      <w:pPr>
        <w:spacing w:before="0" w:after="200" w:lineRule="auto" w:line="276"/>
      </w:pPr>
      <w:r>
        <w:rPr>
          <w:b/>
        </w:rPr>
        <w:t xml:space="preserve">Abstract (EN): </w:t>
      </w:r>
      <w:r>
        <w:t>Phase transformation is a fundamental phenomenon in nature, vital for both the scientific understanding and industrial applications of materials. The emergence of two-dimensional (2D) materials introduces new physical attributes that challenge traditional phase transformation theories due to their reduced dimensionality. In monolayer transition metal dichalcogenides (TMDCs), phase transformation is typically described as a martensitic process characterized by concerted atomic displacements. Nevertheless, the large energy barrier in 2D TMDCs makes such transformations difficult to realize, posing a substantial challenge to the experimental research on the microscopic mechanism, and hindering the precise regulation of material properties. To address this, we investigate the phase transformation in monolayer MoTe</w:t>
      </w:r>
      <w:r>
        <w:rPr>
          <w:vertAlign w:val="subscript"/>
        </w:rPr>
        <w:t>2</w:t>
      </w:r>
      <w:r>
        <w:t>through advanced molecular dynamics simulations accelerated by deep learning potential. Our results uncover that the phase transformation proceeds in a one-dimensional (1D), domino-like manner, exhibiting features of both martensitic and reconstructive transformations. This unique mechanism provides tunability over the process, enabling remarkably enhanced nonlinear optical responses and rapid electrical switching. This work advances current phase transformation understanding and provides perspectives for the phase engineering in other 2D materials.</w:t>
      </w:r>
    </w:p>
    <w:p>
      <w:pPr>
        <w:spacing w:before="120" w:after="120"/>
      </w:pPr>
      <w:r>
        <w:rPr>
          <w:sz w:val="18"/>
        </w:rPr>
        <w:t>——————————————————————————————————————————————————————————————————————</w:t>
      </w:r>
    </w:p>
    <w:p>
      <w:pPr>
        <w:spacing w:before="160" w:after="40" w:line="240" w:lineRule="auto"/>
      </w:pPr>
      <w:r>
        <w:rPr>
          <w:b/>
        </w:rPr>
        <w:t xml:space="preserve">[121] </w:t>
      </w:r>
      <w:hyperlink r:id="rId397">
        <w:r>
          <w:rPr>
            <w:color w:val="1155CC"/>
            <w:u w:val="single"/>
          </w:rPr>
          <w:t>候鸟中 SARS-CoV-2 和 MERS-CoV 的基因组和结构证据</w:t>
        </w:r>
      </w:hyperlink>
    </w:p>
    <w:p>
      <w:pPr>
        <w:spacing w:before="0" w:after="80"/>
      </w:pPr>
      <w:r>
        <w:rPr>
          <w:i/>
          <w:sz w:val="20"/>
        </w:rPr>
        <w:t>EN: Genomic and structural evidence of SARS-CoV-2 and MERS-CoV in migratory birds</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398">
        <w:r>
          <w:rPr>
            <w:color w:val="1155CC"/>
            <w:u w:val="single"/>
          </w:rPr>
          <w:t>10.1073/pnas.2400023123</w:t>
        </w:r>
      </w:hyperlink>
    </w:p>
    <w:p>
      <w:pPr>
        <w:spacing w:before="0" w:after="120"/>
      </w:pPr>
      <w:r>
        <w:rPr>
          <w:b/>
        </w:rPr>
        <w:t xml:space="preserve">Notes: </w:t>
      </w:r>
      <w:r>
        <w:t>abstract_source=crossref</w:t>
      </w:r>
    </w:p>
    <w:p>
      <w:pPr>
        <w:spacing w:before="0" w:after="80" w:lineRule="auto" w:line="276"/>
      </w:pPr>
      <w:r>
        <w:rPr>
          <w:b/>
        </w:rPr>
        <w:t xml:space="preserve">摘要（ZH）: </w:t>
      </w:r>
      <w:r>
        <w:t>候鸟是甲型流感病毒 (IAV) 的天然宿主，但它们作为 SARS-CoV-2 载体的作用仍不清楚。在这里，我们报告了苔原天鹅中 SARS-CoV-2 相关变体 (VOC) 的三个几乎全长的病毒基因组序列的鉴定。这些序列被命名为hCoV-19/Tundra swan/Jiangxi/IMCAS_M1/2021 (IMCAS_M1)、hCoV-19/Tundra swan/Jiangxi /IMCAS_M2/2021 (IMCAS_M2)和hCoV-19/Tundra swan/Jiangxi/IMCAS_M3/2021 (IMCAS_M3)。 IMCAS_M1 和 IMCAS_M3 与病毒刺突 (S) 蛋白的受体结合域 (RBD) 中的 Beta VOC（K417N、E484K 和 N501Y）具有相同的突变，而 IMCAS_M2 与 RBD 中的 Gamma VOC（K417T、E484K 和 N501Y）具有相同的突变，这三种突变在基因组中都显示出各自不同的突变。来自苔原天鹅 (tsACE2) 和黑天鹅 (bsACE2) 的病毒受体血管紧张素转换酶 2 (ACE2) 蛋白可以与所有三种病毒和 Alpha VOC 的 RBD 结合，但不能与原型 (PT) 病毒的 RBD 结合。冷冻电子显微镜 (cryo-EM) 结构揭示了 RBD-ACE2 复合物的极性接触和疏水相互作用，在病毒与受体的结合中发挥着关键作用。此外，表达 bsACE2 和 tsACE2 蛋白的 HeLa 细胞可以被假型 SARS-CoV-2 变体（Alpha、Beta 和 Gamma）转导，但不能被 PT SARS-CoV-2 转导。此外，我们还获得了 MERS-CoV 的一个部分基因组，名为 Bar-headed goose/Tibet/IMCAS_M4/2022 (IMCAS_M4)，长度为 20,180 bp（覆盖率约为 70.0%）。我们的研究结果强调了候鸟作为 SARS-CoV-2 和 MERS-Co 潜在载体的重要性</w:t>
      </w:r>
    </w:p>
    <w:p>
      <w:pPr>
        <w:spacing w:before="0" w:after="200" w:lineRule="auto" w:line="276"/>
      </w:pPr>
      <w:r>
        <w:rPr>
          <w:b/>
        </w:rPr>
        <w:t xml:space="preserve">Abstract (EN): </w:t>
      </w:r>
      <w:r>
        <w:t>Migratory birds are the natural reservoir of influenza A virus (IAV), but their role as a carrier of SARS-CoV-2 remains unclear. Here, we report the identification of three almost full-length viral genome sequences of SARS-CoV-2 variants of concern (VOCs) in Tundra swans. These sequences are named hCoV-19/Tundra swan/Jiangxi/IMCAS_M1/2021 (IMCAS_M1), hCoV-19/Tundra swan/Jiangxi /IMCAS_M2/2021 (IMCAS_M2), and hCoV-19/Tundra swan/Jiangxi/IMCAS_M3/2021 (IMCAS_M3). IMCAS_M1 and IMCAS_M3 have the same mutations as the Beta VOC (K417N, E484K, and N501Y) in the receptor-binding domain (RBD) of the viral spike (S) protein, whereas IMCAS_M2 shares the same mutations as the Gamma VOC (K417T, E484K, and N501Y) in the RBD with all three showing their distinct mutations in the genomes. Virus receptor angiotensin-converting enzyme 2 (ACE2) proteins from both Tundra swan (tsACE2) and Black swan (bsACE2) can bind to the RBDs of all three viruses and the Alpha VOC, but not to RBD of the prototype (PT) virus. The polar contacts and hydrophobic interactions revealed by cryo-electron microscopy (cryo-EM) structures of the RBD–ACE2 complex, play key roles in virus–receptor engagement. Furthermore, HeLa cells expressing bsACE2 and tsACE2 proteins could be transduced by pseudotyped SARS-CoV-2 variants (Alpha, Beta, and Gamma) but not PT SARS-CoV-2. In addition, we obtained one partial genome of MERS-CoV named Bar-headed goose/Tibet/IMCAS_M4/2022 (IMCAS_M4) with 20,180 bp (~70.0% coverage). Our findings highlight the importance of migratory birds as potential carrier of both SARS-CoV-2 and MERS-CoV, thereby posing potential threat to public health.</w:t>
      </w:r>
    </w:p>
    <w:p>
      <w:pPr>
        <w:spacing w:before="120" w:after="120"/>
      </w:pPr>
      <w:r>
        <w:rPr>
          <w:sz w:val="18"/>
        </w:rPr>
        <w:t>——————————————————————————————————————————————————————————————————————</w:t>
      </w:r>
    </w:p>
    <w:p>
      <w:pPr>
        <w:spacing w:before="160" w:after="40" w:line="240" w:lineRule="auto"/>
      </w:pPr>
      <w:r>
        <w:rPr>
          <w:b/>
        </w:rPr>
        <w:t xml:space="preserve">[122] </w:t>
      </w:r>
      <w:hyperlink r:id="rId399">
        <w:r>
          <w:rPr>
            <w:color w:val="1155CC"/>
            <w:u w:val="single"/>
          </w:rPr>
          <w:t>奖励预测是由动机行为期间的食欲素神经元活动编码的</w:t>
        </w:r>
      </w:hyperlink>
    </w:p>
    <w:p>
      <w:pPr>
        <w:spacing w:before="0" w:after="80"/>
      </w:pPr>
      <w:r>
        <w:rPr>
          <w:i/>
          <w:sz w:val="20"/>
        </w:rPr>
        <w:t>EN: Reward prediction is encoded by orexin neuron activity during motivated behavior</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00">
        <w:r>
          <w:rPr>
            <w:color w:val="1155CC"/>
            <w:u w:val="single"/>
          </w:rPr>
          <w:t>10.1073/pnas.2520677123</w:t>
        </w:r>
      </w:hyperlink>
    </w:p>
    <w:p>
      <w:pPr>
        <w:spacing w:before="0" w:after="120"/>
      </w:pPr>
      <w:r>
        <w:rPr>
          <w:b/>
        </w:rPr>
        <w:t xml:space="preserve">Notes: </w:t>
      </w:r>
      <w:r>
        <w:t>abstract_source=crossref</w:t>
      </w:r>
    </w:p>
    <w:p>
      <w:pPr>
        <w:spacing w:before="0" w:after="80" w:lineRule="auto" w:line="276"/>
      </w:pPr>
      <w:r>
        <w:rPr>
          <w:b/>
        </w:rPr>
        <w:t xml:space="preserve">摘要（ZH）: </w:t>
      </w:r>
      <w:r>
        <w:t>食欲素神经元调节生理功能，例如能量稳态、觉醒和动机行为。然而，通过以时间控制的方式选择性激活/失活这些输入来将食欲素神经元活动与行为联系起来的研究很少。在这里，我们使用细胞类型特异性纤维光度测定和光遗传学操作检查了食欲素神经元在转基因大鼠的动机行为中所起的作用。利用化学遗传学，我们发现当食欲素神经元被激活时，奖励的动机就会增加。此外，在动机行为期间，食欲素神经元活动动态变化：奖励预测期间活动增加，收到奖励后活动减少。当发生意外事件（即未获得预期奖励）时，食欲素活性持续增加。值得注意的是，食欲素活性随着努力的增加而增强。奖励预测和食欲素 1 受体拮抗剂治疗过程中食欲素神经元激活的光遗传学抑制减少了奖励寻求行为。因此，食欲素对于将预测期望与动机行为联系起来至关重要。此外，优化食欲素活性对于克服动机行为过程中的困难是必要的。</w:t>
      </w:r>
    </w:p>
    <w:p>
      <w:pPr>
        <w:spacing w:before="0" w:after="200" w:lineRule="auto" w:line="276"/>
      </w:pPr>
      <w:r>
        <w:rPr>
          <w:b/>
        </w:rPr>
        <w:t xml:space="preserve">Abstract (EN): </w:t>
      </w:r>
      <w:r>
        <w:t>Orexin neurons regulate physiological functions, such as energy homeostasis, wakefulness, and motivated behaviors. However, studies linking orexin neuron activity to behavior via selectively activating/inactivating these inputs in a temporally controlled manner in rats are scarce. Here, we examined the role that orexin neurons play in motivated behavior in transgenic rats using cell type–specific fiber photometry and optogenetic manipulation. Using chemogenetics, we found that motivation for a reward increased when orexin neurons were activated. Furthermore, during motivated behavior, orexin neuron activity changed dynamically: Activity increased during reward prediction and decreased after reward receipt. When an unexpected event occurred (i.e., not obtaining an expected reward), increased orexin activity was sustained. Notably, orexin activity strengthened with increasing effort. Optogenetic inhibition of orexin neuron activation during reward prediction and treatment with an orexin 1-receptor antagonist reduced reward-seeking behavior. Therefore, orexin is crucial for linking predicted expectations with motivated behavior. Moreover, optimization of orexin activity is necessary to overcome difficulties during motivated behaviors.</w:t>
      </w:r>
    </w:p>
    <w:p>
      <w:pPr>
        <w:spacing w:before="120" w:after="120"/>
      </w:pPr>
      <w:r>
        <w:rPr>
          <w:sz w:val="18"/>
        </w:rPr>
        <w:t>——————————————————————————————————————————————————————————————————————</w:t>
      </w:r>
    </w:p>
    <w:p>
      <w:pPr>
        <w:spacing w:before="160" w:after="40" w:line="240" w:lineRule="auto"/>
      </w:pPr>
      <w:r>
        <w:rPr>
          <w:b/>
        </w:rPr>
        <w:t xml:space="preserve">[123] </w:t>
      </w:r>
      <w:hyperlink r:id="rId401">
        <w:r>
          <w:rPr>
            <w:color w:val="1155CC"/>
            <w:u w:val="single"/>
          </w:rPr>
          <w:t>当地党派背景和心理健康</w:t>
        </w:r>
      </w:hyperlink>
    </w:p>
    <w:p>
      <w:pPr>
        <w:spacing w:before="0" w:after="80"/>
      </w:pPr>
      <w:r>
        <w:rPr>
          <w:i/>
          <w:sz w:val="20"/>
        </w:rPr>
        <w:t>EN: Local partisan context and mental health</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02">
        <w:r>
          <w:rPr>
            <w:color w:val="1155CC"/>
            <w:u w:val="single"/>
          </w:rPr>
          <w:t>10.1073/pnas.2522718123</w:t>
        </w:r>
      </w:hyperlink>
    </w:p>
    <w:p>
      <w:pPr>
        <w:spacing w:before="0" w:after="120"/>
      </w:pPr>
      <w:r>
        <w:rPr>
          <w:b/>
        </w:rPr>
        <w:t xml:space="preserve">Notes: </w:t>
      </w:r>
      <w:r>
        <w:t>abstract_source=crossref</w:t>
      </w:r>
    </w:p>
    <w:p>
      <w:pPr>
        <w:spacing w:before="0" w:after="80" w:lineRule="auto" w:line="276"/>
      </w:pPr>
      <w:r>
        <w:rPr>
          <w:b/>
        </w:rPr>
        <w:t xml:space="preserve">摘要（ZH）: </w:t>
      </w:r>
      <w:r>
        <w:t>我们发现，相对于居住在共和党人较多的社区的共和党人，居住在民主党居民较多的社区的共和党人的焦虑、抑郁和孤独程度更高。虽然民主党人的心理健康状况总体上比共和党人差，但民主党人对党派背景并不敏感。通过大规模的全国调查和关于居住政治背景的细粒度数据，我们发现，即使在检查居住在同一邮政编码的游击队并控制其他个人和地理特征时，这些模式仍然存在。对于党派倾向最强烈的个人来说，这种相关性最强，这表明政治是这种关系中的一个重要因素。对于共和党人来说，党派背景与心理健康之间的关系大小相当于或大于心理健康报告与居住区其他背景特征之间的相关性，例如社区贫困或少数族裔对当地地理种族或民族构成变化的反应方式。</w:t>
      </w:r>
    </w:p>
    <w:p>
      <w:pPr>
        <w:spacing w:before="0" w:after="200" w:lineRule="auto" w:line="276"/>
      </w:pPr>
      <w:r>
        <w:rPr>
          <w:b/>
        </w:rPr>
        <w:t xml:space="preserve">Abstract (EN): </w:t>
      </w:r>
      <w:r>
        <w:t>We find that, relative to Republicans residing in more Republican neighborhoods, Republicans in neighborhoods with a higher concentration of Democratic residents report higher levels of anxiety, depression, and loneliness. While Democrats in general report worse mental health than Republicans, Democrats show no sensitivity to partisan context. Using a large-scale national survey and fine-grained data on residential political context, we establish that these patterns persist even when examining partisans who live in the same Zip Codes, and while controlling for other individual and geographic features. The correlation is strongest for the most strongly partisan individuals, suggesting that politics is a significant factor in the relationship. For Republicans, the size of the relationship between partisan context and mental health is comparable to or larger than the correlation between mental health reports and other contextual features of residential areas, such as neighborhood poverty or the way racial minorities respond to changes in the racial or ethnic composition of local geography.</w:t>
      </w:r>
    </w:p>
    <w:p>
      <w:pPr>
        <w:spacing w:before="120" w:after="120"/>
      </w:pPr>
      <w:r>
        <w:rPr>
          <w:sz w:val="18"/>
        </w:rPr>
        <w:t>——————————————————————————————————————————————————————————————————————</w:t>
      </w:r>
    </w:p>
    <w:p>
      <w:pPr>
        <w:spacing w:before="160" w:after="40" w:line="240" w:lineRule="auto"/>
      </w:pPr>
      <w:r>
        <w:rPr>
          <w:b/>
        </w:rPr>
        <w:t xml:space="preserve">[124] </w:t>
      </w:r>
      <w:hyperlink r:id="rId403">
        <w:r>
          <w:rPr>
            <w:color w:val="1155CC"/>
            <w:u w:val="single"/>
          </w:rPr>
          <w:t>北极甲烷排放对变暖的观测受限敏感性</w:t>
        </w:r>
      </w:hyperlink>
    </w:p>
    <w:p>
      <w:pPr>
        <w:spacing w:before="0" w:after="80"/>
      </w:pPr>
      <w:r>
        <w:rPr>
          <w:i/>
          <w:sz w:val="20"/>
        </w:rPr>
        <w:t>EN: Observation-constrained sensitivities of Arctic methane emissions to warming</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04">
        <w:r>
          <w:rPr>
            <w:color w:val="1155CC"/>
            <w:u w:val="single"/>
          </w:rPr>
          <w:t>10.1073/pnas.2523274123</w:t>
        </w:r>
      </w:hyperlink>
    </w:p>
    <w:p>
      <w:pPr>
        <w:spacing w:before="0" w:after="120"/>
      </w:pPr>
      <w:r>
        <w:rPr>
          <w:b/>
        </w:rPr>
        <w:t xml:space="preserve">Notes: </w:t>
      </w:r>
      <w:r>
        <w:t>abstract_source=crossref</w:t>
      </w:r>
    </w:p>
    <w:p>
      <w:pPr>
        <w:spacing w:before="0" w:after="80" w:lineRule="auto" w:line="276"/>
      </w:pPr>
      <w:r>
        <w:rPr>
          <w:b/>
        </w:rPr>
        <w:t xml:space="preserve">摘要（ZH）: </w:t>
      </w:r>
      <w:r>
        <w:t>泛北极（北纬 60 至 90°）自然甲烷排放对气候变暖的敏感性缺乏直接的观测限制。甲烷的长期大气测量反映了北极的综合通量和大气传输，表明在泛北极地区，秋季到冬季的甲烷</w:t>
      </w:r>
      <w:r>
        <w:rPr>
          <w:vertAlign w:val="subscript"/>
        </w:rPr>
        <w:t>4</w:t>
      </w:r>
      <w:r>
        <w:t>积累（如“秋季零交叉日期”所示）正在变得越来越早。秋季零交叉日期的这种提前趋势是由自然北极 CH 的增长解释的</w:t>
      </w:r>
      <w:r>
        <w:rPr>
          <w:vertAlign w:val="subscript"/>
        </w:rPr>
        <w:t>4</w:t>
      </w:r>
      <w:r>
        <w:t>7月、8月和9月应对气候变暖的排放量，增幅为0.14±0.04 Tg CH</w:t>
      </w:r>
      <w:r>
        <w:rPr>
          <w:vertAlign w:val="subscript"/>
        </w:rPr>
        <w:t>4</w:t>
      </w:r>
      <w:r>
        <w:t>y</w:t>
      </w:r>
      <w:r>
        <w:t xml:space="preserve"> </w:t>
      </w:r>
      <w:r>
        <w:t>−2</w:t>
      </w:r>
      <w:r>
        <w:t xml:space="preserve"> </w:t>
      </w:r>
      <w:r>
        <w:t>1998年至2020年期间。大气</w:t>
      </w:r>
      <w:r>
        <w:t xml:space="preserve"> </w:t>
      </w:r>
      <w:r>
        <w:t>δ</w:t>
      </w:r>
      <w:r>
        <w:rPr>
          <w:vertAlign w:val="subscript"/>
        </w:rPr>
        <w:t>13</w:t>
      </w:r>
      <w:r>
        <w:t>C</w:t>
      </w:r>
      <w:r>
        <w:t xml:space="preserve"> </w:t>
      </w:r>
      <w:r>
        <w:t>甲烷</w:t>
      </w:r>
      <w:r>
        <w:t xml:space="preserve"> </w:t>
      </w:r>
      <w:r>
        <w:t>观察记录使我们能够将这种增加归因于 0.08 ± 0.02 Tg CH</w:t>
      </w:r>
      <w:r>
        <w:rPr>
          <w:vertAlign w:val="subscript"/>
        </w:rPr>
        <w:t>4</w:t>
      </w:r>
      <w:r>
        <w:t>y</w:t>
      </w:r>
      <w:r>
        <w:t xml:space="preserve"> </w:t>
      </w:r>
      <w:r>
        <w:t>−2</w:t>
      </w:r>
      <w:r>
        <w:t xml:space="preserve"> </w:t>
      </w:r>
      <w:r>
        <w:t>来自自然生物排放（湿地、湖泊、永久冻土）和 0.06 ± 0.02 Tg CH</w:t>
      </w:r>
      <w:r>
        <w:rPr>
          <w:vertAlign w:val="subscript"/>
        </w:rPr>
        <w:t>4</w:t>
      </w:r>
      <w:r>
        <w:t>y</w:t>
      </w:r>
      <w:r>
        <w:t xml:space="preserve"> </w:t>
      </w:r>
      <w:r>
        <w:t>−2</w:t>
      </w:r>
      <w:r>
        <w:t xml:space="preserve"> </w:t>
      </w:r>
      <w:r>
        <w:t>来自野火排放。我们的结果表明自然排放对变暖的敏感性更大（3.1 ± 0.9 Tg CH</w:t>
      </w:r>
      <w:r>
        <w:rPr>
          <w:vertAlign w:val="subscript"/>
        </w:rPr>
        <w:t>4</w:t>
      </w:r>
      <w:r>
        <w:t>y</w:t>
      </w:r>
      <w:r>
        <w:t xml:space="preserve"> </w:t>
      </w:r>
      <w:r>
        <w:t>−1</w:t>
      </w:r>
      <w:r>
        <w:t xml:space="preserve"> </w:t>
      </w:r>
      <w:r>
        <w:t>每°C）比之前的估计要高，并且可能对气候变暖产生更大的积极反馈。</w:t>
      </w:r>
    </w:p>
    <w:p>
      <w:pPr>
        <w:spacing w:before="0" w:after="200" w:lineRule="auto" w:line="276"/>
      </w:pPr>
      <w:r>
        <w:rPr>
          <w:b/>
        </w:rPr>
        <w:t xml:space="preserve">Abstract (EN): </w:t>
      </w:r>
      <w:r>
        <w:t>The sensitivity of pan-Arctic (60 to 90°N) natural methane emissions to climate warming lacks direct observational constraints. Long-term atmospheric measurements of methane, which reflect integrated Arctic fluxes and atmospheric transport, show that in the pan-Arctic the autumn-to-winter CH</w:t>
      </w:r>
      <w:r>
        <w:rPr>
          <w:vertAlign w:val="subscript"/>
        </w:rPr>
        <w:t>4</w:t>
      </w:r>
      <w:r>
        <w:t>build-up (as indicated by the “autumn zero crossing date”) is becoming earlier. This advancing trend in autumn zero crossing date is explained by growing natural Arctic CH</w:t>
      </w:r>
      <w:r>
        <w:rPr>
          <w:vertAlign w:val="subscript"/>
        </w:rPr>
        <w:t>4</w:t>
      </w:r>
      <w:r>
        <w:t>emissions in response to climate warming in July, August and September, with a rate of increase of 0.14 ± 0.04 Tg CH</w:t>
      </w:r>
      <w:r>
        <w:rPr>
          <w:vertAlign w:val="subscript"/>
        </w:rPr>
        <w:t>4</w:t>
      </w:r>
      <w:r>
        <w:t>y</w:t>
      </w:r>
      <w:r>
        <w:t xml:space="preserve"> </w:t>
      </w:r>
      <w:r>
        <w:t>−2</w:t>
      </w:r>
      <w:r>
        <w:t xml:space="preserve"> </w:t>
      </w:r>
      <w:r>
        <w:t>during the period 1998–2020. Atmospheric</w:t>
      </w:r>
      <w:r>
        <w:t xml:space="preserve"> </w:t>
      </w:r>
      <w:r>
        <w:t>δ</w:t>
      </w:r>
      <w:r>
        <w:rPr>
          <w:vertAlign w:val="subscript"/>
        </w:rPr>
        <w:t>13</w:t>
      </w:r>
      <w:r>
        <w:t>C</w:t>
      </w:r>
      <w:r>
        <w:t xml:space="preserve"> </w:t>
      </w:r>
      <w:r>
        <w:t>CH4</w:t>
      </w:r>
      <w:r>
        <w:t xml:space="preserve"> </w:t>
      </w:r>
      <w:r>
        <w:t>observational records allowed us to attribute this increase to 0.08 ± 0.02 Tg CH</w:t>
      </w:r>
      <w:r>
        <w:rPr>
          <w:vertAlign w:val="subscript"/>
        </w:rPr>
        <w:t>4</w:t>
      </w:r>
      <w:r>
        <w:t>y</w:t>
      </w:r>
      <w:r>
        <w:t xml:space="preserve"> </w:t>
      </w:r>
      <w:r>
        <w:t>−2</w:t>
      </w:r>
      <w:r>
        <w:t xml:space="preserve"> </w:t>
      </w:r>
      <w:r>
        <w:t>from natural biogenic emissions (wetlands, lakes, permafrost soils) and 0.06 ± 0.02 Tg CH</w:t>
      </w:r>
      <w:r>
        <w:rPr>
          <w:vertAlign w:val="subscript"/>
        </w:rPr>
        <w:t>4</w:t>
      </w:r>
      <w:r>
        <w:t>y</w:t>
      </w:r>
      <w:r>
        <w:t xml:space="preserve"> </w:t>
      </w:r>
      <w:r>
        <w:t>−2</w:t>
      </w:r>
      <w:r>
        <w:t xml:space="preserve"> </w:t>
      </w:r>
      <w:r>
        <w:t>from wildfire emissions. Our results point to a larger warming sensitivity of natural emissions (3.1 ± 0.9 Tg CH</w:t>
      </w:r>
      <w:r>
        <w:rPr>
          <w:vertAlign w:val="subscript"/>
        </w:rPr>
        <w:t>4</w:t>
      </w:r>
      <w:r>
        <w:t>y</w:t>
      </w:r>
      <w:r>
        <w:t xml:space="preserve"> </w:t>
      </w:r>
      <w:r>
        <w:t>−1</w:t>
      </w:r>
      <w:r>
        <w:t xml:space="preserve"> </w:t>
      </w:r>
      <w:r>
        <w:t>per °C) than previous estimates, and potentially a larger positive feedback on climate warming.</w:t>
      </w:r>
    </w:p>
    <w:p>
      <w:pPr>
        <w:spacing w:before="120" w:after="120"/>
      </w:pPr>
      <w:r>
        <w:rPr>
          <w:sz w:val="18"/>
        </w:rPr>
        <w:t>——————————————————————————————————————————————————————————————————————</w:t>
      </w:r>
    </w:p>
    <w:p>
      <w:pPr>
        <w:spacing w:before="160" w:after="40" w:line="240" w:lineRule="auto"/>
      </w:pPr>
      <w:r>
        <w:rPr>
          <w:b/>
        </w:rPr>
        <w:t xml:space="preserve">[125] </w:t>
      </w:r>
      <w:hyperlink r:id="rId405">
        <w:r>
          <w:rPr>
            <w:color w:val="1155CC"/>
            <w:u w:val="single"/>
          </w:rPr>
          <w:t>在高度多样化的经验基础上构建全球昆虫物种数量的下限估计</w:t>
        </w:r>
      </w:hyperlink>
    </w:p>
    <w:p>
      <w:pPr>
        <w:spacing w:before="0" w:after="80"/>
      </w:pPr>
      <w:r>
        <w:rPr>
          <w:i/>
          <w:sz w:val="20"/>
        </w:rPr>
        <w:t>EN: Constructing a lower-bound estimate of the global number of insect species on a hyperdiverse empirical foundation</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06">
        <w:r>
          <w:rPr>
            <w:color w:val="1155CC"/>
            <w:u w:val="single"/>
          </w:rPr>
          <w:t>10.1073/pnas.2524283123</w:t>
        </w:r>
      </w:hyperlink>
    </w:p>
    <w:p>
      <w:pPr>
        <w:spacing w:before="0" w:after="120"/>
      </w:pPr>
      <w:r>
        <w:rPr>
          <w:b/>
        </w:rPr>
        <w:t xml:space="preserve">Notes: </w:t>
      </w:r>
      <w:r>
        <w:t>abstract_source=crossref</w:t>
      </w:r>
    </w:p>
    <w:p>
      <w:pPr>
        <w:spacing w:before="0" w:after="80" w:lineRule="auto" w:line="276"/>
      </w:pPr>
      <w:r>
        <w:rPr>
          <w:b/>
        </w:rPr>
        <w:t xml:space="preserve">摘要（ZH）: </w:t>
      </w:r>
      <w:r>
        <w:t>估计地球上昆虫物种的数量是一项艰巨的挑战。正如我们将要展示的那样，目前的共识估计——大约六百万种——可能太低了。我们对全球昆虫物种数量的估计基于超过 1,600,000 个 DNA 条形码昆虫样本样本，这些样本代表来自哥斯达黎加瓜纳卡斯特保护区 (ACG) 干燥林、云林和雨林生态系统中部署的 15 个“核心”不适诱捕器的 53,945 个物种。即使如此大量的样本也无法揭示 ACG 昆虫物种丰富度的全部范围。为了估计 ACG 昆虫的总丰富度，我们通过针对寄生蜂（茧科：小腹亚科）的高度多样化亚科计算的“欠采样比”来调整观察到的昆虫物种数量。该比率将核心 Malaise 陷阱的小胃动物丰富度与真实小胃动物丰富度（包括未检测到的物种）的下限估计进行了比较，该估计值基于来自三个来源的 21,669 个样本：15 个核心 Malaise 陷阱、跨越所有三个生态系统的 15 个“外围”Malaise 陷阱以及从约 1,500 个物种饲养的 11,373 个 DNA 条形码样本。小胃寄生毛毛虫（鳞翅目）。为了估计全球昆虫丰富度，我们应用树种和几个动物类群的地球/ACG 比率来扩大我们对 ACG 昆虫丰富度的估计（近 333,000 种）。采用保守的假设，我们估计地球上有 14 至 2000 万种昆虫，具体取决于升级组，是当前共识估计的两到三倍。从 ACG 丰富度机智的点估计进行升级</w:t>
      </w:r>
    </w:p>
    <w:p>
      <w:pPr>
        <w:spacing w:before="0" w:after="200" w:lineRule="auto" w:line="276"/>
      </w:pPr>
      <w:r>
        <w:rPr>
          <w:b/>
        </w:rPr>
        <w:t xml:space="preserve">Abstract (EN): </w:t>
      </w:r>
      <w:r>
        <w:t>Estimating the number of insect species on Earth is a daunting challenge. The current consensus estimate—about six million species—is likely far too low, as we will show. Our estimate of the global number of insect species rests on a sample of more than 1,600,000 DNA-barcoded insect specimens representing 53,945 species from 15 “core” Malaise traps deployed in dry forest, cloud forest, and rainforest ecosystems of the Área de Conservación Guanacaste (ACG) in Costa Rica. Even this massive sample fails to reveal the full extent of ACG insect species richness. To estimate total ACG insect richness, we adjust the observed count of insect species by an “undersampling ratio,” computed for a hyperdiverse subfamily of parasitoid wasps (Braconidae: Microgastrinae). The ratio compares microgastrine richness from the core Malaise traps to a lower-bound estimate of true microgastrine richness—including undetected species—based on 21,669 specimens from three sources: the 15 core Malaise traps, 15 “peripheral” Malaise traps spanning all three ecosystems, and 11,373 DNA-barcoded specimens reared from some 1,500 species of microgastrine-parasitized caterpillars (Lepidoptera). To estimate global insect richness, we apply Earth/ACG ratios for tree species and several animal taxa to upscale our estimate of ACG insect richness (nearly 333,000 species). Adopting conservative assumptions, we reach an estimate of 14 to 20 million insect species on Earth, depending on the upscaling group—two to three times the current consensus estimates. Upscaling instead from a point estimate of ACG richness with a wide CI, global estimates reach nearly 30 million species.</w:t>
      </w:r>
    </w:p>
    <w:p>
      <w:pPr>
        <w:spacing w:before="120" w:after="120"/>
      </w:pPr>
      <w:r>
        <w:rPr>
          <w:sz w:val="18"/>
        </w:rPr>
        <w:t>——————————————————————————————————————————————————————————————————————</w:t>
      </w:r>
    </w:p>
    <w:p>
      <w:pPr>
        <w:spacing w:before="160" w:after="40" w:line="240" w:lineRule="auto"/>
      </w:pPr>
      <w:r>
        <w:rPr>
          <w:b/>
        </w:rPr>
        <w:t xml:space="preserve">[126] </w:t>
      </w:r>
      <w:hyperlink r:id="rId407">
        <w:r>
          <w:rPr>
            <w:color w:val="1155CC"/>
            <w:u w:val="single"/>
          </w:rPr>
          <w:t>Junctophilin-2-协调的钙信号体调节棕色脂肪细胞产热和能量代谢</w:t>
        </w:r>
      </w:hyperlink>
    </w:p>
    <w:p>
      <w:pPr>
        <w:spacing w:before="0" w:after="80"/>
      </w:pPr>
      <w:r>
        <w:rPr>
          <w:i/>
          <w:sz w:val="20"/>
        </w:rPr>
        <w:t>EN: Junctophilin-2-orchestrated calcium signalosome regulates brown adipocyte thermogenesis and energy metabolism</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08">
        <w:r>
          <w:rPr>
            <w:color w:val="1155CC"/>
            <w:u w:val="single"/>
          </w:rPr>
          <w:t>10.1073/pnas.2524943123</w:t>
        </w:r>
      </w:hyperlink>
    </w:p>
    <w:p>
      <w:pPr>
        <w:spacing w:before="0" w:after="120"/>
      </w:pPr>
      <w:r>
        <w:rPr>
          <w:b/>
        </w:rPr>
        <w:t xml:space="preserve">Notes: </w:t>
      </w:r>
      <w:r>
        <w:t>abstract_source=crossref</w:t>
      </w:r>
    </w:p>
    <w:p>
      <w:pPr>
        <w:spacing w:before="0" w:after="80" w:lineRule="auto" w:line="276"/>
      </w:pPr>
      <w:r>
        <w:rPr>
          <w:b/>
        </w:rPr>
        <w:t xml:space="preserve">摘要（ZH）: </w:t>
      </w:r>
      <w:r>
        <w:t>脂肪细胞钙处理功能失调与肥胖和产热有关。亲结蛋白 (JP) 稳定质膜和内质网之间的钙微结构域连接，但脂肪细胞功能是否需要 JP 尚不清楚。我们发现，相对于其他脂肪库，JP2 在产热棕色脂肪组织 (BAT) 中富集，并且在营养过剩的条件下下调。有条件地敲低脂肪细胞中的 JP2，并且更有选择性地敲低 BAT 中的 JP2，会加剧寒冷不耐受和对饮食引起的肥胖的易感性。从机制上讲，JP2耗尽的棕色脂肪细胞表现出钙处理功能障碍，基线时胞浆钙水平升高，但去甲肾上腺素诱导的钙瞬变减少，钙池操纵的钙进入减少。基础胞质钙超载导致 JP2 耗尽的细胞中钙蛋白酶激活增加，并随后下调 STIM1 和激素敏感脂肪酶。此外，棕色脂肪细胞中 JP2 沉默会降低耗氧率并损害线粒体结构和质量。总之，这些发现表明 JP2 对于棕色脂肪细胞中正常的钙稳态至关重要，并揭示了 JP2 在产热和抵抗饮食引起的代谢失调方面的关键作用。</w:t>
      </w:r>
    </w:p>
    <w:p>
      <w:pPr>
        <w:spacing w:before="0" w:after="200" w:lineRule="auto" w:line="276"/>
      </w:pPr>
      <w:r>
        <w:rPr>
          <w:b/>
        </w:rPr>
        <w:t xml:space="preserve">Abstract (EN): </w:t>
      </w:r>
      <w:r>
        <w:t>Dysfunctional adipocyte calcium handling is implicated in obesity and thermogenesis. Junctophilins (JPs) stabilize calcium microdomain junctions between the plasma membrane and endoplasmic reticulum, but whether JPs are required for adipocyte function is not known. We show that JP2 is enriched in thermogenic brown adipose tissue (BAT) relative to other fat depots and is downregulated under conditions of nutrient overload. Conditional knockdown of JP2 in adipocytes, and more selectively in BAT, exacerbates cold intolerance and susceptibility to diet induced obesity. Mechanistically, JP2-depleted brown adipocytes exhibit calcium handling dysfunction with elevated cytosolic calcium levels at baseline but diminished norepinephrine-induced calcium transients, reduced store-operated calcium entry. Basal cytosolic calcium overload accounts for an increase in calpain activation and ensuing downregulation of STIM1 and hormone-sensitive lipase in JP2-depleted cells. Furthermore, JP2 silencing in brown adipocytes reduced oxygen consumption rates and compromised mitochondrial structure and quality. Together, these findings demonstrate that JP2 is essential for normal calcium homeostasis in brown adipocytes and reveal a critical role for JP2 in thermogenesis and resistance to diet-induced metabolic dysregulation.</w:t>
      </w:r>
    </w:p>
    <w:p>
      <w:pPr>
        <w:spacing w:before="120" w:after="120"/>
      </w:pPr>
      <w:r>
        <w:rPr>
          <w:sz w:val="18"/>
        </w:rPr>
        <w:t>——————————————————————————————————————————————————————————————————————</w:t>
      </w:r>
    </w:p>
    <w:p>
      <w:pPr>
        <w:spacing w:before="160" w:after="40" w:line="240" w:lineRule="auto"/>
      </w:pPr>
      <w:r>
        <w:rPr>
          <w:b/>
        </w:rPr>
        <w:t xml:space="preserve">[127] </w:t>
      </w:r>
      <w:hyperlink r:id="rId409">
        <w:r>
          <w:rPr>
            <w:color w:val="1155CC"/>
            <w:u w:val="single"/>
          </w:rPr>
          <w:t>纠正米什拉的观点，生态学尚未为人工智能做好准备——以及为什么这很重要</w:t>
        </w:r>
      </w:hyperlink>
    </w:p>
    <w:p>
      <w:pPr>
        <w:spacing w:before="0" w:after="80"/>
      </w:pPr>
      <w:r>
        <w:rPr>
          <w:i/>
          <w:sz w:val="20"/>
        </w:rPr>
        <w:t>EN: Correction for Mishra, Ecology is not yet ready for AI—and why that matters</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10">
        <w:r>
          <w:rPr>
            <w:color w:val="1155CC"/>
            <w:u w:val="single"/>
          </w:rPr>
          <w:t>10.1073/pnas.2619590123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[128] </w:t>
      </w:r>
      <w:hyperlink r:id="rId411">
        <w:r>
          <w:rPr>
            <w:color w:val="1155CC"/>
            <w:u w:val="single"/>
          </w:rPr>
          <w:t>布鲁顿酪氨酸激酶膜招募和激活的两步机制</w:t>
        </w:r>
      </w:hyperlink>
    </w:p>
    <w:p>
      <w:pPr>
        <w:spacing w:before="0" w:after="80"/>
      </w:pPr>
      <w:r>
        <w:rPr>
          <w:i/>
          <w:sz w:val="20"/>
        </w:rPr>
        <w:t>EN: Two-step mechanism of Bruton’s tyrosine kinase membrane recruitment and activation</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12">
        <w:r>
          <w:rPr>
            <w:color w:val="1155CC"/>
            <w:u w:val="single"/>
          </w:rPr>
          <w:t>10.1073/pnas.2528109123</w:t>
        </w:r>
      </w:hyperlink>
    </w:p>
    <w:p>
      <w:pPr>
        <w:spacing w:before="0" w:after="120"/>
      </w:pPr>
      <w:r>
        <w:rPr>
          <w:b/>
        </w:rPr>
        <w:t xml:space="preserve">Notes: </w:t>
      </w:r>
      <w:r>
        <w:t>abstract_source=crossref</w:t>
      </w:r>
    </w:p>
    <w:p>
      <w:pPr>
        <w:spacing w:before="0" w:after="80" w:lineRule="auto" w:line="276"/>
      </w:pPr>
      <w:r>
        <w:rPr>
          <w:b/>
        </w:rPr>
        <w:t xml:space="preserve">摘要（ZH）: </w:t>
      </w:r>
      <w:r>
        <w:t>外周膜蛋白 (PMP) 是细胞表面启动的信号级联的关键介质。它们的功能取决于它们与膜动态相互作用以响应不断变化的细胞条件的先天能力。这种膜募集可以通过与特定脂质/蛋白质的高亲和力相互作用或通过与膜的瞬时、低亲和力相互作用来发生。这些弱而动态的相互作用是 PMP 功能的关键调节因子，但捕捉起来具有挑战性。以 Bruton 酪氨酸激酶 (BTK)（一种 B 细胞激活所必需的非受体酪氨酸激酶）为例，我们展示了一个天然质谱平台，通过直接从针对目标膜定制的脂质双层进行研究，来了解脂质介导的 PMP 募集。我们的数据表明，BTK 独立于磷脂酰肌醇 (3, 4, 5) 磷酸盐 (PIP) 识别磷脂酰丝氨酸 (PS)</w:t>
      </w:r>
      <w:r>
        <w:rPr>
          <w:vertAlign w:val="subscript"/>
        </w:rPr>
        <w:t>3</w:t>
      </w:r>
      <w:r>
        <w:t>) 绑定。我们证明 PS 绑定的 BTK 保留了 PIP</w:t>
      </w:r>
      <w:r>
        <w:rPr>
          <w:vertAlign w:val="subscript"/>
        </w:rPr>
        <w:t>3</w:t>
      </w:r>
      <w:r>
        <w:t>通过高亲和力位点结合，同时表现出 PIP</w:t>
      </w:r>
      <w:r>
        <w:rPr>
          <w:vertAlign w:val="subscript"/>
        </w:rPr>
        <w:t>3</w:t>
      </w:r>
      <w:r>
        <w:t>-独立的基底膜募集。生化测定表明，这种 PS 介导的募集使 BTK 对 PIP 敏感</w:t>
      </w:r>
      <w:r>
        <w:rPr>
          <w:vertAlign w:val="subscript"/>
        </w:rPr>
        <w:t>3</w:t>
      </w:r>
      <w:r>
        <w:t>- 近生理 PIP 介导的激活</w:t>
      </w:r>
      <w:r>
        <w:rPr>
          <w:vertAlign w:val="subscript"/>
        </w:rPr>
        <w:t>3</w:t>
      </w:r>
      <w:r>
        <w:t>浓度。因此，我们提出了 BTK 膜招募和激活的两步模型。与高拷贝数 PS 的低亲和力相互作用使得 BTK 和 incr 能够在质膜上募集</w:t>
      </w:r>
    </w:p>
    <w:p>
      <w:pPr>
        <w:spacing w:before="0" w:after="200" w:lineRule="auto" w:line="276"/>
      </w:pPr>
      <w:r>
        <w:rPr>
          <w:b/>
        </w:rPr>
        <w:t xml:space="preserve">Abstract (EN): </w:t>
      </w:r>
      <w:r>
        <w:t>Peripheral membrane proteins (PMPs) are critical mediators of signaling cascades initiated at the cell surface. Their functions depend on their innate ability to interact dynamically with membranes in response to changing cellular conditions. This membrane recruitment may occur via high-affinity interactions with specific lipids/proteins or via transient, low-affinity interactions with the membrane. These weak and dynamic interactions, which are critical regulators of PMP function, are challenging to capture. Taking Bruton’s tyrosine kinase (BTK), a nonreceptor tyrosine kinase essential for B cell activation, we demonstrate a native mass spectrometry platform to understand lipid-mediated recruitment of PMPs by directly studying it from lipid bilayers customized to target membranes. Our data demonstrate that BTK recognizes phosphatidylserine (PS) independently of phosphatidylinositol (3, 4, 5) phosphate (PIP</w:t>
      </w:r>
      <w:r>
        <w:rPr>
          <w:vertAlign w:val="subscript"/>
        </w:rPr>
        <w:t>3</w:t>
      </w:r>
      <w:r>
        <w:t>) binding. We show that PS-bound BTK retains PIP</w:t>
      </w:r>
      <w:r>
        <w:rPr>
          <w:vertAlign w:val="subscript"/>
        </w:rPr>
        <w:t>3</w:t>
      </w:r>
      <w:r>
        <w:t>binding via high-affinity sites, while exhibiting PIP</w:t>
      </w:r>
      <w:r>
        <w:rPr>
          <w:vertAlign w:val="subscript"/>
        </w:rPr>
        <w:t>3</w:t>
      </w:r>
      <w:r>
        <w:t>-independent basal membrane recruitment. Biochemical assays show that this PS-mediated recruitment sensitizes BTK to PIP</w:t>
      </w:r>
      <w:r>
        <w:rPr>
          <w:vertAlign w:val="subscript"/>
        </w:rPr>
        <w:t>3</w:t>
      </w:r>
      <w:r>
        <w:t>-mediated activation at near-physiological PIP</w:t>
      </w:r>
      <w:r>
        <w:rPr>
          <w:vertAlign w:val="subscript"/>
        </w:rPr>
        <w:t>3</w:t>
      </w:r>
      <w:r>
        <w:t>concentrations. Thus, we propose a two-step model for BTK membrane recruitment and activation. A low-affinity interaction with high-copy number PS enables plasma membrane recruitment of BTK and increases its membrane-bound concentration. Upon B cell activation, this prerecruited, membrane-bound BTK population localizes to PIP</w:t>
      </w:r>
      <w:r>
        <w:rPr>
          <w:vertAlign w:val="subscript"/>
        </w:rPr>
        <w:t>3</w:t>
      </w:r>
      <w:r>
        <w:t>-rich domains via electrostatic gliding along the membrane, driven by low-affinity PS and high-affinity PIP</w:t>
      </w:r>
      <w:r>
        <w:rPr>
          <w:vertAlign w:val="subscript"/>
        </w:rPr>
        <w:t>3</w:t>
      </w:r>
      <w:r>
        <w:t>binding. This indicates a cooperative mechanism in which PS can amplify B cell signaling by increasing membrane-bound BTK levels. Our work demonstrates a general model of regulation of PH domain–containing proteins by weak protein–lipid interactions, which can be extended to other PMPs.</w:t>
      </w:r>
    </w:p>
    <w:p>
      <w:pPr>
        <w:spacing w:before="120" w:after="120"/>
      </w:pPr>
      <w:r>
        <w:rPr>
          <w:sz w:val="18"/>
        </w:rPr>
        <w:t>——————————————————————————————————————————————————————————————————————</w:t>
      </w:r>
    </w:p>
    <w:p>
      <w:pPr>
        <w:spacing w:before="160" w:after="40" w:line="240" w:lineRule="auto"/>
      </w:pPr>
      <w:r>
        <w:rPr>
          <w:b/>
        </w:rPr>
        <w:t xml:space="preserve">[129] </w:t>
      </w:r>
      <w:hyperlink r:id="rId413">
        <w:r>
          <w:rPr>
            <w:color w:val="1155CC"/>
            <w:u w:val="single"/>
          </w:rPr>
          <w:t>重置时钟无法保持时间：热叠印掩盖了华北大不整合面的起源</w:t>
        </w:r>
      </w:hyperlink>
    </w:p>
    <w:p>
      <w:pPr>
        <w:spacing w:before="0" w:after="80"/>
      </w:pPr>
      <w:r>
        <w:rPr>
          <w:i/>
          <w:sz w:val="20"/>
        </w:rPr>
        <w:t>EN: A reset clock cannot keep time: Thermal overprinting obscures Great Unconformity origins in North China</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14">
        <w:r>
          <w:rPr>
            <w:color w:val="1155CC"/>
            <w:u w:val="single"/>
          </w:rPr>
          <w:t>10.1073/pnas.2616023123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[130] </w:t>
      </w:r>
      <w:hyperlink r:id="rId415">
        <w:r>
          <w:rPr>
            <w:color w:val="1155CC"/>
            <w:u w:val="single"/>
          </w:rPr>
          <w:t>石炭纪放线鱼的神经组织和软骨特征</w:t>
        </w:r>
      </w:hyperlink>
    </w:p>
    <w:p>
      <w:pPr>
        <w:spacing w:before="0" w:after="80"/>
      </w:pPr>
      <w:r>
        <w:rPr>
          <w:i/>
          <w:sz w:val="20"/>
        </w:rPr>
        <w:t>EN: Neural tissues and chondrostean traits in a Carboniferous actinopterygian</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16">
        <w:r>
          <w:rPr>
            <w:color w:val="1155CC"/>
            <w:u w:val="single"/>
          </w:rPr>
          <w:t>10.1073/pnas.2610438123</w:t>
        </w:r>
      </w:hyperlink>
    </w:p>
    <w:p>
      <w:pPr>
        <w:spacing w:before="0" w:after="120"/>
      </w:pPr>
      <w:r>
        <w:rPr>
          <w:b/>
        </w:rPr>
        <w:t xml:space="preserve">Notes: </w:t>
      </w:r>
      <w:r>
        <w:t>abstract_source=crossref</w:t>
      </w:r>
    </w:p>
    <w:p>
      <w:pPr>
        <w:spacing w:before="0" w:after="80" w:lineRule="auto" w:line="276"/>
      </w:pPr>
      <w:r>
        <w:rPr>
          <w:b/>
        </w:rPr>
        <w:t xml:space="preserve">摘要（ZH）: </w:t>
      </w:r>
      <w:r>
        <w:t>射线鳍鱼（Actinopterygii）占现存脊椎动物物种的一半以上，但它们的早期进化历史很大程度上尚未解决。目前的系统发育估计，通过保存的神经组织的发现得到证实，将大多数古生代放线鱼置于冠群之外，并使现存主要部门的深根不再发育。此外，早期鱼类的明显大脑化石相对于颅内腔空间来说是很小的，这意味着内铸体不能很好地指示神经解剖学的总体形态。在这里，通过 X 射线微型计算机断层扫描观察了早期放线鱼</w:t>
      </w:r>
      <w:r>
        <w:t xml:space="preserve"> </w:t>
      </w:r>
      <w:r>
        <w:t>Trawdenia planti,</w:t>
      </w:r>
      <w:r>
        <w:t xml:space="preserve"> </w:t>
      </w:r>
      <w:r>
        <w:t>我们展示了意想不到的神经颅和神经软组织形态，表明有一个大的大脑紧贴在颅内。我们发现心室内部结构，提出神经组织保存模型，识别神经解剖学特征，并证明内铸捕获系统发育和生态信息信号。这些数据表明</w:t>
      </w:r>
      <w:r>
        <w:t xml:space="preserve"> </w:t>
      </w:r>
      <w:r>
        <w:t>特劳登尼亚</w:t>
      </w:r>
      <w:r>
        <w:t xml:space="preserve"> </w:t>
      </w:r>
      <w:r>
        <w:t>弥合了早期放线鱼和现代软骨鱼之间的差距，从而为理解早期放线鱼神经进化提供了一个替代框架，该框架与当前的系统发育假设完全不同。</w:t>
      </w:r>
    </w:p>
    <w:p>
      <w:pPr>
        <w:spacing w:before="0" w:after="200" w:lineRule="auto" w:line="276"/>
      </w:pPr>
      <w:r>
        <w:rPr>
          <w:b/>
        </w:rPr>
        <w:t xml:space="preserve">Abstract (EN): </w:t>
      </w:r>
      <w:r>
        <w:t>Ray-finned fishes (Actinopterygii) represent over half of extant vertebrate species, but their early evolutionary history is largely unresolved. Current phylogenetic estimates, corroborated by discoveries of preserved neural tissues, place most Palaeozoic actinopterygians outside the crown group and leave the deep roots of major extant divisions depauperate. Moreover, apparent fossil brains in early fishes are minuscule relative to endocranial chamber space, implying that endocasts are poor indicators of neuroanatomical gross morphology. Here, through X-ray micro-computed tomography of the early actinopterygian</w:t>
      </w:r>
      <w:r>
        <w:t xml:space="preserve"> </w:t>
      </w:r>
      <w:r>
        <w:t>Trawdenia planti,</w:t>
      </w:r>
      <w:r>
        <w:t xml:space="preserve"> </w:t>
      </w:r>
      <w:r>
        <w:t>we show unexpected neurocranial and neural soft tissue morphology indicative of a large brain fitting snugly within the endocranium. We find internal ventricular structures, present a model of neural tissue preservation, identify neuroanatomical characters, and demonstrate that endocasts capture phylogenetically and ecologically informative signal. These data suggest that</w:t>
      </w:r>
      <w:r>
        <w:t xml:space="preserve"> </w:t>
      </w:r>
      <w:r>
        <w:t>Trawdenia</w:t>
      </w:r>
      <w:r>
        <w:t xml:space="preserve"> </w:t>
      </w:r>
      <w:r>
        <w:t>bridges the gap between early actinopterygians and modern Chondrostei, thereby offering an alternative framework for understanding early actinopterygian neural evolution that departs radically from current phylogenetic hypotheses.</w:t>
      </w:r>
    </w:p>
    <w:p>
      <w:pPr>
        <w:spacing w:before="120" w:after="120"/>
      </w:pPr>
      <w:r>
        <w:rPr>
          <w:sz w:val="18"/>
        </w:rPr>
        <w:t>——————————————————————————————————————————————————————————————————————</w:t>
      </w:r>
    </w:p>
    <w:p>
      <w:pPr>
        <w:spacing w:before="160" w:after="40" w:line="240" w:lineRule="auto"/>
      </w:pPr>
      <w:r>
        <w:rPr>
          <w:b/>
        </w:rPr>
        <w:t xml:space="preserve">[131] </w:t>
      </w:r>
      <w:hyperlink r:id="rId417">
        <w:r>
          <w:rPr>
            <w:color w:val="1155CC"/>
            <w:u w:val="single"/>
          </w:rPr>
          <w:t>对 Kristal 等人的更正，在开始与结束时签名并不会减少不诚实行为</w:t>
        </w:r>
      </w:hyperlink>
    </w:p>
    <w:p>
      <w:pPr>
        <w:spacing w:before="0" w:after="80"/>
      </w:pPr>
      <w:r>
        <w:rPr>
          <w:i/>
          <w:sz w:val="20"/>
        </w:rPr>
        <w:t>EN: Correction for Kristal et al., Signing at the beginning versus at the end does not decrease dishonesty</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18">
        <w:r>
          <w:rPr>
            <w:color w:val="1155CC"/>
            <w:u w:val="single"/>
          </w:rPr>
          <w:t>10.1073/pnas.2610441123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[132] </w:t>
      </w:r>
      <w:hyperlink r:id="rId419">
        <w:r>
          <w:rPr>
            <w:color w:val="1155CC"/>
            <w:u w:val="single"/>
          </w:rPr>
          <w:t>规定的火灾不太可能减少大多数地点的 PM2.5 净排放量</w:t>
        </w:r>
      </w:hyperlink>
    </w:p>
    <w:p>
      <w:pPr>
        <w:spacing w:before="0" w:after="80"/>
      </w:pPr>
      <w:r>
        <w:rPr>
          <w:i/>
          <w:sz w:val="20"/>
        </w:rPr>
        <w:t>EN: Prescribed fire is unlikely to reduce net PM2.5 emissions in most locations</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20">
        <w:r>
          <w:rPr>
            <w:color w:val="1155CC"/>
            <w:u w:val="single"/>
          </w:rPr>
          <w:t>10.1073/pnas.2613722123</w:t>
        </w:r>
      </w:hyperlink>
    </w:p>
    <w:p>
      <w:pPr>
        <w:spacing w:before="0" w:after="120"/>
      </w:pPr>
      <w:r>
        <w:rPr>
          <w:b/>
        </w:rPr>
        <w:t xml:space="preserve">Notes: </w:t>
      </w:r>
      <w:r>
        <w:t>abstract_source=crossref</w:t>
      </w:r>
    </w:p>
    <w:p>
      <w:pPr>
        <w:spacing w:before="0" w:after="80" w:lineRule="auto" w:line="276"/>
      </w:pPr>
      <w:r>
        <w:rPr>
          <w:b/>
        </w:rPr>
        <w:t xml:space="preserve">摘要（ZH）: </w:t>
      </w:r>
      <w:r>
        <w:t>野火烟雾对全球健康构成日益严重的风险，主要来自细颗粒物 (PM</w:t>
      </w:r>
      <w:r>
        <w:t xml:space="preserve"> </w:t>
      </w:r>
      <w:r>
        <w:t>2.5</w:t>
      </w:r>
      <w:r>
        <w:t xml:space="preserve"> </w:t>
      </w:r>
      <w:r>
        <w:t>）排放。规定的火灾对于维持许多地方的森林恢复能力至关重要，也可以减少随后燃烧的处理区域的野火排放。然而，规定的火灾也会产生烟雾，从而权衡其对 PM 的净影响</w:t>
      </w:r>
      <w:r>
        <w:t xml:space="preserve"> </w:t>
      </w:r>
      <w:r>
        <w:t>2.5</w:t>
      </w:r>
      <w:r>
        <w:t xml:space="preserve"> </w:t>
      </w:r>
      <w:r>
        <w:t>排放。我们开发了一个数学框架，表明在全球大多数当前情况下，规定的火灾排放量很少会被野火排放量的减少所抵消，因此会增加PM2.5</w:t>
      </w:r>
      <w:r>
        <w:t xml:space="preserve"> </w:t>
      </w:r>
      <w:r>
        <w:t>2.5</w:t>
      </w:r>
      <w:r>
        <w:t xml:space="preserve"> </w:t>
      </w:r>
      <w:r>
        <w:t>排放总量。对 73 个先前研究地点的分析表明，报告的净减排量往往基于不切实际的假设，例如所有治疗方法随后在其有效寿命期间都会遭遇野火。根据对预期遭遇率的经验估计，规定火灾增加了 99% 地点的净排放量，10 年中位数增加了 210%（IQR：70 至 475%），每吨规定火灾排放仅避免了 0.06 吨野火排放（IQR：0.03 至 0.15）。然而，规定的火灾是在有利的气象条件下有意进行的，使烟雾比野火期间更安全地消散。因此，规定燃烧是否可以在增加排放的同时降低健康风险，以及其排放影响是否可以低于目前的做法，是未来研究的一个关键领域。无论如何，规定</w:t>
      </w:r>
    </w:p>
    <w:p>
      <w:pPr>
        <w:spacing w:before="0" w:after="200" w:lineRule="auto" w:line="276"/>
      </w:pPr>
      <w:r>
        <w:rPr>
          <w:b/>
        </w:rPr>
        <w:t xml:space="preserve">Abstract (EN): </w:t>
      </w:r>
      <w:r>
        <w:t>Wildfire smoke poses a growing global health risk, largely from fine particulate matter (PM</w:t>
      </w:r>
      <w:r>
        <w:t xml:space="preserve"> </w:t>
      </w:r>
      <w:r>
        <w:t>2.5</w:t>
      </w:r>
      <w:r>
        <w:t xml:space="preserve"> </w:t>
      </w:r>
      <w:r>
        <w:t>) emissions. Prescribed fires, which are critical for maintaining resilient forests in many locations, can also reduce wildfire emissions in treated areas that later burn. However, prescribed fires also produce smoke, creating a tradeoff in their net impact on PM</w:t>
      </w:r>
      <w:r>
        <w:t xml:space="preserve"> </w:t>
      </w:r>
      <w:r>
        <w:t>2.5</w:t>
      </w:r>
      <w:r>
        <w:t xml:space="preserve"> </w:t>
      </w:r>
      <w:r>
        <w:t>emissions. We develop a mathematical framework showing that, under most current conditions globally, prescribed fire emissions are rarely offset by reduced wildfire emissions and therefore increase PM</w:t>
      </w:r>
      <w:r>
        <w:t xml:space="preserve"> </w:t>
      </w:r>
      <w:r>
        <w:t>2.5</w:t>
      </w:r>
      <w:r>
        <w:t xml:space="preserve"> </w:t>
      </w:r>
      <w:r>
        <w:t>emissions overall. An analysis of 73 prior study sites reveals that reported net emission reductions are often based on unrealistic assumptions, for example that all treatments are subsequently encountered by wildfire during their effective lifespan. Using empirically based estimates of expected encounter rates, prescribed fire increases net emissions at 99% of sites, with a median 10-year increase of 210% (IQR: 70 to 475%), and only 0.06 tons of wildfire emissions avoided per ton of prescribed fire emissions (IQR: 0.03 to 0.15). However, prescribed fires are intentionally conducted under favorable meteorological conditions, allowing smoke to disperse more safely than during wildfires. Thus, whether prescribed burning can reduce health risks while increasing emissions—and whether its emissions impact can be lowered beyond current practice—is a critical area for future study. Regardless, prescribed fires have multiple objectives and benefits; they remain essential for forest management and hazard reduction.</w:t>
      </w:r>
    </w:p>
    <w:p>
      <w:pPr>
        <w:spacing w:before="120" w:after="120"/>
      </w:pPr>
      <w:r>
        <w:rPr>
          <w:sz w:val="18"/>
        </w:rPr>
        <w:t>——————————————————————————————————————————————————————————————————————</w:t>
      </w:r>
    </w:p>
    <w:p>
      <w:pPr>
        <w:spacing w:before="160" w:after="40" w:line="240" w:lineRule="auto"/>
      </w:pPr>
      <w:r>
        <w:rPr>
          <w:b/>
        </w:rPr>
        <w:t xml:space="preserve">[133] </w:t>
      </w:r>
      <w:hyperlink r:id="rId421">
        <w:r>
          <w:rPr>
            <w:color w:val="1155CC"/>
            <w:u w:val="single"/>
          </w:rPr>
          <w:t>更多联系，更高极化：弱关系和地位驱动动力的作用</w:t>
        </w:r>
      </w:hyperlink>
    </w:p>
    <w:p>
      <w:pPr>
        <w:spacing w:before="0" w:after="80"/>
      </w:pPr>
      <w:r>
        <w:rPr>
          <w:i/>
          <w:sz w:val="20"/>
        </w:rPr>
        <w:t>EN: More connections, higher polarization: The role of weak ties and status-driven dynamics</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22">
        <w:r>
          <w:rPr>
            <w:color w:val="1155CC"/>
            <w:u w:val="single"/>
          </w:rPr>
          <w:t>10.1073/pnas.2614422123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[134] </w:t>
      </w:r>
      <w:hyperlink r:id="rId423">
        <w:r>
          <w:rPr>
            <w:color w:val="1155CC"/>
            <w:u w:val="single"/>
          </w:rPr>
          <w:t>欧洲山毛榉的繁殖并未因干旱而减少，包括 2003 年、2018 年和 2022 年的极端干旱</w:t>
        </w:r>
      </w:hyperlink>
    </w:p>
    <w:p>
      <w:pPr>
        <w:spacing w:before="0" w:after="80"/>
      </w:pPr>
      <w:r>
        <w:rPr>
          <w:i/>
          <w:sz w:val="20"/>
        </w:rPr>
        <w:t>EN: European beech reproduction is not reduced by drought, including the 2003, 2018, and 2022 extremes</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24">
        <w:r>
          <w:rPr>
            <w:color w:val="1155CC"/>
            <w:u w:val="single"/>
          </w:rPr>
          <w:t>10.1073/pnas.2607167123</w:t>
        </w:r>
      </w:hyperlink>
    </w:p>
    <w:p>
      <w:pPr>
        <w:spacing w:before="0" w:after="120"/>
      </w:pPr>
      <w:r>
        <w:rPr>
          <w:b/>
        </w:rPr>
        <w:t xml:space="preserve">Notes: </w:t>
      </w:r>
      <w:r>
        <w:t>abstract_source=crossref</w:t>
      </w:r>
    </w:p>
    <w:p>
      <w:pPr>
        <w:spacing w:before="0" w:after="80" w:lineRule="auto" w:line="276"/>
      </w:pPr>
      <w:r>
        <w:rPr>
          <w:b/>
        </w:rPr>
        <w:t xml:space="preserve">摘要（ZH）: </w:t>
      </w:r>
      <w:r>
        <w:t>气候变化正在加剧温带森林的干旱压力，但其对树木繁殖的影响（对于森林再生和迁徙能力至关重要）仍然知之甚少。在这里，我们分析了beech的221个时间序列（</w:t>
      </w:r>
      <w:r>
        <w:t xml:space="preserve"> </w:t>
      </w:r>
      <w:r>
        <w:t>水青冈</w:t>
      </w:r>
      <w:r>
        <w:t xml:space="preserve"> </w:t>
      </w:r>
      <w:r>
        <w:t>）欧洲各地的种子生产，以测试干旱是否会减少种子产量。我们在繁殖的开花、授粉和种子成熟阶段隔离干旱暴露，并测试对未来繁殖的遗留影响。种子生产并未因夏季干旱而受到损害，而春季干旱条件可能通过增强花粉传播而导致产量增加。因此，一旦开始，山毛榉的繁殖就不会因干旱而减少，也不会抑制第二年的繁殖。在 2003 年、2018 年和 2022 年欧洲夏季异常干旱期间，最干燥地区的繁殖并未减少。考虑到先前的证据表明干旱会抑制森林生长并提高死亡率，这些发现表明，生命率可以对同一压力源做出相反的反应。这种对比可能会在炎热干旱事件期间维持森林繁殖，但随着极端气候加剧，人口平衡会转向更高的死亡率和周转率。</w:t>
      </w:r>
    </w:p>
    <w:p>
      <w:pPr>
        <w:spacing w:before="0" w:after="200" w:lineRule="auto" w:line="276"/>
      </w:pPr>
      <w:r>
        <w:rPr>
          <w:b/>
        </w:rPr>
        <w:t xml:space="preserve">Abstract (EN): </w:t>
      </w:r>
      <w:r>
        <w:t>Climate change is intensifying drought stress in temperate forests, but its effects on tree reproduction, central to forest regeneration and migration capability, remain poorly understood. Here, we analyze 221 time series of beech (</w:t>
      </w:r>
      <w:r>
        <w:t xml:space="preserve"> </w:t>
      </w:r>
      <w:r>
        <w:t>Fagus sylvatica</w:t>
      </w:r>
      <w:r>
        <w:t xml:space="preserve"> </w:t>
      </w:r>
      <w:r>
        <w:t>) seed production across Europe to test whether drought reduces seed output. We isolate drought exposure during the flowering, pollination, and seed maturation phases of reproduction, and test for legacy effects on future reproduction. Seed production was not impaired by summer drought, and dry spring conditions were associated with increased output, likely via enhanced pollen dispersal. Thus, once initiated, beech reproduction is not reduced by drought, with no suppression of reproduction the following year. Reproduction was not reduced at the driest sites during exceptional European summer droughts in 2003, 2018, and 2022. Considered alongside prior evidence that drought suppresses forest growth and elevates mortality, these findings indicate that vital rates can respond in opposite directions to the same stressor. Such contrasts may sustain forest reproduction during heat–drought events yet shift demographic balance toward higher mortality and turnover as climatic extremes intensify.</w:t>
      </w:r>
    </w:p>
    <w:p>
      <w:pPr>
        <w:spacing w:before="120" w:after="120"/>
      </w:pPr>
      <w:r>
        <w:rPr>
          <w:sz w:val="18"/>
        </w:rPr>
        <w:t>——————————————————————————————————————————————————————————————————————</w:t>
      </w:r>
    </w:p>
    <w:p>
      <w:pPr>
        <w:spacing w:before="160" w:after="40" w:line="240" w:lineRule="auto"/>
      </w:pPr>
      <w:r>
        <w:rPr>
          <w:b/>
        </w:rPr>
        <w:t xml:space="preserve">[135] </w:t>
      </w:r>
      <w:hyperlink r:id="rId425">
        <w:r>
          <w:rPr>
            <w:color w:val="1155CC"/>
            <w:u w:val="single"/>
          </w:rPr>
          <w:t>从组织学到 MRI 的人类屏状体的多尺度表征</w:t>
        </w:r>
      </w:hyperlink>
    </w:p>
    <w:p>
      <w:pPr>
        <w:spacing w:before="0" w:after="80"/>
      </w:pPr>
      <w:r>
        <w:rPr>
          <w:i/>
          <w:sz w:val="20"/>
        </w:rPr>
        <w:t>EN: Multiscale characterization of the human claustrum from histology to MRI</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26">
        <w:r>
          <w:rPr>
            <w:color w:val="1155CC"/>
            <w:u w:val="single"/>
          </w:rPr>
          <w:t>10.1073/pnas.2604111123</w:t>
        </w:r>
      </w:hyperlink>
    </w:p>
    <w:p>
      <w:pPr>
        <w:spacing w:before="0" w:after="120"/>
      </w:pPr>
      <w:r>
        <w:rPr>
          <w:b/>
        </w:rPr>
        <w:t xml:space="preserve">Notes: </w:t>
      </w:r>
      <w:r>
        <w:t>abstract_source=crossref</w:t>
      </w:r>
    </w:p>
    <w:p>
      <w:pPr>
        <w:spacing w:before="0" w:after="80" w:lineRule="auto" w:line="276"/>
      </w:pPr>
      <w:r>
        <w:rPr>
          <w:b/>
        </w:rPr>
        <w:t xml:space="preserve">摘要（ZH）: </w:t>
      </w:r>
      <w:r>
        <w:t>屏状核是嵌入人脑深处的薄的双侧结构。其广泛的皮质连接性激发了可能是任何皮质下结构中最广泛的功能假设。然而，其复杂的片状形态阻碍了对活体人类的研究，导致体内 MRI 文献的数量很少，存在巨大且常常令人难以置信的差异。在这里，我们构建了人类屏状体的三维组织学“金标准”模型，并根据该参考及其下采样导数系统地评估了三个超高场 7-特斯拉 MRI 数据集。我们表明，基于 MRI 的屏状体形态的明显差异主要源于分辨率相关效应，而不是对比度限制，后者将屏状体的复杂片材转变为人为加厚的带状。尽管如此，亚毫米 MRI 可靠地捕获了包含大部分屏状体体积和细胞密度并包含主要皮质屏状体连接的背侧“核心”，并且在获得的最高分辨率（0.5 mm 各向同性）下，腹侧屏状体向颞叶的延伸部分恢复，不确定性反映了边界不精确而不是解剖学缺失。总之，这些发现推翻了 MRI 无法到达人类屏状核的观点，并为未来活人大脑的功能和临床研究奠定了基础。</w:t>
      </w:r>
    </w:p>
    <w:p>
      <w:pPr>
        <w:spacing w:before="0" w:after="200" w:lineRule="auto" w:line="276"/>
      </w:pPr>
      <w:r>
        <w:rPr>
          <w:b/>
        </w:rPr>
        <w:t xml:space="preserve">Abstract (EN): </w:t>
      </w:r>
      <w:r>
        <w:t>The claustrum is a thin, bilateral structure embedded deep within the human brain. Its widespread cortical connectivity has motivated perhaps the broadest range of functional hypotheses of any subcortical structure. Yet its complex, sheet-like morphology has hindered investigation in living humans, leaving a small in vivo MRI literature marked by large and often implausible discrepancies. Here, we construct a three-dimensional histological “gold standard” model of the human claustrum and systematically evaluate three ultra-high field 7-Tesla MRI datasets against this reference and its downsampled derivatives. We show that apparent discrepancies in MRI-based claustrum morphology arise primarily from resolution-dependent effects rather than contrast limitations, which transform the claustrum’s intricate sheet into an artifactually thickened ribbon. Despite this, submillimeter MRI reliably captures a dorsal “core” containing most claustral volume and cell density and encompassing major corticoclaustral connectivity, and at the highest acquired resolution (0.5 mm isotropic), the ventral claustrum’s extension into the temporal lobe is partially recovered, with uncertainty reflecting boundary imprecision rather than anatomical absence. Together, these findings overturn the view that the human claustrum is inaccessible to MRI and establish a foundation for future functional and clinical investigation in the living human brain.</w:t>
      </w:r>
    </w:p>
    <w:p>
      <w:pPr>
        <w:spacing w:before="120" w:after="120"/>
      </w:pPr>
      <w:r>
        <w:rPr>
          <w:sz w:val="18"/>
        </w:rPr>
        <w:t>——————————————————————————————————————————————————————————————————————</w:t>
      </w:r>
    </w:p>
    <w:p>
      <w:pPr>
        <w:spacing w:before="160" w:after="40" w:line="240" w:lineRule="auto"/>
      </w:pPr>
      <w:r>
        <w:rPr>
          <w:b/>
        </w:rPr>
        <w:t xml:space="preserve">[136] </w:t>
      </w:r>
      <w:hyperlink r:id="rId427">
        <w:r>
          <w:rPr>
            <w:color w:val="1155CC"/>
            <w:u w:val="single"/>
          </w:rPr>
          <w:t>抗菌肽快速穿过细菌膜并絮凝核糖体和 DNA：单细胞荧光研究</w:t>
        </w:r>
      </w:hyperlink>
    </w:p>
    <w:p>
      <w:pPr>
        <w:spacing w:before="0" w:after="80"/>
      </w:pPr>
      <w:r>
        <w:rPr>
          <w:i/>
          <w:sz w:val="20"/>
        </w:rPr>
        <w:t>EN: Antimicrobial peptoids pass rapidly through bacterial membranes and flocculate ribosomes and DNA: A single-cell fluorescence study</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28">
        <w:r>
          <w:rPr>
            <w:color w:val="1155CC"/>
            <w:u w:val="single"/>
          </w:rPr>
          <w:t>10.1073/pnas.2535920123</w:t>
        </w:r>
      </w:hyperlink>
    </w:p>
    <w:p>
      <w:pPr>
        <w:spacing w:before="0" w:after="120"/>
      </w:pPr>
      <w:r>
        <w:rPr>
          <w:b/>
        </w:rPr>
        <w:t xml:space="preserve">Notes: </w:t>
      </w:r>
      <w:r>
        <w:t>abstract_source=crossref</w:t>
      </w:r>
    </w:p>
    <w:p>
      <w:pPr>
        <w:spacing w:before="0" w:after="80" w:lineRule="auto" w:line="276"/>
      </w:pPr>
      <w:r>
        <w:rPr>
          <w:b/>
        </w:rPr>
        <w:t xml:space="preserve">摘要（ZH）: </w:t>
      </w:r>
      <w:r>
        <w:t>某些被设计为宿主防御肽（例如 LL-37）模拟物的类肽表现出有效的广谱抗菌、抗真菌、抗寄生虫和抗病毒活性，且细胞毒性最小。之前的固定细胞研究表明，类肽可以穿过细菌膜，通过聚集细胞内大阴离子（包括核糖体和 DNA）来快速杀死细菌。然而，这些仿生肽的动态作用机制仍然难以捉摸。我们采用单细菌细胞、时间分辨荧光显微镜和单粒子跟踪方法来研究 12 聚体肽 TM1 以及较短的烷基化和溴化类似物对细胞质膜透化以及 DNA 和核糖体刚性化的影响。</w:t>
      </w:r>
      <w:r>
        <w:t xml:space="preserve"> </w:t>
      </w:r>
      <w:r>
        <w:t>大肠杆菌</w:t>
      </w:r>
      <w:r>
        <w:t xml:space="preserve"> </w:t>
      </w:r>
      <w:r>
        <w:t>。我们的结果表明，TM1 及其几种类似物在类肽溶液流过细胞后五分钟内即可透化细胞质膜（比重要的人类抗菌肽 LL-37 更快），并且与 LL-37 一样有效地硬化 DNA 和核糖体。详细的生物物理结构和动力学研究表明，TM1 以与 LL-37 类似的方式结合 DNA（双链和单链）和单链 RNA，众所周知，LL-37 具有很强的核酸结合能力。这些结果支持了我们的假设，即 TM1 及其类似物通过核糖体、RNA 等生物大分子在细胞内聚集来发挥抗菌作用。</w:t>
      </w:r>
    </w:p>
    <w:p>
      <w:pPr>
        <w:spacing w:before="0" w:after="200" w:lineRule="auto" w:line="276"/>
      </w:pPr>
      <w:r>
        <w:rPr>
          <w:b/>
        </w:rPr>
        <w:t xml:space="preserve">Abstract (EN): </w:t>
      </w:r>
      <w:r>
        <w:t>Certain peptoids designed as mimics of host defense peptides such as LL-37 exhibit potent, broad-spectrum antibacterial, antifungal, antiparasitic, and antiviral activity with minimal cytotoxicity. Previous fixed-cell studies have suggested that the peptoids can pass through bacterial membranes and rapidly kill bacteria by aggregating intracellular macroanions, including ribosomes and DNA. However, the dynamic mechanisms of action of these biomimetic peptoids have remained elusive. We employed single-bacterial-cell, time-resolved fluorescence microscopy, and single-particle tracking methods to investigate the effects of the 12mer peptoid TM1, along with shorter alkylated and brominated analogues, on cytoplasmic membrane permeabilization and DNA and ribosome rigidification of</w:t>
      </w:r>
      <w:r>
        <w:t xml:space="preserve"> </w:t>
      </w:r>
      <w:r>
        <w:t>Escherichia coli</w:t>
      </w:r>
      <w:r>
        <w:t xml:space="preserve"> </w:t>
      </w:r>
      <w:r>
        <w:t>. Our results demonstrate that TM1 and several of its analogues permeabilize the cytoplasmic membrane within five minutes of flowing the peptoid solution over the cells—faster than seen for the important human antimicrobial peptide LL-37—and rigidify DNA and ribosomes as effectively as LL-37. Detailed biophysical structural and dynamical studies show that TM1 binds to both DNA (double-stranded and single-stranded) and single-stranded RNA in a similar manner to LL-37, which is well known to display strong nucleic acid binding. These results support our hypothesis that TM1 and its analogues exert their antimicrobial effects through intracellular aggregation of biomacromolecules such as ribosomes, RNA, and DNA. TM1 displays a higher affinity for RNA compared to DNA, suggesting it will preferentially bind in vivo to bacterial ribosomes. Our study yields insight into the dynamic effects of antimicrobial peptoids, facilitating their future development as biomimetic anti-infectives, with the additional advantage of protease invulnerability.</w:t>
      </w:r>
    </w:p>
    <w:p>
      <w:pPr>
        <w:spacing w:before="120" w:after="120"/>
      </w:pPr>
      <w:r>
        <w:rPr>
          <w:sz w:val="18"/>
        </w:rPr>
        <w:t>——————————————————————————————————————————————————————————————————————</w:t>
      </w:r>
    </w:p>
    <w:p>
      <w:pPr>
        <w:spacing w:before="160" w:after="40" w:line="240" w:lineRule="auto"/>
      </w:pPr>
      <w:r>
        <w:rPr>
          <w:b/>
        </w:rPr>
        <w:t xml:space="preserve">[137] </w:t>
      </w:r>
      <w:hyperlink r:id="rId429">
        <w:r>
          <w:rPr>
            <w:color w:val="1155CC"/>
            <w:u w:val="single"/>
          </w:rPr>
          <w:t>Smoothened G蛋白偶联受体的配体激活机制</w:t>
        </w:r>
      </w:hyperlink>
    </w:p>
    <w:p>
      <w:pPr>
        <w:spacing w:before="0" w:after="80"/>
      </w:pPr>
      <w:r>
        <w:rPr>
          <w:i/>
          <w:sz w:val="20"/>
        </w:rPr>
        <w:t>EN: The mechanism for ligand activation of the Smoothened G protein–coupled receptor</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30">
        <w:r>
          <w:rPr>
            <w:color w:val="1155CC"/>
            <w:u w:val="single"/>
          </w:rPr>
          <w:t>10.1073/pnas.2604658123</w:t>
        </w:r>
      </w:hyperlink>
    </w:p>
    <w:p>
      <w:pPr>
        <w:spacing w:before="0" w:after="120"/>
      </w:pPr>
      <w:r>
        <w:rPr>
          <w:b/>
        </w:rPr>
        <w:t xml:space="preserve">Notes: </w:t>
      </w:r>
      <w:r>
        <w:t>abstract_source=crossref</w:t>
      </w:r>
    </w:p>
    <w:p>
      <w:pPr>
        <w:spacing w:before="0" w:after="80" w:lineRule="auto" w:line="276"/>
      </w:pPr>
      <w:r>
        <w:rPr>
          <w:b/>
        </w:rPr>
        <w:t xml:space="preserve">摘要（ZH）: </w:t>
      </w:r>
      <w:r>
        <w:t>Smoothened (SMO) G 蛋白偶联受体是 Hedgehog (Hh) 信号通路的关键部分，它是一种癌蛋白，是了解基底细胞癌等癌症的重要靶点。然而，其激活机制仍不清楚。为此，我们在此研究了 G 蛋白和胆固醇 (CHL) 配体在激活途径中与 SMO 结合的序列。我们的结果与 Hh 信号通路中 SMO 的 G 蛋白优先激活通路一致。在此模型中，CHL 首先与失活的 SMO 的富含半胱氨酸结构域 (CRD) 结合，该结构在此阶段保持失活状态。然后，G 蛋白可以自发地与该 SMO 结合，形成预偶联复合物，该复合物在 Patched (PTCH) 附着到膜上时保持非活性。 Hh 配体与 PTCH 结合后，膜中的 CHL 水平增加，使 CHL 也能够与 SMO 的跨膜结构域 (TMD) 结合。当 CHL 占据 CRD 和 TMD 位点时，G 蛋白的开放变得非常有利，促进 GDP 释放并启动下游 G 蛋白信号传导。</w:t>
      </w:r>
    </w:p>
    <w:p>
      <w:pPr>
        <w:spacing w:before="0" w:after="200" w:lineRule="auto" w:line="276"/>
      </w:pPr>
      <w:r>
        <w:rPr>
          <w:b/>
        </w:rPr>
        <w:t xml:space="preserve">Abstract (EN): </w:t>
      </w:r>
      <w:r>
        <w:t>The Smoothened (SMO) G protein–coupled receptor is a key part of the Hedgehog (Hh) signaling pathway, and it is an oncoprotein that is an important target for understanding cancers such as basal cell carcinoma. However, its mechanism of activation remains unknown. To this end, we investigate here the sequence of G protein and cholesterol (CHL) ligand binding to SMO on the pathway toward activation. Our results are consistent with the G protein–first activation pathway of SMO in the Hh signaling pathway. In this model, CHL first binds to the cysteine rich domain (CRD) of the inactive SMO, which remains inactive at this stage. The G protein can then spontaneously bind to this SMO, forming a precoupled complex that remains inactive while Patched (PTCH) is attached to the membrane. Upon binding of the Hh ligand to PTCH, the CHL levels in the membrane increase, enabling CHL to also bind to the transmembrane domain (TMD) of SMO. With CHL occupying both the CRD and the TMD sites, opening of the G protein becomes energetically favorable, promoting GDP release and initiating downstream G-protein signaling.</w:t>
      </w:r>
    </w:p>
    <w:p>
      <w:pPr>
        <w:spacing w:before="120" w:after="120"/>
      </w:pPr>
      <w:r>
        <w:rPr>
          <w:sz w:val="18"/>
        </w:rPr>
        <w:t>——————————————————————————————————————————————————————————————————————</w:t>
      </w:r>
    </w:p>
    <w:p>
      <w:pPr>
        <w:spacing w:before="160" w:after="40" w:line="240" w:lineRule="auto"/>
      </w:pPr>
      <w:r>
        <w:rPr>
          <w:b/>
        </w:rPr>
        <w:t xml:space="preserve">[138] </w:t>
      </w:r>
      <w:hyperlink r:id="rId431">
        <w:r>
          <w:rPr>
            <w:color w:val="1155CC"/>
            <w:u w:val="single"/>
          </w:rPr>
          <w:t>评估 SARS-CoV-2 弗林蛋白酶切割位点与小鼠适应的 MERS 冠状病毒 MA30 之间的拟议联系</w:t>
        </w:r>
      </w:hyperlink>
    </w:p>
    <w:p>
      <w:pPr>
        <w:spacing w:before="0" w:after="80"/>
      </w:pPr>
      <w:r>
        <w:rPr>
          <w:i/>
          <w:sz w:val="20"/>
        </w:rPr>
        <w:t>EN: Evaluation of a proposed link between the SARS-CoV-2 furin cleavage site and mouse-adapted MERS-coronavirus MA30</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32">
        <w:r>
          <w:rPr>
            <w:color w:val="1155CC"/>
            <w:u w:val="single"/>
          </w:rPr>
          <w:t>10.1073/pnas.2601806123</w:t>
        </w:r>
      </w:hyperlink>
    </w:p>
    <w:p>
      <w:pPr>
        <w:spacing w:before="0" w:after="120"/>
      </w:pPr>
      <w:r>
        <w:rPr>
          <w:b/>
        </w:rPr>
        <w:t xml:space="preserve">Notes: </w:t>
      </w:r>
      <w:r>
        <w:t>abstract_source=crossref</w:t>
      </w:r>
    </w:p>
    <w:p>
      <w:pPr>
        <w:spacing w:before="0" w:after="80" w:lineRule="auto" w:line="276"/>
      </w:pPr>
      <w:r>
        <w:rPr>
          <w:b/>
        </w:rPr>
        <w:t xml:space="preserve">摘要（ZH）: </w:t>
      </w:r>
      <w:r>
        <w:t>SARS-CoV-2 的多碱式弗林蛋白酶切割位点 (FCS) 的起源仍然是有关 COVID-19 出现的争论中的一个核心问题。一种假设提出，SARS-CoV-2 S1/S2 基序 RRAR 与在小鼠适应的 MERS-CoV 毒株 MERS-MA30 中发现的 RRVR 序列之间存在遗传关系。在这里，我们将大规模生物信息学分析与实验病毒学相结合来评估这种情况。对超过 1700 万个 SARS-CoV-2 基因组的分析表明，与 RRVR 相对应的 S:684V 替换重复发生，但只是零星发生，从未成为系统发育的基础，并且显示出有限的地理和时间传播。利用反向遗传学，我们生成了编码 RRVR 的 SARS-CoV-2 变体，并证明 S:684V 持续降低病毒进入效率和多个细胞系统（包括人类呼吸道上皮培养物）中的竞争适应度。 RRVR 变体并没有进化为 RRAR，而是积累了替代替代品。这些发现不支持 MERS-MA30 和 SARS-CoV-2 FCS 之间的进化关系。</w:t>
      </w:r>
    </w:p>
    <w:p>
      <w:pPr>
        <w:spacing w:before="0" w:after="200" w:lineRule="auto" w:line="276"/>
      </w:pPr>
      <w:r>
        <w:rPr>
          <w:b/>
        </w:rPr>
        <w:t xml:space="preserve">Abstract (EN): </w:t>
      </w:r>
      <w:r>
        <w:t>The origin of the polybasic furin cleavage site (FCS) of SARS-CoV-2 remains a central question in debates on the emergence of COVID-19. One hypothesis proposes a genetic relationship between the SARS-CoV-2 S1/S2 motif RRAR and the RRVR sequence found in the mouse-adapted MERS-CoV strain MERS-MA30. Here, we combined large-scale bioinformatic analysis with experimental virology to evaluate this scenario. Analysis of over 17 million SARS-CoV-2 genomes revealed that the S:684V substitution corresponding to RRVR occurred repeatedly but only sporadically, never became phylogenetically basal, and showed limited geographic and temporal spread. Using reverse genetics, we generated SARS-CoV-2 variants encoding RRVR and demonstrated that S:684V consistently reduced viral entry efficiency and competitive fitness in multiple cell systems, including human respiratory epithelial cultures. RRVR variants did not evolve toward RRAR but instead accumulated alternative substitutions. These findings do not support an evolutionary relationship between MERS-MA30 and the SARS-CoV-2 FCS.</w:t>
      </w:r>
    </w:p>
    <w:p>
      <w:pPr>
        <w:spacing w:before="120" w:after="120"/>
      </w:pPr>
      <w:r>
        <w:rPr>
          <w:sz w:val="18"/>
        </w:rPr>
        <w:t>——————————————————————————————————————————————————————————————————————</w:t>
      </w:r>
    </w:p>
    <w:p>
      <w:pPr>
        <w:spacing w:before="160" w:after="40" w:line="240" w:lineRule="auto"/>
      </w:pPr>
      <w:r>
        <w:rPr>
          <w:b/>
        </w:rPr>
        <w:t xml:space="preserve">[139] </w:t>
      </w:r>
      <w:hyperlink r:id="rId433">
        <w:r>
          <w:rPr>
            <w:color w:val="1155CC"/>
            <w:u w:val="single"/>
          </w:rPr>
          <w:t>从随机序列中出现新颖的三维结构与已知的三维结构</w:t>
        </w:r>
      </w:hyperlink>
    </w:p>
    <w:p>
      <w:pPr>
        <w:spacing w:before="0" w:after="80"/>
      </w:pPr>
      <w:r>
        <w:rPr>
          <w:i/>
          <w:sz w:val="20"/>
        </w:rPr>
        <w:t>EN: The emergence of novel versus known three-dimensional structures from random sequences</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34">
        <w:r>
          <w:rPr>
            <w:color w:val="1155CC"/>
            <w:u w:val="single"/>
          </w:rPr>
          <w:t>10.1073/pnas.2535076123</w:t>
        </w:r>
      </w:hyperlink>
    </w:p>
    <w:p>
      <w:pPr>
        <w:spacing w:before="0" w:after="120"/>
      </w:pPr>
      <w:r>
        <w:rPr>
          <w:b/>
        </w:rPr>
        <w:t xml:space="preserve">Notes: </w:t>
      </w:r>
      <w:r>
        <w:t>abstract_source=crossref</w:t>
      </w:r>
    </w:p>
    <w:p>
      <w:pPr>
        <w:spacing w:before="0" w:after="80" w:lineRule="auto" w:line="276"/>
      </w:pPr>
      <w:r>
        <w:rPr>
          <w:b/>
        </w:rPr>
        <w:t xml:space="preserve">摘要（ZH）: </w:t>
      </w:r>
      <w:r>
        <w:t>据推测，虽然随机序列不太可能折叠成球状蛋白长度的蛋白质，但重复的随机序列更有可能采用稳定的折叠结构，这对分子进化具有影响。我们使用结构预测方法来确定由 5 至 60 个残基随机重复组成的大约 120 个残基序列的可折叠性。当重复序列少于 30 个残基时，经常发现（1% 至 12%）具有高置信度折叠的序列。对于少于 60 个残基重复，我们经常观察到 β-螺线管，类似于天然蛋白质中看到的。我们观察到通过非极性堆积稳定的螺线管以及通过与 Ca 的极性相互作用稳定的螺线管</w:t>
      </w:r>
      <w:r>
        <w:t xml:space="preserve"> </w:t>
      </w:r>
      <w:r>
        <w:t>2+</w:t>
      </w:r>
      <w:r>
        <w:t xml:space="preserve"> </w:t>
      </w:r>
      <w:r>
        <w:t>位于结构的核心，如毒素 (RTX) 域中的自然重复序列。当重复序列块之间包含插入或缺失时，会高频地观察到螺旋束。我们还观察到了一种由紧密缠绕的α螺旋螺杆组成的新超二级结构，并通过圆二色性（CD）光谱和X射线晶体学实验证实了其稳定性和结构。因此，结构预测器可以发现完全不符合训练数据分布的结构。超过 40 个残基重复长度，预计很少有序列会折叠。我们观察到的少量结构代表了已确定的主要三级结构类别；需要更多的采样才能从运行中发现新颖的结构</w:t>
      </w:r>
    </w:p>
    <w:p>
      <w:pPr>
        <w:spacing w:before="0" w:after="200" w:lineRule="auto" w:line="276"/>
      </w:pPr>
      <w:r>
        <w:rPr>
          <w:b/>
        </w:rPr>
        <w:t xml:space="preserve">Abstract (EN): </w:t>
      </w:r>
      <w:r>
        <w:t>It has been hypothesized that while random sequences are unlikely to fold into proteins of the length of globular proteins, repeated random sequences are more likely to adopt stably folded structures, with implications for molecular evolution. We used structure prediction methods to determine the foldability of approximately 120-residue sequences composed of 5- to 60-residue random repeats. With repeats of less than 30-residues, sequences were frequently discovered (1 to 12%) that fold with high confidence. For less than 60-residue repeats, we frequently observe β-solenoids, similar to those seen in natural proteins. We observe solenoids stabilized by apolar packing as well as ones stabilized by polar interactions with Ca</w:t>
      </w:r>
      <w:r>
        <w:t xml:space="preserve"> </w:t>
      </w:r>
      <w:r>
        <w:t>2+</w:t>
      </w:r>
      <w:r>
        <w:t xml:space="preserve"> </w:t>
      </w:r>
      <w:r>
        <w:t>in the core of the structure as in natural Repeats in ToXin (RTX) domains. Helical bundles were observed with high frequency when insertions or deletions were included between blocks of repeating sequences. We also observed a new supersecondary structure consisting of a tightly wound α-helical screw and experimentally confirmed its stability and structure by circular dichroism (CD) spectroscopy and X-ray crystallography. Thus, structure predictors can discover structures that are well out of the distribution of the data upon which they were trained. Beyond 40-residue repeat lengths, very few sequences were predicted to fold. The small number of structures we observed was representative of well-established major classes of tertiary structures; greater sampling would be needed to discover novel structures from a random distribution. These studies illuminate dark matter regions of protein structure space and support previous predictions that proteins evolved through the assortment of shorter peptide sequences.</w:t>
      </w:r>
    </w:p>
    <w:p>
      <w:pPr>
        <w:spacing w:before="120" w:after="120"/>
      </w:pPr>
      <w:r>
        <w:rPr>
          <w:sz w:val="18"/>
        </w:rPr>
        <w:t>——————————————————————————————————————————————————————————————————————</w:t>
      </w:r>
    </w:p>
    <w:p>
      <w:pPr>
        <w:spacing w:before="160" w:after="40" w:line="240" w:lineRule="auto"/>
      </w:pPr>
      <w:r>
        <w:rPr>
          <w:b/>
        </w:rPr>
        <w:t xml:space="preserve">[140] </w:t>
      </w:r>
      <w:hyperlink r:id="rId435">
        <w:r>
          <w:rPr>
            <w:color w:val="1155CC"/>
            <w:u w:val="single"/>
          </w:rPr>
          <w:t>WIP 转录调节因子调节苔藓两个生命周期阶段的发育进程</w:t>
        </w:r>
      </w:hyperlink>
    </w:p>
    <w:p>
      <w:pPr>
        <w:spacing w:before="0" w:after="80"/>
      </w:pPr>
      <w:r>
        <w:rPr>
          <w:i/>
          <w:sz w:val="20"/>
        </w:rPr>
        <w:t>EN: WIP transcriptional regulators modulate developmental progression in both life cycle phases of a moss</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36">
        <w:r>
          <w:rPr>
            <w:color w:val="1155CC"/>
            <w:u w:val="single"/>
          </w:rPr>
          <w:t>10.1073/pnas.2603045123</w:t>
        </w:r>
      </w:hyperlink>
    </w:p>
    <w:p>
      <w:pPr>
        <w:spacing w:before="0" w:after="120"/>
      </w:pPr>
      <w:r>
        <w:rPr>
          <w:b/>
        </w:rPr>
        <w:t xml:space="preserve">Notes: </w:t>
      </w:r>
      <w:r>
        <w:t>abstract_source=crossref</w:t>
      </w:r>
    </w:p>
    <w:p>
      <w:pPr>
        <w:spacing w:before="0" w:after="80" w:lineRule="auto" w:line="276"/>
      </w:pPr>
      <w:r>
        <w:rPr>
          <w:b/>
        </w:rPr>
        <w:t xml:space="preserve">摘要（ZH）: </w:t>
      </w:r>
      <w:r>
        <w:t>苔藓植物和维管植物（陆地植物的两个现存谱系）的有性生命周期分别由配子体和孢子体阶段主导。这两个阶段的身体计划多样化在两个谱系中遵循着不同的进化轨迹。然而，进化保守基因家族如何伴随身体结构多样化仍然知之甚少。 WIP 转录因子在陆地植物中保守，其功能与被子植物的根和花发育相关。这里，我们剖析一下Pp的功能</w:t>
      </w:r>
      <w:r>
        <w:t xml:space="preserve"> </w:t>
      </w:r>
      <w:r>
        <w:t>在制品1</w:t>
      </w:r>
      <w:r>
        <w:t xml:space="preserve"> </w:t>
      </w:r>
      <w:r>
        <w:t>和PP</w:t>
      </w:r>
      <w:r>
        <w:t xml:space="preserve"> </w:t>
      </w:r>
      <w:r>
        <w:t>在制品2</w:t>
      </w:r>
      <w:r>
        <w:t xml:space="preserve"> </w:t>
      </w:r>
      <w:r>
        <w:t>苔藓植物模型中的基因</w:t>
      </w:r>
      <w:r>
        <w:t xml:space="preserve"> </w:t>
      </w:r>
      <w:r>
        <w:t>立碗藓</w:t>
      </w:r>
      <w:r>
        <w:t xml:space="preserve"> </w:t>
      </w:r>
      <w:r>
        <w:t>。我们证明了 Pp</w:t>
      </w:r>
      <w:r>
        <w:t xml:space="preserve"> </w:t>
      </w:r>
      <w:r>
        <w:t>在制品</w:t>
      </w:r>
      <w:r>
        <w:t xml:space="preserve"> </w:t>
      </w:r>
      <w:r>
        <w:t>s 在生命周期的两个阶段都表达并调节特定的发育过程。在配子体阶段，Pp</w:t>
      </w:r>
      <w:r>
        <w:t xml:space="preserve"> </w:t>
      </w:r>
      <w:r>
        <w:t>在制品</w:t>
      </w:r>
      <w:r>
        <w:t xml:space="preserve"> </w:t>
      </w:r>
      <w:r>
        <w:t>促进绿丝虫向茎丝虫的转变，但限制配子体的发育。在孢子体阶段，Pp</w:t>
      </w:r>
      <w:r>
        <w:t xml:space="preserve"> </w:t>
      </w:r>
      <w:r>
        <w:t>在制品</w:t>
      </w:r>
      <w:r>
        <w:t xml:space="preserve"> </w:t>
      </w:r>
      <w:r>
        <w:t>防止多性，形成多个孢子原。 RNA-seq、DAP-seq 和激素分析表明，两者</w:t>
      </w:r>
      <w:r>
        <w:t xml:space="preserve"> </w:t>
      </w:r>
      <w:r>
        <w:t>帕坦斯</w:t>
      </w:r>
      <w:r>
        <w:t xml:space="preserve"> </w:t>
      </w:r>
      <w:r>
        <w:t>和</w:t>
      </w:r>
      <w:r>
        <w:t xml:space="preserve"> </w:t>
      </w:r>
      <w:r>
        <w:t>拟南芥</w:t>
      </w:r>
      <w:r>
        <w:t xml:space="preserve"> </w:t>
      </w:r>
      <w:r>
        <w:t>蛋白质通过控制生长素稳态发挥作用。种间互补实验表明，Pp</w:t>
      </w:r>
      <w:r>
        <w:t xml:space="preserve"> </w:t>
      </w:r>
      <w:r>
        <w:t>在制品</w:t>
      </w:r>
      <w:r>
        <w:t xml:space="preserve"> </w:t>
      </w:r>
      <w:r>
        <w:t>s 能够部分替代 At</w:t>
      </w:r>
    </w:p>
    <w:p>
      <w:pPr>
        <w:spacing w:before="0" w:after="200" w:lineRule="auto" w:line="276"/>
      </w:pPr>
      <w:r>
        <w:rPr>
          <w:b/>
        </w:rPr>
        <w:t xml:space="preserve">Abstract (EN): </w:t>
      </w:r>
      <w:r>
        <w:t>The sexual life cycle of bryophytes and vascular plants, the two extant lineages of land plants, is dominated by a gametophytic and a sporophytic phase, respectively. Body plan diversification in these two phases has followed separate evolutionary trajectories in both lineages. However, how evolutionary conserved gene families have accompanied body plan diversification remains poorly understood. WIP transcription factors are conserved in land plants, and their function has been associated with root and flower development in angiosperms. Here, we dissect the function of Pp</w:t>
      </w:r>
      <w:r>
        <w:t xml:space="preserve"> </w:t>
      </w:r>
      <w:r>
        <w:t>WIP1</w:t>
      </w:r>
      <w:r>
        <w:t xml:space="preserve"> </w:t>
      </w:r>
      <w:r>
        <w:t>and Pp</w:t>
      </w:r>
      <w:r>
        <w:t xml:space="preserve"> </w:t>
      </w:r>
      <w:r>
        <w:t>WIP2</w:t>
      </w:r>
      <w:r>
        <w:t xml:space="preserve"> </w:t>
      </w:r>
      <w:r>
        <w:t>genes in a model bryophyte, the moss</w:t>
      </w:r>
      <w:r>
        <w:t xml:space="preserve"> </w:t>
      </w:r>
      <w:r>
        <w:t>Physcomitrium patens</w:t>
      </w:r>
      <w:r>
        <w:t xml:space="preserve"> </w:t>
      </w:r>
      <w:r>
        <w:t>. We demonstrate that Pp</w:t>
      </w:r>
      <w:r>
        <w:t xml:space="preserve"> </w:t>
      </w:r>
      <w:r>
        <w:t>WIP</w:t>
      </w:r>
      <w:r>
        <w:t xml:space="preserve"> </w:t>
      </w:r>
      <w:r>
        <w:t>s are expressed during both phases of the life cycle and regulate specific developmental processes. In the gametophytic phase, Pp</w:t>
      </w:r>
      <w:r>
        <w:t xml:space="preserve"> </w:t>
      </w:r>
      <w:r>
        <w:t>WIP</w:t>
      </w:r>
      <w:r>
        <w:t xml:space="preserve"> </w:t>
      </w:r>
      <w:r>
        <w:t>s promote the chloronema-to-caulonema transition, but restrict gametophore development. In the sporophytic phase, Pp</w:t>
      </w:r>
      <w:r>
        <w:t xml:space="preserve"> </w:t>
      </w:r>
      <w:r>
        <w:t>WIPs</w:t>
      </w:r>
      <w:r>
        <w:t xml:space="preserve"> </w:t>
      </w:r>
      <w:r>
        <w:t>prevent polysety, the formation of multiple sporogonia. RNA-seq, DAP-seq, and hormone analysis revealed that both</w:t>
      </w:r>
      <w:r>
        <w:t xml:space="preserve"> </w:t>
      </w:r>
      <w:r>
        <w:t>P. patens</w:t>
      </w:r>
      <w:r>
        <w:t xml:space="preserve"> </w:t>
      </w:r>
      <w:r>
        <w:t>and</w:t>
      </w:r>
      <w:r>
        <w:t xml:space="preserve"> </w:t>
      </w:r>
      <w:r>
        <w:t>A. thaliana</w:t>
      </w:r>
      <w:r>
        <w:t xml:space="preserve"> </w:t>
      </w:r>
      <w:r>
        <w:t>proteins act by controlling auxin homeostasis. Interspecies complementation experiments revealed that Pp</w:t>
      </w:r>
      <w:r>
        <w:t xml:space="preserve"> </w:t>
      </w:r>
      <w:r>
        <w:t>WIP</w:t>
      </w:r>
      <w:r>
        <w:t xml:space="preserve"> </w:t>
      </w:r>
      <w:r>
        <w:t>s are partially able to substitute At</w:t>
      </w:r>
      <w:r>
        <w:t xml:space="preserve"> </w:t>
      </w:r>
      <w:r>
        <w:t>WIP</w:t>
      </w:r>
      <w:r>
        <w:t xml:space="preserve"> </w:t>
      </w:r>
      <w:r>
        <w:t>molecular function in Arabidopsis root and seeds. Our findings demonstrate that WIPs control developmental progression in both phases of the land plant life cycle through an evolutionarily conserved molecular function.</w:t>
      </w:r>
    </w:p>
    <w:p>
      <w:pPr>
        <w:spacing w:before="120" w:after="120"/>
      </w:pPr>
      <w:r>
        <w:rPr>
          <w:sz w:val="18"/>
        </w:rPr>
        <w:t>——————————————————————————————————————————————————————————————————————</w:t>
      </w:r>
    </w:p>
    <w:p>
      <w:pPr>
        <w:spacing w:before="160" w:after="40" w:line="240" w:lineRule="auto"/>
      </w:pPr>
      <w:r>
        <w:rPr>
          <w:b/>
        </w:rPr>
        <w:t xml:space="preserve">[141] </w:t>
      </w:r>
      <w:hyperlink r:id="rId437">
        <w:r>
          <w:rPr>
            <w:color w:val="1155CC"/>
            <w:u w:val="single"/>
          </w:rPr>
          <w:t>将妥协和责任归因与二元觅食中的风险决策联系起来</w:t>
        </w:r>
      </w:hyperlink>
    </w:p>
    <w:p>
      <w:pPr>
        <w:spacing w:before="0" w:after="80"/>
      </w:pPr>
      <w:r>
        <w:rPr>
          <w:i/>
          <w:sz w:val="20"/>
        </w:rPr>
        <w:t>EN: Linking compromise and responsibility attribution to risky decision-making in dyadic foraging</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38">
        <w:r>
          <w:rPr>
            <w:color w:val="1155CC"/>
            <w:u w:val="single"/>
          </w:rPr>
          <w:t>10.1073/pnas.2602570123</w:t>
        </w:r>
      </w:hyperlink>
    </w:p>
    <w:p>
      <w:pPr>
        <w:spacing w:before="0" w:after="120"/>
      </w:pPr>
      <w:r>
        <w:rPr>
          <w:b/>
        </w:rPr>
        <w:t xml:space="preserve">Notes: </w:t>
      </w:r>
      <w:r>
        <w:t>abstract_source=crossref</w:t>
      </w:r>
    </w:p>
    <w:p>
      <w:pPr>
        <w:spacing w:before="0" w:after="80" w:lineRule="auto" w:line="276"/>
      </w:pPr>
      <w:r>
        <w:rPr>
          <w:b/>
        </w:rPr>
        <w:t xml:space="preserve">摘要（ZH）: </w:t>
      </w:r>
      <w:r>
        <w:t>从狩猎到财务规划，许多决策都是在风险下做出的，并与社会伙伴一起做出，他们的决策和结果与我们自己的决策和结果相结合。联合决策可能会带来挑战，例如应对相互冲突的风险偏好、评估彼此的行动以及决定是否妥协。然而，人们何时以及为何妥协，他们在联合决策过程中如何评估彼此的责任，以及这些过程的计算和心理基础仍然不清楚。我们引入了一种二元觅食范式，旨在捕获不同的风险偏好，其中两个参与者共同在产生回报但承担风险的位置之间进行选择，并评估彼此对共同结果的责任。在两项研究中（探索性 N = 250，验证性 N = 514），人们倾向于妥协而不是对抗他们的伴侣，特别是在风险偏好不同和妥协得到回报的情况下。通过计算，强化学习模型可以解释妥协，该模型显示个人将自己的偏好与伴侣的偏好结合起来。责任归因表现出以自我为中心的偏见——参与者认为胜利的功劳多于对失败的责备——而这些偏见与妥协行为的个体差异有关。风险和责任归属方面的个体差异之间的相互作用进一步形成了协调模式。最后，我们表明，损害厌恶风险的个人的绩效改善，增加作为社会伙伴的愿望，并导致</w:t>
      </w:r>
    </w:p>
    <w:p>
      <w:pPr>
        <w:spacing w:before="0" w:after="200" w:lineRule="auto" w:line="276"/>
      </w:pPr>
      <w:r>
        <w:rPr>
          <w:b/>
        </w:rPr>
        <w:t xml:space="preserve">Abstract (EN): </w:t>
      </w:r>
      <w:r>
        <w:t>From hunting to financial planning, many decisions are made under risk and alongside social partners whose decisions and outcomes are coupled with our own. Joint decision-making can create challenges, such as navigating conflicting risk preferences, evaluating each other’s actions, and deciding whether to compromise. Yet when and why people compromise, how they evaluate each other’s responsibilities during joint decision-making, and the computational and psychological underpinnings of these processes remain unclear. We introduce a dyadic foraging paradigm designed to capture diverse risk preferences, where two participants jointly choose between locations that yield rewards but carry risks and evaluate each other’s responsibility for shared outcomes. Across two studies (exploratory N = 250, confirmatory N = 514), people tended to compromise rather than counteract their partner, especially under diverging risk preferences and when compromise was reciprocated. Computationally, compromise was explained by a reinforcement learning model showing that individuals integrate their preferences with that of their partner. Responsibility attributions exhibited egocentric biases—with participants claiming more credit for wins than blame for losses—and these biases were associated with individual differences in compromise behavior. The interplay between individual differences in risk and responsibility attribution further shaped coordination patterns. Finally, we show that compromising improved performance for risk-averse individuals, increased desirability as a social partner, and led to more favorable responsibility attributions, suggesting multiple benefits of compromising. By linking decisions about risk–reward trade-offs to metacognitive judgments about responsibility, our study reveals the social and cognitive processes underlying compromise in risky foraging and, more broadly, in collaborative contexts with conflicting preferences.</w:t>
      </w:r>
    </w:p>
    <w:p>
      <w:pPr>
        <w:spacing w:before="120" w:after="120"/>
      </w:pPr>
      <w:r>
        <w:rPr>
          <w:sz w:val="18"/>
        </w:rPr>
        <w:t>——————————————————————————————————————————————————————————————————————</w:t>
      </w:r>
    </w:p>
    <w:p>
      <w:pPr>
        <w:spacing w:before="160" w:after="40" w:line="240" w:lineRule="auto"/>
      </w:pPr>
      <w:r>
        <w:rPr>
          <w:b/>
        </w:rPr>
        <w:t xml:space="preserve">[142] </w:t>
      </w:r>
      <w:hyperlink r:id="rId439">
        <w:r>
          <w:rPr>
            <w:color w:val="1155CC"/>
            <w:u w:val="single"/>
          </w:rPr>
          <w:t>训练人类检测人工智能生成的面孔</w:t>
        </w:r>
      </w:hyperlink>
    </w:p>
    <w:p>
      <w:pPr>
        <w:spacing w:before="0" w:after="80"/>
      </w:pPr>
      <w:r>
        <w:rPr>
          <w:i/>
          <w:sz w:val="20"/>
        </w:rPr>
        <w:t>EN: Training humans to detect AI-generated faces</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40">
        <w:r>
          <w:rPr>
            <w:color w:val="1155CC"/>
            <w:u w:val="single"/>
          </w:rPr>
          <w:t>10.1073/pnas.2602122123</w:t>
        </w:r>
      </w:hyperlink>
    </w:p>
    <w:p>
      <w:pPr>
        <w:spacing w:before="0" w:after="120"/>
      </w:pPr>
      <w:r>
        <w:rPr>
          <w:b/>
        </w:rPr>
        <w:t xml:space="preserve">Notes: </w:t>
      </w:r>
      <w:r>
        <w:t>abstract_source=crossref</w:t>
      </w:r>
    </w:p>
    <w:p>
      <w:pPr>
        <w:spacing w:before="0" w:after="80" w:lineRule="auto" w:line="276"/>
      </w:pPr>
      <w:r>
        <w:rPr>
          <w:b/>
        </w:rPr>
        <w:t xml:space="preserve">摘要（ZH）: </w:t>
      </w:r>
      <w:r>
        <w:t>随着人工智能生成的面孔与真实面孔变得难以区分，深度造假技术对信息完整性和安全性构成了越来越大的威胁。虽然算法可以检测深度伪造品，但它们存在不透明性和严重漏洞，而事实证明，训练人类识别特定的视觉伪影基本上是无效的。在这里，我们介绍一种完全不同的方法，利用人们对面孔的整体印象。基于人工智能和人脸会引起系统不同的感知印象的发现（Miller 等人，2023），我们训练参与者关注这些独特的品质，而无需明确指导如何使用它们。使用严格的前后设计和未经训练的测试面孔，我们证明所有参与者（</w:t>
      </w:r>
      <w:r>
        <w:t xml:space="preserve"> </w:t>
      </w:r>
      <w:r>
        <w:t>氮</w:t>
      </w:r>
      <w:r>
        <w:t xml:space="preserve"> </w:t>
      </w:r>
      <w:r>
        <w:t>= 45）改进，平均准确度几乎翻倍。高绩效者实现了近乎完美的检测，参与者发展了元认知洞察力，仅在训练后才显示出适当的置信度校准。一项测试-再测试控制研究排除了练习效果作为训练收益的解释，并且在线复制证明了我们方法的可扩展性。随着技术的进步，针对生成式人工智能固有的系统偏差以及在全局特征中体现的系统偏差，可能会比仅依赖图像伪影的方法提供更持久的防御。</w:t>
      </w:r>
    </w:p>
    <w:p>
      <w:pPr>
        <w:spacing w:before="0" w:after="200" w:lineRule="auto" w:line="276"/>
      </w:pPr>
      <w:r>
        <w:rPr>
          <w:b/>
        </w:rPr>
        <w:t xml:space="preserve">Abstract (EN): </w:t>
      </w:r>
      <w:r>
        <w:t>As AI-generated faces become indistinguishable from real ones, deepfake technology poses escalating threats to information integrity and security. While algorithms can detect deepfakes, they suffer from opacity and critical vulnerabilities—and training humans to identify specific visual artifacts has proven largely ineffective. Here, we introduce a fundamentally different approach that harnesses people’s global impressions of faces. Building on findings that AI and human faces evoke systematically different perceptual impressions (Miller et al., 2023), we trained participants to attend to these distinguishing qualities without explicit instruction on how to use them. Using a rigorous pre–post design with untrained test faces, we demonstrate that all participants (</w:t>
      </w:r>
      <w:r>
        <w:t xml:space="preserve"> </w:t>
      </w:r>
      <w:r>
        <w:t>N</w:t>
      </w:r>
      <w:r>
        <w:t xml:space="preserve"> </w:t>
      </w:r>
      <w:r>
        <w:t>= 45) improved, with mean accuracy nearly doubling. High performers achieved near-perfect detection, and participants developed metacognitive insight, showing appropriate confidence calibration only after training. A test–retest control study ruled out practice effects as an explanation for training gains, and an online replication demonstrates the scalability of our approach. As the technology advances, targeting systematic biases that are inherent to generative AI, and which manifest in global features, may offer a more durable defense than approaches reliant on image artifacts alone.</w:t>
      </w:r>
    </w:p>
    <w:p>
      <w:pPr>
        <w:spacing w:before="120" w:after="120"/>
      </w:pPr>
      <w:r>
        <w:rPr>
          <w:sz w:val="18"/>
        </w:rPr>
        <w:t>——————————————————————————————————————————————————————————————————————</w:t>
      </w:r>
    </w:p>
    <w:p>
      <w:pPr>
        <w:spacing w:before="160" w:after="40" w:line="240" w:lineRule="auto"/>
      </w:pPr>
      <w:r>
        <w:rPr>
          <w:b/>
        </w:rPr>
        <w:t xml:space="preserve">[143] </w:t>
      </w:r>
      <w:hyperlink r:id="rId441">
        <w:r>
          <w:rPr>
            <w:color w:val="1155CC"/>
            <w:u w:val="single"/>
          </w:rPr>
          <w:t>超越晶胞：不规则建筑材料的可编程形态发生设计</w:t>
        </w:r>
      </w:hyperlink>
    </w:p>
    <w:p>
      <w:pPr>
        <w:spacing w:before="0" w:after="80"/>
      </w:pPr>
      <w:r>
        <w:rPr>
          <w:i/>
          <w:sz w:val="20"/>
        </w:rPr>
        <w:t>EN: Beyond unit cells: Programmable morphogenetic design of irregular architected materials</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42">
        <w:r>
          <w:rPr>
            <w:color w:val="1155CC"/>
            <w:u w:val="single"/>
          </w:rPr>
          <w:t>10.1073/pnas.2606412123</w:t>
        </w:r>
      </w:hyperlink>
    </w:p>
    <w:p>
      <w:pPr>
        <w:spacing w:before="0" w:after="120"/>
      </w:pPr>
      <w:r>
        <w:rPr>
          <w:b/>
        </w:rPr>
        <w:t xml:space="preserve">Notes: </w:t>
      </w:r>
      <w:r>
        <w:t>abstract_source=crossref</w:t>
      </w:r>
    </w:p>
    <w:p>
      <w:pPr>
        <w:spacing w:before="0" w:after="80" w:lineRule="auto" w:line="276"/>
      </w:pPr>
      <w:r>
        <w:rPr>
          <w:b/>
        </w:rPr>
        <w:t xml:space="preserve">摘要（ZH）: </w:t>
      </w:r>
      <w:r>
        <w:t>建筑材料从几何结构中获得功能，但传统的基于单元的设计限制了功能异质性、几何适应性和对缺陷的鲁棒性。受自然形态发生的启发，我们引入了 RDGenCAD，这是一种形态发生设计框架，可将可编程生长规则转化为反应扩散动力学，以生成自组织、可用于 CAD 的架构。尽管存在明显的几何不规则性，但包含 120,000 个形态发生结构的数据库揭示了拉胀和传统状态下弹性特性的统计确定性和连续可调性。这些结构通过应力划分进一步表现出对紧急缺陷的不敏感性和裂纹偏转，从而导致相对于规则晶格的强度和韧性的协同增益。通过将建筑材料设计从单位单元镶嵌转变为可编程形态生成生长，这项工作将自组织确立为一种生成原则，用于设计不规则但可预测、异构但“连贯”且可直接制造的材料。</w:t>
      </w:r>
    </w:p>
    <w:p>
      <w:pPr>
        <w:spacing w:before="0" w:after="200" w:lineRule="auto" w:line="276"/>
      </w:pPr>
      <w:r>
        <w:rPr>
          <w:b/>
        </w:rPr>
        <w:t xml:space="preserve">Abstract (EN): </w:t>
      </w:r>
      <w:r>
        <w:t>Architected materials derive functionality from geometry, yet conventional unit cell–based design limits functional heterogeneity, geometric adaptability, and robustness to defects. Inspired by natural morphogenesis, we introduce RDGenCAD, a morphogenetic design framework that translates programmable growth rules into reaction–diffusion dynamics to generate self-organized, CAD-ready architectures. A database of 120,000 morphogenetic structures reveals statistically deterministic and continuous tunability of elastic properties across auxetic and conventional regimes, despite pronounced geometric irregularity. These architectures further exhibit emergent flaw insensitivity and crack deflection through stress compartmentalization, leading to synergistic gains in strength and toughness relative to regular lattices. By shifting architected material design from unit-cell tessellation to programmable morphogenetic growth, this work establishes self-organization as a generative principle for designing materials that are irregular yet predictable, heterogeneous yet “coherent,” and directly manufacturable.</w:t>
      </w:r>
    </w:p>
    <w:p>
      <w:pPr>
        <w:spacing w:before="120" w:after="120"/>
      </w:pPr>
      <w:r>
        <w:rPr>
          <w:sz w:val="18"/>
        </w:rPr>
        <w:t>——————————————————————————————————————————————————————————————————————</w:t>
      </w:r>
    </w:p>
    <w:p>
      <w:pPr>
        <w:spacing w:before="160" w:after="40" w:line="240" w:lineRule="auto"/>
      </w:pPr>
      <w:r>
        <w:rPr>
          <w:b/>
        </w:rPr>
        <w:t xml:space="preserve">[144] </w:t>
      </w:r>
      <w:hyperlink r:id="rId443">
        <w:r>
          <w:rPr>
            <w:color w:val="1155CC"/>
            <w:u w:val="single"/>
          </w:rPr>
          <w:t>Rpc34 翼状螺旋在 RNA 聚合酶 III 延伸复合物中的动态定位及其稳定性及其对重新启动的影响</w:t>
        </w:r>
      </w:hyperlink>
    </w:p>
    <w:p>
      <w:pPr>
        <w:spacing w:before="0" w:after="80"/>
      </w:pPr>
      <w:r>
        <w:rPr>
          <w:i/>
          <w:sz w:val="20"/>
        </w:rPr>
        <w:t>EN: Dynamic positioning of Rpc34 winged helix in RNA polymerase III elongation complex for its stability with implications for reinitiation</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44">
        <w:r>
          <w:rPr>
            <w:color w:val="1155CC"/>
            <w:u w:val="single"/>
          </w:rPr>
          <w:t>10.1073/pnas.2601775123</w:t>
        </w:r>
      </w:hyperlink>
    </w:p>
    <w:p>
      <w:pPr>
        <w:spacing w:before="0" w:after="120"/>
      </w:pPr>
      <w:r>
        <w:rPr>
          <w:b/>
        </w:rPr>
        <w:t xml:space="preserve">Notes: </w:t>
      </w:r>
      <w:r>
        <w:t>abstract_source=crossref</w:t>
      </w:r>
    </w:p>
    <w:p>
      <w:pPr>
        <w:spacing w:before="0" w:after="80" w:lineRule="auto" w:line="276"/>
      </w:pPr>
      <w:r>
        <w:rPr>
          <w:b/>
        </w:rPr>
        <w:t xml:space="preserve">摘要（ZH）: </w:t>
      </w:r>
      <w:r>
        <w:t>RNA 聚合酶 III (Pol III) 专门用于短 RNA 的高通量合成，这种能力与其独特的 TFIIE 和 TFIIF 样亚复合物相关，这些亚复合物在转录的不同阶段稳定相关。迄今为止，TFIIE 样亚复合物中 Rpc34 亚基的翼状螺旋结构域 (WH2) 在延伸过程中的作用仍然是一个难题，因为它的密度在 Pol III 延伸复合物 (EC) 的冷冻电镜结构中始终不存在，表明其构象迁移率较高。在本研究中，我们采用单分子福斯特共振能量转移 (smFRET) 和纳米定位三角测量来表征动力学并确定 Rpc34-WH2 结构域在具有转录能力但非易位的 Pol III EC 内的位置。为了实现所需的位点特异性标记，我们开发了一种化学生物学框架，该框架利用携带叠氮基的非天然氨基酸掺入和硫醇封端策略来消除脱靶的炔烃-硫醇交叉反应性。以 Rpc34-WH2 上的受体和 DNA 模板上指定位置上的供体作为参考点，我们的 smFRET 结果表明，Rpc34-WH2 在三个离散状态之间动态转变，对应于 DNA 结合裂口下游、中部和上游区域的首选位置位点。其中一个位点与 Rpc34-WH2 在起始复合物中的位置一致，表明转录状态之间的位置相似性。与之前的 Pol I 和 Pol II 研究一起，这些发现确立了 Rpc34-WH2 作为一种移动监管 e</w:t>
      </w:r>
    </w:p>
    <w:p>
      <w:pPr>
        <w:spacing w:before="0" w:after="200" w:lineRule="auto" w:line="276"/>
      </w:pPr>
      <w:r>
        <w:rPr>
          <w:b/>
        </w:rPr>
        <w:t xml:space="preserve">Abstract (EN): </w:t>
      </w:r>
      <w:r>
        <w:t>RNA polymerase III (Pol III) is specialized for the high-throughput synthesis of short RNAs, a capability linked to its unique TFIIE- and TFIIF-like subcomplexes that are stably associated through different stages of transcription. To date, the role of a winged helix domain (WH2) of Rpc34 subunit in the TFIIE-like subcomplex during elongation has remained a conundrum because its density is consistently absent in cryo-EM structures of Pol III elongation complexes (ECs), suggesting its high conformational mobility. In this study, we employed single-molecule Förster resonance energy transfer (smFRET) and nano-positioning triangulation to characterize the dynamics and determine the position of the Rpc34-WH2 domain within transcription-competent but nontranslocating Pol III ECs. To achieve the required site-specific labeling, we developed a chemical biology framework that utilizes azido-carrying unnatural amino acid incorporation and a thiol-capping strategy to eliminate off-target alkyne-thiol cross-reactivity. With the acceptor at Rpc34-WH2 and the donor at a defined position on the DNA template as the reference point, our smFRET results reveal that Rpc34-WH2 dynamically transitions among three discrete states, corresponding to preferred positional sites in downstream, middle, and upstream regions across the DNA-binding cleft. One of these sites coincides with Rpc34-WH2’s position in the preinitiation complex, indicating positional similarity across transcriptional states. Together with prior Pol I and Pol II studies, these findings establish Rpc34-WH2 as a mobile regulatory element that engages the Pol III EC through transient, weak interactions. Additionally, the bio-orthogonal labeling strategy presented here provides a robust, generalizable route for smFRET studies of large, multisubunit protein assemblies.</w:t>
      </w:r>
    </w:p>
    <w:p>
      <w:pPr>
        <w:spacing w:before="120" w:after="120"/>
      </w:pPr>
      <w:r>
        <w:rPr>
          <w:sz w:val="18"/>
        </w:rPr>
        <w:t>——————————————————————————————————————————————————————————————————————</w:t>
      </w:r>
    </w:p>
    <w:p>
      <w:pPr>
        <w:spacing w:before="160" w:after="40" w:line="240" w:lineRule="auto"/>
      </w:pPr>
      <w:r>
        <w:rPr>
          <w:b/>
        </w:rPr>
        <w:t xml:space="preserve">[145] </w:t>
      </w:r>
      <w:hyperlink r:id="rId445">
        <w:r>
          <w:rPr>
            <w:color w:val="1155CC"/>
            <w:u w:val="single"/>
          </w:rPr>
          <w:t>画布上的自然历史：勃鲁盖尔了解食鸟夜蝠</w:t>
        </w:r>
      </w:hyperlink>
    </w:p>
    <w:p>
      <w:pPr>
        <w:spacing w:before="0" w:after="80"/>
      </w:pPr>
      <w:r>
        <w:rPr>
          <w:i/>
          <w:sz w:val="20"/>
        </w:rPr>
        <w:t>EN: Natural history on canvas: Brueghel knew about bird-eating noctule bats</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46">
        <w:r>
          <w:rPr>
            <w:color w:val="1155CC"/>
            <w:u w:val="single"/>
          </w:rPr>
          <w:t>10.1073/pnas.2536525123</w:t>
        </w:r>
      </w:hyperlink>
    </w:p>
    <w:p>
      <w:pPr>
        <w:spacing w:before="0" w:after="120"/>
      </w:pPr>
      <w:r>
        <w:rPr>
          <w:b/>
        </w:rPr>
        <w:t xml:space="preserve">Notes: </w:t>
      </w:r>
      <w:r>
        <w:t>abstract_source=crossref</w:t>
      </w:r>
    </w:p>
    <w:p>
      <w:pPr>
        <w:spacing w:before="0" w:after="80" w:lineRule="auto" w:line="276"/>
      </w:pPr>
      <w:r>
        <w:rPr>
          <w:b/>
        </w:rPr>
        <w:t xml:space="preserve">摘要（ZH）: </w:t>
      </w:r>
      <w:r>
        <w:t>最近的一项研究提供了第一个直接证据，表明大结节蝙蝠（</w:t>
      </w:r>
      <w:r>
        <w:t xml:space="preserve"> </w:t>
      </w:r>
      <w:r>
        <w:t>毛翅夜蛾</w:t>
      </w:r>
      <w:r>
        <w:t xml:space="preserve"> </w:t>
      </w:r>
      <w:r>
        <w:t>）结合生物记录、声学和运动监测以及分子分析，捕食飞行中夜间迁徙的雀形目鸟类。这一结果建立在过去二十年积累的证据的基础上。该研究始于第一项报告该蝙蝠粪便中存在雀形羽毛的研究。随后的粪便颗粒分析显示，迁徙鸟类猎物的消耗达到峰值，这与迁徙期一致。这些证据在最近的出版物中达到了顶峰，证明更大的结节捕获并捕食在高海拔飞行的候鸟。在这里，我们表明这种相互作用是在四个多世纪前描绘的。老扬·勃鲁盖尔 (Jan Brueghel the Elder) 的油画《Air》（1611 年）详细描绘了 60 多种鸟类，其中还包括了三种蝙蝠。其中一只明显是夜蛾，嘴里叼着一只​​小雀形目动物，正在飞行。尽管所描绘的行为并不完全符合当代对猎物处理的描述，但这一捕食场景的特殊性表明艺术家对更大的小结中的这种行为有一定的熟悉性。随着艺术收藏品数字化的加速和分析工具的不断进步，这些来源的价值在于提供有价值的数据（以前难以提取且经常被忽视）并补充现代研究方法</w:t>
      </w:r>
    </w:p>
    <w:p>
      <w:pPr>
        <w:spacing w:before="0" w:after="200" w:lineRule="auto" w:line="276"/>
      </w:pPr>
      <w:r>
        <w:rPr>
          <w:b/>
        </w:rPr>
        <w:t xml:space="preserve">Abstract (EN): </w:t>
      </w:r>
      <w:r>
        <w:t>A recent study has provided the first direct evidence that the greater noctule bat (</w:t>
      </w:r>
      <w:r>
        <w:t xml:space="preserve"> </w:t>
      </w:r>
      <w:r>
        <w:t>Nyctalus lasiopterus</w:t>
      </w:r>
      <w:r>
        <w:t xml:space="preserve"> </w:t>
      </w:r>
      <w:r>
        <w:t>) preys on and consume nocturnally migrating passerines in flight, using a combination of biologging, acoustic and movement monitoring, and molecular analyses. This result builds upon evidence accumulated over the past two decades. The research began with the first study reporting passerine feathers in the feces of this bat species. Subsequent fecal pellet analyses revealed peaks in the consumption of migratory avian prey, which coincided with migration periods. This body of evidence culminated in the recent publication demonstrating that greater noctules capture and consume migratory birds in flight at high altitudes. Here, we show that this interaction was depicted more than four centuries ago. In the canvas Air (1611), a painting by Jan Brueghel the Elder that contains detailed representations of more than 60 bird species, the artist also included three bat species. One of them, unmistakably identified as noctule bat, is represented in flight with a small passerine in its mouth. Although the behavior portrayed does not fully match contemporary descriptions of prey handling, the specificity of this predation scene suggests some familiarity of the artist with this behavior in the greater noctule. As the digitization of art collections accelerates and analytical tools continue to advance, the value of these sources to provide valuable data—previously difficult to extract and often overlooked—and complement modern research approaches will notably increase.</w:t>
      </w:r>
    </w:p>
    <w:p>
      <w:pPr>
        <w:spacing w:before="120" w:after="120"/>
      </w:pPr>
      <w:r>
        <w:rPr>
          <w:sz w:val="18"/>
        </w:rPr>
        <w:t>——————————————————————————————————————————————————————————————————————</w:t>
      </w:r>
    </w:p>
    <w:p>
      <w:pPr>
        <w:spacing w:before="160" w:after="40" w:line="240" w:lineRule="auto"/>
      </w:pPr>
      <w:r>
        <w:rPr>
          <w:b/>
        </w:rPr>
        <w:t xml:space="preserve">[146] </w:t>
      </w:r>
      <w:hyperlink r:id="rId447">
        <w:r>
          <w:rPr>
            <w:color w:val="1155CC"/>
            <w:u w:val="single"/>
          </w:rPr>
          <w:t>绘制体内紫色细菌的光捕获图</w:t>
        </w:r>
      </w:hyperlink>
    </w:p>
    <w:p>
      <w:pPr>
        <w:spacing w:before="0" w:after="80"/>
      </w:pPr>
      <w:r>
        <w:rPr>
          <w:i/>
          <w:sz w:val="20"/>
        </w:rPr>
        <w:t>EN: Charting light harvesting in purple bacteria in vivo</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48">
        <w:r>
          <w:rPr>
            <w:color w:val="1155CC"/>
            <w:u w:val="single"/>
          </w:rPr>
          <w:t>10.1073/pnas.2537487123</w:t>
        </w:r>
      </w:hyperlink>
    </w:p>
    <w:p>
      <w:pPr>
        <w:spacing w:before="0" w:after="120"/>
      </w:pPr>
      <w:r>
        <w:rPr>
          <w:b/>
        </w:rPr>
        <w:t xml:space="preserve">Notes: </w:t>
      </w:r>
      <w:r>
        <w:t>abstract_source=crossref</w:t>
      </w:r>
    </w:p>
    <w:p>
      <w:pPr>
        <w:spacing w:before="0" w:after="80" w:lineRule="auto" w:line="276"/>
      </w:pPr>
      <w:r>
        <w:rPr>
          <w:b/>
        </w:rPr>
        <w:t xml:space="preserve">摘要（ZH）: </w:t>
      </w:r>
      <w:r>
        <w:t>要了解光养细菌中太阳能收集的显着量子效率，需要清楚地描述组成光合装置的各个复合体之间的功能连接。尽管自 20 世纪 80 年代以来在理解孤立复合物内的能量传递动力学方面取得了重大进展，但有关完整细胞中复合物间过程的信息仍然很少。原因之一是完整系统非常复杂，导致光谱高度拥挤，尤其是在室温下。二维电子光谱 (2DES) 是一种非常适合区分不同子系统并解开其响应的方法，因为激发能量是沿着光谱的“第二维”解析的。然而，由于此类样品的高散射特性，对完整光合系统（例如整个细菌细胞）进行 2DES 具有挑战性。通过旨在减少散射的 2DES 设置，我们能够克服这些限制。在这里，我们展示了紫色光合细菌完整细胞的生理温度测量</w:t>
      </w:r>
      <w:r>
        <w:t xml:space="preserve"> </w:t>
      </w:r>
      <w:r>
        <w:t>球形红杆菌</w:t>
      </w:r>
      <w:r>
        <w:t xml:space="preserve"> </w:t>
      </w:r>
      <w:r>
        <w:t>，这使我们能够以飞秒分辨率完整地绘制完整光合作用单元中的能量传递过程，从天线复合体 LH2 和 LH1 中的初始光捕获步骤到激发到达反应中心。特别是，我们观察到反应中心中电荷分离的清晰特征的出现，作为强</w:t>
      </w:r>
    </w:p>
    <w:p>
      <w:pPr>
        <w:spacing w:before="0" w:after="200" w:lineRule="auto" w:line="276"/>
      </w:pPr>
      <w:r>
        <w:rPr>
          <w:b/>
        </w:rPr>
        <w:t xml:space="preserve">Abstract (EN): </w:t>
      </w:r>
      <w:r>
        <w:t>Understanding the remarkable quantum efficiency of solar energy collection in phototrophic bacteria requires a clear description of the functional connectivity between the individual complexes comprising the photosynthetic apparatus. While significant progress has been made since the 1980s in understanding energy transfer dynamics within isolated complexes, information about intercomplex processes in intact cells is still sparse. One reason is the great complexity of intact systems that leads to highly congested spectra, especially at room temperature. Two-dimensional electronic spectroscopy (2DES) is a method that is well suited to discriminating between different subsystems and disentangling their responses, since the excitation energy is resolved along the “second dimension” of the spectra. However, 2DES on intact photosynthetic systems such as whole bacterial cells is challenging due to the high scattering properties of such samples. With a 2DES setup designed to reduce scattering, we were able to overcome these limitations. Here, we present physiological temperature measurements on intact cells of the purple photosynthetic bacterium</w:t>
      </w:r>
      <w:r>
        <w:t xml:space="preserve"> </w:t>
      </w:r>
      <w:r>
        <w:t>Rhodobacter sphaeroides</w:t>
      </w:r>
      <w:r>
        <w:t xml:space="preserve"> </w:t>
      </w:r>
      <w:r>
        <w:t>, which enabled us to fully map the energy transfer processes in an intact photosynthetic unit with femtosecond resolution, from the initial light-harvesting steps in the antenna complexes LH2 and LH1 through to arrival of the excitation to the reaction center. In particular, we observe the appearance of a clear signature of charge separation in the reaction center as a strong electrochromic band-shift signal. Through a global analysis approach, we extract the effective time constants for all these processes and expand the existing picture of how bacterial light harvesting works in vivo.</w:t>
      </w:r>
    </w:p>
    <w:p>
      <w:pPr>
        <w:spacing w:before="120" w:after="120"/>
      </w:pPr>
      <w:r>
        <w:rPr>
          <w:sz w:val="18"/>
        </w:rPr>
        <w:t>——————————————————————————————————————————————————————————————————————</w:t>
      </w:r>
    </w:p>
    <w:p>
      <w:pPr>
        <w:spacing w:before="160" w:after="40" w:line="240" w:lineRule="auto"/>
      </w:pPr>
      <w:r>
        <w:rPr>
          <w:b/>
        </w:rPr>
        <w:t xml:space="preserve">[147] </w:t>
      </w:r>
      <w:hyperlink r:id="rId449">
        <w:r>
          <w:rPr>
            <w:color w:val="1155CC"/>
            <w:u w:val="single"/>
          </w:rPr>
          <w:t>BetaDescribe：提供蛋白质序列的丰富描述</w:t>
        </w:r>
      </w:hyperlink>
    </w:p>
    <w:p>
      <w:pPr>
        <w:spacing w:before="0" w:after="80"/>
      </w:pPr>
      <w:r>
        <w:rPr>
          <w:i/>
          <w:sz w:val="20"/>
        </w:rPr>
        <w:t>EN: BetaDescribe: Providing rich descriptions from protein sequences</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50">
        <w:r>
          <w:rPr>
            <w:color w:val="1155CC"/>
            <w:u w:val="single"/>
          </w:rPr>
          <w:t>10.1073/pnas.2537345123</w:t>
        </w:r>
      </w:hyperlink>
    </w:p>
    <w:p>
      <w:pPr>
        <w:spacing w:before="0" w:after="120"/>
      </w:pPr>
      <w:r>
        <w:rPr>
          <w:b/>
        </w:rPr>
        <w:t xml:space="preserve">Notes: </w:t>
      </w:r>
      <w:r>
        <w:t>abstract_source=crossref</w:t>
      </w:r>
    </w:p>
    <w:p>
      <w:pPr>
        <w:spacing w:before="0" w:after="80" w:lineRule="auto" w:line="276"/>
      </w:pPr>
      <w:r>
        <w:rPr>
          <w:b/>
        </w:rPr>
        <w:t xml:space="preserve">摘要（ZH）: </w:t>
      </w:r>
      <w:r>
        <w:t>破译蛋白质功能是医学和生物技术进步的基础。然而，传统的实验表征仍然是资源密集型的。公共大语言模型（LLM）虽然精通自然语言处理，但通常无法准确解释和预测蛋白质的功能和结构特性，限制了它们在生物信息学中的实用性。为了解决这一差距，我们引入了 BetaDescribe，旨在生成详细且丰富的蛋白质文本描述，包括其功能、催化活性、特定代谢途径的参与、亚细胞定位以及特定域的存在。经过训练的 BetaDescribe 模型接收蛋白质序列作为输入，并输出这些属性的文本描述。 BetaDescribe 的起点是 LLAMA2 模型，该模型经过数万亿代币的训练。接下来，我们的模型在包含生物和英语文本的数据集上进行了训练，这使得可以合并生物知识。除了描述生成器之外，BetaDescribe 还包括多个验证器模型和一个判断器，它们共同实现了替代生成描述的准确排名。我们通过提供与公共数据集中具有功能描述的蛋白质几乎没有或没有序列相似性的蛋白质描述来证明 BetaDescribe 的实用性。使用计算机诱变，我们进一步表明 BetaDescribe 依赖于功能重要的区域，作为其预测的一部分，这表明该模型识别了对功能重要的区域</w:t>
      </w:r>
    </w:p>
    <w:p>
      <w:pPr>
        <w:spacing w:before="0" w:after="200" w:lineRule="auto" w:line="276"/>
      </w:pPr>
      <w:r>
        <w:rPr>
          <w:b/>
        </w:rPr>
        <w:t xml:space="preserve">Abstract (EN): </w:t>
      </w:r>
      <w:r>
        <w:t>Deciphering protein function is fundamental to advancements in medicine and biotechnology. However, conventional experimental characterization remains resource-intensive. Public large language models (LLMs), though proficient in natural language processing, often fail to accurately interpret and predict the functional and structural properties of proteins, limiting their utility in bioinformatics. To address this gap, we introduce BetaDescribe, designed to generate detailed and rich textual descriptions of proteins, including their function, catalytic activity, involvement in specific metabolic pathways, subcellular localizations, and the presence of specific domains. The trained BetaDescribe model receives protein sequences as input and outputs a textual description of these properties. BetaDescribe starting point was the LLAMA2 model, which was trained on trillions of tokens. Our model was next trained on datasets containing both biological and English text, which allowed the incorporation of biological knowledge. In addition to the description generator, BetaDescribe comprises multiple validator models and a judge, which together enable accurate ranking of alternative generated descriptions. We demonstrate the utility of BetaDescribe by providing descriptions for proteins that share little to no sequence similarity to proteins with functional descriptions in public datasets. Using in silico mutagenesis, we further show that BetaDescribe relies on functionally important regions, as part of its prediction, suggesting that the model identifies regions of importance for the protein functionality without needing homologous sequence. BetaDescribe offers a powerful tool to explore protein functionality, augmenting existing approaches such as annotation transfer based on sequence or structure similarity.</w:t>
      </w:r>
    </w:p>
    <w:p>
      <w:pPr>
        <w:spacing w:before="120" w:after="120"/>
      </w:pPr>
      <w:r>
        <w:rPr>
          <w:sz w:val="18"/>
        </w:rPr>
        <w:t>——————————————————————————————————————————————————————————————————————</w:t>
      </w:r>
    </w:p>
    <w:p>
      <w:pPr>
        <w:spacing w:before="160" w:after="40" w:line="240" w:lineRule="auto"/>
      </w:pPr>
      <w:r>
        <w:rPr>
          <w:b/>
        </w:rPr>
        <w:t xml:space="preserve">[148] </w:t>
      </w:r>
      <w:hyperlink r:id="rId451">
        <w:r>
          <w:rPr>
            <w:color w:val="1155CC"/>
            <w:u w:val="single"/>
          </w:rPr>
          <w:t>ILK 与 β1 整合素的结合是间接的，并由 kindlin-2 介导</w:t>
        </w:r>
      </w:hyperlink>
    </w:p>
    <w:p>
      <w:pPr>
        <w:spacing w:before="0" w:after="80"/>
      </w:pPr>
      <w:r>
        <w:rPr>
          <w:i/>
          <w:sz w:val="20"/>
        </w:rPr>
        <w:t>EN: ILK binding to β1 integrin is indirect and mediated by kindlin-2</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52">
        <w:r>
          <w:rPr>
            <w:color w:val="1155CC"/>
            <w:u w:val="single"/>
          </w:rPr>
          <w:t>10.1073/pnas.2537126123</w:t>
        </w:r>
      </w:hyperlink>
    </w:p>
    <w:p>
      <w:pPr>
        <w:spacing w:before="0" w:after="120"/>
      </w:pPr>
      <w:r>
        <w:rPr>
          <w:b/>
        </w:rPr>
        <w:t xml:space="preserve">Notes: </w:t>
      </w:r>
      <w:r>
        <w:t>abstract_source=crossref</w:t>
      </w:r>
    </w:p>
    <w:p>
      <w:pPr>
        <w:spacing w:before="0" w:after="80" w:lineRule="auto" w:line="276"/>
      </w:pPr>
      <w:r>
        <w:rPr>
          <w:b/>
        </w:rPr>
        <w:t xml:space="preserve">摘要（ZH）: </w:t>
      </w:r>
      <w:r>
        <w:t>整合素连接激酶 (ILK) 和 kindlin-2 (K2) 是调节细胞-基质粘附和整合素信号转导的粘着斑 (FA) 的关键组成部分。这两种蛋白质直接相互结合，但它们如何影响彼此在 FA 上的定位以及与整合素的结合仍然是一个持续争论的话题。在这里，我们建立了一个敏感的工作流程，通过结合生物化学、细胞生物学和超分辨率显微镜的方法来研究细胞中蛋白质-蛋白质相互作用。与分析框架一起，这种方法使我们能够区分直接分子相互作用和间接分子相互作用并构建详细的相互作用网络。破坏 ILK-K2 相互作用会减少 ILK 对 FA 的定位并损害整合素功能，而 K2 募集不受影响。我们的跨学科方法还表明，ILK 在体外和细胞内并不直接结合 β1-整合素胞质结构域。相反，ILK 完全通过 K2 依赖性机制被招募到整合素，主要是通过 K2 桥接 ILK 和 β1 整合素。这些发现定义了 FA 中 ILK 和 K2 之间的层次关系，并强调了 K2 介导的 ILK 募集对于整合素粘附和信号传导的重要作用。</w:t>
      </w:r>
    </w:p>
    <w:p>
      <w:pPr>
        <w:spacing w:before="0" w:after="200" w:lineRule="auto" w:line="276"/>
      </w:pPr>
      <w:r>
        <w:rPr>
          <w:b/>
        </w:rPr>
        <w:t xml:space="preserve">Abstract (EN): </w:t>
      </w:r>
      <w:r>
        <w:t>Integrin-linked kinase (ILK) and kindlin-2 (K2) are key components of focal adhesions (FAs) that regulate cell–matrix adhesion and integrin signaling. Both proteins directly bind each other, but how they influence each other’s localization to FAs and binding to integrins remains a subject of ongoing debate. Here, we establish a sensitive workflow to study protein–protein interactions in cells by combining methods from biochemistry, cell biology, and superresolution microscopy. Together with an analytical framework, this approach allowed us to distinguish direct from indirect molecular interactions and construct detailed interaction networks. Disrupting the ILK–K2 interaction reduced ILK localization to FAs and compromised integrin function, whereas K2 recruitment was unaffected. Our interdisciplinary approach also revealed that ILK does not directly bind β1-integrin cytosolic domains in vitro and in cells. Instead, ILK was recruited to integrins exclusively through a K2-dependent mechanism, primarily via K2 bridging ILK and β1 integrins. These findings define the hierarchical relationship between ILK and K2 in FAs and highlight the essential role of K2-mediated ILK recruitment for integrin adhesion and signaling.</w:t>
      </w:r>
    </w:p>
    <w:p>
      <w:pPr>
        <w:spacing w:before="120" w:after="120"/>
      </w:pPr>
      <w:r>
        <w:rPr>
          <w:sz w:val="18"/>
        </w:rPr>
        <w:t>——————————————————————————————————————————————————————————————————————</w:t>
      </w:r>
    </w:p>
    <w:p>
      <w:pPr>
        <w:spacing w:before="160" w:after="40" w:line="240" w:lineRule="auto"/>
      </w:pPr>
      <w:r>
        <w:rPr>
          <w:b/>
        </w:rPr>
        <w:t xml:space="preserve">[149] </w:t>
      </w:r>
      <w:hyperlink r:id="rId453">
        <w:r>
          <w:rPr>
            <w:color w:val="1155CC"/>
            <w:u w:val="single"/>
          </w:rPr>
          <w:t>核苷酸多样性不能很好地预测短期适应潜力</w:t>
        </w:r>
      </w:hyperlink>
    </w:p>
    <w:p>
      <w:pPr>
        <w:spacing w:before="0" w:after="80"/>
      </w:pPr>
      <w:r>
        <w:rPr>
          <w:i/>
          <w:sz w:val="20"/>
        </w:rPr>
        <w:t>EN: Nucleotide diversity is a poor predictor of short-term adaptive potential</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54">
        <w:r>
          <w:rPr>
            <w:color w:val="1155CC"/>
            <w:u w:val="single"/>
          </w:rPr>
          <w:t>10.1073/pnas.2536181123</w:t>
        </w:r>
      </w:hyperlink>
    </w:p>
    <w:p>
      <w:pPr>
        <w:spacing w:before="0" w:after="120"/>
      </w:pPr>
      <w:r>
        <w:rPr>
          <w:b/>
        </w:rPr>
        <w:t xml:space="preserve">Notes: </w:t>
      </w:r>
      <w:r>
        <w:t>abstract_source=crossref</w:t>
      </w:r>
    </w:p>
    <w:p>
      <w:pPr>
        <w:spacing w:before="0" w:after="80" w:lineRule="auto" w:line="276"/>
      </w:pPr>
      <w:r>
        <w:rPr>
          <w:b/>
        </w:rPr>
        <w:t xml:space="preserve">摘要（ZH）: </w:t>
      </w:r>
      <w:r>
        <w:t>适应能力对于人口在不断变化的世界中避免灭绝至关重要，并被认为是全球保护的优先事项。适应需要影响生存和繁殖力的性状的附加（可遗传）遗传变异，但测量这种变异很困难，特别是在受保护的物种中。相反，分子遗传多样性经常被用来推断适应潜力。然而，鉴于传统分子标记（同种酶和微卫星）与遗传力（加性遗传方差的常见衡量标准）的关系较弱，先前的研究对传统分子标记（同种酶和微卫星）是否适用于此目的提出了质疑。此后，测序技术的进步已将焦点转向核苷酸多样性和功能区域的变异，但其预测适应性潜力的实用性仍存在争议。此外，遗传力本身并不能很好地代表适应潜力，因为它取决于环境差异。我们整理了 193 个真核物种中 2,113 个已发表的进化性估计（一种避免环境混杂的加性遗传方差的衡量标准），并评估了分子多样性预测进化性的效果。我们发现微卫星和核苷酸多样性彼此不显着相关，并且都不能预测进化性。核苷酸多样性解释了进化性中 1.1% 的种间差异，而核苷酸多样性加倍仅对应于进化性的 11.7% 增加。通过理论工作，我们表明这种弱关联是预料之中的。一起，</w:t>
      </w:r>
    </w:p>
    <w:p>
      <w:pPr>
        <w:spacing w:before="0" w:after="200" w:lineRule="auto" w:line="276"/>
      </w:pPr>
      <w:r>
        <w:rPr>
          <w:b/>
        </w:rPr>
        <w:t xml:space="preserve">Abstract (EN): </w:t>
      </w:r>
      <w:r>
        <w:t>The capacity to adapt is essential for a population to avoid extinction in a changing world and is recognized as a global conservation priority. Adaptation requires additive (heritable) genetic variation for traits that influence survival and fecundity, but measuring this variation is difficult, particularly in species of conservation concern. Instead, molecular genetic diversity is often used to infer adaptive potential. However, previous research has cast doubt on the suitability of traditional molecular markers (allozymes and microsatellites) for this purpose given their weak relationship with heritability—a common measure of additive genetic variance. Advances in sequencing technology have since shifted focus toward nucleotide diversity and variation in functional regions, but their practicality for predicting adaptive potential remains debated. Furthermore, heritability itself is a poor proxy for adaptive potential because it depends on environmental variance. We collated 2,113 published estimates of evolvability—a measure of additive genetic variance that avoids environmental confounding—across 193 eukaryotic species, and evaluated how well evolvability is predicted by molecular diversity. We find that microsatellite and nucleotide diversity are not significantly correlated to each other, and neither predict evolvability. Nucleotide diversity explains 1.1% of interspecific differences in evolvability and doubling nucleotide diversity only corresponds to a 11.7% increase in evolvability. With theoretical work, we show that such weak associations are expected. Together, our results suggest that simple molecular measures of genetic variation are insufficient for predicting adaptive potential and reliance on these metrics risks misinforming conservation management.</w:t>
      </w:r>
    </w:p>
    <w:p>
      <w:pPr>
        <w:spacing w:before="120" w:after="120"/>
      </w:pPr>
      <w:r>
        <w:rPr>
          <w:sz w:val="18"/>
        </w:rPr>
        <w:t>——————————————————————————————————————————————————————————————————————</w:t>
      </w:r>
    </w:p>
    <w:p>
      <w:pPr>
        <w:spacing w:before="160" w:after="40" w:line="240" w:lineRule="auto"/>
      </w:pPr>
      <w:r>
        <w:rPr>
          <w:b/>
        </w:rPr>
        <w:t xml:space="preserve">[150] </w:t>
      </w:r>
      <w:hyperlink r:id="rId455">
        <w:r>
          <w:rPr>
            <w:color w:val="1155CC"/>
            <w:u w:val="single"/>
          </w:rPr>
          <w:t>槐叶属的动态基因组重塑了我们对蕨类植物染色体进化的理解</w:t>
        </w:r>
      </w:hyperlink>
    </w:p>
    <w:p>
      <w:pPr>
        <w:spacing w:before="0" w:after="80"/>
      </w:pPr>
      <w:r>
        <w:rPr>
          <w:i/>
          <w:sz w:val="20"/>
        </w:rPr>
        <w:t>EN: The dynamic genomes of Salvinia reshape our understanding of fern chromosome evolution</w:t>
      </w:r>
    </w:p>
    <w:p>
      <w:pPr>
        <w:spacing w:before="0" w:after="120"/>
      </w:pPr>
      <w:r>
        <w:rPr>
          <w:b/>
        </w:rPr>
        <w:t xml:space="preserve">Source: </w:t>
      </w:r>
      <w:r>
        <w:t>Proceedings of the National Academy of Sciences: Keyword search for query</w:t>
      </w:r>
      <w:r>
        <w:t xml:space="preserve">    </w:t>
      </w:r>
      <w:r>
        <w:rPr>
          <w:b/>
        </w:rPr>
        <w:t xml:space="preserve">Pub date: </w:t>
      </w:r>
      <w:r>
        <w:t>2026-06-29 07:00:00+00:00</w:t>
      </w:r>
      <w:r>
        <w:t xml:space="preserve">    </w:t>
      </w:r>
      <w:r>
        <w:rPr>
          <w:b/>
        </w:rPr>
        <w:t xml:space="preserve">DOI: </w:t>
      </w:r>
      <w:hyperlink r:id="rId456">
        <w:r>
          <w:rPr>
            <w:color w:val="1155CC"/>
            <w:u w:val="single"/>
          </w:rPr>
          <w:t>10.1073/pnas.2602084123</w:t>
        </w:r>
      </w:hyperlink>
    </w:p>
    <w:p>
      <w:pPr>
        <w:spacing w:before="0" w:after="120"/>
      </w:pPr>
      <w:r>
        <w:rPr>
          <w:b/>
        </w:rPr>
        <w:t xml:space="preserve">Notes: </w:t>
      </w:r>
      <w:r>
        <w:t>abstract_source=crossref</w:t>
      </w:r>
    </w:p>
    <w:p>
      <w:pPr>
        <w:spacing w:before="0" w:after="80" w:lineRule="auto" w:line="276"/>
      </w:pPr>
      <w:r>
        <w:rPr>
          <w:b/>
        </w:rPr>
        <w:t xml:space="preserve">摘要（ZH）: </w:t>
      </w:r>
      <w:r>
        <w:t>蕨类植物以其异常大的基因组和高染色体数量而闻名，这可能部分归因于全基因组复制（WGD）和缓慢的二倍化。为了更好地理解蕨类植物基因组进化模式，我们重点关注异孢子蕨属</w:t>
      </w:r>
      <w:r>
        <w:t xml:space="preserve"> </w:t>
      </w:r>
      <w:r>
        <w:t>萨尔维尼亚,</w:t>
      </w:r>
      <w:r>
        <w:t xml:space="preserve"> </w:t>
      </w:r>
      <w:r>
        <w:t>它在基因组大小和染色体数量上表现出显着的变化。我们生成了染色体水平的基因组组装</w:t>
      </w:r>
      <w:r>
        <w:t xml:space="preserve"> </w:t>
      </w:r>
      <w:r>
        <w:t>槐叶菊，</w:t>
      </w:r>
      <w:r>
        <w:t xml:space="preserve"> </w:t>
      </w:r>
      <w:r>
        <w:t>基因组最小的蕨类植物，以及</w:t>
      </w:r>
      <w:r>
        <w:t xml:space="preserve"> </w:t>
      </w:r>
      <w:r>
        <w:t>鼠尾藻，</w:t>
      </w:r>
      <w:r>
        <w:t xml:space="preserve"> </w:t>
      </w:r>
      <w:r>
        <w:t>一种全球入侵物种，被广泛认为是异五倍体。令人惊讶的是，我们发现</w:t>
      </w:r>
      <w:r>
        <w:t xml:space="preserve"> </w:t>
      </w:r>
      <w:r>
        <w:t>梨沙门氏菌</w:t>
      </w:r>
      <w:r>
        <w:t xml:space="preserve"> </w:t>
      </w:r>
      <w:r>
        <w:t>实际上是二倍体杂种</w:t>
      </w:r>
      <w:r>
        <w:t xml:space="preserve"> </w:t>
      </w:r>
      <w:r>
        <w:t>库库拉塔</w:t>
      </w:r>
      <w:r>
        <w:t xml:space="preserve"> </w:t>
      </w:r>
      <w:r>
        <w:t>，尽管基因组比</w:t>
      </w:r>
      <w:r>
        <w:t xml:space="preserve"> </w:t>
      </w:r>
      <w:r>
        <w:t>梨沙门氏菌</w:t>
      </w:r>
      <w:r>
        <w:t xml:space="preserve"> </w:t>
      </w:r>
      <w:r>
        <w:t>，具有更多的染色体。这两个物种都缺乏任何最近的全基因组测序，并且它们高度可变的基因组主要是由转座元件增殖和染色体重排形成的。染色体数目和基因组大小的完全解耦</w:t>
      </w:r>
      <w:r>
        <w:t xml:space="preserve"> </w:t>
      </w:r>
      <w:r>
        <w:t>槐树属</w:t>
      </w:r>
      <w:r>
        <w:t xml:space="preserve"> </w:t>
      </w:r>
      <w:r>
        <w:t>这与蕨类植物的典型模式形成鲜明对比，蕨类植物大多是同孢子，通过减数分裂仅产生一种类型的孢子。观察到的许多基因组特征</w:t>
      </w:r>
      <w:r>
        <w:t xml:space="preserve"> </w:t>
      </w:r>
      <w:r>
        <w:t>槐树属</w:t>
      </w:r>
      <w:r>
        <w:t xml:space="preserve"> </w:t>
      </w:r>
      <w:r>
        <w:t>与雌性减数分裂驱动导致的基因组变化一致，这种机制仅在产生</w:t>
      </w:r>
    </w:p>
    <w:p>
      <w:pPr>
        <w:spacing w:before="0" w:after="200" w:lineRule="auto" w:line="276"/>
      </w:pPr>
      <w:r>
        <w:rPr>
          <w:b/>
        </w:rPr>
        <w:t xml:space="preserve">Abstract (EN): </w:t>
      </w:r>
      <w:r>
        <w:t>Ferns are well known for their exceptionally large genomes and high chromosome numbers, which may be in part due to whole genome duplications (WGDs) followed by slow diploidization. To better understand the mode of fern genome evolution, we focus on the heterosporous fern genus</w:t>
      </w:r>
      <w:r>
        <w:t xml:space="preserve"> </w:t>
      </w:r>
      <w:r>
        <w:t>Salvinia,</w:t>
      </w:r>
      <w:r>
        <w:t xml:space="preserve"> </w:t>
      </w:r>
      <w:r>
        <w:t>which exhibits striking variation in genome size and chromosome number. We generated chromosome-level genome assemblies for</w:t>
      </w:r>
      <w:r>
        <w:t xml:space="preserve"> </w:t>
      </w:r>
      <w:r>
        <w:t>Salvinia cucullata,</w:t>
      </w:r>
      <w:r>
        <w:t xml:space="preserve"> </w:t>
      </w:r>
      <w:r>
        <w:t>the fern with the smallest genome, and</w:t>
      </w:r>
      <w:r>
        <w:t xml:space="preserve"> </w:t>
      </w:r>
      <w:r>
        <w:t>Salvinia molesta,</w:t>
      </w:r>
      <w:r>
        <w:t xml:space="preserve"> </w:t>
      </w:r>
      <w:r>
        <w:t>a globally invasive species widely thought to be an allopentaploid. Surprisingly, we found that</w:t>
      </w:r>
      <w:r>
        <w:t xml:space="preserve"> </w:t>
      </w:r>
      <w:r>
        <w:t>S. molesta</w:t>
      </w:r>
      <w:r>
        <w:t xml:space="preserve"> </w:t>
      </w:r>
      <w:r>
        <w:t>is in fact a diploid hybrid and that</w:t>
      </w:r>
      <w:r>
        <w:t xml:space="preserve"> </w:t>
      </w:r>
      <w:r>
        <w:t>S. cucullata</w:t>
      </w:r>
      <w:r>
        <w:t xml:space="preserve"> </w:t>
      </w:r>
      <w:r>
        <w:t>, despite having a genome ten times smaller than</w:t>
      </w:r>
      <w:r>
        <w:t xml:space="preserve"> </w:t>
      </w:r>
      <w:r>
        <w:t>S. molesta</w:t>
      </w:r>
      <w:r>
        <w:t xml:space="preserve"> </w:t>
      </w:r>
      <w:r>
        <w:t>, has substantially more chromosomes. Both species lack any recent WGDs and their highly variable genomes were predominately shaped by transposable element proliferation and chromosome rearrangements. The complete decoupling of chromosome number and genome size in</w:t>
      </w:r>
      <w:r>
        <w:t xml:space="preserve"> </w:t>
      </w:r>
      <w:r>
        <w:t>Salvinia</w:t>
      </w:r>
      <w:r>
        <w:t xml:space="preserve"> </w:t>
      </w:r>
      <w:r>
        <w:t>sharply contrasts the typical pattern in ferns, which are mostly homosporous and produce only one type of spore by meiosis. Many of the genome features observed in</w:t>
      </w:r>
      <w:r>
        <w:t xml:space="preserve"> </w:t>
      </w:r>
      <w:r>
        <w:t>Salvinia</w:t>
      </w:r>
      <w:r>
        <w:t xml:space="preserve"> </w:t>
      </w:r>
      <w:r>
        <w:t>are consistent with genomic changes due to female meiotic drive, a mechanism possible only in heterosporous plants that produce distinct microspores and megaspores. These results redefine the genetic identity of</w:t>
      </w:r>
      <w:r>
        <w:t xml:space="preserve"> </w:t>
      </w:r>
      <w:r>
        <w:t>S. molesta</w:t>
      </w:r>
      <w:r>
        <w:t xml:space="preserve"> </w:t>
      </w:r>
      <w:r>
        <w:t>and provide insights into its invasive success. The marked variation in genome composition and structure within</w:t>
      </w:r>
      <w:r>
        <w:t xml:space="preserve"> </w:t>
      </w:r>
      <w:r>
        <w:t>Salvinia</w:t>
      </w:r>
      <w:r>
        <w:t xml:space="preserve"> </w:t>
      </w:r>
      <w:r>
        <w:t>challenges the prevailing model of fern genome evolution while aligning with expectations for angiosperms, another heterosporous lineage.</w:t>
      </w:r>
    </w:p>
    <w:p>
      <w:pPr>
        <w:spacing w:before="120" w:after="120"/>
      </w:pPr>
      <w:r>
        <w:rPr>
          <w:sz w:val="18"/>
        </w:rPr>
        <w:t>——————————————————————————————————————————————————————————————————————</w:t>
      </w:r>
    </w:p>
    <w:p>
      <w:pPr>
        <w:spacing w:before="160" w:after="40" w:line="240" w:lineRule="auto"/>
      </w:pPr>
      <w:r>
        <w:rPr>
          <w:b/>
        </w:rPr>
        <w:t xml:space="preserve">[151] </w:t>
      </w:r>
      <w:hyperlink r:id="rId457">
        <w:r>
          <w:rPr>
            <w:color w:val="1155CC"/>
            <w:u w:val="single"/>
          </w:rPr>
          <w:t>二维拓扑绝缘体：前景、挑战和未来展望</w:t>
        </w:r>
      </w:hyperlink>
    </w:p>
    <w:p>
      <w:pPr>
        <w:spacing w:before="0" w:after="80"/>
      </w:pPr>
      <w:r>
        <w:rPr>
          <w:i/>
          <w:sz w:val="20"/>
        </w:rPr>
        <w:t>EN: Two‐Dimensional Topological Insulators: Promises, Challenges, and Future Perspectives</w:t>
      </w:r>
    </w:p>
    <w:p>
      <w:pPr>
        <w:spacing w:before="0" w:after="120"/>
      </w:pPr>
      <w:r>
        <w:rPr>
          <w:b/>
        </w:rPr>
        <w:t xml:space="preserve">Source: </w:t>
      </w:r>
      <w:r>
        <w:t>Wiley: Advanced Materials: Table of Contents</w:t>
      </w:r>
      <w:r>
        <w:t xml:space="preserve">    </w:t>
      </w:r>
      <w:r>
        <w:rPr>
          <w:b/>
        </w:rPr>
        <w:t xml:space="preserve">Pub date: </w:t>
      </w:r>
      <w:r>
        <w:t>2026-06-29 08:01:17+00:00</w:t>
      </w:r>
      <w:r>
        <w:t xml:space="preserve">    </w:t>
      </w:r>
      <w:r>
        <w:rPr>
          <w:b/>
        </w:rPr>
        <w:t xml:space="preserve">DOI: </w:t>
      </w:r>
      <w:hyperlink r:id="rId458">
        <w:r>
          <w:rPr>
            <w:color w:val="1155CC"/>
            <w:u w:val="single"/>
          </w:rPr>
          <w:t>10.1002/adma.202600030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量子自旋霍尔（QSH）效应代表了一种典型的二维拓扑相，其中时间反转对称性保护了与绝缘体共存的无耗散、自旋极化螺旋边缘态。由于其无磁场操作、固有的自旋动量锁定和电可调拓扑，QSH 态长期以来被认为是超低功耗、超快电子学、自旋电子学和拓扑量子计算的有前途的平台。尽管这一愿景令人信服，但基于 QSH 的功能的实验实现仍然局限于有限数量的材料系统和设备几何形状，通常在低温和有限的长度尺度下运行。在本视角中，我们通过综合 QSH 效应的核心前景并分析阻碍其技术转化的内在材料限制和外在功能瓶颈，批判性地重新评估该领域。我们认为，未来的进展不仅取决于新型 QSH 材料的发现，还取决于通过大间隙系统、化学鲁棒平台以及相互作用或邻近诱导相进行拓扑功能的工程。从这个角度来看，QSH 效应并不是一种停滞不前的技术，而是作为设计下一代电子、自旋电子和量子器件的基础框架。</w:t>
      </w:r>
    </w:p>
    <w:p>
      <w:pPr>
        <w:spacing w:before="0" w:after="200" w:lineRule="auto" w:line="276"/>
      </w:pPr>
      <w:r>
        <w:rPr>
          <w:b/>
        </w:rPr>
        <w:t xml:space="preserve">Abstract (EN): </w:t>
      </w:r>
      <w:r>
        <w:t>The quantum spin Hall (QSH) effect represents a prototypical 2D topological phase in which time‐reversal symmetry protects dissipationless, spin‐polarized helical edge states coexisting with an insulating bulk. Owing to its magnetic‐field‐free operation, intrinsic spin–momentum locking, and electrically tunable topology, the QSH state has long been regarded as a promising platform for ultra‐low‐power, ultra‐fast electronics, spintronics, and topological quantum computation. Despite this compelling vision, experimental realizations of QSH‐based functionalities remain confined to a limited number of material systems and device geometries, typically operating at cryogenic temperatures and over restricted length scales. In this Perspective, we critically reassess the field by synthesizing the central promises of the QSH effect and analyzing the intrinsic material limitations and extrinsic functional bottlenecks that have hindered its technological translation. We argue that future progress will depend not only on the discovery of novel QSH materials but also on the engineering of topological functionality through large‐gap systems, chemically robust platforms, and interaction‐ or proximity‐induced phases. Viewed from this perspective, the QSH effect emerges not as a stalled technology, but as a foundational framework for designing next‐generation electronic, spintronic, and quantum devices.</w:t>
      </w:r>
    </w:p>
    <w:p>
      <w:pPr>
        <w:spacing w:before="120" w:after="120"/>
      </w:pPr>
      <w:r>
        <w:rPr>
          <w:sz w:val="18"/>
        </w:rPr>
        <w:t>——————————————————————————————————————————————————————————————————————</w:t>
      </w:r>
    </w:p>
    <w:p>
      <w:pPr>
        <w:spacing w:before="160" w:after="40" w:line="240" w:lineRule="auto"/>
      </w:pPr>
      <w:r>
        <w:rPr>
          <w:b/>
        </w:rPr>
        <w:t xml:space="preserve">[152] </w:t>
      </w:r>
      <w:hyperlink r:id="rId459">
        <w:r>
          <w:rPr>
            <w:color w:val="1155CC"/>
            <w:u w:val="single"/>
          </w:rPr>
          <w:t>用于海洋视觉听觉感知的神经形态内存计算</w:t>
        </w:r>
      </w:hyperlink>
    </w:p>
    <w:p>
      <w:pPr>
        <w:spacing w:before="0" w:after="80"/>
      </w:pPr>
      <w:r>
        <w:rPr>
          <w:i/>
          <w:sz w:val="20"/>
        </w:rPr>
        <w:t>EN: Neuromorphic In‐Memory Computing for Marine Visual‐Auditory Perception</w:t>
      </w:r>
    </w:p>
    <w:p>
      <w:pPr>
        <w:spacing w:before="0" w:after="120"/>
      </w:pPr>
      <w:r>
        <w:rPr>
          <w:b/>
        </w:rPr>
        <w:t xml:space="preserve">Source: </w:t>
      </w:r>
      <w:r>
        <w:t>Wiley: Advanced Materials: Table of Contents</w:t>
      </w:r>
      <w:r>
        <w:t xml:space="preserve">    </w:t>
      </w:r>
      <w:r>
        <w:rPr>
          <w:b/>
        </w:rPr>
        <w:t xml:space="preserve">Pub date: </w:t>
      </w:r>
      <w:r>
        <w:t>2026-06-29 08:08:44+00:00</w:t>
      </w:r>
      <w:r>
        <w:t xml:space="preserve">    </w:t>
      </w:r>
      <w:r>
        <w:rPr>
          <w:b/>
        </w:rPr>
        <w:t xml:space="preserve">DOI: </w:t>
      </w:r>
      <w:hyperlink r:id="rId460">
        <w:r>
          <w:rPr>
            <w:color w:val="1155CC"/>
            <w:u w:val="single"/>
          </w:rPr>
          <w:t>10.1002/adma.73861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海洋环境的探索至关重要，但深海的极端条件，加上当前传感器技术的隔离信号处理，导致系统体积庞大、能耗高、延迟大，严重制约了水下实时智能感知系统的发展。在此，我们开发了一种神经形态浮栅晶体管（NFT），它集成了电学和光学记忆功能，在单个单元内同时模拟视觉和听觉突触行为，从而实现视觉听觉信号的内存双模式处理。在电气方面，它实现了快速开关（∼14 µs）、高开/关比（10</w:t>
      </w:r>
      <w:r>
        <w:rPr>
          <w:vertAlign w:val="subscript"/>
        </w:rPr>
        <w:t>6</w:t>
      </w:r>
      <w:r>
        <w:t>）和强大的耐力（&gt;10</w:t>
      </w:r>
      <w:r>
        <w:rPr>
          <w:vertAlign w:val="subscript"/>
        </w:rPr>
        <w:t>4</w:t>
      </w:r>
      <w:r>
        <w:t>周期）。这样可以使用卷积神经网络 (CNN) 通过声纳回波处理对海底矿物和岩石进行高精度 (88%) 分类。在光学上，NFT 在 405-808 nm 激光脉冲下表现出从短期到长期可塑性的可调谐突触权重调制。该系统利用海水中低衰减的绿光窗口，结合RGB去噪和绿色通道增强预处理，实现了海洋生物图像识别80%的准确率。这种协同光电内存计算架构为复杂水下环境中的智能感知提供了高效、低功耗、紧凑的硬件解决方案。</w:t>
      </w:r>
    </w:p>
    <w:p>
      <w:pPr>
        <w:spacing w:before="0" w:after="200" w:lineRule="auto" w:line="276"/>
      </w:pPr>
      <w:r>
        <w:rPr>
          <w:b/>
        </w:rPr>
        <w:t xml:space="preserve">Abstract (EN): </w:t>
      </w:r>
      <w:r>
        <w:t>The exploration of marine environments is crucial, yet the extreme conditions of the deep‐sea, combined with the segregated signal processing in current sensor technologies, lead to bulky systems, high energy consumption, and significant latency, which severely constrains the development of real‐time intelligent perception systems underwater. Herein, we developed a neuromorphic floating‐gate transistor (NFT) that integrates both electrical and optical memory functionalities, emulating simultaneously visual and auditory synaptic behaviors within a single unit, thus enabling in‐memory dual‐mode processing of visual‐auditory signals. Electrically, it achieves rapid switching (∼14 µs), high on/off ratio (10</w:t>
      </w:r>
      <w:r>
        <w:rPr>
          <w:vertAlign w:val="subscript"/>
        </w:rPr>
        <w:t>6</w:t>
      </w:r>
      <w:r>
        <w:t>), and robust endurance (&amp;gt;10</w:t>
      </w:r>
      <w:r>
        <w:rPr>
          <w:vertAlign w:val="subscript"/>
        </w:rPr>
        <w:t>4</w:t>
      </w:r>
      <w:r>
        <w:t>cycles). This enables high‐accuracy (88%) classification of seafloor minerals and rocks via sonar echo processing using a convolutional neural network (CNN). Optically, the NFT exhibits tunable synaptic weight modulation from short‐term to long‐term plasticity under 405–808 nm laser pulses. Leveraging the low‐attenuation green‐light window in seawater, the system, combined with RGB denoising and green‐channel enhancement preprocessing, realizes 80% accuracy in marine biological image recognition. This synergistic electro‐optical in‐memory computing architecture provides an efficient, low‐power, and compact hardware solution for intelligent perception in complex underwater environments.</w:t>
      </w:r>
    </w:p>
    <w:p>
      <w:pPr>
        <w:spacing w:before="120" w:after="120"/>
      </w:pPr>
      <w:r>
        <w:rPr>
          <w:sz w:val="18"/>
        </w:rPr>
        <w:t>——————————————————————————————————————————————————————————————————————</w:t>
      </w:r>
    </w:p>
    <w:p>
      <w:pPr>
        <w:spacing w:before="160" w:after="40" w:line="240" w:lineRule="auto"/>
      </w:pPr>
      <w:r>
        <w:rPr>
          <w:b/>
        </w:rPr>
        <w:t xml:space="preserve">[153] </w:t>
      </w:r>
      <w:hyperlink r:id="rId461">
        <w:r>
          <w:rPr>
            <w:color w:val="1155CC"/>
            <w:u w:val="single"/>
          </w:rPr>
          <w:t>用于预测 BNL 相对论重离子对撞机可用能量下 $\mathrm{Au}+\mathrm{Au}$ 碰撞中多个可观测值的深度学习方法</w:t>
        </w:r>
      </w:hyperlink>
    </w:p>
    <w:p>
      <w:pPr>
        <w:spacing w:before="0" w:after="80"/>
      </w:pPr>
      <w:r>
        <w:rPr>
          <w:i/>
          <w:sz w:val="20"/>
        </w:rPr>
        <w:t>EN: Deep learning approach for predicting multiple observables in $\mathrm{Au}+\mathrm{Au}$ collisions at energies available at the BNL Relativistic Heavy Ion Collider</w:t>
      </w:r>
    </w:p>
    <w:p>
      <w:pPr>
        <w:spacing w:before="0" w:after="120"/>
      </w:pPr>
      <w:r>
        <w:rPr>
          <w:b/>
        </w:rPr>
        <w:t xml:space="preserve">Source: </w:t>
      </w:r>
      <w:r>
        <w:t>Recent Articles in Phys. Rev. C</w:t>
      </w:r>
      <w:r>
        <w:t xml:space="preserve">    </w:t>
      </w:r>
      <w:r>
        <w:rPr>
          <w:b/>
        </w:rPr>
        <w:t xml:space="preserve">Pub date: </w:t>
      </w:r>
      <w:r>
        <w:t>2026-06-29 10:00:00+00:00</w:t>
      </w:r>
      <w:r>
        <w:t xml:space="preserve">    </w:t>
      </w:r>
      <w:r>
        <w:rPr>
          <w:b/>
        </w:rPr>
        <w:t xml:space="preserve">DOI: </w:t>
      </w:r>
      <w:hyperlink r:id="rId462">
        <w:r>
          <w:rPr>
            <w:color w:val="1155CC"/>
            <w:u w:val="single"/>
          </w:rPr>
          <w:t>10.1103/grkg-jm2z</w:t>
        </w:r>
      </w:hyperlink>
    </w:p>
    <w:p>
      <w:pPr>
        <w:spacing w:before="0" w:after="120"/>
      </w:pPr>
      <w:r>
        <w:rPr>
          <w:b/>
        </w:rPr>
        <w:t xml:space="preserve">Notes: </w:t>
      </w:r>
      <w:r>
        <w:t>abstract_source=rss_description</w:t>
      </w:r>
    </w:p>
    <w:p>
      <w:pPr>
        <w:spacing w:before="0" w:after="80" w:lineRule="auto" w:line="276"/>
      </w:pPr>
      <w:r>
        <w:rPr>
          <w:b/>
        </w:rPr>
        <w:t xml:space="preserve">摘要（ZH）: </w:t>
      </w:r>
      <w:r>
        <w:t>作者：陶俊奇、范翔、刘阳、沙宇、周凯、郑华和张本伟我们提出了一个数据驱动的深度学习框架，用于预测 BNL 相对论重离子对撞机 (RHIC) 可用能量下 $\mathrm{Au}+\mathrm{Au}$ 碰撞中的多个体可观测值。单个神经网络专门针对带电粒子 p 的实验测量进行训练......[Phys。 Rev. C 113, 064911] 于 2026 年 6 月 29 日星期一发布</w:t>
      </w:r>
    </w:p>
    <w:p>
      <w:pPr>
        <w:spacing w:before="0" w:after="200" w:lineRule="auto" w:line="276"/>
      </w:pPr>
      <w:r>
        <w:rPr>
          <w:b/>
        </w:rPr>
        <w:t xml:space="preserve">Abstract (EN): </w:t>
      </w:r>
      <w:r>
        <w:t>Author(s): Jun-Qi Tao, Xiang Fan, Yang Liu, Yu Sha, Kai Zhou, Hua Zheng, and Ben-Wei ZhangWe present a data-driven deep learning framework for predicting multiple bulk observables in $\mathrm{Au}+\mathrm{Au}$ collisions at energies available at the BNL Relativistic Heavy Ion Collider (RHIC). A single neural network is trained exclusively on experimental measurements of charged-particle p…[Phys. Rev. C 113, 064911] Published Mon Jun 29, 2026</w:t>
      </w:r>
    </w:p>
    <w:p>
      <w:pPr>
        <w:spacing w:before="120" w:after="120"/>
      </w:pPr>
      <w:r>
        <w:rPr>
          <w:sz w:val="18"/>
        </w:rPr>
        <w:t>——————————————————————————————————————————————————————————————————————</w:t>
      </w:r>
    </w:p>
    <w:p>
      <w:pPr>
        <w:spacing w:before="160" w:after="40" w:line="240" w:lineRule="auto"/>
      </w:pPr>
      <w:r>
        <w:rPr>
          <w:b/>
        </w:rPr>
        <w:t xml:space="preserve">[154] </w:t>
      </w:r>
      <w:hyperlink r:id="rId463">
        <w:r>
          <w:rPr>
            <w:color w:val="1155CC"/>
            <w:u w:val="single"/>
          </w:rPr>
          <w:t>镜面增强等离激元晶格中的高$Q$非局部共振</w:t>
        </w:r>
      </w:hyperlink>
    </w:p>
    <w:p>
      <w:pPr>
        <w:spacing w:before="0" w:after="80"/>
      </w:pPr>
      <w:r>
        <w:rPr>
          <w:i/>
          <w:sz w:val="20"/>
        </w:rPr>
        <w:t>EN: High-$Q$ Nonlocal Resonances in Mirror-Enhanced Plasmonic Lattices</w:t>
      </w:r>
    </w:p>
    <w:p>
      <w:pPr>
        <w:spacing w:before="0" w:after="120"/>
      </w:pPr>
      <w:r>
        <w:rPr>
          <w:b/>
        </w:rPr>
        <w:t xml:space="preserve">Source: </w:t>
      </w:r>
      <w:r>
        <w:t>Recent Articles in Phys. Rev. Lett.</w:t>
      </w:r>
      <w:r>
        <w:t xml:space="preserve">    </w:t>
      </w:r>
      <w:r>
        <w:rPr>
          <w:b/>
        </w:rPr>
        <w:t xml:space="preserve">Pub date: </w:t>
      </w:r>
      <w:r>
        <w:t>2026-06-29 10:00:00+00:00</w:t>
      </w:r>
      <w:r>
        <w:t xml:space="preserve">    </w:t>
      </w:r>
      <w:r>
        <w:rPr>
          <w:b/>
        </w:rPr>
        <w:t xml:space="preserve">DOI: </w:t>
      </w:r>
      <w:hyperlink r:id="rId464">
        <w:r>
          <w:rPr>
            <w:color w:val="1155CC"/>
            <w:u w:val="single"/>
          </w:rPr>
          <w:t>10.1103/ybrp-jdrm</w:t>
        </w:r>
      </w:hyperlink>
    </w:p>
    <w:p>
      <w:pPr>
        <w:spacing w:before="0" w:after="120"/>
      </w:pPr>
      <w:r>
        <w:rPr>
          <w:b/>
        </w:rPr>
        <w:t xml:space="preserve">Notes: </w:t>
      </w:r>
      <w:r>
        <w:t>abstract_source=rss_description</w:t>
      </w:r>
    </w:p>
    <w:p>
      <w:pPr>
        <w:spacing w:before="0" w:after="80" w:lineRule="auto" w:line="276"/>
      </w:pPr>
      <w:r>
        <w:rPr>
          <w:b/>
        </w:rPr>
        <w:t xml:space="preserve">摘要（ZH）: </w:t>
      </w:r>
      <w:r>
        <w:t>作者：Xiaoqiong Bi、Chenghao Bai、Z Zhuang Li、Yangjian Cai 和 Xianyu AoPlasmonic 纳米粒子阵列是增强纳米尺度光与物质相互作用的多功能平台。超高品质因数（高 $Q$）共振对于光谱选择性应用至关重要，例如无标记生物传感、低阈值激光和量子信息处理……[Phys.莱特牧师。 137, 016901] 于 2026 年 6 月 29 日星期一发布</w:t>
      </w:r>
    </w:p>
    <w:p>
      <w:pPr>
        <w:spacing w:before="0" w:after="200" w:lineRule="auto" w:line="276"/>
      </w:pPr>
      <w:r>
        <w:rPr>
          <w:b/>
        </w:rPr>
        <w:t xml:space="preserve">Abstract (EN): </w:t>
      </w:r>
      <w:r>
        <w:t>Author(s): Xiaoqiong Bi, Chenghao Bai, Zhuang Li, Yangjian Cai, and Xianyu AoPlasmonic nanoparticle arrays stand as a versatile platform for enhancing light-matter interactions at the nanoscale. Ultrahigh-quality-factor (high-$Q$) resonances are critical for spectrally selective applications such as label-free biosensing, low-threshold lasing, and quantum information process…[Phys. Rev. Lett. 137, 016901] Published Mon Jun 29, 2026</w:t>
      </w:r>
    </w:p>
    <w:p>
      <w:pPr>
        <w:spacing w:before="120" w:after="120"/>
      </w:pPr>
      <w:r>
        <w:rPr>
          <w:sz w:val="18"/>
        </w:rPr>
        <w:t>——————————————————————————————————————————————————————————————————————</w:t>
      </w:r>
    </w:p>
    <w:p>
      <w:pPr>
        <w:spacing w:before="160" w:after="40" w:line="240" w:lineRule="auto"/>
      </w:pPr>
      <w:r>
        <w:rPr>
          <w:b/>
        </w:rPr>
        <w:t xml:space="preserve">[155] </w:t>
      </w:r>
      <w:hyperlink r:id="rId465">
        <w:r>
          <w:rPr>
            <w:color w:val="1155CC"/>
            <w:u w:val="single"/>
          </w:rPr>
          <w:t>Fe(Te,Se) 片中对密度调制的朗道理论</w:t>
        </w:r>
      </w:hyperlink>
    </w:p>
    <w:p>
      <w:pPr>
        <w:spacing w:before="0" w:after="80"/>
      </w:pPr>
      <w:r>
        <w:rPr>
          <w:i/>
          <w:sz w:val="20"/>
        </w:rPr>
        <w:t>EN: Landau Theory for Pair Density Modulation in Fe(Te,Se) Flakes</w:t>
      </w:r>
    </w:p>
    <w:p>
      <w:pPr>
        <w:spacing w:before="0" w:after="120"/>
      </w:pPr>
      <w:r>
        <w:rPr>
          <w:b/>
        </w:rPr>
        <w:t xml:space="preserve">Source: </w:t>
      </w:r>
      <w:r>
        <w:t>Recent Articles in Phys. Rev. Lett.</w:t>
      </w:r>
      <w:r>
        <w:t xml:space="preserve">    </w:t>
      </w:r>
      <w:r>
        <w:rPr>
          <w:b/>
        </w:rPr>
        <w:t xml:space="preserve">Pub date: </w:t>
      </w:r>
      <w:r>
        <w:t>2026-06-29 10:00:00+00:00</w:t>
      </w:r>
      <w:r>
        <w:t xml:space="preserve">    </w:t>
      </w:r>
      <w:r>
        <w:rPr>
          <w:b/>
        </w:rPr>
        <w:t xml:space="preserve">DOI: </w:t>
      </w:r>
      <w:hyperlink r:id="rId466">
        <w:r>
          <w:rPr>
            <w:color w:val="1155CC"/>
            <w:u w:val="single"/>
          </w:rPr>
          <w:t>10.1103/n7xg-dbfz</w:t>
        </w:r>
      </w:hyperlink>
    </w:p>
    <w:p>
      <w:pPr>
        <w:spacing w:before="0" w:after="120"/>
      </w:pPr>
      <w:r>
        <w:rPr>
          <w:b/>
        </w:rPr>
        <w:t xml:space="preserve">Notes: </w:t>
      </w:r>
      <w:r>
        <w:t>abstract_source=rss_description</w:t>
      </w:r>
    </w:p>
    <w:p>
      <w:pPr>
        <w:spacing w:before="0" w:after="80" w:lineRule="auto" w:line="276"/>
      </w:pPr>
      <w:r>
        <w:rPr>
          <w:b/>
        </w:rPr>
        <w:t xml:space="preserve">摘要（ZH）: </w:t>
      </w:r>
      <w:r>
        <w:t>作者：Po-Jui Chen 和 Piers Coleman 受到最近扫描隧道显微镜 (STM) 实验报告 ${\mathrm{FeTe}}_{0.55}{\mathrm{Se}}_{0.45}$ 薄片中对密度调制 (PDM) 的启发，我们发展了朗道理论来阐明其物理起源。我们根据螺杆和滑动对称性分析 PDM，解释……[物理。莱特牧师。 137, 016501] 于 2026 年 6 月 29 日星期一发布</w:t>
      </w:r>
    </w:p>
    <w:p>
      <w:pPr>
        <w:spacing w:before="0" w:after="200" w:lineRule="auto" w:line="276"/>
      </w:pPr>
      <w:r>
        <w:rPr>
          <w:b/>
        </w:rPr>
        <w:t xml:space="preserve">Abstract (EN): </w:t>
      </w:r>
      <w:r>
        <w:t>Author(s): Po-Jui Chen and Piers ColemanMotivated by recent scanning tunneling microscopy (STM) experiments reporting a pair-density modulation (PDM) in flakes of ${\mathrm{FeTe}}_{0.55}{\mathrm{Se}}_{0.45}$, we develop a Landau theory to elucidate its physical origin. We analyze the PDM in terms of screw and glide symmetries, interpretin…[Phys. Rev. Lett. 137, 016501] Published Mon Jun 29, 2026</w:t>
      </w:r>
    </w:p>
    <w:p>
      <w:pPr>
        <w:spacing w:before="120" w:after="120"/>
      </w:pPr>
      <w:r>
        <w:rPr>
          <w:sz w:val="18"/>
        </w:rPr>
        <w:t>——————————————————————————————————————————————————————————————————————</w:t>
      </w:r>
    </w:p>
    <w:p>
      <w:pPr>
        <w:spacing w:before="160" w:after="40" w:line="240" w:lineRule="auto"/>
      </w:pPr>
      <w:r>
        <w:rPr>
          <w:b/>
        </w:rPr>
        <w:t xml:space="preserve">[156] </w:t>
      </w:r>
      <w:hyperlink r:id="rId467">
        <w:r>
          <w:rPr>
            <w:color w:val="1155CC"/>
            <w:u w:val="single"/>
          </w:rPr>
          <w:t>来自包容性电子散射的复杂核的核子动量分布</w:t>
        </w:r>
      </w:hyperlink>
    </w:p>
    <w:p>
      <w:pPr>
        <w:spacing w:before="0" w:after="80"/>
      </w:pPr>
      <w:r>
        <w:rPr>
          <w:i/>
          <w:sz w:val="20"/>
        </w:rPr>
        <w:t>EN: Nucleon momentum distributions of complex nuclei from inclusive electron scattering</w:t>
      </w:r>
    </w:p>
    <w:p>
      <w:pPr>
        <w:spacing w:before="0" w:after="120"/>
      </w:pPr>
      <w:r>
        <w:rPr>
          <w:b/>
        </w:rPr>
        <w:t xml:space="preserve">Source: </w:t>
      </w:r>
      <w:r>
        <w:t>Recent Articles in Phys. Rev. C</w:t>
      </w:r>
      <w:r>
        <w:t xml:space="preserve">    </w:t>
      </w:r>
      <w:r>
        <w:rPr>
          <w:b/>
        </w:rPr>
        <w:t xml:space="preserve">Pub date: </w:t>
      </w:r>
      <w:r>
        <w:t>2026-06-29 10:00:00+00:00</w:t>
      </w:r>
      <w:r>
        <w:t xml:space="preserve">    </w:t>
      </w:r>
      <w:r>
        <w:rPr>
          <w:b/>
        </w:rPr>
        <w:t xml:space="preserve">DOI: </w:t>
      </w:r>
      <w:hyperlink r:id="rId468">
        <w:r>
          <w:rPr>
            <w:color w:val="1155CC"/>
            <w:u w:val="single"/>
          </w:rPr>
          <w:t>10.1103/k9sj-9g8t</w:t>
        </w:r>
      </w:hyperlink>
    </w:p>
    <w:p>
      <w:pPr>
        <w:spacing w:before="0" w:after="120"/>
      </w:pPr>
      <w:r>
        <w:rPr>
          <w:b/>
        </w:rPr>
        <w:t xml:space="preserve">Notes: </w:t>
      </w:r>
      <w:r>
        <w:t>abstract_source=rss_description</w:t>
      </w:r>
    </w:p>
    <w:p>
      <w:pPr>
        <w:spacing w:before="0" w:after="80" w:lineRule="auto" w:line="276"/>
      </w:pPr>
      <w:r>
        <w:rPr>
          <w:b/>
        </w:rPr>
        <w:t xml:space="preserve">摘要（ZH）: </w:t>
      </w:r>
      <w:r>
        <w:t>作者：梁同奇、白栋和任中州核动量分布 (NMD) 揭示了有关费米运动和短程关联 (SRC) 的基本信息。在从包含的电子散射数据中提取 NMD 时，通常采用理论分析，例如缩放分析。对于复杂的原子核，持续治疗......[物理。 Rev. C 113, 064319] 于 2026 年 6 月 29 日星期一发布</w:t>
      </w:r>
    </w:p>
    <w:p>
      <w:pPr>
        <w:spacing w:before="0" w:after="200" w:lineRule="auto" w:line="276"/>
      </w:pPr>
      <w:r>
        <w:rPr>
          <w:b/>
        </w:rPr>
        <w:t xml:space="preserve">Abstract (EN): </w:t>
      </w:r>
      <w:r>
        <w:t>Author(s): Tongqi Liang, Dong Bai, and Zhongzhou RenNucleon momentum distributions (NMDs) reveal essential information about Fermi motion and short-range correlations (SRCs). In extracting NMDs from inclusive electron scattering data, theoretical analyses, such as the scaling analysis, are typically employed. For complex nuclei, consistently treating…[Phys. Rev. C 113, 064319] Published Mon Jun 29, 2026</w:t>
      </w:r>
    </w:p>
    <w:p>
      <w:pPr>
        <w:spacing w:before="120" w:after="120"/>
      </w:pPr>
      <w:r>
        <w:rPr>
          <w:sz w:val="18"/>
        </w:rPr>
        <w:t>——————————————————————————————————————————————————————————————————————</w:t>
      </w:r>
    </w:p>
    <w:p>
      <w:pPr>
        <w:spacing w:before="160" w:after="40" w:line="240" w:lineRule="auto"/>
      </w:pPr>
      <w:r>
        <w:rPr>
          <w:b/>
        </w:rPr>
        <w:t xml:space="preserve">[157] </w:t>
      </w:r>
      <w:hyperlink r:id="rId469">
        <w:r>
          <w:rPr>
            <w:color w:val="1155CC"/>
            <w:u w:val="single"/>
          </w:rPr>
          <w:t>中重质量双闭壳母核 Gamow-Teller 强度分布的淬灭因子和 Landau-Migdal 参数</w:t>
        </w:r>
      </w:hyperlink>
    </w:p>
    <w:p>
      <w:pPr>
        <w:spacing w:before="0" w:after="80"/>
      </w:pPr>
      <w:r>
        <w:rPr>
          <w:i/>
          <w:sz w:val="20"/>
        </w:rPr>
        <w:t>EN: Quenching factor and Landau-Migdal parameter of the Gamow-Teller strength distributions in medium-heavy-mass doubly-closed-shell parent nuclei</w:t>
      </w:r>
    </w:p>
    <w:p>
      <w:pPr>
        <w:spacing w:before="0" w:after="120"/>
      </w:pPr>
      <w:r>
        <w:rPr>
          <w:b/>
        </w:rPr>
        <w:t xml:space="preserve">Source: </w:t>
      </w:r>
      <w:r>
        <w:t>Recent Articles in Phys. Rev. C</w:t>
      </w:r>
      <w:r>
        <w:t xml:space="preserve">    </w:t>
      </w:r>
      <w:r>
        <w:rPr>
          <w:b/>
        </w:rPr>
        <w:t xml:space="preserve">Pub date: </w:t>
      </w:r>
      <w:r>
        <w:t>2026-06-29 10:00:00+00:00</w:t>
      </w:r>
      <w:r>
        <w:t xml:space="preserve">    </w:t>
      </w:r>
      <w:r>
        <w:rPr>
          <w:b/>
        </w:rPr>
        <w:t xml:space="preserve">DOI: </w:t>
      </w:r>
      <w:hyperlink r:id="rId470">
        <w:r>
          <w:rPr>
            <w:color w:val="1155CC"/>
            <w:u w:val="single"/>
          </w:rPr>
          <w:t>10.1103/ldzg-gtdc</w:t>
        </w:r>
      </w:hyperlink>
    </w:p>
    <w:p>
      <w:pPr>
        <w:spacing w:before="0" w:after="120"/>
      </w:pPr>
      <w:r>
        <w:rPr>
          <w:b/>
        </w:rPr>
        <w:t xml:space="preserve">Notes: </w:t>
      </w:r>
      <w:r>
        <w:t>abstract_source=rss_description</w:t>
      </w:r>
    </w:p>
    <w:p>
      <w:pPr>
        <w:spacing w:before="0" w:after="80" w:lineRule="auto" w:line="276"/>
      </w:pPr>
      <w:r>
        <w:rPr>
          <w:b/>
        </w:rPr>
        <w:t xml:space="preserve">摘要（ZH）: </w:t>
      </w:r>
      <w:r>
        <w:t>作者：V. I. Bondarenko 和 M. H. Urin 淬灭因子 $Q$ 和各自指定的 Landau-Migdal 参数 ${g}^{′}$ 的值是通过对 $^{48}\mathrm{Ca}、^{90}\mathrm{Zr} 中实验和理论 Gamow-Teller 强度分布的详细比较推导出来的， ^{132}\mathrm{Sn}$ 和 $^{208}\mathrm{Pb}$ 父 nu…[物理。 Rev. C 113, 064321] 于 2026 年 6 月 29 日星期一发布</w:t>
      </w:r>
    </w:p>
    <w:p>
      <w:pPr>
        <w:spacing w:before="0" w:after="200" w:lineRule="auto" w:line="276"/>
      </w:pPr>
      <w:r>
        <w:rPr>
          <w:b/>
        </w:rPr>
        <w:t xml:space="preserve">Abstract (EN): </w:t>
      </w:r>
      <w:r>
        <w:t>Author(s): V. I. Bondarenko and M. H. UrinValues of the quenching factor $Q$ and respectively specified Landau-Migdal parameter ${g}^{′}$ are deduced from a detailed comparison of experimental and theoretical Gamow-Teller strength distributions in the $^{48}\mathrm{Ca}, ^{90}\mathrm{Zr}, ^{132}\mathrm{Sn}$, and $^{208}\mathrm{Pb}$ parent nu…[Phys. Rev. C 113, 064321] Published Mon Jun 29, 2026</w:t>
      </w:r>
    </w:p>
    <w:p>
      <w:pPr>
        <w:spacing w:before="120" w:after="120"/>
      </w:pPr>
      <w:r>
        <w:rPr>
          <w:sz w:val="18"/>
        </w:rPr>
        <w:t>——————————————————————————————————————————————————————————————————————</w:t>
      </w:r>
    </w:p>
    <w:p>
      <w:pPr>
        <w:spacing w:before="160" w:after="40" w:line="240" w:lineRule="auto"/>
      </w:pPr>
      <w:r>
        <w:rPr>
          <w:b/>
        </w:rPr>
        <w:t xml:space="preserve">[158] </w:t>
      </w:r>
      <w:hyperlink r:id="rId471">
        <w:r>
          <w:rPr>
            <w:color w:val="1155CC"/>
            <w:u w:val="single"/>
          </w:rPr>
          <w:t>玻璃质角动量</w:t>
        </w:r>
      </w:hyperlink>
    </w:p>
    <w:p>
      <w:pPr>
        <w:spacing w:before="0" w:after="80"/>
      </w:pPr>
      <w:r>
        <w:rPr>
          <w:i/>
          <w:sz w:val="20"/>
        </w:rPr>
        <w:t>EN: Angular momentum of glasma</w:t>
      </w:r>
    </w:p>
    <w:p>
      <w:pPr>
        <w:spacing w:before="0" w:after="120"/>
      </w:pPr>
      <w:r>
        <w:rPr>
          <w:b/>
        </w:rPr>
        <w:t xml:space="preserve">Source: </w:t>
      </w:r>
      <w:r>
        <w:t>Recent Articles in Phys. Rev. C</w:t>
      </w:r>
      <w:r>
        <w:t xml:space="preserve">    </w:t>
      </w:r>
      <w:r>
        <w:rPr>
          <w:b/>
        </w:rPr>
        <w:t xml:space="preserve">Pub date: </w:t>
      </w:r>
      <w:r>
        <w:t>2026-06-29 10:00:00+00:00</w:t>
      </w:r>
      <w:r>
        <w:t xml:space="preserve">    </w:t>
      </w:r>
      <w:r>
        <w:rPr>
          <w:b/>
        </w:rPr>
        <w:t xml:space="preserve">DOI: </w:t>
      </w:r>
      <w:hyperlink r:id="rId472">
        <w:r>
          <w:rPr>
            <w:color w:val="1155CC"/>
            <w:u w:val="single"/>
          </w:rPr>
          <w:t>10.1103/qr8m-drrl</w:t>
        </w:r>
      </w:hyperlink>
    </w:p>
    <w:p>
      <w:pPr>
        <w:spacing w:before="0" w:after="120"/>
      </w:pPr>
      <w:r>
        <w:rPr>
          <w:b/>
        </w:rPr>
        <w:t xml:space="preserve">Notes: </w:t>
      </w:r>
      <w:r>
        <w:t>abstract_source=rss_description</w:t>
      </w:r>
    </w:p>
    <w:p>
      <w:pPr>
        <w:spacing w:before="0" w:after="80" w:lineRule="auto" w:line="276"/>
      </w:pPr>
      <w:r>
        <w:rPr>
          <w:b/>
        </w:rPr>
        <w:t xml:space="preserve">摘要（ZH）: </w:t>
      </w:r>
      <w:r>
        <w:t>作者：Margaret E. Carrington 和 Stanisław Mrówczyński 超相对论重离子碰撞的最早阶段可以描述为一个高度密集的胶子系统，称为“等离子体”。我们研究了与系统角动量相关的一些等离子体特性。第一个是垂直于反应平面的全局角动量，其中……[Phys。 Rev. C 113, 064910] 于 2026 年 6 月 29 日星期一发布</w:t>
      </w:r>
    </w:p>
    <w:p>
      <w:pPr>
        <w:spacing w:before="0" w:after="200" w:lineRule="auto" w:line="276"/>
      </w:pPr>
      <w:r>
        <w:rPr>
          <w:b/>
        </w:rPr>
        <w:t xml:space="preserve">Abstract (EN): </w:t>
      </w:r>
      <w:r>
        <w:t>Author(s): Margaret E. Carrington and Stanisław MrówczyńskiThe earliest phase of an ultrarelativistic heavy ion collision can be described as a highly populated system of gluons called glasma. We study some glasma characteristics related to the system's angular momentum. The first one is the global angular momentum perpendicular to the reaction plane, which…[Phys. Rev. C 113, 064910] Published Mon Jun 29, 2026</w:t>
      </w:r>
    </w:p>
    <w:p>
      <w:pPr>
        <w:spacing w:before="120" w:after="120"/>
      </w:pPr>
      <w:r>
        <w:rPr>
          <w:sz w:val="18"/>
        </w:rPr>
        <w:t>——————————————————————————————————————————————————————————————————————</w:t>
      </w:r>
    </w:p>
    <w:p>
      <w:pPr>
        <w:spacing w:before="160" w:after="40" w:line="240" w:lineRule="auto"/>
      </w:pPr>
      <w:r>
        <w:rPr>
          <w:b/>
        </w:rPr>
        <w:t xml:space="preserve">[159] </w:t>
      </w:r>
      <w:hyperlink r:id="rId473">
        <w:r>
          <w:rPr>
            <w:color w:val="1155CC"/>
            <w:u w:val="single"/>
          </w:rPr>
          <w:t>矢量相互作用修饰夸克物质的各向异性表面张力和稳定性</w:t>
        </w:r>
      </w:hyperlink>
    </w:p>
    <w:p>
      <w:pPr>
        <w:spacing w:before="0" w:after="80"/>
      </w:pPr>
      <w:r>
        <w:rPr>
          <w:i/>
          <w:sz w:val="20"/>
        </w:rPr>
        <w:t>EN: Anisotropic surface tension and stability of quark matter modified by the vector interaction</w:t>
      </w:r>
    </w:p>
    <w:p>
      <w:pPr>
        <w:spacing w:before="0" w:after="120"/>
      </w:pPr>
      <w:r>
        <w:rPr>
          <w:b/>
        </w:rPr>
        <w:t xml:space="preserve">Source: </w:t>
      </w:r>
      <w:r>
        <w:t>Recent Articles in Phys. Rev. C</w:t>
      </w:r>
      <w:r>
        <w:t xml:space="preserve">    </w:t>
      </w:r>
      <w:r>
        <w:rPr>
          <w:b/>
        </w:rPr>
        <w:t xml:space="preserve">Pub date: </w:t>
      </w:r>
      <w:r>
        <w:t>2026-06-29 10:00:00+00:00</w:t>
      </w:r>
      <w:r>
        <w:t xml:space="preserve">    </w:t>
      </w:r>
      <w:r>
        <w:rPr>
          <w:b/>
        </w:rPr>
        <w:t xml:space="preserve">DOI: </w:t>
      </w:r>
      <w:hyperlink r:id="rId474">
        <w:r>
          <w:rPr>
            <w:color w:val="1155CC"/>
            <w:u w:val="single"/>
          </w:rPr>
          <w:t>10.1103/t58j-5htf</w:t>
        </w:r>
      </w:hyperlink>
    </w:p>
    <w:p>
      <w:pPr>
        <w:spacing w:before="0" w:after="120"/>
      </w:pPr>
      <w:r>
        <w:rPr>
          <w:b/>
        </w:rPr>
        <w:t xml:space="preserve">Notes: </w:t>
      </w:r>
      <w:r>
        <w:t>abstract_source=rss_description</w:t>
      </w:r>
    </w:p>
    <w:p>
      <w:pPr>
        <w:spacing w:before="0" w:after="80" w:lineRule="auto" w:line="276"/>
      </w:pPr>
      <w:r>
        <w:rPr>
          <w:b/>
        </w:rPr>
        <w:t xml:space="preserve">摘要（ZH）: </w:t>
      </w:r>
      <w:r>
        <w:t>作者：何玉英和温新建在本文中，在具有多次反射展开的准粒子模型中研究了强磁场中矢量相互作用修饰的夸克物质的表面张力和稳定性。化学势相关夸克 m 的自洽热力学处理……[物理。 Rev. C 113, 065205] 于 2026 年 6 月 29 日星期一发布</w:t>
      </w:r>
    </w:p>
    <w:p>
      <w:pPr>
        <w:spacing w:before="0" w:after="200" w:lineRule="auto" w:line="276"/>
      </w:pPr>
      <w:r>
        <w:rPr>
          <w:b/>
        </w:rPr>
        <w:t xml:space="preserve">Abstract (EN): </w:t>
      </w:r>
      <w:r>
        <w:t>Author(s): Yu-Ying He and Xin-Jian WenIn this article, the surface tension and stability of quark matter modified by the vector interaction in a strong magnetic field are investigated in the quasiparticle model with the multiple reflection expansion. The self-consistent thermodynamic treatment of the chemical-potential-dependent quark m…[Phys. Rev. C 113, 065205] Published Mon Jun 29, 2026</w:t>
      </w:r>
    </w:p>
    <w:p>
      <w:pPr>
        <w:spacing w:before="120" w:after="120"/>
      </w:pPr>
      <w:r>
        <w:rPr>
          <w:sz w:val="18"/>
        </w:rPr>
        <w:t>——————————————————————————————————————————————————————————————————————</w:t>
      </w:r>
    </w:p>
    <w:p>
      <w:pPr>
        <w:spacing w:before="160" w:after="40" w:line="240" w:lineRule="auto"/>
      </w:pPr>
      <w:r>
        <w:rPr>
          <w:b/>
        </w:rPr>
        <w:t xml:space="preserve">[160] </w:t>
      </w:r>
      <w:hyperlink r:id="rId475">
        <w:r>
          <w:rPr>
            <w:color w:val="1155CC"/>
            <w:u w:val="single"/>
          </w:rPr>
          <w:t>马氏体纳米级位移相变的埃林瓦尔效应</w:t>
        </w:r>
      </w:hyperlink>
    </w:p>
    <w:p>
      <w:pPr>
        <w:spacing w:before="0" w:after="80"/>
      </w:pPr>
      <w:r>
        <w:rPr>
          <w:i/>
          <w:sz w:val="20"/>
        </w:rPr>
        <w:t>EN: Elinvar Effect by Nanoscale Displacive Phase Transformation in Martensites</w:t>
      </w:r>
    </w:p>
    <w:p>
      <w:pPr>
        <w:spacing w:before="0" w:after="120"/>
      </w:pPr>
      <w:r>
        <w:rPr>
          <w:b/>
        </w:rPr>
        <w:t xml:space="preserve">Source: </w:t>
      </w:r>
      <w:r>
        <w:t>Recent Articles in Phys. Rev. Lett.</w:t>
      </w:r>
      <w:r>
        <w:t xml:space="preserve">    </w:t>
      </w:r>
      <w:r>
        <w:rPr>
          <w:b/>
        </w:rPr>
        <w:t xml:space="preserve">Pub date: </w:t>
      </w:r>
      <w:r>
        <w:t>2026-06-29 10:00:00+00:00</w:t>
      </w:r>
      <w:r>
        <w:t xml:space="preserve">    </w:t>
      </w:r>
      <w:r>
        <w:rPr>
          <w:b/>
        </w:rPr>
        <w:t xml:space="preserve">DOI: </w:t>
      </w:r>
      <w:hyperlink r:id="rId476">
        <w:r>
          <w:rPr>
            <w:color w:val="1155CC"/>
            <w:u w:val="single"/>
          </w:rPr>
          <w:t>10.1103/1ft8-9hkv</w:t>
        </w:r>
      </w:hyperlink>
    </w:p>
    <w:p>
      <w:pPr>
        <w:spacing w:before="0" w:after="120"/>
      </w:pPr>
      <w:r>
        <w:rPr>
          <w:b/>
        </w:rPr>
        <w:t xml:space="preserve">Notes: </w:t>
      </w:r>
      <w:r>
        <w:t>abstract_source=rss_description</w:t>
      </w:r>
    </w:p>
    <w:p>
      <w:pPr>
        <w:spacing w:before="0" w:after="80" w:lineRule="auto" w:line="276"/>
      </w:pPr>
      <w:r>
        <w:rPr>
          <w:b/>
        </w:rPr>
        <w:t xml:space="preserve">摘要（ZH）: </w:t>
      </w:r>
      <w:r>
        <w:t>作者：刘蝶、刘耀、苟俊明、马天宇和任小兵铁弹性合金在马氏体转变之前会发生模量软化，但在马氏体转变结束温度 ${M}_{\mathrm{f}}$ 以下仍然表现出正常的冷却硬化效应。在这里，我们报告了一种前所未有的现象，马氏体状态几乎可以显示出......[物理。莱特牧师。 137, 016101] 2026 年 6 月 29 日星期一发布</w:t>
      </w:r>
    </w:p>
    <w:p>
      <w:pPr>
        <w:spacing w:before="0" w:after="200" w:lineRule="auto" w:line="276"/>
      </w:pPr>
      <w:r>
        <w:rPr>
          <w:b/>
        </w:rPr>
        <w:t xml:space="preserve">Abstract (EN): </w:t>
      </w:r>
      <w:r>
        <w:t>Author(s): Die Liu, Yao Liu, Junming Gou, Tianyu Ma, and Xiaobing RenFerroelastic alloys suffer modulus softening prior to the martensitic transformation, but still exhibit normal cooling-hardening effect below the martensitic transformation finish temperature, ${M}_{\mathrm{f}}$. Here we report an unprecedented phenomenon that a martensitic state can show nearly tem…[Phys. Rev. Lett. 137, 016101] Published Mon Jun 29, 2026</w:t>
      </w:r>
    </w:p>
    <w:p>
      <w:pPr>
        <w:spacing w:before="120" w:after="120"/>
      </w:pPr>
      <w:r>
        <w:rPr>
          <w:sz w:val="18"/>
        </w:rPr>
        <w:t>——————————————————————————————————————————————————————————————————————</w:t>
      </w:r>
    </w:p>
    <w:p>
      <w:pPr>
        <w:spacing w:before="160" w:after="40" w:line="240" w:lineRule="auto"/>
      </w:pPr>
      <w:r>
        <w:rPr>
          <w:b/>
        </w:rPr>
        <w:t xml:space="preserve">[161] </w:t>
      </w:r>
      <w:hyperlink r:id="rId477">
        <w:r>
          <w:rPr>
            <w:color w:val="1155CC"/>
            <w:u w:val="single"/>
          </w:rPr>
          <w:t>$\mathrm{Ξ}(1530{)}^{0}$极化现象的观测及其$ψ(3686)→\mathrm{Ξ}(1530{)}^{0}\overline{\mathrm{Ξ}}(1530{)}^{0}$的电矩和磁矩的测定</w:t>
        </w:r>
      </w:hyperlink>
    </w:p>
    <w:p>
      <w:pPr>
        <w:spacing w:before="0" w:after="80"/>
      </w:pPr>
      <w:r>
        <w:rPr>
          <w:i/>
          <w:sz w:val="20"/>
        </w:rPr>
        <w:t>EN: Observation of $\mathrm{Ξ}(1530{)}^{0}$ Polarization and Determination of Its Electric and Magnetic Moments in $ψ(3686)→\mathrm{Ξ}(1530{)}^{0}\overline{\mathrm{Ξ}}(1530{)}^{0}$</w:t>
      </w:r>
    </w:p>
    <w:p>
      <w:pPr>
        <w:spacing w:before="0" w:after="120"/>
      </w:pPr>
      <w:r>
        <w:rPr>
          <w:b/>
        </w:rPr>
        <w:t xml:space="preserve">Source: </w:t>
      </w:r>
      <w:r>
        <w:t>Recent Articles in Phys. Rev. Lett.</w:t>
      </w:r>
      <w:r>
        <w:t xml:space="preserve">    </w:t>
      </w:r>
      <w:r>
        <w:rPr>
          <w:b/>
        </w:rPr>
        <w:t xml:space="preserve">Pub date: </w:t>
      </w:r>
      <w:r>
        <w:t>2026-06-29 10:00:00+00:00</w:t>
      </w:r>
      <w:r>
        <w:t xml:space="preserve">    </w:t>
      </w:r>
      <w:r>
        <w:rPr>
          <w:b/>
        </w:rPr>
        <w:t xml:space="preserve">DOI: </w:t>
      </w:r>
      <w:hyperlink r:id="rId478">
        <w:r>
          <w:rPr>
            <w:color w:val="1155CC"/>
            <w:u w:val="single"/>
          </w:rPr>
          <w:t>10.1103/mbrf-3ly5</w:t>
        </w:r>
      </w:hyperlink>
    </w:p>
    <w:p>
      <w:pPr>
        <w:spacing w:before="0" w:after="120"/>
      </w:pPr>
      <w:r>
        <w:rPr>
          <w:b/>
        </w:rPr>
        <w:t xml:space="preserve">Notes: </w:t>
      </w:r>
      <w:r>
        <w:t>abstract_source=rss_description</w:t>
      </w:r>
    </w:p>
    <w:p>
      <w:pPr>
        <w:spacing w:before="0" w:after="80" w:lineRule="auto" w:line="276"/>
      </w:pPr>
      <w:r>
        <w:rPr>
          <w:b/>
        </w:rPr>
        <w:t xml:space="preserve">摘要（ZH）: </w:t>
      </w:r>
      <w:r>
        <w:t>作者：M. Ablikim 等人。 （BESIII 合作）我们提出了对衰变 $ψ(3686)→\mathrm{Ξ}(1530{)}^{0}\overline{\mathrm{Ξ}}(1530{)}^{0}$ 中 $\mathrm{Ξ}(1530{)}^{0}$ 极化的观察，其显着性为 l...[Phys.牧师神父。莱特。 137, 011901] 6 月 29 日星期一发布，</w:t>
      </w:r>
    </w:p>
    <w:p>
      <w:pPr>
        <w:spacing w:before="0" w:after="200" w:lineRule="auto" w:line="276"/>
      </w:pPr>
      <w:r>
        <w:rPr>
          <w:b/>
        </w:rPr>
        <w:t xml:space="preserve">Abstract (EN): </w:t>
      </w:r>
      <w:r>
        <w:t>Author(s): M. Ablikim et al. (BESIII Collaboration)Using the data sample of $2.7×{10}^{9}\text{ }\text{ }ψ(3686)$ events collected with the BESIII detector at the BEPCII collider, we present an observation of the $\mathrm{Ξ}(1530{)}^{0}$ polarization in the decay $ψ(3686)→\mathrm{Ξ}(1530{)}^{0}\overline{\mathrm{Ξ}}(1530{)}^{0}$ with a significance l…[Phys. Rev. Lett. 137, 011901] Published Mon Jun 29, 2026</w:t>
      </w:r>
    </w:p>
    <w:p>
      <w:pPr>
        <w:spacing w:before="120" w:after="120"/>
      </w:pPr>
      <w:r>
        <w:rPr>
          <w:sz w:val="18"/>
        </w:rPr>
        <w:t>——————————————————————————————————————————————————————————————————————</w:t>
      </w:r>
    </w:p>
    <w:p>
      <w:pPr>
        <w:spacing w:before="160" w:after="40" w:line="240" w:lineRule="auto"/>
      </w:pPr>
      <w:r>
        <w:rPr>
          <w:b/>
        </w:rPr>
        <w:t xml:space="preserve">[162] </w:t>
      </w:r>
      <w:hyperlink r:id="rId479">
        <w:r>
          <w:rPr>
            <w:color w:val="1155CC"/>
            <w:u w:val="single"/>
          </w:rPr>
          <w:t>少层两能带超导 ${\mathrm{NbSe}}_{2}$ 和 ${\mathrm{TaS}}_{2}$</w:t>
        </w:r>
      </w:hyperlink>
    </w:p>
    <w:p>
      <w:pPr>
        <w:spacing w:before="0" w:after="80"/>
      </w:pPr>
      <w:r>
        <w:rPr>
          <w:i/>
          <w:sz w:val="20"/>
        </w:rPr>
        <w:t>EN: Two-Band Superconductivity in Few-Layer ${\mathrm{NbSe}}_{2}$ and ${\mathrm{TaS}}_{2}$</w:t>
      </w:r>
    </w:p>
    <w:p>
      <w:pPr>
        <w:spacing w:before="0" w:after="120"/>
      </w:pPr>
      <w:r>
        <w:rPr>
          <w:b/>
        </w:rPr>
        <w:t xml:space="preserve">Source: </w:t>
      </w:r>
      <w:r>
        <w:t>Recent Articles in Phys. Rev. Lett.</w:t>
      </w:r>
      <w:r>
        <w:t xml:space="preserve">    </w:t>
      </w:r>
      <w:r>
        <w:rPr>
          <w:b/>
        </w:rPr>
        <w:t xml:space="preserve">Pub date: </w:t>
      </w:r>
      <w:r>
        <w:t>2026-06-29 10:00:00+00:00</w:t>
      </w:r>
      <w:r>
        <w:t xml:space="preserve">    </w:t>
      </w:r>
      <w:r>
        <w:rPr>
          <w:b/>
        </w:rPr>
        <w:t xml:space="preserve">DOI: </w:t>
      </w:r>
      <w:hyperlink r:id="rId480">
        <w:r>
          <w:rPr>
            <w:color w:val="1155CC"/>
            <w:u w:val="single"/>
          </w:rPr>
          <w:t>10.1103/p836-tdgw</w:t>
        </w:r>
      </w:hyperlink>
    </w:p>
    <w:p>
      <w:pPr>
        <w:spacing w:before="0" w:after="120"/>
      </w:pPr>
      <w:r>
        <w:rPr>
          <w:b/>
        </w:rPr>
        <w:t xml:space="preserve">Notes: </w:t>
      </w:r>
      <w:r>
        <w:t>abstract_source=rss_description</w:t>
      </w:r>
    </w:p>
    <w:p>
      <w:pPr>
        <w:spacing w:before="0" w:after="80" w:lineRule="auto" w:line="276"/>
      </w:pPr>
      <w:r>
        <w:rPr>
          <w:b/>
        </w:rPr>
        <w:t xml:space="preserve">摘要（ZH）: </w:t>
      </w:r>
      <w:r>
        <w:t>作者：Shahar Simon、Maya Klang、Oded Millo 和 Hadar Steinberg过渡金属二硫属化物族中的超导性质，特别是超薄极限下的 $2{\mathrm{H}\text{−}\mathrm{NbSe}}_{2}$ 和 $2{\mathrm{H}\text{−}\mathrm{TaS}}_{2}$ 尚未完全了解。虽然隧道测量显然显示出单个超导间隙，……[物理。莱特牧师。 137, 016001] 于 2026 年 6 月 29 日星期一发布</w:t>
      </w:r>
    </w:p>
    <w:p>
      <w:pPr>
        <w:spacing w:before="0" w:after="200" w:lineRule="auto" w:line="276"/>
      </w:pPr>
      <w:r>
        <w:rPr>
          <w:b/>
        </w:rPr>
        <w:t xml:space="preserve">Abstract (EN): </w:t>
      </w:r>
      <w:r>
        <w:t>Author(s): Shahar Simon, Maya Klang, Oded Millo, and Hadar SteinbergThe nature of superconductivity in the transition metal dichalcogenide family, particularly $2{\mathrm{H}\text{−}\mathrm{NbSe}}_{2}$ and $2{\mathrm{H}\text{−}\mathrm{TaS}}_{2}$ in the ultrathin limit, is not fully understood. While tunneling measurements apparently show a single superconducting gap,…[Phys. Rev. Lett. 137, 016001] Published Mon Jun 29, 2026</w:t>
      </w:r>
    </w:p>
    <w:p>
      <w:pPr>
        <w:spacing w:before="120" w:after="120"/>
      </w:pPr>
      <w:r>
        <w:rPr>
          <w:sz w:val="18"/>
        </w:rPr>
        <w:t>——————————————————————————————————————————————————————————————————————</w:t>
      </w:r>
    </w:p>
    <w:p>
      <w:pPr>
        <w:spacing w:before="160" w:after="40" w:line="240" w:lineRule="auto"/>
      </w:pPr>
      <w:r>
        <w:rPr>
          <w:b/>
        </w:rPr>
        <w:t xml:space="preserve">[163] </w:t>
      </w:r>
      <w:hyperlink r:id="rId481">
        <w:r>
          <w:rPr>
            <w:color w:val="1155CC"/>
            <w:u w:val="single"/>
          </w:rPr>
          <w:t>$^{116}\mathrm{Cs}$ 的多面衰减</w:t>
        </w:r>
      </w:hyperlink>
    </w:p>
    <w:p>
      <w:pPr>
        <w:spacing w:before="0" w:after="80"/>
      </w:pPr>
      <w:r>
        <w:rPr>
          <w:i/>
          <w:sz w:val="20"/>
        </w:rPr>
        <w:t>EN: Multifaceted Decay of $^{116}\mathrm{Cs}$</w:t>
      </w:r>
    </w:p>
    <w:p>
      <w:pPr>
        <w:spacing w:before="0" w:after="120"/>
      </w:pPr>
      <w:r>
        <w:rPr>
          <w:b/>
        </w:rPr>
        <w:t xml:space="preserve">Source: </w:t>
      </w:r>
      <w:r>
        <w:t>Recent Articles in Phys. Rev. Lett.</w:t>
      </w:r>
      <w:r>
        <w:t xml:space="preserve">    </w:t>
      </w:r>
      <w:r>
        <w:rPr>
          <w:b/>
        </w:rPr>
        <w:t xml:space="preserve">Pub date: </w:t>
      </w:r>
      <w:r>
        <w:t>2026-06-29 10:00:00+00:00</w:t>
      </w:r>
      <w:r>
        <w:t xml:space="preserve">    </w:t>
      </w:r>
      <w:r>
        <w:rPr>
          <w:b/>
        </w:rPr>
        <w:t xml:space="preserve">DOI: </w:t>
      </w:r>
      <w:hyperlink r:id="rId482">
        <w:r>
          <w:rPr>
            <w:color w:val="1155CC"/>
            <w:u w:val="single"/>
          </w:rPr>
          <w:t>10.1103/ztcl-lpdf</w:t>
        </w:r>
      </w:hyperlink>
    </w:p>
    <w:p>
      <w:pPr>
        <w:spacing w:before="0" w:after="120"/>
      </w:pPr>
      <w:r>
        <w:rPr>
          <w:b/>
        </w:rPr>
        <w:t xml:space="preserve">Notes: </w:t>
      </w:r>
      <w:r>
        <w:t>abstract_source=rss_description</w:t>
      </w:r>
    </w:p>
    <w:p>
      <w:pPr>
        <w:spacing w:before="0" w:after="80" w:lineRule="auto" w:line="276"/>
      </w:pPr>
      <w:r>
        <w:rPr>
          <w:b/>
        </w:rPr>
        <w:t xml:space="preserve">摘要（ZH）: </w:t>
      </w:r>
      <w:r>
        <w:t>作者：J. Dey、U. Datta、O. Tengblad、P. Das、A. Rahaman、B. K. Agrawal、S. Chakraborty、A. Gottberg、M. Kowalska、K. Mahata、S. Mandal、M. Madurga、E. Nacher、E. Rapisarda、N. Warr、W. Sengupta、C. Sharma 和 T. Stora多方面衰变ISOLDE、CERN 研究了质子滴线附近 $^{116}\mathrm{Cs}$ 的性质。已识别出超过 6 个新的 $^{116}\mathrm{Xe}$ 未束缚态。观察到一种新的低能等标量八极共振现象。质子衰变后，...[物理。牧师神父。莱特。 137, 012501] 6 月 29 日星期一发布，</w:t>
      </w:r>
    </w:p>
    <w:p>
      <w:pPr>
        <w:spacing w:before="0" w:after="200" w:lineRule="auto" w:line="276"/>
      </w:pPr>
      <w:r>
        <w:rPr>
          <w:b/>
        </w:rPr>
        <w:t xml:space="preserve">Abstract (EN): </w:t>
      </w:r>
      <w:r>
        <w:t>Author(s): J. Dey, U. Datta, O. Tengblad, P. Das, A. Rahaman, B. K. Agrawal, S. Chakraborty, A. Gottberg, M. Kowalska, K. Mahata, S. Mandal, M. Madurga, E. Nacher, E. Rapisarda, N. Warr, W. Sengupta, C. Sharma, and T. StoraThe multifaceted decay properties of $^{116}\mathrm{Cs}$ near the proton drip line have been studied at ISOLDE, CERN. More than six new unbound states of $^{116}\mathrm{Xe}$ have been identified. A novel phenomenon of low energy isoscalar octupole resonance has been observed. After proton decay, tha…[Phys. Rev. Lett. 137, 012501] Published Mon Jun 29, 2026</w:t>
      </w:r>
    </w:p>
    <w:p>
      <w:pPr>
        <w:spacing w:before="120" w:after="120"/>
      </w:pPr>
      <w:r>
        <w:rPr>
          <w:sz w:val="18"/>
        </w:rPr>
        <w:t>——————————————————————————————————————————————————————————————————————</w:t>
      </w:r>
    </w:p>
    <w:p>
      <w:pPr>
        <w:spacing w:before="160" w:after="40" w:line="240" w:lineRule="auto"/>
      </w:pPr>
      <w:r>
        <w:rPr>
          <w:b/>
        </w:rPr>
        <w:t xml:space="preserve">[164] </w:t>
      </w:r>
      <w:hyperlink r:id="rId483">
        <w:r>
          <w:rPr>
            <w:color w:val="1155CC"/>
            <w:u w:val="single"/>
          </w:rPr>
          <w:t>超导量子处理器上量子 Mpemba 效应的观测和调制</w:t>
        </w:r>
      </w:hyperlink>
    </w:p>
    <w:p>
      <w:pPr>
        <w:spacing w:before="0" w:after="80"/>
      </w:pPr>
      <w:r>
        <w:rPr>
          <w:i/>
          <w:sz w:val="20"/>
        </w:rPr>
        <w:t>EN: Observation and Modulation of the Quantum Mpemba Effect on a Superconducting Quantum Processor</w:t>
      </w:r>
    </w:p>
    <w:p>
      <w:pPr>
        <w:spacing w:before="0" w:after="120"/>
      </w:pPr>
      <w:r>
        <w:rPr>
          <w:b/>
        </w:rPr>
        <w:t xml:space="preserve">Source: </w:t>
      </w:r>
      <w:r>
        <w:t>Recent Articles in Phys. Rev. Lett.</w:t>
      </w:r>
      <w:r>
        <w:t xml:space="preserve">    </w:t>
      </w:r>
      <w:r>
        <w:rPr>
          <w:b/>
        </w:rPr>
        <w:t xml:space="preserve">Pub date: </w:t>
      </w:r>
      <w:r>
        <w:t>2026-06-29 10:00:00+00:00</w:t>
      </w:r>
      <w:r>
        <w:t xml:space="preserve">    </w:t>
      </w:r>
      <w:r>
        <w:rPr>
          <w:b/>
        </w:rPr>
        <w:t xml:space="preserve">DOI: </w:t>
      </w:r>
      <w:hyperlink r:id="rId484">
        <w:r>
          <w:rPr>
            <w:color w:val="1155CC"/>
            <w:u w:val="single"/>
          </w:rPr>
          <w:t>10.1103/951q-j8kq</w:t>
        </w:r>
      </w:hyperlink>
    </w:p>
    <w:p>
      <w:pPr>
        <w:spacing w:before="0" w:after="120"/>
      </w:pPr>
      <w:r>
        <w:rPr>
          <w:b/>
        </w:rPr>
        <w:t xml:space="preserve">Notes: </w:t>
      </w:r>
      <w:r>
        <w:t>abstract_source=rss_description</w:t>
      </w:r>
    </w:p>
    <w:p>
      <w:pPr>
        <w:spacing w:before="0" w:after="80" w:lineRule="auto" w:line="276"/>
      </w:pPr>
      <w:r>
        <w:rPr>
          <w:b/>
        </w:rPr>
        <w:t xml:space="preserve">摘要（ZH）: </w:t>
      </w:r>
      <w:r>
        <w:t>作者：Yueshan Xu 等人。全连接、可调谐耦合超导处理器上量子 Mpemba 效应的观察和调制。莱特牧师。 137, 010402] 于 2026 年 6 月 29 日星期一发布</w:t>
      </w:r>
    </w:p>
    <w:p>
      <w:pPr>
        <w:spacing w:before="0" w:after="200" w:lineRule="auto" w:line="276"/>
      </w:pPr>
      <w:r>
        <w:rPr>
          <w:b/>
        </w:rPr>
        <w:t xml:space="preserve">Abstract (EN): </w:t>
      </w:r>
      <w:r>
        <w:t>Author(s): Yueshan Xu et al.Observation and modulation of the quantum Mpemba effect on an all-to-all connected, tunable-coupling superconducting processor.[Phys. Rev. Lett. 137, 010402] Published Mon Jun 29, 2026</w:t>
      </w:r>
    </w:p>
    <w:p>
      <w:pPr>
        <w:spacing w:before="120" w:after="120"/>
      </w:pPr>
      <w:r>
        <w:rPr>
          <w:sz w:val="18"/>
        </w:rPr>
        <w:t>——————————————————————————————————————————————————————————————————————</w:t>
      </w:r>
    </w:p>
    <w:p>
      <w:pPr>
        <w:spacing w:before="160" w:after="40" w:line="240" w:lineRule="auto"/>
      </w:pPr>
      <w:r>
        <w:rPr>
          <w:b/>
        </w:rPr>
        <w:t xml:space="preserve">[165] </w:t>
      </w:r>
      <w:hyperlink r:id="rId485">
        <w:r>
          <w:rPr>
            <w:color w:val="1155CC"/>
            <w:u w:val="single"/>
          </w:rPr>
          <w:t>量子处理器上测量和反馈驱动的非平衡相变</w:t>
        </w:r>
      </w:hyperlink>
    </w:p>
    <w:p>
      <w:pPr>
        <w:spacing w:before="0" w:after="80"/>
      </w:pPr>
      <w:r>
        <w:rPr>
          <w:i/>
          <w:sz w:val="20"/>
        </w:rPr>
        <w:t>EN: Measurement- and Feedback-Driven Nonequilibrium Phase Transitions on a Quantum Processor</w:t>
      </w:r>
    </w:p>
    <w:p>
      <w:pPr>
        <w:spacing w:before="0" w:after="120"/>
      </w:pPr>
      <w:r>
        <w:rPr>
          <w:b/>
        </w:rPr>
        <w:t xml:space="preserve">Source: </w:t>
      </w:r>
      <w:r>
        <w:t>Recent Articles in Phys. Rev. Lett.</w:t>
      </w:r>
      <w:r>
        <w:t xml:space="preserve">    </w:t>
      </w:r>
      <w:r>
        <w:rPr>
          <w:b/>
        </w:rPr>
        <w:t xml:space="preserve">Pub date: </w:t>
      </w:r>
      <w:r>
        <w:t>2026-06-29 10:00:00+00:00</w:t>
      </w:r>
      <w:r>
        <w:t xml:space="preserve">    </w:t>
      </w:r>
      <w:r>
        <w:rPr>
          <w:b/>
        </w:rPr>
        <w:t xml:space="preserve">DOI: </w:t>
      </w:r>
      <w:hyperlink r:id="rId486">
        <w:r>
          <w:rPr>
            <w:color w:val="1155CC"/>
            <w:u w:val="single"/>
          </w:rPr>
          <w:t>10.1103/2c1p-8vx9</w:t>
        </w:r>
      </w:hyperlink>
    </w:p>
    <w:p>
      <w:pPr>
        <w:spacing w:before="0" w:after="120"/>
      </w:pPr>
      <w:r>
        <w:rPr>
          <w:b/>
        </w:rPr>
        <w:t xml:space="preserve">Notes: </w:t>
      </w:r>
      <w:r>
        <w:t>abstract_source=rss_description</w:t>
      </w:r>
    </w:p>
    <w:p>
      <w:pPr>
        <w:spacing w:before="0" w:after="80" w:lineRule="auto" w:line="276"/>
      </w:pPr>
      <w:r>
        <w:rPr>
          <w:b/>
        </w:rPr>
        <w:t xml:space="preserve">摘要（ZH）: </w:t>
      </w:r>
      <w:r>
        <w:t>作者：Zhiyi Wu、Xuandong Sun、Songlei Wang、Jiawei Zhang、Xiaohan Yang、Ji Chu、Jingjing Niu、Youpengzhong、Xiao Chen、Zhi-Cheng Yang 和 Dapeng Yu 中电路测量和以测量结果为条件的反馈操作对于在量子硬件上实现量子纠错至关重要。当集成到量子多体动力学中时，它们可以在每个 i 的水平上产生新颖的非平衡相变……[物理。莱特牧师。 137, 010401] 于 2026 年 6 月 29 日星期一发布</w:t>
      </w:r>
    </w:p>
    <w:p>
      <w:pPr>
        <w:spacing w:before="0" w:after="200" w:lineRule="auto" w:line="276"/>
      </w:pPr>
      <w:r>
        <w:rPr>
          <w:b/>
        </w:rPr>
        <w:t xml:space="preserve">Abstract (EN): </w:t>
      </w:r>
      <w:r>
        <w:t>Author(s): Zhiyi Wu, Xuandong Sun, Songlei Wang, Jiawei Zhang, Xiaohan Yang, Ji Chu, Jingjing Niu, Youpeng Zhong, Xiao Chen, Zhi-Cheng Yang, and Dapeng YuMidcircuit measurements and feedback operations conditioned on the measurement outcomes are essential for implementing quantum error-correction on quantum hardware. When integrated in quantum many-body dynamics, they can give rise to novel nonequilibrium phase transitions both at the level of each i…[Phys. Rev. Lett. 137, 010401] Published Mon Jun 29, 2026</w:t>
      </w:r>
    </w:p>
    <w:p>
      <w:pPr>
        <w:spacing w:before="120" w:after="120"/>
      </w:pPr>
      <w:r>
        <w:rPr>
          <w:sz w:val="18"/>
        </w:rPr>
        <w:t>——————————————————————————————————————————————————————————————————————</w:t>
      </w:r>
    </w:p>
    <w:p>
      <w:pPr>
        <w:spacing w:before="160" w:after="40" w:line="240" w:lineRule="auto"/>
      </w:pPr>
      <w:r>
        <w:rPr>
          <w:b/>
        </w:rPr>
        <w:t xml:space="preserve">[166] </w:t>
      </w:r>
      <w:hyperlink r:id="rId487">
        <w:r>
          <w:rPr>
            <w:color w:val="1155CC"/>
            <w:u w:val="single"/>
          </w:rPr>
          <w:t>非互易性作为植绒混合物分层的通用机制</w:t>
        </w:r>
      </w:hyperlink>
    </w:p>
    <w:p>
      <w:pPr>
        <w:spacing w:before="0" w:after="80"/>
      </w:pPr>
      <w:r>
        <w:rPr>
          <w:i/>
          <w:sz w:val="20"/>
        </w:rPr>
        <w:t>EN: Nonreciprocity as a Generic Mechanism for Demixing in Flocking Mixtures</w:t>
      </w:r>
    </w:p>
    <w:p>
      <w:pPr>
        <w:spacing w:before="0" w:after="120"/>
      </w:pPr>
      <w:r>
        <w:rPr>
          <w:b/>
        </w:rPr>
        <w:t xml:space="preserve">Source: </w:t>
      </w:r>
      <w:r>
        <w:t>Recent Articles in Phys. Rev. Lett.</w:t>
      </w:r>
      <w:r>
        <w:t xml:space="preserve">    </w:t>
      </w:r>
      <w:r>
        <w:rPr>
          <w:b/>
        </w:rPr>
        <w:t xml:space="preserve">Pub date: </w:t>
      </w:r>
      <w:r>
        <w:t>2026-06-29 10:00:00+00:00</w:t>
      </w:r>
      <w:r>
        <w:t xml:space="preserve">    </w:t>
      </w:r>
      <w:r>
        <w:rPr>
          <w:b/>
        </w:rPr>
        <w:t xml:space="preserve">DOI: </w:t>
      </w:r>
      <w:hyperlink r:id="rId488">
        <w:r>
          <w:rPr>
            <w:color w:val="1155CC"/>
            <w:u w:val="single"/>
          </w:rPr>
          <w:t>10.1103/v435-qnhl</w:t>
        </w:r>
      </w:hyperlink>
    </w:p>
    <w:p>
      <w:pPr>
        <w:spacing w:before="0" w:after="120"/>
      </w:pPr>
      <w:r>
        <w:rPr>
          <w:b/>
        </w:rPr>
        <w:t xml:space="preserve">Notes: </w:t>
      </w:r>
      <w:r>
        <w:t>abstract_source=rss_description</w:t>
      </w:r>
    </w:p>
    <w:p>
      <w:pPr>
        <w:spacing w:before="0" w:after="80" w:lineRule="auto" w:line="276"/>
      </w:pPr>
      <w:r>
        <w:rPr>
          <w:b/>
        </w:rPr>
        <w:t xml:space="preserve">摘要（ZH）: </w:t>
      </w:r>
      <w:r>
        <w:t>作者：Charlotte Myin 和 Benoît Mahault 我们表明，即使是弱的非互易排列也会导致植绒混合物中大规模结构的形成。通过结合二元 Vicsek 模型的数值模拟和粗粒连续方程的分析，我们证明了非互易性破坏了形成的有序相的稳定性。莱特牧师。 137, 018301] 于 2026 年 6 月 29 日星期一发布</w:t>
      </w:r>
    </w:p>
    <w:p>
      <w:pPr>
        <w:spacing w:before="0" w:after="200" w:lineRule="auto" w:line="276"/>
      </w:pPr>
      <w:r>
        <w:rPr>
          <w:b/>
        </w:rPr>
        <w:t xml:space="preserve">Abstract (EN): </w:t>
      </w:r>
      <w:r>
        <w:t>Author(s): Charlotte Myin and Benoît MahaultWe show that even weak nonreciprocal alignment leads to large-scale structure formation in flocking mixtures. By combining numerical simulations of a binary Vicsek model and the analysis of coarse-grained continuum equations, we demonstrate that nonreciprocity destabilizes the ordered phase formed b…[Phys. Rev. Lett. 137, 018301] Published Mon Jun 29, 2026</w:t>
      </w:r>
    </w:p>
    <w:p>
      <w:pPr>
        <w:spacing w:before="120" w:after="120"/>
      </w:pPr>
      <w:r>
        <w:rPr>
          <w:sz w:val="18"/>
        </w:rPr>
        <w:t>——————————————————————————————————————————————————————————————————————</w:t>
      </w:r>
    </w:p>
    <w:p>
      <w:pPr>
        <w:spacing w:before="160" w:after="40" w:line="240" w:lineRule="auto"/>
      </w:pPr>
      <w:r>
        <w:rPr>
          <w:b/>
        </w:rPr>
        <w:t xml:space="preserve">[167] </w:t>
      </w:r>
      <w:hyperlink r:id="rId489">
        <w:r>
          <w:rPr>
            <w:color w:val="1155CC"/>
            <w:u w:val="single"/>
          </w:rPr>
          <w:t>异构有限尺寸组件的通用逆向设计</w:t>
        </w:r>
      </w:hyperlink>
    </w:p>
    <w:p>
      <w:pPr>
        <w:spacing w:before="0" w:after="80"/>
      </w:pPr>
      <w:r>
        <w:rPr>
          <w:i/>
          <w:sz w:val="20"/>
        </w:rPr>
        <w:t>EN: General-Purpose Inverse Design of Heterogeneous Finite-Sized Assemblies</w:t>
      </w:r>
    </w:p>
    <w:p>
      <w:pPr>
        <w:spacing w:before="0" w:after="120"/>
      </w:pPr>
      <w:r>
        <w:rPr>
          <w:b/>
        </w:rPr>
        <w:t xml:space="preserve">Source: </w:t>
      </w:r>
      <w:r>
        <w:t>Recent Articles in Phys. Rev. Lett.</w:t>
      </w:r>
      <w:r>
        <w:t xml:space="preserve">    </w:t>
      </w:r>
      <w:r>
        <w:rPr>
          <w:b/>
        </w:rPr>
        <w:t xml:space="preserve">Pub date: </w:t>
      </w:r>
      <w:r>
        <w:t>2026-06-29 10:00:00+00:00</w:t>
      </w:r>
      <w:r>
        <w:t xml:space="preserve">    </w:t>
      </w:r>
      <w:r>
        <w:rPr>
          <w:b/>
        </w:rPr>
        <w:t xml:space="preserve">DOI: </w:t>
      </w:r>
      <w:hyperlink r:id="rId490">
        <w:r>
          <w:rPr>
            <w:color w:val="1155CC"/>
            <w:u w:val="single"/>
          </w:rPr>
          <w:t>10.1103/w4s1-rtqm</w:t>
        </w:r>
      </w:hyperlink>
    </w:p>
    <w:p>
      <w:pPr>
        <w:spacing w:before="0" w:after="120"/>
      </w:pPr>
      <w:r>
        <w:rPr>
          <w:b/>
        </w:rPr>
        <w:t xml:space="preserve">Notes: </w:t>
      </w:r>
      <w:r>
        <w:t>abstract_source=rss_description</w:t>
      </w:r>
    </w:p>
    <w:p>
      <w:pPr>
        <w:spacing w:before="0" w:after="80" w:lineRule="auto" w:line="276"/>
      </w:pPr>
      <w:r>
        <w:rPr>
          <w:b/>
        </w:rPr>
        <w:t xml:space="preserve">摘要（ZH）: </w:t>
      </w:r>
      <w:r>
        <w:t>作者：Livia A. J. Guttieres、Ryan K. Krueger、Remi Drolet 和 Michael P. Brenner 设计异质自组装系统是软物质和生物学领域的一项核心挑战。我们提出了一个框架，使用基于梯度的优化来反转分析产量计算，调整系统以达到目标平衡产量。我们设计的系统范围从简单的二聚体到……[物理。莱特牧师。 137, 018201] 于 2026 年 6 月 29 日星期一发布</w:t>
      </w:r>
    </w:p>
    <w:p>
      <w:pPr>
        <w:spacing w:before="0" w:after="200" w:lineRule="auto" w:line="276"/>
      </w:pPr>
      <w:r>
        <w:rPr>
          <w:b/>
        </w:rPr>
        <w:t xml:space="preserve">Abstract (EN): </w:t>
      </w:r>
      <w:r>
        <w:t>Author(s): Livia A. J. Guttieres, Ryan K. Krueger, Remi Drolet, and Michael P. BrennerDesigning heterogeneous, self-assembling systems is a central challenge in soft matter and biology. We present a framework that uses gradient-based optimization to invert an analytical yield calculation, tuning systems toward target equilibrium yields. We design systems ranging from simple dimers to…[Phys. Rev. Lett. 137, 018201] Published Mon Jun 29, 2026</w:t>
      </w:r>
    </w:p>
    <w:p>
      <w:pPr>
        <w:spacing w:before="120" w:after="120"/>
      </w:pPr>
      <w:r>
        <w:rPr>
          <w:sz w:val="18"/>
        </w:rPr>
        <w:t>——————————————————————————————————————————————————————————————————————</w:t>
      </w:r>
    </w:p>
    <w:p>
      <w:pPr>
        <w:spacing w:before="160" w:after="40" w:line="240" w:lineRule="auto"/>
      </w:pPr>
      <w:r>
        <w:rPr>
          <w:b/>
        </w:rPr>
        <w:t xml:space="preserve">[168] </w:t>
      </w:r>
      <w:hyperlink r:id="rId491">
        <w:r>
          <w:rPr>
            <w:color w:val="1155CC"/>
            <w:u w:val="single"/>
          </w:rPr>
          <w:t>使用${\mathrm{Ξ}}^{0}$-核散射对反应${\mathrm{Ξ}}^{0}n→\mathrm{Λ}\mathrm{Λ}X$进行实验研究</w:t>
        </w:r>
      </w:hyperlink>
    </w:p>
    <w:p>
      <w:pPr>
        <w:spacing w:before="0" w:after="80"/>
      </w:pPr>
      <w:r>
        <w:rPr>
          <w:i/>
          <w:sz w:val="20"/>
        </w:rPr>
        <w:t>EN: Experimental study of the reaction ${\mathrm{Ξ}}^{0}n→\mathrm{Λ}\mathrm{Λ}X$ using ${\mathrm{Ξ}}^{0}$-nucleus scattering</w:t>
      </w:r>
    </w:p>
    <w:p>
      <w:pPr>
        <w:spacing w:before="0" w:after="120"/>
      </w:pPr>
      <w:r>
        <w:rPr>
          <w:b/>
        </w:rPr>
        <w:t xml:space="preserve">Source: </w:t>
      </w:r>
      <w:r>
        <w:t>Recent Articles in Phys. Rev. C</w:t>
      </w:r>
      <w:r>
        <w:t xml:space="preserve">    </w:t>
      </w:r>
      <w:r>
        <w:rPr>
          <w:b/>
        </w:rPr>
        <w:t xml:space="preserve">Pub date: </w:t>
      </w:r>
      <w:r>
        <w:t>2026-06-29 10:00:00+00:00</w:t>
      </w:r>
      <w:r>
        <w:t xml:space="preserve">    </w:t>
      </w:r>
      <w:r>
        <w:rPr>
          <w:b/>
        </w:rPr>
        <w:t xml:space="preserve">DOI: </w:t>
      </w:r>
      <w:hyperlink r:id="rId492">
        <w:r>
          <w:rPr>
            <w:color w:val="1155CC"/>
            <w:u w:val="single"/>
          </w:rPr>
          <w:t>10.1103/yl6l-ldhn</w:t>
        </w:r>
      </w:hyperlink>
    </w:p>
    <w:p>
      <w:pPr>
        <w:spacing w:before="0" w:after="120"/>
      </w:pPr>
      <w:r>
        <w:rPr>
          <w:b/>
        </w:rPr>
        <w:t xml:space="preserve">Notes: </w:t>
      </w:r>
      <w:r>
        <w:t>abstract_source=rss_description</w:t>
      </w:r>
    </w:p>
    <w:p>
      <w:pPr>
        <w:spacing w:before="0" w:after="80" w:lineRule="auto" w:line="276"/>
      </w:pPr>
      <w:r>
        <w:rPr>
          <w:b/>
        </w:rPr>
        <w:t xml:space="preserve">摘要（ZH）: </w:t>
      </w:r>
      <w:r>
        <w:t>作者：M. Ablikim 等人。 (BESIII合作)使用2009年、2012年、2018年和2019年在BEPCII存储环上运行的BESIII探测器收集的$(10087±44)×{10}^{6}J/ψ$事件，我们对反应进行了搜索${\mathrm{Ξ}}^{0}n→\mathrm{Λ}\mathrm{Λ}X$，其中$X$表示任何附加的最终粒子。鉴于高度抑制的 p…[物理。修订版 C 113，L062202] 于 2026 年 6 月 29 日星期一发布</w:t>
      </w:r>
    </w:p>
    <w:p>
      <w:pPr>
        <w:spacing w:before="0" w:after="200" w:lineRule="auto" w:line="276"/>
      </w:pPr>
      <w:r>
        <w:rPr>
          <w:b/>
        </w:rPr>
        <w:t xml:space="preserve">Abstract (EN): </w:t>
      </w:r>
      <w:r>
        <w:t>Author(s): M. Ablikim et al. (BESIII Collaboration)Using $(10087±44)×{10}^{6}J/ψ$ events collected with the BESIII detector operating at the BEPCII storage ring in 2009, 2012, 2018, and 2019, we perform a search for the reaction ${\mathrm{Ξ}}^{0}n→\mathrm{Λ}\mathrm{Λ}X$, where $X$ denotes any additional final particles. Given the highly suppressed p…[Phys. Rev. C 113, L062202] Published Mon Jun 29, 2026</w:t>
      </w:r>
    </w:p>
    <w:p>
      <w:pPr>
        <w:spacing w:before="120" w:after="120"/>
      </w:pPr>
      <w:r>
        <w:rPr>
          <w:sz w:val="18"/>
        </w:rPr>
        <w:t>——————————————————————————————————————————————————————————————————————</w:t>
      </w:r>
    </w:p>
    <w:p>
      <w:pPr>
        <w:spacing w:before="160" w:after="40" w:line="240" w:lineRule="auto"/>
      </w:pPr>
      <w:r>
        <w:rPr>
          <w:b/>
        </w:rPr>
        <w:t xml:space="preserve">[169] </w:t>
      </w:r>
      <w:hyperlink r:id="rId493">
        <w:r>
          <w:rPr>
            <w:color w:val="1155CC"/>
            <w:u w:val="single"/>
          </w:rPr>
          <w:t>通过分子印迹聚合物集成水凝胶微针体内监测血栓炎症生物标志物</w:t>
        </w:r>
      </w:hyperlink>
    </w:p>
    <w:p>
      <w:pPr>
        <w:spacing w:before="0" w:after="80"/>
      </w:pPr>
      <w:r>
        <w:rPr>
          <w:i/>
          <w:sz w:val="20"/>
        </w:rPr>
        <w:t>EN: In Vivo Monitoring of Thrombo‐Inflammatory Biomarkers via Molecularly Imprinted Polymer‐Integrated Hydrogel Microneedles</w:t>
      </w:r>
    </w:p>
    <w:p>
      <w:pPr>
        <w:spacing w:before="0" w:after="120"/>
      </w:pPr>
      <w:r>
        <w:rPr>
          <w:b/>
        </w:rPr>
        <w:t xml:space="preserve">Source: </w:t>
      </w:r>
      <w:r>
        <w:t>Wiley: Advanced Materials: Table of Contents</w:t>
      </w:r>
      <w:r>
        <w:t xml:space="preserve">    </w:t>
      </w:r>
      <w:r>
        <w:rPr>
          <w:b/>
        </w:rPr>
        <w:t xml:space="preserve">Pub date: </w:t>
      </w:r>
      <w:r>
        <w:t>2026-06-29 11:13:34+00:00</w:t>
      </w:r>
      <w:r>
        <w:t xml:space="preserve">    </w:t>
      </w:r>
      <w:r>
        <w:rPr>
          <w:b/>
        </w:rPr>
        <w:t xml:space="preserve">DOI: </w:t>
      </w:r>
      <w:hyperlink r:id="rId494">
        <w:r>
          <w:rPr>
            <w:color w:val="1155CC"/>
            <w:u w:val="single"/>
          </w:rPr>
          <w:t>10.1002/adma.202521589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血栓性疾病是全世界心血管死亡的主要原因；然而，用于及时检测不断变化的凝血病的实时护理点监测技术仍然无法实现。与传统的间歇性血液检测相比，可穿戴式微创跟踪血栓炎症活动可以实现更早的风险评估和更有效的治疗监测。在这里，我们提出了一种无试剂、可穿戴电化学平台，该平台集成了片上普鲁士蓝（PB）氧化还原传感器、信号关闭分子印迹聚合物（MIP）层和用于间质液（ISF）采样的生物相容性水凝胶微针（HMN）阵列，从而能够直接电化学检测血栓炎症生物标志物。电化学 PB/MIP (e-MIP) 生物传感器被配置为直接量化通过集成 HMN 提取的真皮 ISF 中的凝血酶（血栓生物标志物）以及白介素-6 (IL-6) 和肿瘤坏死因子-α (TNF-α)（炎症生物标志物）。可穿戴 e-MIP 在体外和离体体内进行了表征，其中猪皮测试保持了线性并实现了 0.26 ng mL 的检测限 (LOD)</w:t>
      </w:r>
      <w:r>
        <w:t xml:space="preserve"> </w:t>
      </w:r>
      <w:r>
        <w:t>-</w:t>
      </w:r>
      <w:r>
        <w:rPr>
          <w:vertAlign w:val="subscript"/>
        </w:rPr>
        <w:t>1</w:t>
      </w:r>
      <w:r>
        <w:t>对于凝血酶且 ≤ 0.41 pg mL</w:t>
      </w:r>
      <w:r>
        <w:t xml:space="preserve"> </w:t>
      </w:r>
      <w:r>
        <w:t>-</w:t>
      </w:r>
      <w:r>
        <w:rPr>
          <w:vertAlign w:val="subscript"/>
        </w:rPr>
        <w:t>1</w:t>
      </w:r>
      <w:r>
        <w:t>IL-6 和 TNF-α，确认皮肤模型中的敏感性能。此外，还进行了针对潜在干扰物（例如凝血酶原或心肌肌钙蛋白）的选择性研究，以评估可能的交叉反应性。在</w:t>
      </w:r>
    </w:p>
    <w:p>
      <w:pPr>
        <w:spacing w:before="0" w:after="200" w:lineRule="auto" w:line="276"/>
      </w:pPr>
      <w:r>
        <w:rPr>
          <w:b/>
        </w:rPr>
        <w:t xml:space="preserve">Abstract (EN): </w:t>
      </w:r>
      <w:r>
        <w:t>Thrombotic disorders are a leading cause of cardiovascular mortality worldwide; however, real‐time, point‐of‐care monitoring technologies for timely detection of evolving coagulopathies remain inaccessible. Wearable, minimally invasive tracking of thrombo‐inflammatory activity could enable earlier risk assessment and more effective therapy monitoring than conventional episodic blood tests. Here, we present a reagent‐free, wearable electrochemical platform that integrates an on‐chip Prussian Blue (PB) redox transducer with a signal‐off molecularly imprinted polymer (MIP) layer and a biocompatible hydrogel microneedle (HMN) array for interstitial fluid (ISF) sampling, enabling direct electrochemical detection of thrombo‐inflammatory biomarkers. The electrochemical PB/MIP (e‐MIP) biosensor was configured to quantify thrombin (thrombotic biomarker) as well as interleukin‐6 (IL‐6) and tumor necrosis factor‐α (TNF‐α) (inflammatory biomarkers) directly in dermal ISF extracted via the integrated HMNs. The wearable e‐MIP was characterized in vitro and ex vivo, where porcine skin tests preserved linearity and achieved limits of detection (LODs) of 0.26 ng mL</w:t>
      </w:r>
      <w:r>
        <w:t xml:space="preserve"> </w:t>
      </w:r>
      <w:r>
        <w:t>−</w:t>
      </w:r>
      <w:r>
        <w:rPr>
          <w:vertAlign w:val="subscript"/>
        </w:rPr>
        <w:t>1</w:t>
      </w:r>
      <w:r>
        <w:t>for thrombin and ≤ 0.41 pg mL</w:t>
      </w:r>
      <w:r>
        <w:t xml:space="preserve"> </w:t>
      </w:r>
      <w:r>
        <w:t>−</w:t>
      </w:r>
      <w:r>
        <w:rPr>
          <w:vertAlign w:val="subscript"/>
        </w:rPr>
        <w:t>1</w:t>
      </w:r>
      <w:r>
        <w:t>for IL‐6 and TNF‐α, confirming sensitive performance in a skin model. Also, selectivity studies against potential interferents (e.g., prothrombin or cardiac troponins) were conducted to assess the possible cross‐reactivity. in vivo, HMN‐integrated patches applied to lipopolysaccharide (LPS)–challenged rats sampled ISF and delivered it to the e‐MIP, which captured the rise‐and‐fall kinetics of thrombin and IL‐6 over 0–24 h. The results were validated against parallel enzyme‐linked immunosorbent assays (ELISAs) performed on plasma collected at corresponding time points. Its versatile architecture and demonstrated in vivo performance position it as a promising platform that can enable early thrombotic risk assessment and therapeutic monitoring, with potential applications in personalized cardiovascular management following clinical validation.</w:t>
      </w:r>
    </w:p>
    <w:p>
      <w:pPr>
        <w:spacing w:before="120" w:after="120"/>
      </w:pPr>
      <w:r>
        <w:rPr>
          <w:sz w:val="18"/>
        </w:rPr>
        <w:t>——————————————————————————————————————————————————————————————————————</w:t>
      </w:r>
    </w:p>
    <w:p>
      <w:pPr>
        <w:spacing w:before="160" w:after="40" w:line="240" w:lineRule="auto"/>
      </w:pPr>
      <w:r>
        <w:rPr>
          <w:b/>
        </w:rPr>
        <w:t xml:space="preserve">[170] </w:t>
      </w:r>
      <w:hyperlink r:id="rId495">
        <w:r>
          <w:rPr>
            <w:color w:val="1155CC"/>
            <w:u w:val="single"/>
          </w:rPr>
          <w:t>共轭聚合物半导体实现高性能倒置钙钛矿太阳能电池的多功能界面工程</w:t>
        </w:r>
      </w:hyperlink>
    </w:p>
    <w:p>
      <w:pPr>
        <w:spacing w:before="0" w:after="80"/>
      </w:pPr>
      <w:r>
        <w:rPr>
          <w:i/>
          <w:sz w:val="20"/>
        </w:rPr>
        <w:t>EN: Conjugated Polymer Semiconductors Enabled Multifunctional Interfacial Engineering for High‐Performance Inverted Perovskite Solar Cells</w:t>
      </w:r>
    </w:p>
    <w:p>
      <w:pPr>
        <w:spacing w:before="0" w:after="120"/>
      </w:pPr>
      <w:r>
        <w:rPr>
          <w:b/>
        </w:rPr>
        <w:t xml:space="preserve">Source: </w:t>
      </w:r>
      <w:r>
        <w:t>Wiley: Advanced Materials: Table of Contents</w:t>
      </w:r>
      <w:r>
        <w:t xml:space="preserve">    </w:t>
      </w:r>
      <w:r>
        <w:rPr>
          <w:b/>
        </w:rPr>
        <w:t xml:space="preserve">Pub date: </w:t>
      </w:r>
      <w:r>
        <w:t>2026-06-29 11:15:26+00:00</w:t>
      </w:r>
      <w:r>
        <w:t xml:space="preserve">    </w:t>
      </w:r>
      <w:r>
        <w:rPr>
          <w:b/>
        </w:rPr>
        <w:t xml:space="preserve">DOI: </w:t>
      </w:r>
      <w:hyperlink r:id="rId496">
        <w:r>
          <w:rPr>
            <w:color w:val="1155CC"/>
            <w:u w:val="single"/>
          </w:rPr>
          <w:t>10.1002/adma.73850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倒置钙钛矿太阳能电池中钙钛矿与电子传输层（ETL）之间的界面缺陷挑战已成为工业化过程中实现同时高效和稳定的关键瓶颈。我们开发了一种新型多功能集成聚合物半导体材料P4N-Cl作为钙钛矿和[6,6]-苯基-C之间的界面夹层</w:t>
      </w:r>
      <w:r>
        <w:rPr>
          <w:vertAlign w:val="subscript"/>
        </w:rPr>
        <w:t>61</w:t>
      </w:r>
      <w:r>
        <w:t>‐丁酸甲酯。各种官能团，包括羰基、Cl原子和sp</w:t>
      </w:r>
      <w:r>
        <w:rPr>
          <w:vertAlign w:val="subscript"/>
        </w:rPr>
        <w:t>2</w:t>
      </w:r>
      <w:r>
        <w:t>聚合物主链中的-N原子通过协同配位机制有效钝化钙钛矿界面的缺陷，并显着抑制非辐射复合损失。同时，异质界面处牢固的界面结合进一步优化了钙钛矿/ETL界面处的能级排列，并增强了载流子动力学。基于 P4N-Cl 多功能层的倒置 PSC 实现了 26.20% 的冠军效率和 1.21 V 的高开路电压。在环境空气（40%–60% 相对湿度）中进行 2016 小时老化以及在 65°C 和 1 太阳光照下进行 1500 小时最大功率点跟踪后，目标器件保留了初始功率转换效率的 96.2% 和 90.2%分别在氮气中。这种“一站式”设计为构建具有高效率和长期运行稳定性的新一代商业上可行的钙钛矿太阳能电池提供了令人兴奋的研究前景</w:t>
      </w:r>
    </w:p>
    <w:p>
      <w:pPr>
        <w:spacing w:before="0" w:after="200" w:lineRule="auto" w:line="276"/>
      </w:pPr>
      <w:r>
        <w:rPr>
          <w:b/>
        </w:rPr>
        <w:t xml:space="preserve">Abstract (EN): </w:t>
      </w:r>
      <w:r>
        <w:t>The interfacial defect challenge between perovskite and electron transport layer (ETL) in inverted perovskite solar cells have become a critical bottleneck for achieving concurrent high efficiency and stability in the process of industrialization. We developed a novel multifunctional integrated polymer semiconductor material P4N‐Cl as an interface interlayer between perovskite and [6,6]‐phenyl‐C</w:t>
      </w:r>
      <w:r>
        <w:rPr>
          <w:vertAlign w:val="subscript"/>
        </w:rPr>
        <w:t>61</w:t>
      </w:r>
      <w:r>
        <w:t>‐butyric acid methyl ester. Various functional groups including carbonyl group, Cl atom and sp</w:t>
      </w:r>
      <w:r>
        <w:rPr>
          <w:vertAlign w:val="subscript"/>
        </w:rPr>
        <w:t>2</w:t>
      </w:r>
      <w:r>
        <w:t>‐N atom in the polymer backbone effectively passivate defects at the perovskite interface through a synergistic coordination mechanism and significantly suppress non‐radiative recombination losses. Simultaneously, the robust interfacial binding at the heterointerface further optimizes the energy level alignment at the perovskite/ETL interface and enhances charge carrier dynamics. The inverted PSCs based on the P4N‐Cl multifunctional layer achieved a champion efficiency of 26.20% and a high open‐circuit voltage of 1.21 V. The target devices retained 96.2% and 90.2% of their initial power conversion efficiency after 2016 h aging in ambient air (40%–60% relative humidity) and 1500 h maximum power point tracking at 65°C under 1‐sun illumination in nitrogen, respectively. This “one‐stop” design provides exciting research prospects for constructing a new generation of commercially viable perovskite solar cells with high efficiency and long‐term operation stability of devices.</w:t>
      </w:r>
    </w:p>
    <w:p>
      <w:pPr>
        <w:spacing w:before="120" w:after="120"/>
      </w:pPr>
      <w:r>
        <w:rPr>
          <w:sz w:val="18"/>
        </w:rPr>
        <w:t>——————————————————————————————————————————————————————————————————————</w:t>
      </w:r>
    </w:p>
    <w:p>
      <w:pPr>
        <w:spacing w:before="160" w:after="40" w:line="240" w:lineRule="auto"/>
      </w:pPr>
      <w:r>
        <w:rPr>
          <w:b/>
        </w:rPr>
        <w:t xml:space="preserve">[171] </w:t>
      </w:r>
      <w:hyperlink r:id="rId497">
        <w:r>
          <w:rPr>
            <w:color w:val="1155CC"/>
            <w:u w:val="single"/>
          </w:rPr>
          <w:t>用于皮肌炎非侵入性肌肉无力评估的干燥皮肤兼容神经运动电极接口</w:t>
        </w:r>
      </w:hyperlink>
    </w:p>
    <w:p>
      <w:pPr>
        <w:spacing w:before="0" w:after="80"/>
      </w:pPr>
      <w:r>
        <w:rPr>
          <w:i/>
          <w:sz w:val="20"/>
        </w:rPr>
        <w:t>EN: A Xerotic Skin‐Compatible Neuromotor Electrode Interface for Non‐Invasive Muscle Weakness Evaluation in Dermatomyositis</w:t>
      </w:r>
    </w:p>
    <w:p>
      <w:pPr>
        <w:spacing w:before="0" w:after="120"/>
      </w:pPr>
      <w:r>
        <w:rPr>
          <w:b/>
        </w:rPr>
        <w:t xml:space="preserve">Source: </w:t>
      </w:r>
      <w:r>
        <w:t>Wiley: Advanced Materials: Table of Contents</w:t>
      </w:r>
      <w:r>
        <w:t xml:space="preserve">    </w:t>
      </w:r>
      <w:r>
        <w:rPr>
          <w:b/>
        </w:rPr>
        <w:t xml:space="preserve">Pub date: </w:t>
      </w:r>
      <w:r>
        <w:t>2026-06-29 11:17:07+00:00</w:t>
      </w:r>
      <w:r>
        <w:t xml:space="preserve">    </w:t>
      </w:r>
      <w:r>
        <w:rPr>
          <w:b/>
        </w:rPr>
        <w:t xml:space="preserve">DOI: </w:t>
      </w:r>
      <w:hyperlink r:id="rId498">
        <w:r>
          <w:rPr>
            <w:color w:val="1155CC"/>
            <w:u w:val="single"/>
          </w:rPr>
          <w:t>10.1002/adma.73874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皮肌炎产生了对非侵入性、定量肌肉无力评估的临床需求，这可以通过分解表面肌电图 (sEMG) 的神经运动信息来实现。然而，缺乏与病理性干燥皮肤兼容的稳定电极接口阻碍了这种方法。在这里，我们开发了一种顺应性神经运动电极接口，通过分子工程克服了这个问题，表现出超软模量（~ 2.13 kPa）、低阻抗（1 kHz 时~ 0.9 kΩ）和稳定的电保持超过 7 天。该接口能够以低基线噪声（&lt; 2 µV 均方根）和高通道间信号相关性从皮肌炎患者采集高保真 sEMG，从而实现神经运动生物标志物的稳健分解，包括运动单位计数、动作电位幅度和放电频率。在临床上，我们的多生物标志物量化策略与金标准评估高度一致。此外，我们的方法可以检测患者之间的细微差异，例如早期招募模式，从而实现超越临床金标准的个性化治疗。这项工作为精确的肌无力评估建立了一个变革性平台，克服了针肌电图和主观临床量表的局限性。</w:t>
      </w:r>
    </w:p>
    <w:p>
      <w:pPr>
        <w:spacing w:before="0" w:after="200" w:lineRule="auto" w:line="276"/>
      </w:pPr>
      <w:r>
        <w:rPr>
          <w:b/>
        </w:rPr>
        <w:t xml:space="preserve">Abstract (EN): </w:t>
      </w:r>
      <w:r>
        <w:t>Dermatomyositis creates a clinical demand for non‐invasive, quantitative muscle weakness assessment, which can be achieved by decomposing neuromotor information from surface electromyography (sEMG). However, the absence of a stable electrode interface compatible with pathologically xerotic skin has hindered this approach. Here, we develop a conformable neuromotor electrode interface that overcomes this via molecular engineering, exhibiting an ultrasoft modulus (∼ 2.13 kPa), low impedance (∼ 0.9 kΩ at 1 kHz), and stable electrical retention over 7 days. This interface enables the acquisition of high‐fidelity sEMG from dermatomyositis patients with low baseline noise (&amp;lt; 2 µV root mean square) and high inter‐channel signal correlation, allowing robust decomposition of neuromotor biomarkers including motor unit count, action potential amplitude, and firing rate. Clinically, our multi‐biomarker quantification strategy shows strong agreement with gold standard assessments. Moreover, our approach can detect subtle interpatient variations like early recruitment patterns, enabling personalized treatment beyond the clinical gold standard. This work establishes a transformative platform for precise muscle weakness evaluation, overcoming the limitations of needle electromyography and subjective clinical scales.</w:t>
      </w:r>
    </w:p>
    <w:p>
      <w:pPr>
        <w:spacing w:before="120" w:after="120"/>
      </w:pPr>
      <w:r>
        <w:rPr>
          <w:sz w:val="18"/>
        </w:rPr>
        <w:t>——————————————————————————————————————————————————————————————————————</w:t>
      </w:r>
    </w:p>
    <w:p>
      <w:pPr>
        <w:spacing w:before="160" w:after="40" w:line="240" w:lineRule="auto"/>
      </w:pPr>
      <w:r>
        <w:rPr>
          <w:b/>
        </w:rPr>
        <w:t xml:space="preserve">[172] </w:t>
      </w:r>
      <w:hyperlink r:id="rId499">
        <w:r>
          <w:rPr>
            <w:color w:val="1155CC"/>
            <w:u w:val="single"/>
          </w:rPr>
          <w:t>外延BiFeO3薄膜中自旋摆线的演化与抑制</w:t>
        </w:r>
      </w:hyperlink>
    </w:p>
    <w:p>
      <w:pPr>
        <w:spacing w:before="0" w:after="80"/>
      </w:pPr>
      <w:r>
        <w:rPr>
          <w:i/>
          <w:sz w:val="20"/>
        </w:rPr>
        <w:t>EN: Evolution and Suppression of Spin Cycloid in Epitaxial BiFeO3 Thin Films</w:t>
      </w:r>
    </w:p>
    <w:p>
      <w:pPr>
        <w:spacing w:before="0" w:after="120"/>
      </w:pPr>
      <w:r>
        <w:rPr>
          <w:b/>
        </w:rPr>
        <w:t xml:space="preserve">Source: </w:t>
      </w:r>
      <w:r>
        <w:t>Wiley: Advanced Materials: Table of Contents</w:t>
      </w:r>
      <w:r>
        <w:t xml:space="preserve">    </w:t>
      </w:r>
      <w:r>
        <w:rPr>
          <w:b/>
        </w:rPr>
        <w:t xml:space="preserve">Pub date: </w:t>
      </w:r>
      <w:r>
        <w:t>2026-06-29 11:20:17+00:00</w:t>
      </w:r>
      <w:r>
        <w:t xml:space="preserve">    </w:t>
      </w:r>
      <w:r>
        <w:rPr>
          <w:b/>
        </w:rPr>
        <w:t xml:space="preserve">DOI: </w:t>
      </w:r>
      <w:hyperlink r:id="rId500">
        <w:r>
          <w:rPr>
            <w:color w:val="1155CC"/>
            <w:u w:val="single"/>
          </w:rPr>
          <w:t>10.1002/adma.202518938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膜厚对BiFeO中自旋摆线稳定性影响的系统研究</w:t>
      </w:r>
      <w:r>
        <w:rPr>
          <w:vertAlign w:val="subscript"/>
        </w:rPr>
        <w:t>3</w:t>
      </w:r>
      <w:r>
        <w:t>在 TbScO 上外延生长</w:t>
      </w:r>
      <w:r>
        <w:rPr>
          <w:vertAlign w:val="subscript"/>
        </w:rPr>
        <w:t>3</w:t>
      </w:r>
      <w:r>
        <w:t>（110）衬底揭示了晶体和铁电畴结构以及磁序的复杂演变。对于厚度超过 ∼5 nm 的薄膜，结构仍然是菱面体，但晶格失配是通过形成 71° 铁弹性闭合域而不是失配位错来调节的，然后形成 109° 域。对于 ≲ 5 nm 的薄膜，极性、菱面体状（</w:t>
      </w:r>
      <w:r>
        <w:t xml:space="preserve"> </w:t>
      </w:r>
      <w:r>
        <w:t>右</w:t>
      </w:r>
      <w:r>
        <w:rPr>
          <w:vertAlign w:val="subscript"/>
        </w:rPr>
        <w:t>3</w:t>
      </w:r>
      <w:r>
        <w:t>c</w:t>
      </w:r>
      <w:r>
        <w:t xml:space="preserve"> </w:t>
      </w:r>
      <w:r>
        <w:t>）相和反极（</w:t>
      </w:r>
      <w:r>
        <w:t xml:space="preserve"> </w:t>
      </w:r>
      <w:r>
        <w:t>普马</w:t>
      </w:r>
      <w:r>
        <w:t xml:space="preserve"> </w:t>
      </w:r>
      <w:r>
        <w:t>) 相被观察到。扫描氮空位磁力测量揭示了自旋摆线的传播矢量随厚度的变化。对于 50 nm 厚的样品，它从平行于铁电域演变，并重新定向为垂直于中间厚度的铁电域，并且对于 ≲ 5 nm 的薄膜消失，这反映在宏观自旋输运测量中，并得到了模拟的支持。最终，这项工作提供了对薄膜厚度和静电边界条件对铁电域配置的作用的深入理解，从而对自旋摆线的作用进行了深入的了解，以设计具有电场控制反铁磁性的器件。</w:t>
      </w:r>
    </w:p>
    <w:p>
      <w:pPr>
        <w:spacing w:before="0" w:after="200" w:lineRule="auto" w:line="276"/>
      </w:pPr>
      <w:r>
        <w:rPr>
          <w:b/>
        </w:rPr>
        <w:t xml:space="preserve">Abstract (EN): </w:t>
      </w:r>
      <w:r>
        <w:t>A systematic study of the effect of film thickness on the stability of the spin cycloid in BiFeO</w:t>
      </w:r>
      <w:r>
        <w:rPr>
          <w:vertAlign w:val="subscript"/>
        </w:rPr>
        <w:t>3</w:t>
      </w:r>
      <w:r>
        <w:t>grown epitaxially on TbScO</w:t>
      </w:r>
      <w:r>
        <w:rPr>
          <w:vertAlign w:val="subscript"/>
        </w:rPr>
        <w:t>3</w:t>
      </w:r>
      <w:r>
        <w:t>(110) substrates reveals a complex evolution of both the crystal and ferroelectric domain structures as well as the magnetic order. For films thicker than ∼5 nm, the structure remains rhombohedral, but the lattice mismatch is accommodated by the formation of 71° ferroelastic‐closure domains, rather than misfit dislocations, followed by the formation of 109° domains. For films ≲ 5 nm, a mixed‐phase coexistence of a polar, rhombohedral‐like (</w:t>
      </w:r>
      <w:r>
        <w:t xml:space="preserve"> </w:t>
      </w:r>
      <w:r>
        <w:t>R</w:t>
      </w:r>
      <w:r>
        <w:rPr>
          <w:vertAlign w:val="subscript"/>
        </w:rPr>
        <w:t>3</w:t>
      </w:r>
      <w:r>
        <w:t>c</w:t>
      </w:r>
      <w:r>
        <w:t xml:space="preserve"> </w:t>
      </w:r>
      <w:r>
        <w:t>) phase and an antipolar (</w:t>
      </w:r>
      <w:r>
        <w:t xml:space="preserve"> </w:t>
      </w:r>
      <w:r>
        <w:t>Pnma</w:t>
      </w:r>
      <w:r>
        <w:t xml:space="preserve"> </w:t>
      </w:r>
      <w:r>
        <w:t>) phase is observed. Scanning nitrogen‐vacancy magnetometry reveals a change in the propagation vector of the spin cycloid with thickness. It evolves from parallel to the ferroelectric domains for 50 nm thick samples and thicker and reorients to perpendicular to the ferroelectric domains for intermediate thicknesses, and vanishes for films ≲ 5 nm, which is reflected in macroscopic spin transport measurements and supported by the simulations. Ultimately, this work provides a deep understanding of the role of film thickness and electrostatic boundary conditions on the ferroelectric domain configuration and, therefore on the spin cycloid to design the device with electric field control antiferromagnetism.</w:t>
      </w:r>
    </w:p>
    <w:p>
      <w:pPr>
        <w:spacing w:before="120" w:after="120"/>
      </w:pPr>
      <w:r>
        <w:rPr>
          <w:sz w:val="18"/>
        </w:rPr>
        <w:t>——————————————————————————————————————————————————————————————————————</w:t>
      </w:r>
    </w:p>
    <w:p>
      <w:pPr>
        <w:spacing w:before="160" w:after="40" w:line="240" w:lineRule="auto"/>
      </w:pPr>
      <w:r>
        <w:rPr>
          <w:b/>
        </w:rPr>
        <w:t xml:space="preserve">[173] </w:t>
      </w:r>
      <w:hyperlink r:id="rId501">
        <w:r>
          <w:rPr>
            <w:color w:val="1155CC"/>
            <w:u w:val="single"/>
          </w:rPr>
          <w:t>有机合成中新兴的均相-多相集成催化系统</w:t>
        </w:r>
      </w:hyperlink>
    </w:p>
    <w:p>
      <w:pPr>
        <w:spacing w:before="0" w:after="80"/>
      </w:pPr>
      <w:r>
        <w:rPr>
          <w:i/>
          <w:sz w:val="20"/>
        </w:rPr>
        <w:t>EN: Emerging Homogeneous‐Heterogeneous Integrated Catalytic Systems in Organic Synthesis</w:t>
      </w:r>
    </w:p>
    <w:p>
      <w:pPr>
        <w:spacing w:before="0" w:after="120"/>
      </w:pPr>
      <w:r>
        <w:rPr>
          <w:b/>
        </w:rPr>
        <w:t xml:space="preserve">Source: </w:t>
      </w:r>
      <w:r>
        <w:t>Wiley: Advanced Materials: Table of Contents</w:t>
      </w:r>
      <w:r>
        <w:t xml:space="preserve">    </w:t>
      </w:r>
      <w:r>
        <w:rPr>
          <w:b/>
        </w:rPr>
        <w:t xml:space="preserve">Pub date: </w:t>
      </w:r>
      <w:r>
        <w:t>2026-06-29 13:32:03+00:00</w:t>
      </w:r>
      <w:r>
        <w:t xml:space="preserve">    </w:t>
      </w:r>
      <w:r>
        <w:rPr>
          <w:b/>
        </w:rPr>
        <w:t xml:space="preserve">DOI: </w:t>
      </w:r>
      <w:hyperlink r:id="rId502">
        <w:r>
          <w:rPr>
            <w:color w:val="1155CC"/>
            <w:u w:val="single"/>
          </w:rPr>
          <w:t>10.1002/adma.73870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均相催化和多相催化代表了有机合成研究的两个前沿和核心领域。从历史上看，这两种催化机制沿着平行且基本上独立的轨迹发展。认识到它们固有的互补性，特别是在活性、选择性和可回收性方面，打破均相和多相催化之间的障碍，构建集高活性、优异的选择性、稳健的稳定性和易于回收性于一体的新型催化系统，一直是催化科学的一个追求的目标。作为一种新兴策略，均相-多相集成催化为应对这一挑战开辟了新途径。这篇综述从四个不同的战略角度系统地总结了该领域的前沿进展：（i）混合均相-非均相双催化系统； (ii) 非均相催化剂促进的均相催化系统； (iii) 均相-非均相双功能催化系统； (iv) 可切换的均相-非均相催化系统。通过重点介绍代表性实例和机理见解，本综述还旨在为有机合成中具有挑战性的底物的有效转化以及复杂、高价值的手性化合物的构建提供新的见解。</w:t>
      </w:r>
    </w:p>
    <w:p>
      <w:pPr>
        <w:spacing w:before="0" w:after="200" w:lineRule="auto" w:line="276"/>
      </w:pPr>
      <w:r>
        <w:rPr>
          <w:b/>
        </w:rPr>
        <w:t xml:space="preserve">Abstract (EN): </w:t>
      </w:r>
      <w:r>
        <w:t>Homogeneous and heterogeneous catalysis represent two frontiers and core areas of research in organic synthesis. Historically, these two catalytic regimes have developed along parallel, largely independent trajectories. Recognizing their inherent complementarity, particularly in terms of activity, selectivity, and recoverability, breaking down the barriers between homogeneous and heterogeneous catalysis to construct novel catalytic systems that integrate high activity, excellent selectivity, robust stability, and ease of recovery has long been a pursued goal in catalysis science. As an emerging strategy, homogeneous–heterogeneous integrated catalysis has opened new avenues for addressing this challenge. This review systematically summarizes cutting‐edge advances in this field from four distinct strategic perspectives: (i) Mixed homogeneous–heterogeneous dual catalytic systems; (ii) Heterogeneous catalyst‐promoted homogeneous catalytic systems; (iii) Homogeneous–heterogeneous bifunctional catalytic systems; and (iv) Switchable homogeneous–heterogeneous catalytic systems. By highlighting representative examples and mechanistic insights, this review also aims to provide new insights into the efficient transformation of challenging substrates and the construction of complex, high‐value chiral compounds in organic synthesis.</w:t>
      </w:r>
    </w:p>
    <w:p>
      <w:pPr>
        <w:spacing w:before="120" w:after="120"/>
      </w:pPr>
      <w:r>
        <w:rPr>
          <w:sz w:val="18"/>
        </w:rPr>
        <w:t>——————————————————————————————————————————————————————————————————————</w:t>
      </w:r>
    </w:p>
    <w:p>
      <w:pPr>
        <w:spacing w:before="160" w:after="40" w:line="240" w:lineRule="auto"/>
      </w:pPr>
      <w:r>
        <w:rPr>
          <w:b/>
        </w:rPr>
        <w:t xml:space="preserve">[174] </w:t>
      </w:r>
      <w:hyperlink r:id="rId503">
        <w:r>
          <w:rPr>
            <w:color w:val="1155CC"/>
            <w:u w:val="single"/>
          </w:rPr>
          <w:t>用于高性能灵活传感的动态自愈聚合物架构</w:t>
        </w:r>
      </w:hyperlink>
    </w:p>
    <w:p>
      <w:pPr>
        <w:spacing w:before="0" w:after="80"/>
      </w:pPr>
      <w:r>
        <w:rPr>
          <w:i/>
          <w:sz w:val="20"/>
        </w:rPr>
        <w:t>EN: Dynamic Self‐Healing Polymer Architectures for High‐Performance Flexible Sensing</w:t>
      </w:r>
    </w:p>
    <w:p>
      <w:pPr>
        <w:spacing w:before="0" w:after="120"/>
      </w:pPr>
      <w:r>
        <w:rPr>
          <w:b/>
        </w:rPr>
        <w:t xml:space="preserve">Source: </w:t>
      </w:r>
      <w:r>
        <w:t>Wiley: Advanced Materials: Table of Contents</w:t>
      </w:r>
      <w:r>
        <w:t xml:space="preserve">    </w:t>
      </w:r>
      <w:r>
        <w:rPr>
          <w:b/>
        </w:rPr>
        <w:t xml:space="preserve">Pub date: </w:t>
      </w:r>
      <w:r>
        <w:t>2026-06-29 15:34:35+00:00</w:t>
      </w:r>
      <w:r>
        <w:t xml:space="preserve">    </w:t>
      </w:r>
      <w:r>
        <w:rPr>
          <w:b/>
        </w:rPr>
        <w:t xml:space="preserve">DOI: </w:t>
      </w:r>
      <w:hyperlink r:id="rId504">
        <w:r>
          <w:rPr>
            <w:color w:val="1155CC"/>
            <w:u w:val="single"/>
          </w:rPr>
          <w:t>10.1002/adma.73777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超分子和动态共价相互作用控制的自修复聚合物正在重新定义当代材料的结构设计和功能集成。可逆的超分子基序，包括氢键和静电相互作用，能够实现快速界面重建和损伤容限，而动态共价键，例如第尔斯-阿尔德键、二硫化物，提供机械坚固、可重构和可回收的网络结构。它们的协同集成产生具有可重复愈合、坚固的力学和多模式响应能力的材料。这些进步加速了柔性电子产品的进步，特别是电容式传感，其中专用的多层架构、可印刷导体和最少的导电掺杂剂提供了增强的灵敏度、广泛的操作窗口以及快速的电气和机械恢复；然而，可扩展处理和财产核对等挑战仍未解决。本综述通过描述超分子和动态共价自修复行为、它们的协同耦合以及它们在最先进的自修复传感器设备中的部署，重点介绍了多功能动态聚合物网络的最新进展，为高性能柔性传感技术提供了见解。</w:t>
      </w:r>
    </w:p>
    <w:p>
      <w:pPr>
        <w:spacing w:before="0" w:after="200" w:lineRule="auto" w:line="276"/>
      </w:pPr>
      <w:r>
        <w:rPr>
          <w:b/>
        </w:rPr>
        <w:t xml:space="preserve">Abstract (EN): </w:t>
      </w:r>
      <w:r>
        <w:t>Self‐healing polymers governed by supramolecular and dynamic covalent interactions are redefining structural design and functional integration in contemporary materials. Reversible supramolecular motifs, including hydrogen bonding and electrostatic interactions, enable rapid interfacial reconstruction and damage tolerance, whereas dynamic covalent bonds, such as Diels–Alder, disulfides, provide mechanically robust, reconfigurable, and recyclable network architectures. Their synergistic integration yields materials with repeatable healing, robust mechanics, and multimodal responsiveness. These advances have accelerated progress in flexible electronics, particularly capacitive sensing, where dedicated multilayer architectures, printable conductors, and minimal conductive dopants deliver enhanced sensitivity, a broad operational window, and rapid electrical and mechanical recovery; however, challenges such as scalable processing and property reconciliation remain unresolved. This review highlights recent advances in multifunctional dynamic polymer networks by delineating supramolecular and dynamic covalent self‐healing behaviors, their synergistic coupling, and their deployment in state‐of‐the‐art self‐healing sensor devices, providing insights for high‐performance flexible sensing technologies.</w:t>
      </w:r>
    </w:p>
    <w:p>
      <w:pPr>
        <w:spacing w:before="120" w:after="120"/>
      </w:pPr>
      <w:r>
        <w:rPr>
          <w:sz w:val="18"/>
        </w:rPr>
        <w:t>——————————————————————————————————————————————————————————————————————</w:t>
      </w:r>
    </w:p>
    <w:p>
      <w:pPr>
        <w:spacing w:before="160" w:after="40" w:line="240" w:lineRule="auto"/>
      </w:pPr>
      <w:r>
        <w:rPr>
          <w:b/>
        </w:rPr>
        <w:t xml:space="preserve">[175] </w:t>
      </w:r>
      <w:hyperlink r:id="rId505">
        <w:r>
          <w:rPr>
            <w:color w:val="1155CC"/>
            <w:u w:val="single"/>
          </w:rPr>
          <w:t>解析氧化还原酶类纳米酶在反应途径中的催化机制：活性、特异性和可持续性</w:t>
        </w:r>
      </w:hyperlink>
    </w:p>
    <w:p>
      <w:pPr>
        <w:spacing w:before="0" w:after="80"/>
      </w:pPr>
      <w:r>
        <w:rPr>
          <w:i/>
          <w:sz w:val="20"/>
        </w:rPr>
        <w:t>EN: Deciphering the Catalytic Mechanism of Oxidoreductase‐Like Nanozymes Along the Reaction Pathway: Activity, Specificity and Sustainability</w:t>
      </w:r>
    </w:p>
    <w:p>
      <w:pPr>
        <w:spacing w:before="0" w:after="120"/>
      </w:pPr>
      <w:r>
        <w:rPr>
          <w:b/>
        </w:rPr>
        <w:t xml:space="preserve">Source: </w:t>
      </w:r>
      <w:r>
        <w:t>Wiley: Advanced Materials: Table of Contents</w:t>
      </w:r>
      <w:r>
        <w:t xml:space="preserve">    </w:t>
      </w:r>
      <w:r>
        <w:rPr>
          <w:b/>
        </w:rPr>
        <w:t xml:space="preserve">Pub date: </w:t>
      </w:r>
      <w:r>
        <w:t>2026-06-29 15:42:37+00:00</w:t>
      </w:r>
      <w:r>
        <w:t xml:space="preserve">    </w:t>
      </w:r>
      <w:r>
        <w:rPr>
          <w:b/>
        </w:rPr>
        <w:t xml:space="preserve">DOI: </w:t>
      </w:r>
      <w:hyperlink r:id="rId506">
        <w:r>
          <w:rPr>
            <w:color w:val="1155CC"/>
            <w:u w:val="single"/>
          </w:rPr>
          <w:t>10.1002/adma.73823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作为应用最广泛的纳米酶，氧化还原酶（OR）类纳米材料的催化机制在过去几十年中受到了广泛的关注。尽管付出了巨大的努力，但目前其催化机制丰富但仍然复杂，限制了进一步的发展。本综述不是简单地按材料类型或调控方法分类的常见机制讨论，而是通过对其反应途径的详细概述，加深了对类 OR 纳米酶催化机制的分析。明确研究了 OR 类纳米酶催化途径中的电子转移序列、底物吸附、反应中间体生成/转化和产物解吸，并与天然对应物进行了比较。强调了决定其催化活性、特异性和可持续性的根本原因。此外，催化机制定制的OR类纳米酶在各种应用中的优越性也得到了凸显。最后，展望了催化机理研究的未来前景，为催化路径阐明、活性改进、特异性探索、实际场景机理研究以及机器学习集成提供启发。预计这篇综述将促进对 OR 类纳米酶催化机制的彻底和一致的理解。</w:t>
      </w:r>
    </w:p>
    <w:p>
      <w:pPr>
        <w:spacing w:before="0" w:after="200" w:lineRule="auto" w:line="276"/>
      </w:pPr>
      <w:r>
        <w:rPr>
          <w:b/>
        </w:rPr>
        <w:t xml:space="preserve">Abstract (EN): </w:t>
      </w:r>
      <w:r>
        <w:t>As the most applied nanozymes, the catalytic mechanism of oxidoreductase (OR)‐like nanomaterials has received widespread attention over the past decades. Despite of the large efforts, their catalytic mechanism is currently abundant but still complicated, which restricts further development. Rather than the common mechanistic discussion simply classified by material type or regulatory method, this review deepens the analysis on the catalytic mechanism of OR‐like nanozymes through a detailed overview along their reaction pathways. The electron transfer sequence, substrate adsorption, reactive intermediate generation/transformation, and product desorption in the catalytic pathway of OR‐like nanozymes are explicitly investigated and compared with their natural counterparts. The root causes that determine their catalytic activity, specificity, and sustainability are highlighted. Moreover, the superiority of the catalytic mechanism‐tailored OR‐like nanozymes in various applications is highlighted. Finally, the future prospects of catalytic mechanism research are outlined, providing inspiration for the catalytic pathway clarification, activity improvement, specificity exploration, mechanism study at actual scenarios, and machine learning integration. It is anticipated that this review will promote a thorough and consistent understanding on the catalytic mechanism of OR‐like nanozymes.</w:t>
      </w:r>
    </w:p>
    <w:p>
      <w:pPr>
        <w:spacing w:before="120" w:after="120"/>
      </w:pPr>
      <w:r>
        <w:rPr>
          <w:sz w:val="18"/>
        </w:rPr>
        <w:t>——————————————————————————————————————————————————————————————————————</w:t>
      </w:r>
    </w:p>
    <w:p>
      <w:pPr>
        <w:spacing w:before="160" w:after="40" w:line="240" w:lineRule="auto"/>
      </w:pPr>
      <w:r>
        <w:rPr>
          <w:b/>
        </w:rPr>
        <w:t xml:space="preserve">[176] </w:t>
      </w:r>
      <w:hyperlink r:id="rId507">
        <w:r>
          <w:rPr>
            <w:color w:val="1155CC"/>
            <w:u w:val="single"/>
          </w:rPr>
          <w:t>纳米柱分子半导体实现高效不对称自旋输运</w:t>
        </w:r>
      </w:hyperlink>
    </w:p>
    <w:p>
      <w:pPr>
        <w:spacing w:before="0" w:after="80"/>
      </w:pPr>
      <w:r>
        <w:rPr>
          <w:i/>
          <w:sz w:val="20"/>
        </w:rPr>
        <w:t>EN: High‐Efficiency Asymmetric Spin Transport Enabled by Nanocolumn Molecular Semiconductors</w:t>
      </w:r>
    </w:p>
    <w:p>
      <w:pPr>
        <w:spacing w:before="0" w:after="120"/>
      </w:pPr>
      <w:r>
        <w:rPr>
          <w:b/>
        </w:rPr>
        <w:t xml:space="preserve">Source: </w:t>
      </w:r>
      <w:r>
        <w:t>Wiley: Advanced Materials: Table of Contents</w:t>
      </w:r>
      <w:r>
        <w:t xml:space="preserve">    </w:t>
      </w:r>
      <w:r>
        <w:rPr>
          <w:b/>
        </w:rPr>
        <w:t xml:space="preserve">Pub date: </w:t>
      </w:r>
      <w:r>
        <w:t>2026-06-29 15:45:10+00:00</w:t>
      </w:r>
      <w:r>
        <w:t xml:space="preserve">    </w:t>
      </w:r>
      <w:r>
        <w:rPr>
          <w:b/>
        </w:rPr>
        <w:t xml:space="preserve">DOI: </w:t>
      </w:r>
      <w:hyperlink r:id="rId508">
        <w:r>
          <w:rPr>
            <w:color w:val="1155CC"/>
            <w:u w:val="single"/>
          </w:rPr>
          <w:t>10.1002/adma.73826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由于自旋轨道耦合较弱，分子半导体是少数支持室温自旋功能的材料之一，但其自旋传输效率较低（</w:t>
      </w:r>
      <w:r>
        <w:t xml:space="preserve"> </w:t>
      </w:r>
      <w:r>
        <w:t>η</w:t>
      </w:r>
      <w:r>
        <w:t xml:space="preserve"> </w:t>
      </w:r>
      <w:r>
        <w:t>s</w:t>
      </w:r>
      <w:r>
        <w:t xml:space="preserve"> </w:t>
      </w:r>
      <w:r>
        <w:t>，∼5%）限制了应用。在这里，我们报告了具有通过相分离形成的垂直不对称纳米柱通道的分子自旋电子器件。这些通道限制自旋并产生内置电场，从而提高室温</w:t>
      </w:r>
      <w:r>
        <w:t xml:space="preserve"> </w:t>
      </w:r>
      <w:r>
        <w:t>η</w:t>
      </w:r>
      <w:r>
        <w:t xml:space="preserve"> </w:t>
      </w:r>
      <w:r>
        <w:t>s</w:t>
      </w:r>
      <w:r>
        <w:t xml:space="preserve"> </w:t>
      </w:r>
      <w:r>
        <w:t>达到 20%——迄今为止报道的最高值，是非结构化电影的五倍多。同时，纳米柱通道引起明显的偏差依赖性不对称性，</w:t>
      </w:r>
      <w:r>
        <w:t xml:space="preserve"> </w:t>
      </w:r>
      <w:r>
        <w:t>η</w:t>
      </w:r>
      <w:r>
        <w:t xml:space="preserve"> </w:t>
      </w:r>
      <w:r>
        <w:t>s</w:t>
      </w:r>
      <w:r>
        <w:t xml:space="preserve"> </w:t>
      </w:r>
      <w:r>
        <w:t>+0.2 V 时为 20%，而 -0.2 V 时为 1%，产生创纪录的不对称因子，显着优于其他材料系统（例如金属氧化物、2D 材料、传统分子/无机半导体）。这种创纪录的高效率和强不对称性的双重成就为新的自旋电子功能建立了一个平台。作为概念证明，我们通过自旋信号加密元件和两级自旋真随机数生成器，将结构设计与自旋电子操作相结合，展示了其在信息安全应用中的潜力。</w:t>
      </w:r>
    </w:p>
    <w:p>
      <w:pPr>
        <w:spacing w:before="0" w:after="200" w:lineRule="auto" w:line="276"/>
      </w:pPr>
      <w:r>
        <w:rPr>
          <w:b/>
        </w:rPr>
        <w:t xml:space="preserve">Abstract (EN): </w:t>
      </w:r>
      <w:r>
        <w:t>Owing to weak spin‐orbit coupling, molecular semiconductors are among the few materials supporting room‐temperature spin functionality, yet their low spin‐transport efficiency (</w:t>
      </w:r>
      <w:r>
        <w:t xml:space="preserve"> </w:t>
      </w:r>
      <w:r>
        <w:t>η</w:t>
      </w:r>
      <w:r>
        <w:t xml:space="preserve"> </w:t>
      </w:r>
      <w:r>
        <w:t>s</w:t>
      </w:r>
      <w:r>
        <w:t xml:space="preserve"> </w:t>
      </w:r>
      <w:r>
        <w:t>, ∼5%) limits applications. Here, we report molecular spintronic devices featuring vertically asymmetric nanocolumn channels formed by phase separation. These channels confine spins and generate built‐in electric fields, boosting room‐temperature</w:t>
      </w:r>
      <w:r>
        <w:t xml:space="preserve"> </w:t>
      </w:r>
      <w:r>
        <w:t>η</w:t>
      </w:r>
      <w:r>
        <w:t xml:space="preserve"> </w:t>
      </w:r>
      <w:r>
        <w:t>s</w:t>
      </w:r>
      <w:r>
        <w:t xml:space="preserve"> </w:t>
      </w:r>
      <w:r>
        <w:t>to 20%—the highest value reported to date, over five times that of unstructured films. Simultaneously, the nanocolumn channels induce pronounced bias‐dependent asymmetry, with</w:t>
      </w:r>
      <w:r>
        <w:t xml:space="preserve"> </w:t>
      </w:r>
      <w:r>
        <w:t>η</w:t>
      </w:r>
      <w:r>
        <w:t xml:space="preserve"> </w:t>
      </w:r>
      <w:r>
        <w:t>s</w:t>
      </w:r>
      <w:r>
        <w:t xml:space="preserve"> </w:t>
      </w:r>
      <w:r>
        <w:t>of 20% at +0.2 V versus 1% at −0.2 V, yielding a record asymmetry factor, significantly outperforming other material systems (e.g., metal oxides, 2D materials, conventional molecular/inorganic semiconductors). This dual achievement of record‐high efficiency and strong asymmetry establishes a platform for new spintronic functionalities. As a proof of concept, we demonstrate its potential for information‐secure applications via spin‐signal encryption elements and two‐stage spin true random number generators, integrating structural design with spintronic operation.</w:t>
      </w:r>
    </w:p>
    <w:p>
      <w:pPr>
        <w:spacing w:before="120" w:after="120"/>
      </w:pPr>
      <w:r>
        <w:rPr>
          <w:sz w:val="18"/>
        </w:rPr>
        <w:t>——————————————————————————————————————————————————————————————————————</w:t>
      </w:r>
    </w:p>
    <w:p>
      <w:pPr>
        <w:spacing w:before="160" w:after="40" w:line="240" w:lineRule="auto"/>
      </w:pPr>
      <w:r>
        <w:rPr>
          <w:b/>
        </w:rPr>
        <w:t xml:space="preserve">[177] </w:t>
      </w:r>
      <w:hyperlink r:id="rId509">
        <w:r>
          <w:rPr>
            <w:color w:val="1155CC"/>
            <w:u w:val="single"/>
          </w:rPr>
          <w:t>利用合理设计的光敏剂在光免疫疗法中驱动不同的免疫原性细胞死亡</w:t>
        </w:r>
      </w:hyperlink>
    </w:p>
    <w:p>
      <w:pPr>
        <w:spacing w:before="0" w:after="80"/>
      </w:pPr>
      <w:r>
        <w:rPr>
          <w:i/>
          <w:sz w:val="20"/>
        </w:rPr>
        <w:t>EN: Utilizing Rationally Designed Photosensitizers to Drive Divergent Immunogenic Cell Death in Photoimmunotherapy</w:t>
      </w:r>
    </w:p>
    <w:p>
      <w:pPr>
        <w:spacing w:before="0" w:after="120"/>
      </w:pPr>
      <w:r>
        <w:rPr>
          <w:b/>
        </w:rPr>
        <w:t xml:space="preserve">Source: </w:t>
      </w:r>
      <w:r>
        <w:t>Wiley: Advanced Materials: Table of Contents</w:t>
      </w:r>
      <w:r>
        <w:t xml:space="preserve">    </w:t>
      </w:r>
      <w:r>
        <w:rPr>
          <w:b/>
        </w:rPr>
        <w:t xml:space="preserve">Pub date: </w:t>
      </w:r>
      <w:r>
        <w:t>2026-06-29 15:47:46+00:00</w:t>
      </w:r>
      <w:r>
        <w:t xml:space="preserve">    </w:t>
      </w:r>
      <w:r>
        <w:rPr>
          <w:b/>
        </w:rPr>
        <w:t xml:space="preserve">DOI: </w:t>
      </w:r>
      <w:hyperlink r:id="rId510">
        <w:r>
          <w:rPr>
            <w:color w:val="1155CC"/>
            <w:u w:val="single"/>
          </w:rPr>
          <w:t>10.1002/adma.202522822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基于光动力疗法 (PDT) 的光免疫疗法代表了一种有前途的癌症治疗方式，它将 PDT 的精确性与免疫疗法的持续疗效相结合。该领域的一项关键创新涉及使用有机光敏剂来诱导免疫原性细胞焦亡。然而，I 型和 II 型 PDT 是否能引起同样有效的免疫反应这一基本问题仍未解决。为了解决这个问题，我们通过合理的供体-受体工程开发了一系列A-D-A结构的有机光敏剂。这种分子策略可以通过微调分子内电荷转移强度来精确控制光动力途径，从而建立一个系统比较其免疫原性潜力的平台。我们的机制研究揭示了一个关键区别：I 型主导光敏剂在触发 caspase-1 介导的细胞焦亡方面比 II 型主导光敏剂更有效。这种焦亡级联刺激损伤相关分子模式和促炎因子的释放，最终导致有效的免疫激活。因此，领先的 I 型光敏剂在低功率 808 nm 光照射下更能够诱导全身抗肿瘤免疫反应并抑制远处肿瘤。总的来说，这项工作不仅解耦了 I 型和 II 型光动力学的免疫原性作用，而且为先进的光免疫治疗药物提供了合理的设计策略。</w:t>
      </w:r>
    </w:p>
    <w:p>
      <w:pPr>
        <w:spacing w:before="0" w:after="200" w:lineRule="auto" w:line="276"/>
      </w:pPr>
      <w:r>
        <w:rPr>
          <w:b/>
        </w:rPr>
        <w:t xml:space="preserve">Abstract (EN): </w:t>
      </w:r>
      <w:r>
        <w:t>Photodynamic therapy (PDT)‐based photoimmunotherapy represents a promising modality for cancer treatment, combining the precision of PDT with the sustained efficacy of immunotherapy. A key innovation in this field involves the use of organic photosensitizers to induce immunogenic pyroptosis. However, the fundamental question of whether type I and type II PDT elicit equally potent immune responses remains unresolved. To address this, we developed a series of A‐D‐A structured organic photosensitizers via rational donor–acceptor engineering. This molecular strategy enables precise control over the photodynamic pathway by fine‐tuning the intramolecular charge transfer strength, thereby establishing a platform for systematically comparing their immunogenic potential. Our mechanistic investigations reveal a critical distinction: type I‐dominant photosensitizers are more effective than their type II‐dominant counterparts at triggering caspase‐1‐mediated pyroptosis. This pyroptotic cascade stimulates the release of damage‐associated molecular patterns and pro‐inflammatory factors, culminating in potent immune activation. As a result, the leading type I photosensitizer is more capable of inducing a systemic antitumor immune response and suppressing distant tumors under a low‐power 808 nm photoirradiation. Overall, this work not only decouples the immunogenic roles of type I and type II photodynamics but also provides a rational design strategy for advanced photoimmunotherapy agents.</w:t>
      </w:r>
    </w:p>
    <w:p>
      <w:pPr>
        <w:spacing w:before="120" w:after="120"/>
      </w:pPr>
      <w:r>
        <w:rPr>
          <w:sz w:val="18"/>
        </w:rPr>
        <w:t>——————————————————————————————————————————————————————————————————————</w:t>
      </w:r>
    </w:p>
    <w:p>
      <w:pPr>
        <w:spacing w:before="160" w:after="40" w:line="240" w:lineRule="auto"/>
      </w:pPr>
      <w:r>
        <w:rPr>
          <w:b/>
        </w:rPr>
        <w:t xml:space="preserve">[178] </w:t>
      </w:r>
      <w:hyperlink r:id="rId511">
        <w:r>
          <w:rPr>
            <w:color w:val="1155CC"/>
            <w:u w:val="single"/>
          </w:rPr>
          <w:t>用于自下而上纳米加工的聚合物抗蚀剂的表面选择性成核</w:t>
        </w:r>
      </w:hyperlink>
    </w:p>
    <w:p>
      <w:pPr>
        <w:spacing w:before="0" w:after="80"/>
      </w:pPr>
      <w:r>
        <w:rPr>
          <w:i/>
          <w:sz w:val="20"/>
        </w:rPr>
        <w:t>EN: Surface‐Selective Nucleation of Polymeric Resists for Bottom‐Up Nanofabrication</w:t>
      </w:r>
    </w:p>
    <w:p>
      <w:pPr>
        <w:spacing w:before="0" w:after="120"/>
      </w:pPr>
      <w:r>
        <w:rPr>
          <w:b/>
        </w:rPr>
        <w:t xml:space="preserve">Source: </w:t>
      </w:r>
      <w:r>
        <w:t>Wiley: Advanced Materials: Table of Contents</w:t>
      </w:r>
      <w:r>
        <w:t xml:space="preserve">    </w:t>
      </w:r>
      <w:r>
        <w:rPr>
          <w:b/>
        </w:rPr>
        <w:t xml:space="preserve">Pub date: </w:t>
      </w:r>
      <w:r>
        <w:t>2026-06-29 15:50:19+00:00</w:t>
      </w:r>
      <w:r>
        <w:t xml:space="preserve">    </w:t>
      </w:r>
      <w:r>
        <w:rPr>
          <w:b/>
        </w:rPr>
        <w:t xml:space="preserve">DOI: </w:t>
      </w:r>
      <w:hyperlink r:id="rId512">
        <w:r>
          <w:rPr>
            <w:color w:val="1155CC"/>
            <w:u w:val="single"/>
          </w:rPr>
          <w:t>10.1002/adma.73856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自下而上的微/纳米加工补充了多层、3D和经济高效制造中的光刻技术，但缺乏具有光刻胶级再现性、可加工性和通用性的光刻胶图案化技术。在这里，我们探索表面选择性成核 (SSN) 效应，以获得具有纳米级分辨率、固有的 3D 兼容性、低缺陷密度、干净的剥离以及跨制造平台的广泛适用性的聚合物光刻胶图案。 SSN现象是通过双端丙烯酸单体在预图案化基底上的溶液相聚合以及使用吸附抑制剂和链终止剂以表面介导的方式创建面积依赖性成核势垒来实现的，这分别协同调节成核的表面和本体自由能。所得抗蚀剂形成物理粘附到基材上的连贯树脂膜，同时具有可调厚度（13-150 nm）和最小表面粗糙度（0.91 nm）。该方法可在 10 秒内实现 15 nm 线宽图案化，在晶圆级阵列上实现 99.97% 的覆盖率，并且与主流薄膜沉积技术（例如电子束蒸发、溅射和原子层沉积）具有高度兼容性。</w:t>
      </w:r>
    </w:p>
    <w:p>
      <w:pPr>
        <w:spacing w:before="0" w:after="200" w:lineRule="auto" w:line="276"/>
      </w:pPr>
      <w:r>
        <w:rPr>
          <w:b/>
        </w:rPr>
        <w:t xml:space="preserve">Abstract (EN): </w:t>
      </w:r>
      <w:r>
        <w:t>Bottom‐up micro/nanofabrication complements photolithography in multilayer, 3D, and cost‐effective manufacturing, but lacks resist patterning technology with photoresist‐level reproducibility, processability, and universality. Here, we explore a surface‐selective nucleation (SSN) effect to derive polymeric resist patterns with nanoscale resolution, inherent 3D compatibility, low defect density, clean lift‐off, and broad applicability across fabrication platforms. The SSN phenomenon is achieved through solution‐phase polymerization of dual‐ended acrylic monomers on prepatterned substrates and surface‐mediated creation of area‐dependent nucleation barriers using adsorption inhibitors and chain terminators, which synergistically modulate surface and bulk free energy of nucleation, respectively. The resulting resist forms a coherent resin film physically adhered to the substrate, while featuring tunable thickness (13–150 nm) and minimal surface roughness (0.91 nm). This method delivers 15 nm linewidth patterning with 99.97% coverage across wafer‐scale arrays within 10 s and demonstrates high compatibility with mainstream thin‐film deposition techniques (e.g., e‐beam evaporation, sputtering, and atomic layer deposition).</w:t>
      </w:r>
    </w:p>
    <w:p>
      <w:pPr>
        <w:spacing w:before="120" w:after="120"/>
      </w:pPr>
      <w:r>
        <w:rPr>
          <w:sz w:val="18"/>
        </w:rPr>
        <w:t>——————————————————————————————————————————————————————————————————————</w:t>
      </w:r>
    </w:p>
    <w:p>
      <w:pPr>
        <w:spacing w:before="160" w:after="40" w:line="240" w:lineRule="auto"/>
      </w:pPr>
      <w:r>
        <w:rPr>
          <w:b/>
        </w:rPr>
        <w:t xml:space="preserve">[179] </w:t>
      </w:r>
      <w:hyperlink r:id="rId513">
        <w:r>
          <w:rPr>
            <w:color w:val="1155CC"/>
            <w:u w:val="single"/>
          </w:rPr>
          <w:t>TRPC4/TRPC5 对于雄性小鼠脾后皮质经颅聚焦超声的神经元调节至关重要</w:t>
        </w:r>
      </w:hyperlink>
    </w:p>
    <w:p>
      <w:pPr>
        <w:spacing w:before="0" w:after="80"/>
      </w:pPr>
      <w:r>
        <w:rPr>
          <w:i/>
          <w:sz w:val="20"/>
        </w:rPr>
        <w:t>EN: TRPC4/TRPC5 are critical for neuronal modulation by transcranial focused ultrasound in retrosplenial cortex in male mice</w:t>
      </w:r>
    </w:p>
    <w:p>
      <w:pPr>
        <w:spacing w:before="0" w:after="120"/>
      </w:pPr>
      <w:r>
        <w:rPr>
          <w:b/>
        </w:rPr>
        <w:t xml:space="preserve">Source: </w:t>
      </w:r>
      <w:r>
        <w:t>Biological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经颅聚焦超声（tFUS）能够实现非侵入性神经调节，但其潜在的分子机制在很大程度上仍然难以捉摸。在这里，我们证明瞬时受体电位规范 4 (TRPC4) 和瞬时受体电位规范 5 (TRPC5) 通道是 tFUS 诱导的小鼠大脑神经元调节的关键介质。将 tFUS 应用于雄性小鼠的压后皮质 (RSC) 可以使机械和热敏感性脱敏，同时强烈引发早期生长反应 1 (Egr1) 表达。抑制这些 tFUS 诱导的 Egr1 群可以阻断体细胞感觉效应。转录组分析确定 tFUS 激活的 Egr1 阳性细胞中 Trpc4 富集。 TRPC4 的药理抑制和基因敲除都消除了 tFUS 介导的感觉调节。靶向敲低进一步证明高度同源的 TRPC5 发挥着类似的作用。原位邻近连接测定、免疫共沉淀和活细胞钙成像证实 TRPC4 和 TRPC5 在 RSC 中形成蛋白质复合物，促进 tFUS 反应。这些发现表明 TRPC4/TRPC5 是 tFUS 神经调节的重要分子成分。</w:t>
      </w:r>
    </w:p>
    <w:p>
      <w:pPr>
        <w:spacing w:before="0" w:after="200" w:lineRule="auto" w:line="276"/>
      </w:pPr>
      <w:r>
        <w:rPr>
          <w:b/>
        </w:rPr>
        <w:t xml:space="preserve">Abstract (EN): </w:t>
      </w:r>
      <w:r>
        <w:t>Transcranial focused ultrasound (tFUS) enables non-invasive neuromodulation, yet its underlying molecular mechanisms remain largely elusive. Here, we show that transient receptor potential canonical 4 (TRPC4) and transient receptor potential canonical 5 (TRPC5) channels are critical mediators of tFUS-induced neuronal modulation in the mouse brain. Applying tFUS to the retrosplenial cortex (RSC) in male mice desensitizes mechanical and thermal sensitivity while robustly elicits early growth response 1 (Egr1) expression. Inhibiting these tFUS-induced Egr1 ensembles blocks the somatic sensory effects. Transcriptomic analysis identifies Trpc4 enrichment in tFUS-activated Egr1-positive cells. Both pharmacological inhibition and genetic knockdown of TRPC4 abolish tFUS-mediated sensory modulation. Targeted knockdown further demonstrates that the highly homologous TRPC5 plays a comparable role. In situ proximity ligation assay, co-immunoprecipitation, and live-cell calcium imaging confirm that TRPC4 and TRPC5 form a protein complex in the RSC that facilitates the tFUS response. These findings establish TRPC4/TRPC5 as essential molecular components for tFUS neuromodulation.</w:t>
      </w:r>
    </w:p>
    <w:p>
      <w:pPr>
        <w:spacing w:before="120" w:after="120"/>
      </w:pPr>
      <w:r>
        <w:rPr>
          <w:sz w:val="18"/>
        </w:rPr>
        <w:t>——————————————————————————————————————————————————————————————————————</w:t>
      </w:r>
    </w:p>
    <w:p>
      <w:pPr>
        <w:spacing w:before="160" w:after="40" w:line="240" w:lineRule="auto"/>
      </w:pPr>
      <w:r>
        <w:rPr>
          <w:b/>
        </w:rPr>
        <w:t xml:space="preserve">[180] </w:t>
      </w:r>
      <w:hyperlink r:id="rId514">
        <w:r>
          <w:rPr>
            <w:color w:val="1155CC"/>
            <w:u w:val="single"/>
          </w:rPr>
          <w:t>靶向 Ip6k2-Runx2 轴破坏成骨细胞-破骨细胞耦合以治疗骨质疏松症</w:t>
        </w:r>
      </w:hyperlink>
    </w:p>
    <w:p>
      <w:pPr>
        <w:spacing w:before="0" w:after="80"/>
      </w:pPr>
      <w:r>
        <w:rPr>
          <w:i/>
          <w:sz w:val="20"/>
        </w:rPr>
        <w:t>EN: Targeting the Ip6k2–Runx2 axis disrupts osteoblast–osteoclast coupling to treat osteoporosis</w:t>
      </w:r>
    </w:p>
    <w:p>
      <w:pPr>
        <w:spacing w:before="0" w:after="120"/>
      </w:pPr>
      <w:r>
        <w:rPr>
          <w:b/>
        </w:rPr>
        <w:t xml:space="preserve">Source: </w:t>
      </w:r>
      <w:r>
        <w:t>Biological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破骨细胞过度激活会破坏骨稳态，导致骨质疏松症 (OP)。虽然已知 Runx2 可以调节成骨细胞分化，但其在破骨细胞中的作用尚不清楚。使用条件敲除模型，我们证明 Runx2 通过调节 Ctsk 转录直接驱动破骨细胞分化。然而，其在成骨细胞和破骨细胞中的双重功能限制了治疗潜力。我们将 Ip6k2 确定为 Runx2 相互作用蛋白，可增强破骨细胞中 Runx2 依赖性 Ctsk 转录。 Ip6k2表型的基因缺失导致破骨细胞中Runx2的缺失，抑制破骨细胞生成并增加骨量，而不影响成骨细胞功能。值得注意的是，Runx2 和 Ip6k2 的双重删除不会产生累加效应，表明存在共享的调控途径。重要的是，Ip6k2 的遗传和药理学抑制可以防止雌激素缺乏和年龄引起的骨质流失。总的来说，我们的研究结果将 Ip6k2 定位为一个有前途的破骨细胞特异性靶标，并强调破坏 Ip6k2-Runx2 复合物可能为 OP 治疗提供有效策略。</w:t>
      </w:r>
    </w:p>
    <w:p>
      <w:pPr>
        <w:spacing w:before="0" w:after="200" w:lineRule="auto" w:line="276"/>
      </w:pPr>
      <w:r>
        <w:rPr>
          <w:b/>
        </w:rPr>
        <w:t xml:space="preserve">Abstract (EN): </w:t>
      </w:r>
      <w:r>
        <w:t>Excessive osteoclast activation disrupts bone homeostasis, contributing to osteoporosis (OP). While Runx2 is known to regulate osteoblast differentiation, its role in osteoclasts is less clear. Using conditional knockout models, we demonstrate that Runx2 directly drives osteoclast differentiation by regulating Ctsk transcription. However, its dual function in both osteoblasts and osteoclasts limits therapeutic potential. We identify Ip6k2 as a Runx2-interacting protein that enhances Runx2-dependent Ctsk transcription specifically in osteoclasts. Genetic deletion of Ip6k2 phenocopies Runx2 loss in osteoclasts, suppressing osteoclastogenesis and increasing bone mass without affecting osteoblast function. Notably, dual deletion of Runx2 and Ip6k2 yields no additive effects, indicating a shared regulatory pathway. Importantly, both genetic and pharmacological inhibition of Ip6k2 protect against estrogen deficiency- and age-induced bone loss. Collectively, our findings position Ip6k2 as a promising osteoclast-specific target and highlight that disruption of the Ip6k2-Runx2 complex may offer an effective strategy for OP treatment.</w:t>
      </w:r>
    </w:p>
    <w:p>
      <w:pPr>
        <w:spacing w:before="120" w:after="120"/>
      </w:pPr>
      <w:r>
        <w:rPr>
          <w:sz w:val="18"/>
        </w:rPr>
        <w:t>——————————————————————————————————————————————————————————————————————</w:t>
      </w:r>
    </w:p>
    <w:p>
      <w:pPr>
        <w:spacing w:before="160" w:after="40" w:line="240" w:lineRule="auto"/>
      </w:pPr>
      <w:r>
        <w:rPr>
          <w:b/>
        </w:rPr>
        <w:t xml:space="preserve">[181] </w:t>
      </w:r>
      <w:hyperlink r:id="rId515">
        <w:r>
          <w:rPr>
            <w:color w:val="1155CC"/>
            <w:u w:val="single"/>
          </w:rPr>
          <w:t>日照驱动的北大西洋西风模式塑造了中更新世过渡的三个阶段</w:t>
        </w:r>
      </w:hyperlink>
    </w:p>
    <w:p>
      <w:pPr>
        <w:spacing w:before="0" w:after="80"/>
      </w:pPr>
      <w:r>
        <w:rPr>
          <w:i/>
          <w:sz w:val="20"/>
        </w:rPr>
        <w:t>EN: Insolation-driven northern Atlantic westerly wind patterns shaped the mid-Pleistocene transition in three phases</w:t>
      </w:r>
    </w:p>
    <w:p>
      <w:pPr>
        <w:spacing w:before="0" w:after="120"/>
      </w:pPr>
      <w:r>
        <w:rPr>
          <w:b/>
        </w:rPr>
        <w:t xml:space="preserve">Source: </w:t>
      </w:r>
      <w:r>
        <w:t>Earth and environmental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尽管日照周期没有显着变化，但中更新世过渡期（约 1200–650ka）标志着向 100 kyr 冰川周期的转变。在这项研究中，来自伊比利亚半岛西南部边缘的高分辨率花粉记录与气候模型相结合，揭示了与北方夏季日照幅度相关的三相气候演变。在早期（~1200-930ka），强烈的日照最小值向西风向北移动，促进了冰的积累，而最大值则促进了融化，限制了冰的生长。中期（~930-790ka）伴随着风化层的消失，极端日照强度减弱，导致西风带向南迁移、特大干旱和更大的冰堆积。在后期（〜790-680ka），更强的极小值将西风带向北推，与更长、更冷的冰川对齐。这些发现表明，日照幅度的变化驱动了西风模式的变化，影响水文气候和冰盖的发展，并可能促成了向 100 kyr 冰川周期的过渡。</w:t>
      </w:r>
    </w:p>
    <w:p>
      <w:pPr>
        <w:spacing w:before="0" w:after="200" w:lineRule="auto" w:line="276"/>
      </w:pPr>
      <w:r>
        <w:rPr>
          <w:b/>
        </w:rPr>
        <w:t xml:space="preserve">Abstract (EN): </w:t>
      </w:r>
      <w:r>
        <w:t>The Mid-Pleistocene Transition ( ~ 1200–650 ka) marked a shift to 100-kyr glacial cycles, despite no significant change in insolation cyclicity. In this study, a high-resolution pollen record from the southwestern Iberian margin, combined with climate modeling, reveals a three-phase climate evolution linked to boreal summer insolation amplitude. In the early phase ( ~ 1200–930 ka), strong insolation minima shifted westerlies north, boosting ice accumulation, while maxima promoted melting, limiting ice growth. The middle phase ( ~ 930–790 ka) followed regoliths loss and featured weaker insolation extremes, leading to the southward migration of the westerlies, mega-droughts and greater ice buildup. In the late phase ( ~ 790–680 ka), stronger minima pushed westerlies north, aligning with longer, colder glacials. These findings suggest that changes in insolation amplitude drove shifts in westerly wind patterns, influencing hydroclimate and ice sheet development, and may have contributed to the transition to 100-kyr glacial cycles.</w:t>
      </w:r>
    </w:p>
    <w:p>
      <w:pPr>
        <w:spacing w:before="120" w:after="120"/>
      </w:pPr>
      <w:r>
        <w:rPr>
          <w:sz w:val="18"/>
        </w:rPr>
        <w:t>——————————————————————————————————————————————————————————————————————</w:t>
      </w:r>
    </w:p>
    <w:p>
      <w:pPr>
        <w:spacing w:before="160" w:after="40" w:line="240" w:lineRule="auto"/>
      </w:pPr>
      <w:r>
        <w:rPr>
          <w:b/>
        </w:rPr>
        <w:t xml:space="preserve">[182] </w:t>
      </w:r>
      <w:hyperlink r:id="rId516">
        <w:r>
          <w:rPr>
            <w:color w:val="1155CC"/>
            <w:u w:val="single"/>
          </w:rPr>
          <w:t>跨 SNR 体系的 Richardson-Lucy 反卷积的物理替代方案，无需迭代截止</w:t>
        </w:r>
      </w:hyperlink>
    </w:p>
    <w:p>
      <w:pPr>
        <w:spacing w:before="0" w:after="80"/>
      </w:pPr>
      <w:r>
        <w:rPr>
          <w:i/>
          <w:sz w:val="20"/>
        </w:rPr>
        <w:t>EN: A physics-informed alternative to Richardson-Lucy deconvolution across SNR regimes without iteration cutoffs</w:t>
      </w:r>
    </w:p>
    <w:p>
      <w:pPr>
        <w:spacing w:before="0" w:after="120"/>
      </w:pPr>
      <w:r>
        <w:rPr>
          <w:b/>
        </w:rPr>
        <w:t xml:space="preserve">Source: </w:t>
      </w:r>
      <w:r>
        <w:t>Physical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Richardson-Lucy 反卷积广泛用于恢复因点扩散函数而模糊并因噪声而损坏的成像对象，并且众所周知，它很容易过度拟合噪声，从而导致高频伪影。因此，实际使用依赖于手动调整的停止标准或具有有限物理合理性的临时正则化。为了解决这个问题，我们提出了 DeBayes：一个严格的贝叶斯反卷积框架，它建立在物理上精确的图像形成模型的基础上。 Debayes 在空间域中执行反卷积，联合建模精确的噪声源，并推断底层对象的完整后验分布。它避免了稀疏性或连续性的假设，产生严格的正重建，并且无需用户调整的正则化参数或迭代截止即可稳定收敛。我们的方法是无监督的，专为快速、可并行计算而设计，为 Richardson-Lucy 提供了原则上的替代方案，以实现稳健的、基于物理的图像重建。我们在 HeLa 细胞线粒体网络的模拟和实验图像上展示了 Debayes 的稳定收敛和最小噪声放大。</w:t>
      </w:r>
    </w:p>
    <w:p>
      <w:pPr>
        <w:spacing w:before="0" w:after="200" w:lineRule="auto" w:line="276"/>
      </w:pPr>
      <w:r>
        <w:rPr>
          <w:b/>
        </w:rPr>
        <w:t xml:space="preserve">Abstract (EN): </w:t>
      </w:r>
      <w:r>
        <w:t>Richardson-Lucy deconvolution is widely used to restore imaged objects blurred by a point spread function and corrupted by noise and is known to readily overfit noise, leading to high-frequency artifacts. Practical use therefore relies on hand-tuned stopping criteria or ad hoc regularization with limited physical justification. To resolve this problem, we present DeBayes: a rigorous Bayesian deconvolution framework that builds upon a physically accurate image formation model. DeBayes performs deconvolution in the spatial domain, jointly models accurate noise sources, and infers full posterior distributions over the underlying object. It avoids assumptions of sparsity or continuity, yields strictly positive reconstructions, and converges stably without user-tuned regularization parameters or iteration cutoffs. Our method is unsupervised and designed for fast, parallelizable computation, providing a principled alternative to Richardson-Lucy for robust, physics-informed image reconstruction. We demonstrate DeBayes’ stable convergence and minimal noise amplification on simulated and experimental images of mitochondria networks in HeLa cells.</w:t>
      </w:r>
    </w:p>
    <w:p>
      <w:pPr>
        <w:spacing w:before="120" w:after="120"/>
      </w:pPr>
      <w:r>
        <w:rPr>
          <w:sz w:val="18"/>
        </w:rPr>
        <w:t>——————————————————————————————————————————————————————————————————————</w:t>
      </w:r>
    </w:p>
    <w:p>
      <w:pPr>
        <w:spacing w:before="160" w:after="40" w:line="240" w:lineRule="auto"/>
      </w:pPr>
      <w:r>
        <w:rPr>
          <w:b/>
        </w:rPr>
        <w:t xml:space="preserve">[183] </w:t>
      </w:r>
      <w:hyperlink r:id="rId517">
        <w:r>
          <w:rPr>
            <w:color w:val="1155CC"/>
            <w:u w:val="single"/>
          </w:rPr>
          <w:t>重力和机械力塑造线粒体翻译</w:t>
        </w:r>
      </w:hyperlink>
    </w:p>
    <w:p>
      <w:pPr>
        <w:spacing w:before="0" w:after="80"/>
      </w:pPr>
      <w:r>
        <w:rPr>
          <w:i/>
          <w:sz w:val="20"/>
        </w:rPr>
        <w:t>EN: Gravitational and mechanical forces shape mitochondrial translation</w:t>
      </w:r>
    </w:p>
    <w:p>
      <w:pPr>
        <w:spacing w:before="0" w:after="120"/>
      </w:pPr>
      <w:r>
        <w:rPr>
          <w:b/>
        </w:rPr>
        <w:t xml:space="preserve">Source: </w:t>
      </w:r>
      <w:r>
        <w:t>Biological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地球上的生命已经以适合重力的形式进化。尽管重力在基因表达中的关键作用已经被提出，但分子细节仍不清楚。在这里，我们证明线粒体利用重力来激活细胞器内的蛋白质合成。全基因组核糖体分析揭示了微重力下哺乳动物细胞和秀丽隐杆线虫的线粒体翻译减少。我们发现，通过层粘连蛋白-整合素相互作用减弱细胞粘附导致了这种表型。线粒体翻译由细胞质中的 FAK、RAC1、PAK1、BAD 和 Bcl-2 家族蛋白以及基质中的线粒体脂肪酸合成 (mtFAS) 途径传递的信号激活。 mtFAS 对线粒体丙二酰辅酶 A 的消耗减少了翻译机制的丙二酰化并加速了翻译起始和延伸的速率。从生理学上讲，该系统以骨骼肌的机械响应方式运行。我们的工作提供了关于细胞如何将重力和机械力转化为线粒体翻译的机制见解。</w:t>
      </w:r>
    </w:p>
    <w:p>
      <w:pPr>
        <w:spacing w:before="0" w:after="200" w:lineRule="auto" w:line="276"/>
      </w:pPr>
      <w:r>
        <w:rPr>
          <w:b/>
        </w:rPr>
        <w:t xml:space="preserve">Abstract (EN): </w:t>
      </w:r>
      <w:r>
        <w:t>Life on Earth has evolved in a form suitable for the gravitational force. Although the pivotal role of gravity in gene expression has been suggested, the molecular details remain unclear. Here, we show that mitochondria utilize gravity to activate protein synthesis within the organelle. Genome-wide ribosome profiling reveals reduced mitochondrial translation in mammalian cells and Caenorhabditis elegans under microgravity. We found that attenuation of cell adhesion through laminin–integrin interactions caused the phenotype. Mitochondrial translation is activated by a signal relayed by FAK, RAC1, PAK1, BAD, and Bcl-2 family proteins in the cytosol, and the mitochondrial fatty acid synthesis (mtFAS) pathway in the matrix. Consumption of mitochondrial malonyl-CoA by mtFAS reduces the malonylation of the translational machinery and accelerates the rates of translational initiation and elongation. Physiologically, this system operates in mechano-response of skeletal muscles. Our work provides mechanistic insights into how cells convert gravitational and mechanical forces into translation in mitochondria.</w:t>
      </w:r>
    </w:p>
    <w:p>
      <w:pPr>
        <w:spacing w:before="120" w:after="120"/>
      </w:pPr>
      <w:r>
        <w:rPr>
          <w:sz w:val="18"/>
        </w:rPr>
        <w:t>——————————————————————————————————————————————————————————————————————</w:t>
      </w:r>
    </w:p>
    <w:p>
      <w:pPr>
        <w:spacing w:before="160" w:after="40" w:line="240" w:lineRule="auto"/>
      </w:pPr>
      <w:r>
        <w:rPr>
          <w:b/>
        </w:rPr>
        <w:t xml:space="preserve">[184] </w:t>
      </w:r>
      <w:hyperlink r:id="rId518">
        <w:r>
          <w:rPr>
            <w:color w:val="1155CC"/>
            <w:u w:val="single"/>
          </w:rPr>
          <w:t>双波长激光相分离胶体量子点自组装Janus微环</w:t>
        </w:r>
      </w:hyperlink>
    </w:p>
    <w:p>
      <w:pPr>
        <w:spacing w:before="0" w:after="80"/>
      </w:pPr>
      <w:r>
        <w:rPr>
          <w:i/>
          <w:sz w:val="20"/>
        </w:rPr>
        <w:t>EN: Self-assembly of Janus microring from phase-segregated colloidal quantum dots for dual-wavelength laser</w:t>
      </w:r>
    </w:p>
    <w:p>
      <w:pPr>
        <w:spacing w:before="0" w:after="120"/>
      </w:pPr>
      <w:r>
        <w:rPr>
          <w:b/>
        </w:rPr>
        <w:t xml:space="preserve">Source: </w:t>
      </w:r>
      <w:r>
        <w:t>Matter</w:t>
      </w:r>
      <w:r>
        <w:t xml:space="preserve">    </w:t>
      </w:r>
      <w:r>
        <w:rPr>
          <w:b/>
        </w:rPr>
        <w:t xml:space="preserve">Pub date: </w:t>
      </w:r>
      <w:r>
        <w:t>2026-06-30 00:00:00+00:00</w:t>
      </w:r>
      <w:r>
        <w:t xml:space="preserve">    </w:t>
      </w:r>
      <w:r>
        <w:rPr>
          <w:b/>
        </w:rPr>
        <w:t xml:space="preserve">DOI: </w:t>
      </w:r>
      <w:hyperlink r:id="rId519">
        <w:r>
          <w:rPr>
            <w:color w:val="1155CC"/>
            <w:u w:val="single"/>
          </w:rPr>
          <w:t>10.1016/j.matt.2026.102906</w:t>
        </w:r>
      </w:hyperlink>
    </w:p>
    <w:p>
      <w:pPr>
        <w:spacing w:before="0" w:after="120"/>
      </w:pPr>
      <w:r>
        <w:rPr>
          <w:b/>
        </w:rPr>
        <w:t xml:space="preserve">Notes: </w:t>
      </w:r>
      <w:r>
        <w:t>abstract_source=rss_cell</w:t>
      </w:r>
    </w:p>
    <w:p>
      <w:pPr>
        <w:spacing w:before="0" w:after="80" w:lineRule="auto" w:line="276"/>
      </w:pPr>
      <w:r>
        <w:rPr>
          <w:b/>
        </w:rPr>
        <w:t xml:space="preserve">摘要（ZH）: </w:t>
      </w:r>
      <w:r>
        <w:t>不同尺寸胶体量子点的相分离自组装形成了 Janus 微环，可抑制能量转移并在单个微腔内实现稳定的双波长激光发射。可扩展的一步策略进一步支持用于集成光子应用的高密度光学编码和大面积全彩激光阵列。</w:t>
      </w:r>
    </w:p>
    <w:p>
      <w:pPr>
        <w:spacing w:before="0" w:after="200" w:lineRule="auto" w:line="276"/>
      </w:pPr>
      <w:r>
        <w:rPr>
          <w:b/>
        </w:rPr>
        <w:t xml:space="preserve">Abstract (EN): </w:t>
      </w:r>
      <w:r>
        <w:t>Phase-segregated self-assembly of differently sized colloidal quantum dots creates Janus microrings that suppress energy transfer and enable stable dual-wavelength lasing within a single microcavity. The scalable one-step strategy further supports high-density optical encoding and large-area full-color laser arrays for integrated photonic applications.</w:t>
      </w:r>
    </w:p>
    <w:p>
      <w:pPr>
        <w:spacing w:before="120" w:after="120"/>
      </w:pPr>
      <w:r>
        <w:rPr>
          <w:sz w:val="18"/>
        </w:rPr>
        <w:t>——————————————————————————————————————————————————————————————————————</w:t>
      </w:r>
    </w:p>
    <w:p>
      <w:pPr>
        <w:spacing w:before="160" w:after="40" w:line="240" w:lineRule="auto"/>
      </w:pPr>
      <w:r>
        <w:rPr>
          <w:b/>
        </w:rPr>
        <w:t xml:space="preserve">[185] </w:t>
      </w:r>
      <w:hyperlink r:id="rId520">
        <w:r>
          <w:rPr>
            <w:color w:val="1155CC"/>
            <w:u w:val="single"/>
          </w:rPr>
          <w:t>卢旺达能否维持其科技崛起？以下是可以提供帮助的内容</w:t>
        </w:r>
      </w:hyperlink>
    </w:p>
    <w:p>
      <w:pPr>
        <w:spacing w:before="0" w:after="80"/>
      </w:pPr>
      <w:r>
        <w:rPr>
          <w:i/>
          <w:sz w:val="20"/>
        </w:rPr>
        <w:t>EN: Can Rwanda sustain its rise in science and technology? Here’s what can help</w:t>
      </w:r>
    </w:p>
    <w:p>
      <w:pPr>
        <w:spacing w:before="0" w:after="120"/>
      </w:pPr>
      <w:r>
        <w:rPr>
          <w:b/>
        </w:rPr>
        <w:t xml:space="preserve">Source: </w:t>
      </w:r>
      <w:r>
        <w:t>Nature</w:t>
      </w:r>
      <w:r>
        <w:t xml:space="preserve">    </w:t>
      </w:r>
      <w:r>
        <w:rPr>
          <w:b/>
        </w:rPr>
        <w:t xml:space="preserve">Pub date: </w:t>
      </w:r>
      <w:r>
        <w:t>2026-06-30 00:00:00+00:00</w:t>
      </w:r>
      <w:r>
        <w:t xml:space="preserve">    </w:t>
      </w:r>
      <w:r>
        <w:rPr>
          <w:b/>
        </w:rPr>
        <w:t xml:space="preserve">DOI: </w:t>
      </w:r>
      <w:hyperlink r:id="rId521">
        <w:r>
          <w:rPr>
            <w:color w:val="1155CC"/>
            <w:u w:val="single"/>
          </w:rPr>
          <w:t>10.1038/d41586-026-01980-0</w:t>
        </w:r>
      </w:hyperlink>
    </w:p>
    <w:p>
      <w:pPr>
        <w:spacing w:before="0" w:after="120"/>
      </w:pPr>
      <w:r>
        <w:rPr>
          <w:b/>
        </w:rPr>
        <w:t xml:space="preserve">Notes: </w:t>
      </w:r>
      <w:r>
        <w:t>abstract_source=nature_html</w:t>
      </w:r>
    </w:p>
    <w:p>
      <w:pPr>
        <w:spacing w:before="0" w:after="80" w:lineRule="auto" w:line="276"/>
      </w:pPr>
      <w:r>
        <w:rPr>
          <w:b/>
        </w:rPr>
        <w:t xml:space="preserve">摘要（ZH）: </w:t>
      </w:r>
      <w:r>
        <w:t>一项雄心勃勃的分析挑战了一个国家仅追求经济增长就能带来长期繁荣的观点。一项雄心勃勃的分析挑战了一个国家仅追求经济增长就能带来长期繁荣的观点。</w:t>
      </w:r>
    </w:p>
    <w:p>
      <w:pPr>
        <w:spacing w:before="0" w:after="200" w:lineRule="auto" w:line="276"/>
      </w:pPr>
      <w:r>
        <w:rPr>
          <w:b/>
        </w:rPr>
        <w:t xml:space="preserve">Abstract (EN): </w:t>
      </w:r>
      <w:r>
        <w:t>An ambitious analysis challenges the view that a nation’s pursuit of economic growth alone can deliver long-term prosperity. An ambitious analysis challenges the view that a nation’s pursuit of economic growth alone can deliver long-term prosperity.</w:t>
      </w:r>
    </w:p>
    <w:p>
      <w:pPr>
        <w:spacing w:before="120" w:after="120"/>
      </w:pPr>
      <w:r>
        <w:rPr>
          <w:sz w:val="18"/>
        </w:rPr>
        <w:t>——————————————————————————————————————————————————————————————————————</w:t>
      </w:r>
    </w:p>
    <w:p>
      <w:pPr>
        <w:spacing w:before="160" w:after="40" w:line="240" w:lineRule="auto"/>
      </w:pPr>
      <w:r>
        <w:rPr>
          <w:b/>
        </w:rPr>
        <w:t xml:space="preserve">[186] </w:t>
      </w:r>
      <w:hyperlink r:id="rId522">
        <w:r>
          <w:rPr>
            <w:color w:val="1155CC"/>
            <w:u w:val="single"/>
          </w:rPr>
          <w:t>人工智能工具可以加快思考速度，但证据仍然来自实验室</w:t>
        </w:r>
      </w:hyperlink>
    </w:p>
    <w:p>
      <w:pPr>
        <w:spacing w:before="0" w:after="80"/>
      </w:pPr>
      <w:r>
        <w:rPr>
          <w:i/>
          <w:sz w:val="20"/>
        </w:rPr>
        <w:t>EN: AI tools can speed up thinking, but evidence still comes from the lab bench</w:t>
      </w:r>
    </w:p>
    <w:p>
      <w:pPr>
        <w:spacing w:before="0" w:after="120"/>
      </w:pPr>
      <w:r>
        <w:rPr>
          <w:b/>
        </w:rPr>
        <w:t xml:space="preserve">Source: </w:t>
      </w:r>
      <w:r>
        <w:t>Nature</w:t>
      </w:r>
      <w:r>
        <w:t xml:space="preserve">    </w:t>
      </w:r>
      <w:r>
        <w:rPr>
          <w:b/>
        </w:rPr>
        <w:t xml:space="preserve">Pub date: </w:t>
      </w:r>
      <w:r>
        <w:t>2026-06-30 00:00:00+00:00</w:t>
      </w:r>
      <w:r>
        <w:t xml:space="preserve">    </w:t>
      </w:r>
      <w:r>
        <w:rPr>
          <w:b/>
        </w:rPr>
        <w:t xml:space="preserve">DOI: </w:t>
      </w:r>
      <w:hyperlink r:id="rId523">
        <w:r>
          <w:rPr>
            <w:color w:val="1155CC"/>
            <w:u w:val="single"/>
          </w:rPr>
          <w:t>10.1038/d41586-026-02069-4</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[187] </w:t>
      </w:r>
      <w:hyperlink r:id="rId524">
        <w:r>
          <w:rPr>
            <w:color w:val="1155CC"/>
            <w:u w:val="single"/>
          </w:rPr>
          <w:t>早期的电视机给《自然》编辑留下了深刻的印象——但它会流行起来吗？</w:t>
        </w:r>
      </w:hyperlink>
    </w:p>
    <w:p>
      <w:pPr>
        <w:spacing w:before="0" w:after="80"/>
      </w:pPr>
      <w:r>
        <w:rPr>
          <w:i/>
          <w:sz w:val="20"/>
        </w:rPr>
        <w:t>EN: Early television set impresses Nature editors — but will it catch on?</w:t>
      </w:r>
    </w:p>
    <w:p>
      <w:pPr>
        <w:spacing w:before="0" w:after="120"/>
      </w:pPr>
      <w:r>
        <w:rPr>
          <w:b/>
        </w:rPr>
        <w:t xml:space="preserve">Source: </w:t>
      </w:r>
      <w:r>
        <w:t>Nature</w:t>
      </w:r>
      <w:r>
        <w:t xml:space="preserve">    </w:t>
      </w:r>
      <w:r>
        <w:rPr>
          <w:b/>
        </w:rPr>
        <w:t xml:space="preserve">Pub date: </w:t>
      </w:r>
      <w:r>
        <w:t>2026-06-30 00:00:00+00:00</w:t>
      </w:r>
      <w:r>
        <w:t xml:space="preserve">    </w:t>
      </w:r>
      <w:r>
        <w:rPr>
          <w:b/>
        </w:rPr>
        <w:t xml:space="preserve">DOI: </w:t>
      </w:r>
      <w:hyperlink r:id="rId525">
        <w:r>
          <w:rPr>
            <w:color w:val="1155CC"/>
            <w:u w:val="single"/>
          </w:rPr>
          <w:t>10.1038/d41586-026-01813-0</w:t>
        </w:r>
      </w:hyperlink>
    </w:p>
    <w:p>
      <w:pPr>
        <w:spacing w:before="0" w:after="120"/>
      </w:pPr>
      <w:r>
        <w:rPr>
          <w:b/>
        </w:rPr>
        <w:t xml:space="preserve">Notes: </w:t>
      </w:r>
      <w:r>
        <w:t>abstract_source=nature_html</w:t>
      </w:r>
    </w:p>
    <w:p>
      <w:pPr>
        <w:spacing w:before="0" w:after="80" w:lineRule="auto" w:line="276"/>
      </w:pPr>
      <w:r>
        <w:rPr>
          <w:b/>
        </w:rPr>
        <w:t xml:space="preserve">摘要（ZH）: </w:t>
      </w:r>
      <w:r>
        <w:t>《自然》杂志报道了“电视”的演示，英国政府在我们每周查阅该杂志档案时提供了慷慨的捐赠。大自然过去的片段。</w:t>
      </w:r>
    </w:p>
    <w:p>
      <w:pPr>
        <w:spacing w:before="0" w:after="200" w:lineRule="auto" w:line="276"/>
      </w:pPr>
      <w:r>
        <w:rPr>
          <w:b/>
        </w:rPr>
        <w:t xml:space="preserve">Abstract (EN): </w:t>
      </w:r>
      <w:r>
        <w:t>Nature reports a demonstration of a ‘televisor’, and the British Government makes a generous endowment, in our weekly dip into the magazine’s archive. Snippets from Nature’s past.</w:t>
      </w:r>
    </w:p>
    <w:p>
      <w:pPr>
        <w:spacing w:before="120" w:after="120"/>
      </w:pPr>
      <w:r>
        <w:rPr>
          <w:sz w:val="18"/>
        </w:rPr>
        <w:t>——————————————————————————————————————————————————————————————————————</w:t>
      </w:r>
    </w:p>
    <w:p>
      <w:pPr>
        <w:spacing w:before="160" w:after="40" w:line="240" w:lineRule="auto"/>
      </w:pPr>
      <w:r>
        <w:rPr>
          <w:b/>
        </w:rPr>
        <w:t xml:space="preserve">[188] </w:t>
      </w:r>
      <w:hyperlink r:id="rId526">
        <w:r>
          <w:rPr>
            <w:color w:val="1155CC"/>
            <w:u w:val="single"/>
          </w:rPr>
          <w:t>儿童上网安全需要的不仅仅是社交媒体禁令</w:t>
        </w:r>
      </w:hyperlink>
    </w:p>
    <w:p>
      <w:pPr>
        <w:spacing w:before="0" w:after="80"/>
      </w:pPr>
      <w:r>
        <w:rPr>
          <w:i/>
          <w:sz w:val="20"/>
        </w:rPr>
        <w:t>EN: Child online safety needs more than social-media bans</w:t>
      </w:r>
    </w:p>
    <w:p>
      <w:pPr>
        <w:spacing w:before="0" w:after="120"/>
      </w:pPr>
      <w:r>
        <w:rPr>
          <w:b/>
        </w:rPr>
        <w:t xml:space="preserve">Source: </w:t>
      </w:r>
      <w:r>
        <w:t>Nature</w:t>
      </w:r>
      <w:r>
        <w:t xml:space="preserve">    </w:t>
      </w:r>
      <w:r>
        <w:rPr>
          <w:b/>
        </w:rPr>
        <w:t xml:space="preserve">Pub date: </w:t>
      </w:r>
      <w:r>
        <w:t>2026-06-30 00:00:00+00:00</w:t>
      </w:r>
      <w:r>
        <w:t xml:space="preserve">    </w:t>
      </w:r>
      <w:r>
        <w:rPr>
          <w:b/>
        </w:rPr>
        <w:t xml:space="preserve">DOI: </w:t>
      </w:r>
      <w:hyperlink r:id="rId527">
        <w:r>
          <w:rPr>
            <w:color w:val="1155CC"/>
            <w:u w:val="single"/>
          </w:rPr>
          <w:t>10.1038/d41586-026-02068-5</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[189] </w:t>
      </w:r>
      <w:hyperlink r:id="rId528">
        <w:r>
          <w:rPr>
            <w:color w:val="1155CC"/>
            <w:u w:val="single"/>
          </w:rPr>
          <w:t>增强的 B 细胞引发诱导广泛中和 HIV-1 顶端抗体</w:t>
        </w:r>
      </w:hyperlink>
    </w:p>
    <w:p>
      <w:pPr>
        <w:spacing w:before="0" w:after="80"/>
      </w:pPr>
      <w:r>
        <w:rPr>
          <w:i/>
          <w:sz w:val="20"/>
        </w:rPr>
        <w:t>EN: Enhanced B cell priming induces broadly neutralizing HIV-1 apex antibodies</w:t>
      </w:r>
    </w:p>
    <w:p>
      <w:pPr>
        <w:spacing w:before="0" w:after="120"/>
      </w:pPr>
      <w:r>
        <w:rPr>
          <w:b/>
        </w:rPr>
        <w:t xml:space="preserve">Source: </w:t>
      </w:r>
      <w:r>
        <w:t>Nature</w:t>
      </w:r>
      <w:r>
        <w:t xml:space="preserve">    </w:t>
      </w:r>
      <w:r>
        <w:rPr>
          <w:b/>
        </w:rPr>
        <w:t xml:space="preserve">Pub date: </w:t>
      </w:r>
      <w:r>
        <w:t>2026-06-30 00:00:00+00:00</w:t>
      </w:r>
      <w:r>
        <w:t xml:space="preserve">    </w:t>
      </w:r>
      <w:r>
        <w:rPr>
          <w:b/>
        </w:rPr>
        <w:t xml:space="preserve">DOI: </w:t>
      </w:r>
      <w:hyperlink r:id="rId529">
        <w:r>
          <w:rPr>
            <w:color w:val="1155CC"/>
            <w:u w:val="single"/>
          </w:rPr>
          <w:t>10.1038/s41586-026-10838-4</w:t>
        </w:r>
      </w:hyperlink>
    </w:p>
    <w:p>
      <w:pPr>
        <w:spacing w:before="0" w:after="120"/>
      </w:pPr>
      <w:r>
        <w:rPr>
          <w:b/>
        </w:rPr>
        <w:t xml:space="preserve">Notes: </w:t>
      </w:r>
      <w:r>
        <w:t>abstract_source=nature_html</w:t>
      </w:r>
    </w:p>
    <w:p>
      <w:pPr>
        <w:spacing w:before="0" w:after="80" w:lineRule="auto" w:line="276"/>
      </w:pPr>
      <w:r>
        <w:rPr>
          <w:b/>
        </w:rPr>
        <w:t xml:space="preserve">摘要（ZH）: </w:t>
      </w:r>
      <w:r>
        <w:t>B 细胞前体的有效引发是诱导 V2 尖广泛中和抗体 (bNAb)1,2 的限速步骤。在这里，我们描述了一种新型种系靶向 HIV-1 Env (CAP256.OPT4)，与野生型 HIV-1 Env 相比，它可将 V2 顶端 bNAb 前体引发的效率提高 30-400 倍，并在 &gt; 90% 的猕猴中诱导中和广度，其中包括含有 N130 的病毒。使用三种不同的递送平台——持续复制猿猴人类免疫缺陷病毒 (SHIV)、蛋白质纳米颗粒和 mRNA——我们显示 bNAb 早在感染或免疫后 4 周就启动，并在 12 周时血浆中和广度。在 14 只感染 SHIV 的猕猴中，21 种病毒组的中和广度高达 90%，效力高达 1:20,000（50% 抑制稀释，ID50）。从这些动物中分离出的单克隆 bNAb 同样广泛且有效，其冷冻电镜结构代表三种不同的谱系，揭示了典型的针状 HCDR3 结合。 Env-Ab 协同进化和结构分析确定了正选择下的五个关键残基和环特征，并在时间上与中和宽度相关。重要的是，旨在捕获这些特征的初免-加强免疫原诱导了对全球多样化病毒（包括含有 N130 聚糖的病毒）的广泛而有效的中和。此外，恒河猴 bNAb 不限于 IGHD3-15*01 重链等位基因。这些结果扩展了恒河猴模型在 HIV-1 疫苗设计中的实用性，并为诱导 V2 apex bNAb 提供了分子蓝图</w:t>
      </w:r>
    </w:p>
    <w:p>
      <w:pPr>
        <w:spacing w:before="0" w:after="200" w:lineRule="auto" w:line="276"/>
      </w:pPr>
      <w:r>
        <w:rPr>
          <w:b/>
        </w:rPr>
        <w:t xml:space="preserve">Abstract (EN): </w:t>
      </w:r>
      <w:r>
        <w:t>Efficient priming of B cell precursors is a rate-limiting step in the induction of V2 apex broadly neutralizing antibodies (bNAbs)1,2. Here, we describe a novel germline-targeted HIV-1 Env (CAP256.OPT4) that increases the efficiency of V2 apex bNAb precursor priming by 30-400 fold compared with wild-type HIV-1 Envs and induces – in &gt;90% of macaques – neutralization breadth that includes N130-containing viruses. Using three different delivery platforms – persistently replicating simian human immunodeficiency viruses (SHIVs), protein nanoparticles, and mRNA – we show bNAb priming as early as 4 weeks post-infection or immunization, and neutralization breadth in plasma by 12 weeks. In 14 SHIV-infected macaques, neutralization breadth reached as high as 90% on a 21-virus panel with potency as great as 1:20,000 (50% inhibitory dilution, ID50). Monoclonal bNAbs isolated from these animals were similarly broad and potent, with cryo-EM structures representing three distinct lineages revealing canonical needle-like HCDR3 binding. Env-Ab coevolution and structural analyses identified five key residues and loop features under positive selection and temporally associated with neutralization breadth. Importantly, prime-boost immunogens designed to capture these features induced broad and potent neutralization of globally diverse viruses including those containing N130 glycan. Further, rhesus bNAbs were not restricted to IGHD3-15*01 heavy chain alleles. These results expand the utility of the rhesus model for HIV-1 vaccine design and provide a molecular blueprint for inducing V2 apex bNAbs in rhesus and humans.</w:t>
      </w:r>
    </w:p>
    <w:p>
      <w:pPr>
        <w:spacing w:before="120" w:after="120"/>
      </w:pPr>
      <w:r>
        <w:rPr>
          <w:sz w:val="18"/>
        </w:rPr>
        <w:t>——————————————————————————————————————————————————————————————————————</w:t>
      </w:r>
    </w:p>
    <w:p>
      <w:pPr>
        <w:spacing w:before="160" w:after="40" w:line="240" w:lineRule="auto"/>
      </w:pPr>
      <w:r>
        <w:rPr>
          <w:b/>
        </w:rPr>
        <w:t xml:space="preserve">[190] </w:t>
      </w:r>
      <w:hyperlink r:id="rId530">
        <w:r>
          <w:rPr>
            <w:color w:val="1155CC"/>
            <w:u w:val="single"/>
          </w:rPr>
          <w:t>疫苗接种可在灵长类动物中引发广泛中和艾滋病毒的抗体</w:t>
        </w:r>
      </w:hyperlink>
    </w:p>
    <w:p>
      <w:pPr>
        <w:spacing w:before="0" w:after="80"/>
      </w:pPr>
      <w:r>
        <w:rPr>
          <w:i/>
          <w:sz w:val="20"/>
        </w:rPr>
        <w:t>EN: Vaccination elicits HIV broadly neutralizing antibodies in primates</w:t>
      </w:r>
    </w:p>
    <w:p>
      <w:pPr>
        <w:spacing w:before="0" w:after="120"/>
      </w:pPr>
      <w:r>
        <w:rPr>
          <w:b/>
        </w:rPr>
        <w:t xml:space="preserve">Source: </w:t>
      </w:r>
      <w:r>
        <w:t>Nature</w:t>
      </w:r>
      <w:r>
        <w:t xml:space="preserve">    </w:t>
      </w:r>
      <w:r>
        <w:rPr>
          <w:b/>
        </w:rPr>
        <w:t xml:space="preserve">Pub date: </w:t>
      </w:r>
      <w:r>
        <w:t>2026-06-30 00:00:00+00:00</w:t>
      </w:r>
      <w:r>
        <w:t xml:space="preserve">    </w:t>
      </w:r>
      <w:r>
        <w:rPr>
          <w:b/>
        </w:rPr>
        <w:t xml:space="preserve">DOI: </w:t>
      </w:r>
      <w:hyperlink r:id="rId531">
        <w:r>
          <w:rPr>
            <w:color w:val="1155CC"/>
            <w:u w:val="single"/>
          </w:rPr>
          <w:t>10.1038/s41586-026-10837-5</w:t>
        </w:r>
      </w:hyperlink>
    </w:p>
    <w:p>
      <w:pPr>
        <w:spacing w:before="0" w:after="120"/>
      </w:pPr>
      <w:r>
        <w:rPr>
          <w:b/>
        </w:rPr>
        <w:t xml:space="preserve">Notes: </w:t>
      </w:r>
      <w:r>
        <w:t>abstract_source=nature_html</w:t>
      </w:r>
    </w:p>
    <w:p>
      <w:pPr>
        <w:spacing w:before="0" w:after="80" w:lineRule="auto" w:line="276"/>
      </w:pPr>
      <w:r>
        <w:rPr>
          <w:b/>
        </w:rPr>
        <w:t xml:space="preserve">摘要（ZH）: </w:t>
      </w:r>
      <w:r>
        <w:t>HIV 的高抗原多样性一直是开发具有广泛保护性的疫苗的主要障碍。尽管如此，保护性 HIV 广泛中和抗体 (bnAb) 仍然存在，并已被提议作为疫苗开发的模板1-6。种系靶向是一种概念上激进的疫苗设计方法，旨在引发 bnAb，旨在启动具有与模板 bnAb 共享的预先确定的人类遗传和结构特征的稀有 bnAb 前体 B 细胞，然后引导 B 细胞亲和力成熟，以利用异源增强剂进行有效的 bnAb 进化7-11。尽管该方法在临床12-17和临床前18-34研究中显示出前景，但它面临许多免疫学挑战，并且迄今为止尚未成功在人类或非转基因动物中产生bnAb。在这里，我们报告了一种在近交非人类灵长类动物中进行测试的佐剂蛋白种系靶向疫苗，该疫苗产生了能够中和多种 HIV 临床分离株的 bnAb 类记忆 B 细胞和血清。 ≥50% 的动物产生了 bnAb 谱系，与参考 bnAb 相比，中和宽度高达 67%。疫苗诱导的 bnAb 表现出人类 bnAb 与 HIV 包膜 (Env) 相互作用的精确结构模拟，与种系靶向预测相匹配。此外，44% 的动物体内出现了血清 bnAb 活性，并且在最引人注目的情况下达到了预期可针对多种 HIV 分离株提供保护的滴度。这些结果证明了原理证明，即种系靶向疫苗可以可重复地将预先指定的 bnAb 类别诱导至预先指定的表位</w:t>
      </w:r>
    </w:p>
    <w:p>
      <w:pPr>
        <w:spacing w:before="0" w:after="200" w:lineRule="auto" w:line="276"/>
      </w:pPr>
      <w:r>
        <w:rPr>
          <w:b/>
        </w:rPr>
        <w:t xml:space="preserve">Abstract (EN): </w:t>
      </w:r>
      <w:r>
        <w:t>The high antigenic diversity of HIV has been a major obstacle to development of a broadly protective vaccine. Nevertheless, protective HIV broadly neutralizing antibodies (bnAbs) exist and have been proposed as templates for vaccine development1-6. Germline-targeting is a conceptually radical vaccine design approach to elicit bnAbs, aiming to prime rare bnAb-precursor B cells possessing pre-determined human genetic and structural features shared with template bnAbs, and then guide B cell affinity maturation to potent bnAb evolution with heterologous boosters7-11. Although the approach has shown promise in clinical12-17 and pre-clinical18-34 studies, it faces many immunological challenges and, to date, has not succeeded in generating bnAbs in humans or nontransgenic animals. Here, we report an adjuvanted protein germline-targeting vaccine tested in outbred nonhuman primates that generated bnAb-class memory B cells and sera capable of neutralizing diverse HIV clinical isolates. bnAb lineages were generated in ≥50% of animals, achieving up to 67% neutralization breadth compared to the reference bnAb. Vaccine-induced bnAbs exhibited precise structural mimicry of human bnAb interactions with HIV envelope (Env), matching the germline-targeting predictions. Furthermore, serum bnAb activity developed in 44% of animals and in the most striking instance reached titers expected to confer protection against diverse HIV isolates. These results demonstrate proof of principle that germline-targeting vaccines can reproducibly elicit prespecified classes of bnAbs to prespecified epitopes under endogenous conditions, supporting further optimization of this approach for HIV vaccine development.</w:t>
      </w:r>
    </w:p>
    <w:p>
      <w:pPr>
        <w:spacing w:before="120" w:after="120"/>
      </w:pPr>
      <w:r>
        <w:rPr>
          <w:sz w:val="18"/>
        </w:rPr>
        <w:t>——————————————————————————————————————————————————————————————————————</w:t>
      </w:r>
    </w:p>
    <w:p>
      <w:pPr>
        <w:spacing w:before="160" w:after="40" w:line="240" w:lineRule="auto"/>
      </w:pPr>
      <w:r>
        <w:rPr>
          <w:b/>
        </w:rPr>
        <w:t xml:space="preserve">[191] </w:t>
      </w:r>
      <w:hyperlink r:id="rId532">
        <w:r>
          <w:rPr>
            <w:color w:val="1155CC"/>
            <w:u w:val="single"/>
          </w:rPr>
          <w:t>铁电量子临界点附近超导氧化物界面的电子声子耦合和对称性破缺</w:t>
        </w:r>
      </w:hyperlink>
    </w:p>
    <w:p>
      <w:pPr>
        <w:spacing w:before="0" w:after="80"/>
      </w:pPr>
      <w:r>
        <w:rPr>
          <w:i/>
          <w:sz w:val="20"/>
        </w:rPr>
        <w:t>EN: Electron–phonon coupling and symmetry breaking in superconducting oxide interfaces near ferroelectric quantum criticality</w:t>
      </w:r>
    </w:p>
    <w:p>
      <w:pPr>
        <w:spacing w:before="0" w:after="120"/>
      </w:pPr>
      <w:r>
        <w:rPr>
          <w:b/>
        </w:rPr>
        <w:t xml:space="preserve">Source: </w:t>
      </w:r>
      <w:r>
        <w:t>Nature Materials</w:t>
      </w:r>
      <w:r>
        <w:t xml:space="preserve">    </w:t>
      </w:r>
      <w:r>
        <w:rPr>
          <w:b/>
        </w:rPr>
        <w:t xml:space="preserve">Pub date: </w:t>
      </w:r>
      <w:r>
        <w:t>2026-06-30 00:00:00+00:00</w:t>
      </w:r>
      <w:r>
        <w:t xml:space="preserve">    </w:t>
      </w:r>
      <w:r>
        <w:rPr>
          <w:b/>
        </w:rPr>
        <w:t xml:space="preserve">DOI: </w:t>
      </w:r>
      <w:hyperlink r:id="rId533">
        <w:r>
          <w:rPr>
            <w:color w:val="1155CC"/>
            <w:u w:val="single"/>
          </w:rPr>
          <w:t>10.1038/s41563-026-02647-x</w:t>
        </w:r>
      </w:hyperlink>
    </w:p>
    <w:p>
      <w:pPr>
        <w:spacing w:before="0" w:after="120"/>
      </w:pPr>
      <w:r>
        <w:rPr>
          <w:b/>
        </w:rPr>
        <w:t xml:space="preserve">Notes: </w:t>
      </w:r>
      <w:r>
        <w:t>abstract_source=nature_html</w:t>
      </w:r>
    </w:p>
    <w:p>
      <w:pPr>
        <w:spacing w:before="0" w:after="80" w:lineRule="auto" w:line="276"/>
      </w:pPr>
      <w:r>
        <w:rPr>
          <w:b/>
        </w:rPr>
        <w:t xml:space="preserve">摘要（ZH）: </w:t>
      </w:r>
      <w:r>
        <w:t>氧化物界面超导性的起源及其与铁电性的关系仍然是一个悬而未决的问题。在 LaAlO3/SrTiO3 界面，量子限制和反演对称性破缺在铁电量子临界点附近产生二维电子气，但缺乏将声子动力学与电子配对联系起来的直接证据。在这里，我们使用扫描透射电子显微镜中具有动量选择性的振动光谱，直接探测超导相图中 LaAlO3/SrTiO3 界面的晶格振动和原子结构。我们发现整个掺杂系列的超导性与反演对称性破缺和高频局域声子的出现相关。这些可调谐的极性振动（限制在界面附近）表现出强烈的电子声子耦合，并随着载流子密度系统地演化。我们的研究结果建立了晶格不稳定性、超导性和由可调谐局域声子介导的强电子声子耦合之间的联系，为量子顺电系统中可能的微观配对路径提供了新的见解。</w:t>
      </w:r>
    </w:p>
    <w:p>
      <w:pPr>
        <w:spacing w:before="0" w:after="200" w:lineRule="auto" w:line="276"/>
      </w:pPr>
      <w:r>
        <w:rPr>
          <w:b/>
        </w:rPr>
        <w:t xml:space="preserve">Abstract (EN): </w:t>
      </w:r>
      <w:r>
        <w:t>The origin of superconductivity in oxide interfaces and its relation to ferroelectricity remains an open question. At LaAlO3/SrTiO3 interfaces, quantum confinement and inversion symmetry breaking create a two-dimensional electron gas near a ferroelectric quantum critical point, yet direct evidence linking phonon dynamics to electron pairing has been lacking. Here we directly probe lattice vibrations and atomic structure at LaAlO3/SrTiO3 interfaces across the superconducting phase diagram using vibrational spectroscopy with momentum selectivity in a scanning transmission electron microscope. We find that superconductivity across the doping series correlates with inversion symmetry breaking and the appearance of high-frequency localized phonons. These tunable, polar vibrations—confined near the interface—exhibit strong electron–phonon coupling and evolve systematically with carrier density. Our findings establish a link between lattice instability, superconductivity and strong electron–phonon coupling mediated by tunable localized phonons, providing new insights into possible microscopic pairing pathways in quantum paraelectric systems.</w:t>
      </w:r>
    </w:p>
    <w:p>
      <w:pPr>
        <w:spacing w:before="120" w:after="120"/>
      </w:pPr>
      <w:r>
        <w:rPr>
          <w:sz w:val="18"/>
        </w:rPr>
        <w:t>——————————————————————————————————————————————————————————————————————</w:t>
      </w:r>
    </w:p>
    <w:p>
      <w:pPr>
        <w:spacing w:before="160" w:after="40" w:line="240" w:lineRule="auto"/>
      </w:pPr>
      <w:r>
        <w:rPr>
          <w:b/>
        </w:rPr>
        <w:t xml:space="preserve">[192] </w:t>
      </w:r>
      <w:hyperlink r:id="rId534">
        <w:r>
          <w:rPr>
            <w:color w:val="1155CC"/>
            <w:u w:val="single"/>
          </w:rPr>
          <w:t>边界几何控制拓扑缺陷转变，决定胚胎发育中的管腔成核</w:t>
        </w:r>
      </w:hyperlink>
    </w:p>
    <w:p>
      <w:pPr>
        <w:spacing w:before="0" w:after="80"/>
      </w:pPr>
      <w:r>
        <w:rPr>
          <w:i/>
          <w:sz w:val="20"/>
        </w:rPr>
        <w:t>EN: Boundary geometry controls a topological defect transition that determines lumen nucleation in embryonic development</w:t>
      </w:r>
    </w:p>
    <w:p>
      <w:pPr>
        <w:spacing w:before="0" w:after="120"/>
      </w:pPr>
      <w:r>
        <w:rPr>
          <w:b/>
        </w:rPr>
        <w:t xml:space="preserve">Source: </w:t>
      </w:r>
      <w:r>
        <w:t>Nature Materials</w:t>
      </w:r>
      <w:r>
        <w:t xml:space="preserve">    </w:t>
      </w:r>
      <w:r>
        <w:rPr>
          <w:b/>
        </w:rPr>
        <w:t xml:space="preserve">Pub date: </w:t>
      </w:r>
      <w:r>
        <w:t>2026-06-30 00:00:00+00:00</w:t>
      </w:r>
      <w:r>
        <w:t xml:space="preserve">    </w:t>
      </w:r>
      <w:r>
        <w:rPr>
          <w:b/>
        </w:rPr>
        <w:t xml:space="preserve">DOI: </w:t>
      </w:r>
      <w:hyperlink r:id="rId535">
        <w:r>
          <w:rPr>
            <w:color w:val="1155CC"/>
            <w:u w:val="single"/>
          </w:rPr>
          <w:t>10.1038/s41563-026-02594-7</w:t>
        </w:r>
      </w:hyperlink>
    </w:p>
    <w:p>
      <w:pPr>
        <w:spacing w:before="0" w:after="120"/>
      </w:pPr>
      <w:r>
        <w:rPr>
          <w:b/>
        </w:rPr>
        <w:t xml:space="preserve">Notes: </w:t>
      </w:r>
      <w:r>
        <w:t>abstract_source=nature_html</w:t>
      </w:r>
    </w:p>
    <w:p>
      <w:pPr>
        <w:spacing w:before="0" w:after="80" w:lineRule="auto" w:line="276"/>
      </w:pPr>
      <w:r>
        <w:rPr>
          <w:b/>
        </w:rPr>
        <w:t xml:space="preserve">摘要（ZH）: </w:t>
      </w:r>
      <w:r>
        <w:t>拓扑缺陷决定了各向异性材料的集体特性。尽管如此，目前尚不完全了解它们的配置是如何控制的，尤其是在三个维度上。在生命物质中，二维拓扑缺陷对生物功能的贡献已被证明，但三维极性缺陷是否具有任何生物学相关性尚不清楚。在这里，我们报告了由边界几何形状驱动且与材料参数无关的三维缺陷配置之间的电荷保留转变。此外，我们发现小鼠胚胎中的三维极性缺陷是充满液体的管腔形成的部位，这是后续发育的重要结构。我们通过实验扰乱超过转变点的胚胎形状来验证这些发现，这导致在预测的缺陷位置附近产生额外的管腔起始位点。总的来说，我们的结果揭示了边界几何结构如何控制极性缺陷，以及胚胎如何利用这种机制来形成形状依赖性管腔。我们期望这种缺陷控制原理能够广泛应用于具有定向顺序的系统。</w:t>
      </w:r>
    </w:p>
    <w:p>
      <w:pPr>
        <w:spacing w:before="0" w:after="200" w:lineRule="auto" w:line="276"/>
      </w:pPr>
      <w:r>
        <w:rPr>
          <w:b/>
        </w:rPr>
        <w:t xml:space="preserve">Abstract (EN): </w:t>
      </w:r>
      <w:r>
        <w:t>Topological defects determine the collective properties of anisotropic materials. Nonetheless, it is not fully understood how their configurations are controlled, especially in three dimensions. In living matter, contributions of two-dimensional topological defects to biological functions have been demonstrated, but whether three-dimensional polar defects have any biological relevance is unclear. Here we report a charge-preserving transition between three-dimensional defect configurations driven by boundary geometry and independent of material parameters. Moreover, we find that three-dimensional polar defects in the mouse embryo are the sites where fluid-filled lumina form, essential structures for subsequent development. We validate these findings by experimentally perturbing embryo shape beyond the transition point, which results in the creation of additional lumen initiation sites near predicted defect locations. Overall, our results reveal how boundary geometry controls polar defects, and how embryos use this mechanism for shape-dependent lumen formation. We expect this defect-control principle to apply broadly to systems with orientational order.</w:t>
      </w:r>
    </w:p>
    <w:p>
      <w:pPr>
        <w:spacing w:before="120" w:after="120"/>
      </w:pPr>
      <w:r>
        <w:rPr>
          <w:sz w:val="18"/>
        </w:rPr>
        <w:t>——————————————————————————————————————————————————————————————————————</w:t>
      </w:r>
    </w:p>
    <w:p>
      <w:pPr>
        <w:spacing w:before="160" w:after="40" w:line="240" w:lineRule="auto"/>
      </w:pPr>
      <w:r>
        <w:rPr>
          <w:b/>
        </w:rPr>
        <w:t xml:space="preserve">[193] </w:t>
      </w:r>
      <w:hyperlink r:id="rId536">
        <w:r>
          <w:rPr>
            <w:color w:val="1155CC"/>
            <w:u w:val="single"/>
          </w:rPr>
          <w:t>表面几何形状控制着控制胚胎结构的整体拓扑缺陷</w:t>
        </w:r>
      </w:hyperlink>
    </w:p>
    <w:p>
      <w:pPr>
        <w:spacing w:before="0" w:after="80"/>
      </w:pPr>
      <w:r>
        <w:rPr>
          <w:i/>
          <w:sz w:val="20"/>
        </w:rPr>
        <w:t>EN: Surface geometry controls bulk topological defects that govern embryonic structures</w:t>
      </w:r>
    </w:p>
    <w:p>
      <w:pPr>
        <w:spacing w:before="0" w:after="120"/>
      </w:pPr>
      <w:r>
        <w:rPr>
          <w:b/>
        </w:rPr>
        <w:t xml:space="preserve">Source: </w:t>
      </w:r>
      <w:r>
        <w:t>Nature Materials</w:t>
      </w:r>
      <w:r>
        <w:t xml:space="preserve">    </w:t>
      </w:r>
      <w:r>
        <w:rPr>
          <w:b/>
        </w:rPr>
        <w:t xml:space="preserve">Pub date: </w:t>
      </w:r>
      <w:r>
        <w:t>2026-06-30 00:00:00+00:00</w:t>
      </w:r>
      <w:r>
        <w:t xml:space="preserve">    </w:t>
      </w:r>
      <w:r>
        <w:rPr>
          <w:b/>
        </w:rPr>
        <w:t xml:space="preserve">DOI: </w:t>
      </w:r>
      <w:hyperlink r:id="rId537">
        <w:r>
          <w:rPr>
            <w:color w:val="1155CC"/>
            <w:u w:val="single"/>
          </w:rPr>
          <w:t>10.1038/s41563-026-02595-6</w:t>
        </w:r>
      </w:hyperlink>
    </w:p>
    <w:p>
      <w:pPr>
        <w:spacing w:before="0" w:after="120"/>
      </w:pPr>
      <w:r>
        <w:rPr>
          <w:b/>
        </w:rPr>
        <w:t xml:space="preserve">Notes: </w:t>
      </w:r>
      <w:r>
        <w:t>abstract_source=nature_html</w:t>
      </w:r>
    </w:p>
    <w:p>
      <w:pPr>
        <w:spacing w:before="0" w:after="80" w:lineRule="auto" w:line="276"/>
      </w:pPr>
      <w:r>
        <w:rPr>
          <w:b/>
        </w:rPr>
        <w:t xml:space="preserve">摘要（ZH）: </w:t>
      </w:r>
      <w:r>
        <w:t>拓扑缺陷在有序系统（包括生命物质）中至关重要，但如何在三个维度上控制它们尚不清楚。现在表明，边界几何形状控制三维缺陷配置，在发育中的胚胎中，三维缺陷配置决定管腔形成的位置。</w:t>
      </w:r>
    </w:p>
    <w:p>
      <w:pPr>
        <w:spacing w:before="0" w:after="200" w:lineRule="auto" w:line="276"/>
      </w:pPr>
      <w:r>
        <w:rPr>
          <w:b/>
        </w:rPr>
        <w:t xml:space="preserve">Abstract (EN): </w:t>
      </w:r>
      <w:r>
        <w:t>Topological defects are of central importance in ordered systems, including living matter, but how they are controlled in three dimensions has been unclear. It is now shown that boundary geometry governs three-dimensional defect configurations that, in developing embryos, determine the sites of lumen formation.</w:t>
      </w:r>
    </w:p>
    <w:p>
      <w:pPr>
        <w:spacing w:before="120" w:after="120"/>
      </w:pPr>
      <w:r>
        <w:rPr>
          <w:sz w:val="18"/>
        </w:rPr>
        <w:t>——————————————————————————————————————————————————————————————————————</w:t>
      </w:r>
    </w:p>
    <w:p>
      <w:pPr>
        <w:spacing w:before="160" w:after="40" w:line="240" w:lineRule="auto"/>
      </w:pPr>
      <w:r>
        <w:rPr>
          <w:b/>
        </w:rPr>
        <w:t xml:space="preserve">[194] </w:t>
      </w:r>
      <w:hyperlink r:id="rId538">
        <w:r>
          <w:rPr>
            <w:color w:val="1155CC"/>
            <w:u w:val="single"/>
          </w:rPr>
          <w:t>基于忆阻器的高精度计算</w:t>
        </w:r>
      </w:hyperlink>
    </w:p>
    <w:p>
      <w:pPr>
        <w:spacing w:before="0" w:after="80"/>
      </w:pPr>
      <w:r>
        <w:rPr>
          <w:i/>
          <w:sz w:val="20"/>
        </w:rPr>
        <w:t>EN: High-precision memristor-based computing</w:t>
      </w:r>
    </w:p>
    <w:p>
      <w:pPr>
        <w:spacing w:before="0" w:after="120"/>
      </w:pPr>
      <w:r>
        <w:rPr>
          <w:b/>
        </w:rPr>
        <w:t xml:space="preserve">Source: </w:t>
      </w:r>
      <w:r>
        <w:t>Nature Materials</w:t>
      </w:r>
      <w:r>
        <w:t xml:space="preserve">    </w:t>
      </w:r>
      <w:r>
        <w:rPr>
          <w:b/>
        </w:rPr>
        <w:t xml:space="preserve">Pub date: </w:t>
      </w:r>
      <w:r>
        <w:t>2026-06-30 00:00:00+00:00</w:t>
      </w:r>
      <w:r>
        <w:t xml:space="preserve">    </w:t>
      </w:r>
      <w:r>
        <w:rPr>
          <w:b/>
        </w:rPr>
        <w:t xml:space="preserve">DOI: </w:t>
      </w:r>
      <w:hyperlink r:id="rId539">
        <w:r>
          <w:rPr>
            <w:color w:val="1155CC"/>
            <w:u w:val="single"/>
          </w:rPr>
          <w:t>10.1038/s41563-026-02672-w</w:t>
        </w:r>
      </w:hyperlink>
    </w:p>
    <w:p>
      <w:pPr>
        <w:spacing w:before="0" w:after="120"/>
      </w:pPr>
      <w:r>
        <w:rPr>
          <w:b/>
        </w:rPr>
        <w:t xml:space="preserve">Notes: </w:t>
      </w:r>
      <w:r>
        <w:t>abstract_source=nature_html</w:t>
      </w:r>
    </w:p>
    <w:p>
      <w:pPr>
        <w:spacing w:before="0" w:after="80" w:lineRule="auto" w:line="276"/>
      </w:pPr>
      <w:r>
        <w:rPr>
          <w:b/>
        </w:rPr>
        <w:t xml:space="preserve">摘要（ZH）: </w:t>
      </w:r>
      <w:r>
        <w:t>了解器件、阵列和系统级别的固有属性和协调设计有助于利用忆阻器实现精确计算。</w:t>
      </w:r>
    </w:p>
    <w:p>
      <w:pPr>
        <w:spacing w:before="0" w:after="200" w:lineRule="auto" w:line="276"/>
      </w:pPr>
      <w:r>
        <w:rPr>
          <w:b/>
        </w:rPr>
        <w:t xml:space="preserve">Abstract (EN): </w:t>
      </w:r>
      <w:r>
        <w:t>Understanding inherent properties and coordinated design at the device, array and system levels can help achieve accurate computing with memristors.</w:t>
      </w:r>
    </w:p>
    <w:p>
      <w:pPr>
        <w:spacing w:before="120" w:after="120"/>
      </w:pPr>
      <w:r>
        <w:rPr>
          <w:sz w:val="18"/>
        </w:rPr>
        <w:t>——————————————————————————————————————————————————————————————————————</w:t>
      </w:r>
    </w:p>
    <w:p>
      <w:pPr>
        <w:spacing w:before="160" w:after="40" w:line="240" w:lineRule="auto"/>
      </w:pPr>
      <w:r>
        <w:rPr>
          <w:b/>
        </w:rPr>
        <w:t xml:space="preserve">[195] </w:t>
      </w:r>
      <w:hyperlink r:id="rId540">
        <w:r>
          <w:rPr>
            <w:color w:val="1155CC"/>
            <w:u w:val="single"/>
          </w:rPr>
          <w:t>埃博拉病毒的防范工作必须从生态系统开始，在人类出现症状之前开始</w:t>
        </w:r>
      </w:hyperlink>
    </w:p>
    <w:p>
      <w:pPr>
        <w:spacing w:before="0" w:after="80"/>
      </w:pPr>
      <w:r>
        <w:rPr>
          <w:i/>
          <w:sz w:val="20"/>
        </w:rPr>
        <w:t>EN: Ebola preparedness must start with ecosystems and before humans show symptoms</w:t>
      </w:r>
    </w:p>
    <w:p>
      <w:pPr>
        <w:spacing w:before="0" w:after="120"/>
      </w:pPr>
      <w:r>
        <w:rPr>
          <w:b/>
        </w:rPr>
        <w:t xml:space="preserve">Source: </w:t>
      </w:r>
      <w:r>
        <w:t>Nature</w:t>
      </w:r>
      <w:r>
        <w:t xml:space="preserve">    </w:t>
      </w:r>
      <w:r>
        <w:rPr>
          <w:b/>
        </w:rPr>
        <w:t xml:space="preserve">Pub date: </w:t>
      </w:r>
      <w:r>
        <w:t>2026-06-30 00:00:00+00:00</w:t>
      </w:r>
      <w:r>
        <w:t xml:space="preserve">    </w:t>
      </w:r>
      <w:r>
        <w:rPr>
          <w:b/>
        </w:rPr>
        <w:t xml:space="preserve">DOI: </w:t>
      </w:r>
      <w:hyperlink r:id="rId541">
        <w:r>
          <w:rPr>
            <w:color w:val="1155CC"/>
            <w:u w:val="single"/>
          </w:rPr>
          <w:t>10.1038/d41586-026-02070-x</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[196] </w:t>
      </w:r>
      <w:hyperlink r:id="rId542">
        <w:r>
          <w:rPr>
            <w:color w:val="1155CC"/>
            <w:u w:val="single"/>
          </w:rPr>
          <w:t>用于大脑深部神经调节的 MRI 安全纤维电极</w:t>
        </w:r>
      </w:hyperlink>
    </w:p>
    <w:p>
      <w:pPr>
        <w:spacing w:before="0" w:after="80"/>
      </w:pPr>
      <w:r>
        <w:rPr>
          <w:i/>
          <w:sz w:val="20"/>
        </w:rPr>
        <w:t>EN: MRI-safe fiber electrodes for neuromodulation in the deep brain</w:t>
      </w:r>
    </w:p>
    <w:p>
      <w:pPr>
        <w:spacing w:before="0" w:after="120"/>
      </w:pPr>
      <w:r>
        <w:rPr>
          <w:b/>
        </w:rPr>
        <w:t xml:space="preserve">Source: </w:t>
      </w:r>
      <w:r>
        <w:t>National Science Review Advance Access</w:t>
      </w:r>
      <w:r>
        <w:t xml:space="preserve">    </w:t>
      </w:r>
      <w:r>
        <w:rPr>
          <w:b/>
        </w:rPr>
        <w:t xml:space="preserve">Pub date: </w:t>
      </w:r>
      <w:r>
        <w:t>2026-06-30 00:00:00+00:00</w:t>
      </w:r>
      <w:r>
        <w:t xml:space="preserve">    </w:t>
      </w:r>
      <w:r>
        <w:rPr>
          <w:b/>
        </w:rPr>
        <w:t xml:space="preserve">DOI: </w:t>
      </w:r>
      <w:hyperlink r:id="rId543">
        <w:r>
          <w:rPr>
            <w:color w:val="1155CC"/>
            <w:u w:val="single"/>
          </w:rPr>
          <w:t>10.1093/nsr/nwag399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[197] </w:t>
      </w:r>
      <w:hyperlink r:id="rId544">
        <w:r>
          <w:rPr>
            <w:color w:val="1155CC"/>
            <w:u w:val="single"/>
          </w:rPr>
          <w:t>咖啡面临威胁：科学家如何努力拯救它免于灭绝</w:t>
        </w:r>
      </w:hyperlink>
    </w:p>
    <w:p>
      <w:pPr>
        <w:spacing w:before="0" w:after="80"/>
      </w:pPr>
      <w:r>
        <w:rPr>
          <w:i/>
          <w:sz w:val="20"/>
        </w:rPr>
        <w:t>EN: Coffee is under threat: how scientists are fighting to save it from extinction</w:t>
      </w:r>
    </w:p>
    <w:p>
      <w:pPr>
        <w:spacing w:before="0" w:after="120"/>
      </w:pPr>
      <w:r>
        <w:rPr>
          <w:b/>
        </w:rPr>
        <w:t xml:space="preserve">Source: </w:t>
      </w:r>
      <w:r>
        <w:t>Nature</w:t>
      </w:r>
      <w:r>
        <w:t xml:space="preserve">    </w:t>
      </w:r>
      <w:r>
        <w:rPr>
          <w:b/>
        </w:rPr>
        <w:t xml:space="preserve">Pub date: </w:t>
      </w:r>
      <w:r>
        <w:t>2026-06-30 00:00:00+00:00</w:t>
      </w:r>
      <w:r>
        <w:t xml:space="preserve">    </w:t>
      </w:r>
      <w:r>
        <w:rPr>
          <w:b/>
        </w:rPr>
        <w:t xml:space="preserve">DOI: </w:t>
      </w:r>
      <w:hyperlink r:id="rId545">
        <w:r>
          <w:rPr>
            <w:color w:val="1155CC"/>
            <w:u w:val="single"/>
          </w:rPr>
          <w:t>10.1038/d41586-026-01965-z</w:t>
        </w:r>
      </w:hyperlink>
    </w:p>
    <w:p>
      <w:pPr>
        <w:spacing w:before="0" w:after="120"/>
      </w:pPr>
      <w:r>
        <w:rPr>
          <w:b/>
        </w:rPr>
        <w:t xml:space="preserve">Notes: </w:t>
      </w:r>
      <w:r>
        <w:t>abstract_source=nature_html</w:t>
      </w:r>
    </w:p>
    <w:p>
      <w:pPr>
        <w:spacing w:before="0" w:after="80" w:lineRule="auto" w:line="276"/>
      </w:pPr>
      <w:r>
        <w:rPr>
          <w:b/>
        </w:rPr>
        <w:t xml:space="preserve">摘要（ZH）: </w:t>
      </w:r>
      <w:r>
        <w:t>咖啡树受到气候变化的严重威胁。研究人员正在寻找解决方案，为科学家提供他们最喜欢的发现燃料。咖啡树受到气候变化的严重威胁。研究人员正在寻找解决方案，为科学家提供他们最喜欢的发现燃料。</w:t>
      </w:r>
    </w:p>
    <w:p>
      <w:pPr>
        <w:spacing w:before="0" w:after="200" w:lineRule="auto" w:line="276"/>
      </w:pPr>
      <w:r>
        <w:rPr>
          <w:b/>
        </w:rPr>
        <w:t xml:space="preserve">Abstract (EN): </w:t>
      </w:r>
      <w:r>
        <w:t>Coffee plants are critically endangered by climate change. Researchers are finding solutions to keep scientists supplied with their favourite discovery fuel. Coffee plants are critically endangered by climate change. Researchers are finding solutions to keep scientists supplied with their favourite discovery fuel.</w:t>
      </w:r>
    </w:p>
    <w:p>
      <w:pPr>
        <w:spacing w:before="120" w:after="120"/>
      </w:pPr>
      <w:r>
        <w:rPr>
          <w:sz w:val="18"/>
        </w:rPr>
        <w:t>——————————————————————————————————————————————————————————————————————</w:t>
      </w:r>
    </w:p>
    <w:p>
      <w:pPr>
        <w:spacing w:before="160" w:after="40" w:line="240" w:lineRule="auto"/>
      </w:pPr>
      <w:r>
        <w:rPr>
          <w:b/>
        </w:rPr>
        <w:t xml:space="preserve">[198] </w:t>
      </w:r>
      <w:hyperlink r:id="rId546">
        <w:r>
          <w:rPr>
            <w:color w:val="1155CC"/>
            <w:u w:val="single"/>
          </w:rPr>
          <w:t>人工智能系统设计假设和测试它们的方法</w:t>
        </w:r>
      </w:hyperlink>
    </w:p>
    <w:p>
      <w:pPr>
        <w:spacing w:before="0" w:after="80"/>
      </w:pPr>
      <w:r>
        <w:rPr>
          <w:i/>
          <w:sz w:val="20"/>
        </w:rPr>
        <w:t>EN: AI systems devise hypotheses and ways to test them</w:t>
      </w:r>
    </w:p>
    <w:p>
      <w:pPr>
        <w:spacing w:before="0" w:after="120"/>
      </w:pPr>
      <w:r>
        <w:rPr>
          <w:b/>
        </w:rPr>
        <w:t xml:space="preserve">Source: </w:t>
      </w:r>
      <w:r>
        <w:t>Nature</w:t>
      </w:r>
      <w:r>
        <w:t xml:space="preserve">    </w:t>
      </w:r>
      <w:r>
        <w:rPr>
          <w:b/>
        </w:rPr>
        <w:t xml:space="preserve">Pub date: </w:t>
      </w:r>
      <w:r>
        <w:t>2026-06-30 00:00:00+00:00</w:t>
      </w:r>
      <w:r>
        <w:t xml:space="preserve">    </w:t>
      </w:r>
      <w:r>
        <w:rPr>
          <w:b/>
        </w:rPr>
        <w:t xml:space="preserve">DOI: </w:t>
      </w:r>
      <w:hyperlink r:id="rId547">
        <w:r>
          <w:rPr>
            <w:color w:val="1155CC"/>
            <w:u w:val="single"/>
          </w:rPr>
          <w:t>10.1038/d41586-026-01873-2</w:t>
        </w:r>
      </w:hyperlink>
    </w:p>
    <w:p>
      <w:pPr>
        <w:spacing w:before="0" w:after="120"/>
      </w:pPr>
      <w:r>
        <w:rPr>
          <w:b/>
        </w:rPr>
        <w:t xml:space="preserve">Notes: </w:t>
      </w:r>
      <w:r>
        <w:t>abstract_source=nature_html</w:t>
      </w:r>
    </w:p>
    <w:p>
      <w:pPr>
        <w:spacing w:before="0" w:after="80" w:lineRule="auto" w:line="276"/>
      </w:pPr>
      <w:r>
        <w:rPr>
          <w:b/>
        </w:rPr>
        <w:t xml:space="preserve">摘要（ZH）: </w:t>
      </w:r>
      <w:r>
        <w:t>人工智能代理协作生成生物医学假设并分析数据，迈向实验室发现周期，人工智能参与每一步。人工智能代理协作生成生物医学假设并分析数据，迈向实验室发现周期，人工智能参与每一步。</w:t>
      </w:r>
    </w:p>
    <w:p>
      <w:pPr>
        <w:spacing w:before="0" w:after="200" w:lineRule="auto" w:line="276"/>
      </w:pPr>
      <w:r>
        <w:rPr>
          <w:b/>
        </w:rPr>
        <w:t xml:space="preserve">Abstract (EN): </w:t>
      </w:r>
      <w:r>
        <w:t>AI agents collaborate to generate biomedical hypotheses and analyse data, moving towards a laboratory discovery cycle with AI involved in every step. AI agents collaborate to generate biomedical hypotheses and analyse data, moving towards a laboratory discovery cycle with AI involved in every step.</w:t>
      </w:r>
    </w:p>
    <w:p>
      <w:pPr>
        <w:spacing w:before="120" w:after="120"/>
      </w:pPr>
      <w:r>
        <w:rPr>
          <w:sz w:val="18"/>
        </w:rPr>
        <w:t>——————————————————————————————————————————————————————————————————————</w:t>
      </w:r>
    </w:p>
    <w:p>
      <w:pPr>
        <w:spacing w:before="160" w:after="40" w:line="240" w:lineRule="auto"/>
      </w:pPr>
      <w:r>
        <w:rPr>
          <w:b/>
        </w:rPr>
        <w:t xml:space="preserve">[199] </w:t>
      </w:r>
      <w:hyperlink r:id="rId548">
        <w:r>
          <w:rPr>
            <w:color w:val="1155CC"/>
            <w:u w:val="single"/>
          </w:rPr>
          <w:t>选择微生物代谢物促进小鼠 tau 蛋白病模型中的 tau 蛋白聚集</w:t>
        </w:r>
      </w:hyperlink>
    </w:p>
    <w:p>
      <w:pPr>
        <w:spacing w:before="0" w:after="80"/>
      </w:pPr>
      <w:r>
        <w:rPr>
          <w:i/>
          <w:sz w:val="20"/>
        </w:rPr>
        <w:t>EN: Select microbial metabolites promote tau aggregation in a murine tauopathy model</w:t>
      </w:r>
    </w:p>
    <w:p>
      <w:pPr>
        <w:spacing w:before="0" w:after="120"/>
      </w:pPr>
      <w:r>
        <w:rPr>
          <w:b/>
        </w:rPr>
        <w:t xml:space="preserve">Source: </w:t>
      </w:r>
      <w:r>
        <w:t>Biological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肠道微生物组正在成为神经退行性疾病风险的调节剂，但其潜在机制仍知之甚少。在这里，我们发现进行性 tau 蛋白病的 hTau.P301S 小鼠模型会发生肠道微生物组的组成和功能的改变，而这些改变在基于淀粉样蛋白的 5xFAD 或 3xTg 阿尔茨海默病模型中没有重现。通过长期抗生素治疗破坏肠道微生物组会加剧 hTau.P301S 小鼠的认知缺陷和 tau 病理学，这表明微生物组对 tau 驱动的疾病进展具有因果影响。这与 hTau.P301S 小鼠血清和大脑中微生物组依赖性代谢物的广泛改变相对应，包括与 tau 病理严重程度相关的子集。通过筛选 tau 生物传感器细胞，我们确定了促进 tau 播种和聚集的精选微生物代谢物——三甲胺-N-氧化物、3-吲哚基硫酸盐、苯酚硫酸盐、胸苷和 2’脱氧尿苷。全身施用这些代谢物会加重 hTau.P301S 小鼠的认知障碍和 tau 病理学。这些发现建立了肠道微生物组、血清和大脑代谢物以及 tau 聚集之间的机制联系，表明特定的微生物代谢物有可能作为 tau 驱动疾病的治疗靶点。</w:t>
      </w:r>
    </w:p>
    <w:p>
      <w:pPr>
        <w:spacing w:before="0" w:after="200" w:lineRule="auto" w:line="276"/>
      </w:pPr>
      <w:r>
        <w:rPr>
          <w:b/>
        </w:rPr>
        <w:t xml:space="preserve">Abstract (EN): </w:t>
      </w:r>
      <w:r>
        <w:t>The gut microbiome is emerging as a modifier of risk for neurodegenerative diseases, but underlying mechanisms remain poorly understood. Here, we show that the hTau.P301S mouse model for progressive tauopathy develops alterations in the composition and function of the gut microbiome that are not recapitulated in amyloid-based 5xFAD or 3xTg models for Alzheimer’s disease. Disrupting the gut microbiome via chronic antibiotic treatment exacerbates cognitive deficits and tau pathology in hTau.P301S mice, demonstrating a causal influence of the microbiome on tau-driven disease progression. This corresponds with widespread alterations in microbiome-dependent metabolites in the sera and brains of hTau.P301S mice, including subsets that correlate with the severity of tau pathology. By screening against tau biosensor cells, we identify select microbial metabolites—trimethylamine-N-oxide, 3-indoxyl sulfate, phenol sulfate, thymidine, and 2’deoxyuridine—that promote tau seeding and aggregation. Systemic administration of these metabolites worsens cognitive impairment and tau pathology in hTau.P301S mice. These findings establish a mechanistic link between the gut microbiome, serum and brain metabolites, as well as tau aggregation, suggesting that select microbial metabolites could potentially serve as therapeutic targets for tau-driven diseases.</w:t>
      </w:r>
    </w:p>
    <w:p>
      <w:pPr>
        <w:spacing w:before="120" w:after="120"/>
      </w:pPr>
      <w:r>
        <w:rPr>
          <w:sz w:val="18"/>
        </w:rPr>
        <w:t>——————————————————————————————————————————————————————————————————————</w:t>
      </w:r>
    </w:p>
    <w:p>
      <w:pPr>
        <w:spacing w:before="160" w:after="40" w:line="240" w:lineRule="auto"/>
      </w:pPr>
      <w:r>
        <w:rPr>
          <w:b/>
        </w:rPr>
        <w:t xml:space="preserve">[200] </w:t>
      </w:r>
      <w:hyperlink r:id="rId549">
        <w:r>
          <w:rPr>
            <w:color w:val="1155CC"/>
            <w:u w:val="single"/>
          </w:rPr>
          <w:t>通过本质上无序的蛋白质 ALMS1 实现适应性中心粒生物发生</w:t>
        </w:r>
      </w:hyperlink>
    </w:p>
    <w:p>
      <w:pPr>
        <w:spacing w:before="0" w:after="80"/>
      </w:pPr>
      <w:r>
        <w:rPr>
          <w:i/>
          <w:sz w:val="20"/>
        </w:rPr>
        <w:t>EN: Adaptable centriole biogenesis via the intrinsically disordered protein ALMS1</w:t>
      </w:r>
    </w:p>
    <w:p>
      <w:pPr>
        <w:spacing w:before="0" w:after="120"/>
      </w:pPr>
      <w:r>
        <w:rPr>
          <w:b/>
        </w:rPr>
        <w:t xml:space="preserve">Source: </w:t>
      </w:r>
      <w:r>
        <w:t>Biological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中心粒生物发生被视为一种无模板的物理转化，其中出现侧手翻支架来引导中心粒生长并随后分解；然而，侧手翻动力学的潜在机制仍然不清楚。在这里，我们将本质无序蛋白 (IDP) ALMS1 确定为一种外部辅助因子，它导致种子形成侧手翻，但其本身并未并入种子结构中。侧手翻种子 (CS) 在界面阶段形成为 CEP152/CEP63 复合物的致密复合材料，采用纳米级环，侧手翻从其中生长。有丝分裂进入后，CS 会经历涉及 ALMS1 的拆卸，与侧手翻拆卸相关。 ALMS1 亚型突变会引发异常的侧手翻扩张，使其自身生长的中心粒脱落，进而形成异位中心粒，从而导致永久的相互扩增。 ALMS1 耗尽会中止 CS 组装，而重新引入 ALMS1 会重新初始化生物发生，创建通过选择进化的多样化但可遗传的中心粒结构，而不是生成单一的规范形式。这些发现表明，中心粒的生物发生依赖于成分外在的适应性转化线索，通过 IDP 介导的 CS 组装-分解循环传播，我们推测，涉及记忆。</w:t>
      </w:r>
    </w:p>
    <w:p>
      <w:pPr>
        <w:spacing w:before="0" w:after="200" w:lineRule="auto" w:line="276"/>
      </w:pPr>
      <w:r>
        <w:rPr>
          <w:b/>
        </w:rPr>
        <w:t xml:space="preserve">Abstract (EN): </w:t>
      </w:r>
      <w:r>
        <w:t>Centriole biogenesis is viewed as a template-free physical transformation where a cartwheel scaffold emerges to guide centriole growth and subsequently disassembles; however, the mechanism underlying cartwheel dynamics remains obscure. Here, we identify the intrinsically disordered protein (IDP) ALMS1 as an external cofactor that causes a seed for cartwheel formation without itself incorporating into the seed structure. The cartwheel seed (CS) forms during interphase as dense composites of CEP152/CEP63 complexes, adopting a nanoscale ring from which the cartwheel grows. Upon mitotic entry, CSs undergo disassembly involving ALMS1, correlating with cartwheel disassembly. Hypomorph ALMS1 mutations trigger aberrant cartwheel expansion-shedding from its own grown centriole, in turn forming ectopic centrioles, leading to perpetual reciprocal amplification. ALMS1 depletion aborts CS assembly, whereas reintroducing ALMS1 initializes biogenesis anew, creating diverse yet heritable centriole architectures that evolve through selection, instead of generating a single canonical form. These findings suggest that centriole biogenesis relies on adaptable transformation cues extrinsic to constituents, propagating via IDP-mediated CS assembly-disassembly cycles, we conjecture, involving memory.</w:t>
      </w:r>
    </w:p>
    <w:p>
      <w:pPr>
        <w:spacing w:before="120" w:after="120"/>
      </w:pPr>
      <w:r>
        <w:rPr>
          <w:sz w:val="18"/>
        </w:rPr>
        <w:t>——————————————————————————————————————————————————————————————————————</w:t>
      </w:r>
    </w:p>
    <w:p>
      <w:pPr>
        <w:spacing w:before="160" w:after="40" w:line="240" w:lineRule="auto"/>
      </w:pPr>
      <w:r>
        <w:rPr>
          <w:b/>
        </w:rPr>
        <w:t xml:space="preserve">[201] </w:t>
      </w:r>
      <w:hyperlink r:id="rId550">
        <w:r>
          <w:rPr>
            <w:color w:val="1155CC"/>
            <w:u w:val="single"/>
          </w:rPr>
          <w:t>通过时空神经场表示的视频速率十亿像素叠印术</w:t>
        </w:r>
      </w:hyperlink>
    </w:p>
    <w:p>
      <w:pPr>
        <w:spacing w:before="0" w:after="80"/>
      </w:pPr>
      <w:r>
        <w:rPr>
          <w:i/>
          <w:sz w:val="20"/>
        </w:rPr>
        <w:t>EN: Video-rate gigapixel ptychography via space-time neural field representations</w:t>
      </w:r>
    </w:p>
    <w:p>
      <w:pPr>
        <w:spacing w:before="0" w:after="120"/>
      </w:pPr>
      <w:r>
        <w:rPr>
          <w:b/>
        </w:rPr>
        <w:t xml:space="preserve">Source: </w:t>
      </w:r>
      <w:r>
        <w:t>Physical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以视频速率实现十亿像素空间带宽积 (SBP) 是成像科学中的一项根本挑战。在这里，我们演示了视频速率无透镜叠层成像技术，它通过光学、传感方案和计算的协同设计克服了这一障碍：编码表面对动态对象进行编码，时间顺序传感将其信息传播到帧之间，时空神经场框架通过利用时空相关性来恢复动态。我们的方法将 SBP 缩放从顺序测量转变为有效的相关性提取。我们演示了具有厘米级覆盖范围的视频速率十亿像素成像，同时解析 308 纳米线宽，实现了每秒 20.8 十亿像素的 SBP 吞吐量。实验验证涵盖从监测雪花、细菌、干细胞、微针的介观动力学，到表征极紫外 (EUV) 实验中的时变动力学，展示跨波长的多功能性。通过将时间变化从约束转化为可利用的相关性，我们使单传感器十亿像素视频能够自然地扩展到短波长和电子区域，在这些区域中，辐射敏感性传统上阻碍了高分辨率动态成像。</w:t>
      </w:r>
    </w:p>
    <w:p>
      <w:pPr>
        <w:spacing w:before="0" w:after="200" w:lineRule="auto" w:line="276"/>
      </w:pPr>
      <w:r>
        <w:rPr>
          <w:b/>
        </w:rPr>
        <w:t xml:space="preserve">Abstract (EN): </w:t>
      </w:r>
      <w:r>
        <w:t>Achieving gigapixel space-bandwidth products (SBP) at video rates represents a fundamental challenge in imaging science. Here we demonstrate video-rate lensless ptychography that overcomes this barrier through the co-design of optics, sensing scheme, and computation: a coded surface encodes the dynamic object, time-sequential sensing spreads its information across frames, and a space-time neural-field framework recovers the dynamics by exploiting spatiotemporal correlations. Our approach transforms SBP scaling from sequential measurements to efficient correlation extraction. We demonstrate video-rate gigapixel imaging with centimeter-scale coverage while resolving 308-nm linewidths, achieving an SBP throughput of 20.8 gigapixels per second. Experimental validations span from monitoring mesoscale dynamics of snowflakes, bacteria, stem cells, microneedles, to characterizing time-varying dynamics in extreme-ultraviolet (EUV) experiments, demonstrating versatility across wavelengths. By transforming temporal variations from a constraint into exploitable correlations, we enable single-sensor gigapixel video that extends naturally to short-wavelength and electron regimes where radiation sensitivity has traditionally precluded high-resolution dynamic imaging.</w:t>
      </w:r>
    </w:p>
    <w:p>
      <w:pPr>
        <w:spacing w:before="120" w:after="120"/>
      </w:pPr>
      <w:r>
        <w:rPr>
          <w:sz w:val="18"/>
        </w:rPr>
        <w:t>——————————————————————————————————————————————————————————————————————</w:t>
      </w:r>
    </w:p>
    <w:p>
      <w:pPr>
        <w:spacing w:before="160" w:after="40" w:line="240" w:lineRule="auto"/>
      </w:pPr>
      <w:r>
        <w:rPr>
          <w:b/>
        </w:rPr>
        <w:t xml:space="preserve">[202] </w:t>
      </w:r>
      <w:hyperlink r:id="rId551">
        <w:r>
          <w:rPr>
            <w:color w:val="1155CC"/>
            <w:u w:val="single"/>
          </w:rPr>
          <w:t>撤回说明：NSD2 靶向逆转前列腺癌的可塑性和耐药性</w:t>
        </w:r>
      </w:hyperlink>
    </w:p>
    <w:p>
      <w:pPr>
        <w:spacing w:before="0" w:after="80"/>
      </w:pPr>
      <w:r>
        <w:rPr>
          <w:i/>
          <w:sz w:val="20"/>
        </w:rPr>
        <w:t>EN: Retraction Note: NSD2 targeting reverses plasticity and drug resistance in prostate cancer</w:t>
      </w:r>
    </w:p>
    <w:p>
      <w:pPr>
        <w:spacing w:before="0" w:after="120"/>
      </w:pPr>
      <w:r>
        <w:rPr>
          <w:b/>
        </w:rPr>
        <w:t xml:space="preserve">Source: </w:t>
      </w:r>
      <w:r>
        <w:t>Nature</w:t>
      </w:r>
      <w:r>
        <w:t xml:space="preserve">    </w:t>
      </w:r>
      <w:r>
        <w:rPr>
          <w:b/>
        </w:rPr>
        <w:t xml:space="preserve">Pub date: </w:t>
      </w:r>
      <w:r>
        <w:t>2026-06-30 00:00:00+00:00</w:t>
      </w:r>
      <w:r>
        <w:t xml:space="preserve">    </w:t>
      </w:r>
      <w:r>
        <w:rPr>
          <w:b/>
        </w:rPr>
        <w:t xml:space="preserve">DOI: </w:t>
      </w:r>
      <w:hyperlink r:id="rId552">
        <w:r>
          <w:rPr>
            <w:color w:val="1155CC"/>
            <w:u w:val="single"/>
          </w:rPr>
          <w:t>10.1038/s41586-026-10816-w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[203] </w:t>
      </w:r>
      <w:hyperlink r:id="rId553">
        <w:r>
          <w:rPr>
            <w:color w:val="1155CC"/>
            <w:u w:val="single"/>
          </w:rPr>
          <w:t>具有高饱和功率和低噪声系数的零 PDG 硅光子放大器</w:t>
        </w:r>
      </w:hyperlink>
    </w:p>
    <w:p>
      <w:pPr>
        <w:spacing w:before="0" w:after="80"/>
      </w:pPr>
      <w:r>
        <w:rPr>
          <w:i/>
          <w:sz w:val="20"/>
        </w:rPr>
        <w:t>EN: Zero-PDG silicon photonic amplifier with high saturation power and low noise figure</w:t>
      </w:r>
    </w:p>
    <w:p>
      <w:pPr>
        <w:spacing w:before="0" w:after="120"/>
      </w:pPr>
      <w:r>
        <w:rPr>
          <w:b/>
        </w:rPr>
        <w:t xml:space="preserve">Source: </w:t>
      </w:r>
      <w:r>
        <w:t>Physical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高功率放大器在光学传感、测距、医疗手术等领域部署的许多光学系统中非常重要。同样，具有低偏振依赖性的高增益、低噪声放大器是远程光通信系统的关键组件。集成光子解决方案由于尺寸、重量和成本的大幅减小，在具有挑战性的应用领域显示出巨大潜力，但由于小型设备中能量存储容量的降低，导致光功率较低。最近，以显着提高光纤放大器的能量存储容量和饱和功率而闻名的大模式面积（LMA）技术已被引入芯片级，可以直接从芯片进行瓦级放大。在这里，我们展示了一种硅光子 LMA 放大器，它既能实现输出饱和功率 &gt; 115 mW 的高功率放大，又能实现高达 30 dB 的小信号增益和片上噪声系数 3.6 dB，这是通过在芯片面上使用折射率匹配胶来抑制寄生激光来实现的。此外，我们提出了一种调整并完全消除偏振相关增益（PDG）的方法。我们相信，PDG 可调性与低噪声、高增益和高功率放大相结合，使其成为跨一系列应用的下一代集成放大器的潜在颠覆性技术。</w:t>
      </w:r>
    </w:p>
    <w:p>
      <w:pPr>
        <w:spacing w:before="0" w:after="200" w:lineRule="auto" w:line="276"/>
      </w:pPr>
      <w:r>
        <w:rPr>
          <w:b/>
        </w:rPr>
        <w:t xml:space="preserve">Abstract (EN): </w:t>
      </w:r>
      <w:r>
        <w:t>High-power amplifiers are of great importance in many optical systems deployed in optical sensing, ranging, medical surgery and more. Likewise, high-gain, low-noise amplifiers with low polarization dependence are critical components of long-range optical communication systems. Integrated photonic solutions show great potential in challenging application fields thanks to their drastic reduction in size, weight and cost, but coming at the expense of low optical power due to reduced energy storage capacity in small devices. Recently, the large mode area (LMA) technology, which is known for dramatically increasing the energy storage capacity and saturation power of fiber amplifiers, has been brought to the chip-level, allowing for watt-level amplification directly from the chip. Here we demonstrate a silicon photonic LMA amplifier capable of both high-power amplification with output saturation powers &gt; 115 mW and high small-signal gain up to 30 dB with a 3.6 dB noise figure on-chip, which we achieved by suppressing parasitic lasing with index-matching glue on the chip facets. Furthermore, we present a method to tune and completely nullify the polarization dependent gain (PDG). We believe that the PDG-tunability combined with the low-noise, high-gain and high-power amplification positions it as a potentially disruptive technology for next-generation integrated amplifiers across a range of applications.</w:t>
      </w:r>
    </w:p>
    <w:p>
      <w:pPr>
        <w:spacing w:before="120" w:after="120"/>
      </w:pPr>
      <w:r>
        <w:rPr>
          <w:sz w:val="18"/>
        </w:rPr>
        <w:t>——————————————————————————————————————————————————————————————————————</w:t>
      </w:r>
    </w:p>
    <w:p>
      <w:pPr>
        <w:spacing w:before="160" w:after="40" w:line="240" w:lineRule="auto"/>
      </w:pPr>
      <w:r>
        <w:rPr>
          <w:b/>
        </w:rPr>
        <w:t xml:space="preserve">[204] </w:t>
      </w:r>
      <w:hyperlink r:id="rId554">
        <w:r>
          <w:rPr>
            <w:color w:val="1155CC"/>
            <w:u w:val="single"/>
          </w:rPr>
          <w:t>具有低压氧化还原触发和自发收缩功能的仿生电化学人造肌肉</w:t>
        </w:r>
      </w:hyperlink>
    </w:p>
    <w:p>
      <w:pPr>
        <w:spacing w:before="0" w:after="80"/>
      </w:pPr>
      <w:r>
        <w:rPr>
          <w:i/>
          <w:sz w:val="20"/>
        </w:rPr>
        <w:t>EN: Bioinspired electrochemical artificial muscles with low voltage redox triggering and spontaneous contraction</w:t>
      </w:r>
    </w:p>
    <w:p>
      <w:pPr>
        <w:spacing w:before="0" w:after="120"/>
      </w:pPr>
      <w:r>
        <w:rPr>
          <w:b/>
        </w:rPr>
        <w:t xml:space="preserve">Source: </w:t>
      </w:r>
      <w:r>
        <w:t>Physical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骨骼肌通过一种机制运作，其中钙离子在低电位下充当触发器，然后由三磷酸腺苷水解驱动收缩。受这个过程的启发，我们开发了一种具有低压氧化还原触发和自发收缩功能的电化学人造肌肉。通过在低于 0.4 V 的电压下对肌肉进行电化学充电来实现触发，从而实现 I3⁻ 注入并随后氧化为 I2。然后通过反应 I2 + I⁻ → I3⁻ 发生自发肌肉收缩，类似于三磷酸腺苷在骨骼肌收缩中的作用，但与传统的电化学人造肌肉有根本不同。按照这种机制，原始碳纳米管纱线肌肉和季铵阳离子改性的碳纳米管纱线肌肉分别产生5.2%和15.5%的收缩行程。而且，无需输入电能即可稳定维持收缩状态，并通过施加反向电压实现完全恢复至原始长度。这种机制为开发节能人造肌肉提供了一种有前景的策略。</w:t>
      </w:r>
    </w:p>
    <w:p>
      <w:pPr>
        <w:spacing w:before="0" w:after="200" w:lineRule="auto" w:line="276"/>
      </w:pPr>
      <w:r>
        <w:rPr>
          <w:b/>
        </w:rPr>
        <w:t xml:space="preserve">Abstract (EN): </w:t>
      </w:r>
      <w:r>
        <w:t>Skeletal muscle operates through a mechanism in which calcium ions act as a trigger at low electric potentials, followed by contraction powered by adenosine triphosphate hydrolysis. Inspired by this process, we have developed an electrochemical artificial muscle with low-voltage redox triggering and spontaneous contraction. Triggering is achieved by electrochemically charging the muscles at voltages below 0.4 V, which enables I3⁻ injection and subsequent oxidation to I2. Spontaneous muscle contraction then occurs via the reaction I2 + I⁻ → I3⁻, analogous to the role of adenosine triphosphate in skeletal muscle contraction, yet fundamentally distinct from conventional electrochemical artificial muscles. Following this mechanism, pristine carbon nanotube yarn muscles and carbon nanotube yarn muscles modified by quaternary ammonium cations generated contractile strokes of 5.2% and 15.5%, respectively. Moreover, the contracted state can be stably maintained without electrical energy input, and full recovery to the original length is achieved by applying a reverse voltage. Such mechanisms present a promising strategy for the development of energy-efficient artificial muscles.</w:t>
      </w:r>
    </w:p>
    <w:p>
      <w:pPr>
        <w:spacing w:before="120" w:after="120"/>
      </w:pPr>
      <w:r>
        <w:rPr>
          <w:sz w:val="18"/>
        </w:rPr>
        <w:t>——————————————————————————————————————————————————————————————————————</w:t>
      </w:r>
    </w:p>
    <w:p>
      <w:pPr>
        <w:spacing w:before="160" w:after="40" w:line="240" w:lineRule="auto"/>
      </w:pPr>
      <w:r>
        <w:rPr>
          <w:b/>
        </w:rPr>
        <w:t xml:space="preserve">[205] </w:t>
      </w:r>
      <w:hyperlink r:id="rId555">
        <w:r>
          <w:rPr>
            <w:color w:val="1155CC"/>
            <w:u w:val="single"/>
          </w:rPr>
          <w:t>地下水硝酸盐污染长尾挑战全球水质治理</w:t>
        </w:r>
      </w:hyperlink>
    </w:p>
    <w:p>
      <w:pPr>
        <w:spacing w:before="0" w:after="80"/>
      </w:pPr>
      <w:r>
        <w:rPr>
          <w:i/>
          <w:sz w:val="20"/>
        </w:rPr>
        <w:t>EN: The long tail of nitrate pollution in groundwater challenges governance of global water quality</w:t>
      </w:r>
    </w:p>
    <w:p>
      <w:pPr>
        <w:spacing w:before="0" w:after="120"/>
      </w:pPr>
      <w:r>
        <w:rPr>
          <w:b/>
        </w:rPr>
        <w:t xml:space="preserve">Source: </w:t>
      </w:r>
      <w:r>
        <w:t>Earth and environmental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地下水硝酸盐污染威胁饮用水安全。包气区中残留的氮 (N) 会产生浸出的“长尾”，这种“长尾”在政策行动后可能会持续数十年。在这里，我们模拟了 1961 年至 2100 年全球地下水中硝酸盐动态。到 2020 年，浅层含水层已积累了 162 ± 6 Tg N 的硝酸盐，超过了全球 10% 陆地面积的世界卫生组织饮用水限值。这种污染是由包气带中 4037 ± 214 Tg N 的大型硝酸盐库所维持的，该库将在几十年内继续产生新的污染热点。即使立即过渡到零氮过剩，预计 4% 的受影响地区在 2100 年之后仍将高于世界卫生组织的限制。为了指导有效治理，我们将全球农田分为四种管理原型，并确定平衡水质、粮食安全和土壤可持续性的定制战略。这些发现重新定义了治理的时间范围，确定了优先区域，并提供了基于科学的地下水安全路线图。</w:t>
      </w:r>
    </w:p>
    <w:p>
      <w:pPr>
        <w:spacing w:before="0" w:after="200" w:lineRule="auto" w:line="276"/>
      </w:pPr>
      <w:r>
        <w:rPr>
          <w:b/>
        </w:rPr>
        <w:t xml:space="preserve">Abstract (EN): </w:t>
      </w:r>
      <w:r>
        <w:t>Groundwater nitrate pollution threatens drinking water safety. Legacy nitrogen (N) in the vadose zone creates a “long tail” of leaching that can persist for decades after policy actions. Here we model global nitrate dynamics in groundwater from 1961 to 2100. By 2020, shallow aquifers had accumulated 162 ± 6 Tg N as nitrate, exceeding the WHO drinking water limit across 10% of global land area. This contamination is sustained by a large nitrate reservoir of 4037 ± 214 Tg N in the vadose zone, which will continue to generate new contamination hotspots for decades. Even under an immediate transition to zero-N-surplus, 4% of affected regions are projected to remain above the WHO limit beyond 2100. To guide effective governance, we classify global croplands into four management archetypes and identify tailored strategies that balance water quality, food security, and soil sustainability. These findings redefine the temporal scope of governance, identify priority regions, and provide a science-based roadmap towards safe groundwater.</w:t>
      </w:r>
    </w:p>
    <w:p>
      <w:pPr>
        <w:spacing w:before="120" w:after="120"/>
      </w:pPr>
      <w:r>
        <w:rPr>
          <w:sz w:val="18"/>
        </w:rPr>
        <w:t>——————————————————————————————————————————————————————————————————————</w:t>
      </w:r>
    </w:p>
    <w:p>
      <w:pPr>
        <w:spacing w:before="160" w:after="40" w:line="240" w:lineRule="auto"/>
      </w:pPr>
      <w:r>
        <w:rPr>
          <w:b/>
        </w:rPr>
        <w:t xml:space="preserve">[206] </w:t>
      </w:r>
      <w:hyperlink r:id="rId556">
        <w:r>
          <w:rPr>
            <w:color w:val="1155CC"/>
            <w:u w:val="single"/>
          </w:rPr>
          <w:t>分子力场的深度残差学习</w:t>
        </w:r>
      </w:hyperlink>
    </w:p>
    <w:p>
      <w:pPr>
        <w:spacing w:before="0" w:after="80"/>
      </w:pPr>
      <w:r>
        <w:rPr>
          <w:i/>
          <w:sz w:val="20"/>
        </w:rPr>
        <w:t>EN: Deep residual learning for molecular force fields</w:t>
      </w:r>
    </w:p>
    <w:p>
      <w:pPr>
        <w:spacing w:before="0" w:after="120"/>
      </w:pPr>
      <w:r>
        <w:rPr>
          <w:b/>
        </w:rPr>
        <w:t xml:space="preserve">Source: </w:t>
      </w:r>
      <w:r>
        <w:t>Biological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准确描述原子之间的相互作用对于用于研究生物学和支持药物发现的分子模拟至关重要。现有的力场通常面临物理可靠性、计算效率和陌生分子准确性之间的权衡。在这里，我们展示了残余学习力场（一种混合机器学习力场），可以通过将键合相互作用的简单的基于物理的描述与剩余能量效应的学习校正相结合来减少这种权衡。这两个组件通过三步策略一起训练，以便每个组件都提供互补的信息。在涵盖类药物分子、分子二聚体、扭转能量分布、最小能量结构和生物分子模拟的测试中，残余学习力场可以在不同的系统中提供准确且稳定的预测。这些结果表明，将物理约束与数据驱动的校正相结合可以为生物研究和药物发现提供更可靠、更高效的分子模拟的实用途径。</w:t>
      </w:r>
    </w:p>
    <w:p>
      <w:pPr>
        <w:spacing w:before="0" w:after="200" w:lineRule="auto" w:line="276"/>
      </w:pPr>
      <w:r>
        <w:rPr>
          <w:b/>
        </w:rPr>
        <w:t xml:space="preserve">Abstract (EN): </w:t>
      </w:r>
      <w:r>
        <w:t>Accurate descriptions of interactions between atoms are essential for molecular simulations used to study biology and support drug discovery. Existing force fields often face a trade-off between physical reliability, computational efficiency, and accuracy across unfamiliar molecules. Here we show that Residual Learning Force Field, a hybrid machine learning force field, can reduce this trade-off by combining simple physics-based descriptions of bonded interactions with learned corrections for remaining energetic effects. The two components are trained together through a three-step strategy so that each contributes complementary information. In tests covering drug-like molecules, molecular dimers, torsional energy profiles, energy-minimum structures, and biomolecular simulations, Residual Learning Force Field gives accurate and stable predictions across diverse systems. These results suggest that combining physical constraints with data-driven corrections can provide a practical route toward more reliable and efficient molecular simulation for biological research and drug discovery.</w:t>
      </w:r>
    </w:p>
    <w:p>
      <w:pPr>
        <w:spacing w:before="120" w:after="120"/>
      </w:pPr>
      <w:r>
        <w:rPr>
          <w:sz w:val="18"/>
        </w:rPr>
        <w:t>——————————————————————————————————————————————————————————————————————</w:t>
      </w:r>
    </w:p>
    <w:p>
      <w:pPr>
        <w:spacing w:before="160" w:after="40" w:line="240" w:lineRule="auto"/>
      </w:pPr>
      <w:r>
        <w:rPr>
          <w:b/>
        </w:rPr>
        <w:t xml:space="preserve">[207] </w:t>
      </w:r>
      <w:hyperlink r:id="rId557">
        <w:r>
          <w:rPr>
            <w:color w:val="1155CC"/>
            <w:u w:val="single"/>
          </w:rPr>
          <w:t>STAG1和STAG2在有丝分裂后基因组重折叠中的独特和补偿作用</w:t>
        </w:r>
      </w:hyperlink>
    </w:p>
    <w:p>
      <w:pPr>
        <w:spacing w:before="0" w:after="80"/>
      </w:pPr>
      <w:r>
        <w:rPr>
          <w:i/>
          <w:sz w:val="20"/>
        </w:rPr>
        <w:t>EN: Distinct and compensatory roles of STAG1 and STAG2 in post-mitotic genome refolding</w:t>
      </w:r>
    </w:p>
    <w:p>
      <w:pPr>
        <w:spacing w:before="0" w:after="120"/>
      </w:pPr>
      <w:r>
        <w:rPr>
          <w:b/>
        </w:rPr>
        <w:t xml:space="preserve">Source: </w:t>
      </w:r>
      <w:r>
        <w:t>Biological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真核基因组的 3D 结构很大程度上是由含有 STAG1 或 STAG2 亚基的粘连蛋白复合物塑造的。然而，它们在有丝分裂后基因组重折叠中的作用仍不清楚。在这里，我们将 STAG2 确立为该过程的主要旁系同源和主要协调者。我们发现，在有丝分裂退出时，STAG1 缺失对基因组重折叠或转录重新激活的影响可以忽略不计，而 STAG2 以阶段和染色质背景依赖性方式调节基因组重塑。在 G1 早期，STAG2 促进小的常染色质结构环、增强子-启动子接触和转录重激发；在 G1 晚期，它通过限制更具加工性的 STAG1-cohesin 来抑制大环。 STAG2 的持续合成能力受到 CTCF 障碍的限制，而不是基因组行进距离的限制。共耗竭会导致结构环的协同损失和更强的转录失调，但残留的染色质结合粘连蛋白保留了可测量的挤出能力。总之，这些结果表明 STAG2 是有丝分裂后时空染色质重组的主要调节因子，而 STAG1 则为稳健性提供补偿支持。</w:t>
      </w:r>
    </w:p>
    <w:p>
      <w:pPr>
        <w:spacing w:before="0" w:after="200" w:lineRule="auto" w:line="276"/>
      </w:pPr>
      <w:r>
        <w:rPr>
          <w:b/>
        </w:rPr>
        <w:t xml:space="preserve">Abstract (EN): </w:t>
      </w:r>
      <w:r>
        <w:t>The 3D architecture of the eukaryotic genome is largely shaped by cohesin complexes containing either STAG1 or STAG2 subunits. Yet, their roles in post-mitotic genome refolding remain unclear. Here, we establish STAG2 as the predominant paralog and primary orchestrator of this process. We find that upon mitotic exit, STAG1 depletion imposes negligible effects on genome refolding or transcription reactivation, whereas STAG2 regulates genome remodeling in a stage- and chromatin-context-dependent manner. In early-G1, STAG2 promotes small euchromatic structural loops, enhancer–promoter contacts and transcriptional refiring; in late-G1, it suppresses large loops by limiting the more processive STAG1-cohesin. STAG2 processivity is constrained by CTCF roadblocks rather than genomic traveling distance. Co-depletion causes synergistic loss of structural loops and stronger transcriptional dysregulation, yet residual chromatin-bound cohesin retains measurable extrusion capacity. Together, these results establish STAG2 as the principal regulator of post-mitotic spatiotemporal chromatin reorganization, while STAG1 provides compensatory support for robustness.</w:t>
      </w:r>
    </w:p>
    <w:p>
      <w:pPr>
        <w:spacing w:before="120" w:after="120"/>
      </w:pPr>
      <w:r>
        <w:rPr>
          <w:sz w:val="18"/>
        </w:rPr>
        <w:t>——————————————————————————————————————————————————————————————————————</w:t>
      </w:r>
    </w:p>
    <w:p>
      <w:pPr>
        <w:spacing w:before="160" w:after="40" w:line="240" w:lineRule="auto"/>
      </w:pPr>
      <w:r>
        <w:rPr>
          <w:b/>
        </w:rPr>
        <w:t xml:space="preserve">[208] </w:t>
      </w:r>
      <w:hyperlink r:id="rId558">
        <w:r>
          <w:rPr>
            <w:color w:val="1155CC"/>
            <w:u w:val="single"/>
          </w:rPr>
          <w:t>FET 蛋白和 PARylation 依赖性缩合物促进复制叉逆转和基因组稳定性</w:t>
        </w:r>
      </w:hyperlink>
    </w:p>
    <w:p>
      <w:pPr>
        <w:spacing w:before="0" w:after="80"/>
      </w:pPr>
      <w:r>
        <w:rPr>
          <w:i/>
          <w:sz w:val="20"/>
        </w:rPr>
        <w:t>EN: FET proteins and PARylation-dependent condensates promote replication fork reversal and genome stability</w:t>
      </w:r>
    </w:p>
    <w:p>
      <w:pPr>
        <w:spacing w:before="0" w:after="120"/>
      </w:pPr>
      <w:r>
        <w:rPr>
          <w:b/>
        </w:rPr>
        <w:t xml:space="preserve">Source: </w:t>
      </w:r>
      <w:r>
        <w:t>Biological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针对复制相关的 DNA 修复机制，包括 PARP1/2 和 PARG 对 ADP 核糖基化的控制，是一种强大的癌症治疗方法。然而，PARG 抑制影响 DNA 复制的机制仍不清楚。在这里，我们将新生 DNA (iPOND) 上的蛋白质分离与定量蛋白质组学和功能测定相结合，以研究急性 PARG 抑制时的复制叉动力学。我们发现 FET 家族蛋白（FUS、EWS 和 TAF15）以 PAR 依赖性方式被招募到复制叉，形成减缓复制叉进展并促进复制叉逆转的缩合物。 FET 蛋白控制分叉动态，以响应某些（但不是全部）复制压力。 FUS 失活导致通过 RECQ1 和 PRIMPOL 不受限制的分叉进展、增加单链 DNA 间隙、基因组不稳定以及 BRCA1 缺陷的合成致死性。这些发现表明，FET 蛋白组装体可调节复制应激反应，影响基因组稳定性和细胞对针对 PARylation 途径的癌症治疗的反应。</w:t>
      </w:r>
    </w:p>
    <w:p>
      <w:pPr>
        <w:spacing w:before="0" w:after="200" w:lineRule="auto" w:line="276"/>
      </w:pPr>
      <w:r>
        <w:rPr>
          <w:b/>
        </w:rPr>
        <w:t xml:space="preserve">Abstract (EN): </w:t>
      </w:r>
      <w:r>
        <w:t>Targeting replication-associated DNA repair mechanisms, including the control of ADP-ribosylation by PARP1/2 and PARG, is a powerful therapeutic approach for cancer. However, the mechanisms by which PARG inhibition impacts DNA replication remain unclear. Here, we combine isolation of proteins on nascent DNA (iPOND) with quantitative proteomics and functional assays to investigate replication fork dynamics upon acute PARG inhibition. We find that FET family proteins (FUS, EWS, and TAF15) are recruited to replication forks in a PAR-dependent manner, forming condensates that slow fork progression and promote fork reversal. FET proteins control fork dynamics in response to some, but not all, replication stresses. FUS inactivation leads to unrestrained fork progression via RECQ1 and PRIMPOL, increased single-stranded DNA gaps, genome instability, and synthetic lethality with BRCA1 deficiency. These findings reveal that FET protein assemblies modulate replication stress responses, influencing genome stability and the cellular response to cancer therapeutics targeting PARylation pathways.</w:t>
      </w:r>
    </w:p>
    <w:p>
      <w:pPr>
        <w:spacing w:before="120" w:after="120"/>
      </w:pPr>
      <w:r>
        <w:rPr>
          <w:sz w:val="18"/>
        </w:rPr>
        <w:t>——————————————————————————————————————————————————————————————————————</w:t>
      </w:r>
    </w:p>
    <w:p>
      <w:pPr>
        <w:spacing w:before="160" w:after="40" w:line="240" w:lineRule="auto"/>
      </w:pPr>
      <w:r>
        <w:rPr>
          <w:b/>
        </w:rPr>
        <w:t xml:space="preserve">[209] </w:t>
      </w:r>
      <w:hyperlink r:id="rId559">
        <w:r>
          <w:rPr>
            <w:color w:val="1155CC"/>
            <w:u w:val="single"/>
          </w:rPr>
          <w:t>决策任务中行为和神经变异与年龄相关的变化</w:t>
        </w:r>
      </w:hyperlink>
    </w:p>
    <w:p>
      <w:pPr>
        <w:spacing w:before="0" w:after="80"/>
      </w:pPr>
      <w:r>
        <w:rPr>
          <w:i/>
          <w:sz w:val="20"/>
        </w:rPr>
        <w:t>EN: Age-related changes in behavioural and neural variability in a decision-making task</w:t>
      </w:r>
    </w:p>
    <w:p>
      <w:pPr>
        <w:spacing w:before="0" w:after="120"/>
      </w:pPr>
      <w:r>
        <w:rPr>
          <w:b/>
        </w:rPr>
        <w:t xml:space="preserve">Source: </w:t>
      </w:r>
      <w:r>
        <w:t>Biological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与年龄相关的学习和决策认知能力下降可能是由于神经反应的变异性增加所致。在这里，我们通过记录执行视觉决策任务的年轻和年长小鼠的 16 个大脑区域（包括皮层、海马、丘脑、中脑和基底神经节）超过 18,000 个神经元，研究衰老如何影响行为和神经变异。年长的小鼠表现出更多变化的反应时间，再现了人类衰老研究中的常见发现。整体衰老增加了放电率和刺激后神经变异性（使用 Fano 因子量化），并减少了变异性猝灭——刺激呈现时神经变异性的减少。年长动物的视觉和运动皮层、纹状体、中脑和海马区域的总体放电率较高，但丘脑区域的放电率较低。刺激引起的变异性猝灭中与年龄相关的衰减在视觉和运动皮层、纹状体和丘脑区域最为突出。这些发现表明大规模神经记录如何帮助揭示单个神经元衰老效应的区域特异性，最终提高我们对与年龄相关的认知衰退的神经基础的理解。</w:t>
      </w:r>
    </w:p>
    <w:p>
      <w:pPr>
        <w:spacing w:before="0" w:after="200" w:lineRule="auto" w:line="276"/>
      </w:pPr>
      <w:r>
        <w:rPr>
          <w:b/>
        </w:rPr>
        <w:t xml:space="preserve">Abstract (EN): </w:t>
      </w:r>
      <w:r>
        <w:t>Age-related cognitive decline in learning and decision-making may arise from increased variability of neural responses. Here, we investigated how ageing affects behavioural and neural variability by recording &gt;18,000 neurons across 16 brain regions (including cortex, hippocampus, thalamus, midbrain, and basal ganglia) in younger and older mice performing a visual decision-making task. Older mice showed more variable response times, reproducing a common finding in human ageing studies. Ageing globally increased firing rates and post-stimulus neural variability (quantified using the Fano factor), and decreased variability quenching–the reduction in neural variability upon stimulus presentation. Older animals showed higher overall firing rates across areas of visual and motor cortex, striatum, midbrain, and hippocampus, but lower firing rates in thalamic areas. Age-related attenuation in stimulus-induced variability quenching was most prominent in visual and motor cortex, striatum, and thalamic area. These findings show how large-scale neural recordings can help uncover regional specificity of ageing effects in single neurons, ultimately improving our understanding of the neural basis of age-related cognitive decline.</w:t>
      </w:r>
    </w:p>
    <w:p>
      <w:pPr>
        <w:spacing w:before="120" w:after="120"/>
      </w:pPr>
      <w:r>
        <w:rPr>
          <w:sz w:val="18"/>
        </w:rPr>
        <w:t>——————————————————————————————————————————————————————————————————————</w:t>
      </w:r>
    </w:p>
    <w:p>
      <w:pPr>
        <w:spacing w:before="160" w:after="40" w:line="240" w:lineRule="auto"/>
      </w:pPr>
      <w:r>
        <w:rPr>
          <w:b/>
        </w:rPr>
        <w:t xml:space="preserve">[210] </w:t>
      </w:r>
      <w:hyperlink r:id="rId560">
        <w:r>
          <w:rPr>
            <w:color w:val="1155CC"/>
            <w:u w:val="single"/>
          </w:rPr>
          <w:t>SPOP 和 CHD1 在 ACSL4 调控中的不同作用揭示了针对铁死亡的上下文相关漏洞</w:t>
        </w:r>
      </w:hyperlink>
    </w:p>
    <w:p>
      <w:pPr>
        <w:spacing w:before="0" w:after="80"/>
      </w:pPr>
      <w:r>
        <w:rPr>
          <w:i/>
          <w:sz w:val="20"/>
        </w:rPr>
        <w:t>EN: Divergent roles of SPOP and CHD1 in ACSL4 regulation reveal context-dependent vulnerabilities for targeting ferroptosis</w:t>
      </w:r>
    </w:p>
    <w:p>
      <w:pPr>
        <w:spacing w:before="0" w:after="120"/>
      </w:pPr>
      <w:r>
        <w:rPr>
          <w:b/>
        </w:rPr>
        <w:t xml:space="preserve">Source: </w:t>
      </w:r>
      <w:r>
        <w:t>Biological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遗传异质性导致癌症治疗反应的变化。频繁的 SPOP 突变和反复出现的 CHD1 缺失定义了前列腺癌 (PCa) 的不同分子亚型，对抗雄激素治疗的反应也不同。铁死亡是一种由脂质过氧化驱动的铁依赖性细胞死亡机制，已成为一种有前途的抗癌策略。在这里，我们确定 SPOP 突变和 CHD1 缺失是 PCa 铁死亡易感性的关键遗传决定因素。使用基因工程人类和小鼠模型，我们发现 SPOP 突变增强了针对 GPX4 的铁死亡诱导剂的功效，而 CHD1 缺失则削弱了其功效。从机制上讲，SPOP 和 CHD1 通过拮抗调节 MYC-ACSL4 轴对铁死亡发挥相反的作用。此外，我们证明，用降胆固醇药物靶向胆固醇代谢可以恢复 ACSL4 表达，并使 SPOP/CHD1 共同缺陷型肿瘤对铁死亡诱导疗法重新敏感。我们的研究结果确立了 SPOP/CHD1 作为铁死亡的上游遗传调节因子，并提供生物标志物驱动的组合策略来增强晚期 PCa 男性基于铁死亡的治疗。</w:t>
      </w:r>
    </w:p>
    <w:p>
      <w:pPr>
        <w:spacing w:before="0" w:after="200" w:lineRule="auto" w:line="276"/>
      </w:pPr>
      <w:r>
        <w:rPr>
          <w:b/>
        </w:rPr>
        <w:t xml:space="preserve">Abstract (EN): </w:t>
      </w:r>
      <w:r>
        <w:t>Genetic heterogeneity contributes to the variable therapeutic responses in cancers. Frequent SPOP mutations and recurrent CHD1 deletions define distinct molecular subtypes of prostate cancer (PCa) with differential responses to anti-androgen therapy. Ferroptosis, an iron-dependent cell death mechanism driven by lipid peroxidation, has emerged as a promising anticancer strategy. Here, we identify SPOP mutations and CHD1 deletion as key genetic determinants of ferroptosis susceptibility in PCa. Using genetically engineered human and murine models, we show that SPOP mutations enhance, whereas CHD1 deletion impairs, the efficacy of ferroptosis inducers targeting GPX4. Mechanistically, SPOP and CHD1 exert opposing effects on ferroptosis by antagonistically regulating the MYC–ACSL4 axis. Furthermore, we demonstrate that targeting cholesterol metabolism with cholesterol-lowering agents restores ACSL4 expression and re-sensitizes SPOP/CHD1 co-deficient tumors to ferroptosis-inducing therapy. Our findings establish SPOP/CHD1 as upstream genetic regulators of ferroptosis and provide biomarker-driven combinatorial strategies to enhance ferroptosis-based therapy in men with advanced PCa.</w:t>
      </w:r>
    </w:p>
    <w:p>
      <w:pPr>
        <w:spacing w:before="120" w:after="120"/>
      </w:pPr>
      <w:r>
        <w:rPr>
          <w:sz w:val="18"/>
        </w:rPr>
        <w:t>——————————————————————————————————————————————————————————————————————</w:t>
      </w:r>
    </w:p>
    <w:p>
      <w:pPr>
        <w:spacing w:before="160" w:after="40" w:line="240" w:lineRule="auto"/>
      </w:pPr>
      <w:r>
        <w:rPr>
          <w:b/>
        </w:rPr>
        <w:t xml:space="preserve">[211] </w:t>
      </w:r>
      <w:hyperlink r:id="rId561">
        <w:r>
          <w:rPr>
            <w:color w:val="1155CC"/>
            <w:u w:val="single"/>
          </w:rPr>
          <w:t>通过配体镍催化从可再生醇模块化合成三取代烯烃和1,3-二烯</w:t>
        </w:r>
      </w:hyperlink>
    </w:p>
    <w:p>
      <w:pPr>
        <w:spacing w:before="0" w:after="80"/>
      </w:pPr>
      <w:r>
        <w:rPr>
          <w:i/>
          <w:sz w:val="20"/>
        </w:rPr>
        <w:t>EN: Modular synthesis of trisubstituted olefins and 1,3-dienes from renewable alcohols via ligand-enabled nickel catalysis</w:t>
      </w:r>
    </w:p>
    <w:p>
      <w:pPr>
        <w:spacing w:before="0" w:after="120"/>
      </w:pPr>
      <w:r>
        <w:rPr>
          <w:b/>
        </w:rPr>
        <w:t xml:space="preserve">Source: </w:t>
      </w:r>
      <w:r>
        <w:t>Physical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烯烃是基本官能团，在多种增值化学品中具有重大商业重要性。从生物质衍生的醇中生产它们仍然是一个长期目标，而三取代烯烃的选择性合成提出了巨大的挑战，需要精确的催化控制以抑制不需要的产物形成。在此，我们证明了两种不同醇的连续交叉偶联/异构化和交叉偶联/脱氢，使用通过配体控制实现的市售镍催化剂，立体选择性合成三取代烯烃（27个例子；E/Z高达98:2）和1,3-二烯（23个例子；E/Z&gt;20:1）。使用 DL-半乳糖、α-生育酚的后期功能化以及对他莫昔芬类似物和多环芳烃的后产物修饰突出了我们开发的方法的重要性。初步机理研究表明，醇脱氢生成相应的醛是速率决定步骤（PH/PD = 4.3）。详细的机理研究和氘标记实验支持潜在的 DCR（脱氢-缩合-再氢化）方法，然后是镍实现的立体选择性异构化或脱氢。</w:t>
      </w:r>
    </w:p>
    <w:p>
      <w:pPr>
        <w:spacing w:before="0" w:after="200" w:lineRule="auto" w:line="276"/>
      </w:pPr>
      <w:r>
        <w:rPr>
          <w:b/>
        </w:rPr>
        <w:t xml:space="preserve">Abstract (EN): </w:t>
      </w:r>
      <w:r>
        <w:t>Olefins are fundamental functional groups and of substantial commercial importance across a broad range of value-added chemicals. Their production from biomass-derived alcohols remains a longstanding goal, while the selective synthesis of trisubstituted olefins presents a formidable challenge that demands precise catalytic control to suppress undesired product formation. Herein, we demonstrate sequential cross-coupling/isomerization and cross-coupling/dehydrogenation of two different alcohols leading to stereoselective synthesis of trisubstituted olefins (27 examples; E/Z up to 98:2) and 1,3-dienes (23 examples; E/Z &gt; 20:1) using a commercially available nickel catalyst enabled by ligand control. Late-stage functionalization using DL-galactose, α-tocopherol and post-product modification to a tamoxifen analogue and polyaromatic hydrocarbon highlight the significance of our developed method. Preliminary mechanistic studies indicate that alcohol dehydrogenation to the corresponding aldehyde is the rate-determining step (PH/PD = 4.3). Detailed mechanistic studies and deuterium labelling experiments support an underlying DCR (dehydrogenation-condensation-rehydrogenation) approach, followed by stereo-selective isomerization or dehydrogenation enabled by nickel.</w:t>
      </w:r>
    </w:p>
    <w:p>
      <w:pPr>
        <w:spacing w:before="120" w:after="120"/>
      </w:pPr>
      <w:r>
        <w:rPr>
          <w:sz w:val="18"/>
        </w:rPr>
        <w:t>——————————————————————————————————————————————————————————————————————</w:t>
      </w:r>
    </w:p>
    <w:p>
      <w:pPr>
        <w:spacing w:before="160" w:after="40" w:line="240" w:lineRule="auto"/>
      </w:pPr>
      <w:r>
        <w:rPr>
          <w:b/>
        </w:rPr>
        <w:t xml:space="preserve">[212] </w:t>
      </w:r>
      <w:hyperlink r:id="rId562">
        <w:r>
          <w:rPr>
            <w:color w:val="1155CC"/>
            <w:u w:val="single"/>
          </w:rPr>
          <w:t>NUDT5 的靶向蛋白质降解将催化抑制与 6-硫鸟嘌呤响应中的蛋白质损失分开</w:t>
        </w:r>
      </w:hyperlink>
    </w:p>
    <w:p>
      <w:pPr>
        <w:spacing w:before="0" w:after="80"/>
      </w:pPr>
      <w:r>
        <w:rPr>
          <w:i/>
          <w:sz w:val="20"/>
        </w:rPr>
        <w:t>EN: Targeted Protein Degradation of NUDT5 Dissociates Catalytic Inhibition from Protein Loss in 6-Thioguanine Response</w:t>
      </w:r>
    </w:p>
    <w:p>
      <w:pPr>
        <w:spacing w:before="0" w:after="120"/>
      </w:pPr>
      <w:r>
        <w:rPr>
          <w:b/>
        </w:rPr>
        <w:t xml:space="preserve">Source: </w:t>
      </w:r>
      <w:r>
        <w:t>Biological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6-硫鸟嘌呤 (6-TG) 是 FDA 批准的一种抗代谢药物，在临床上广泛使用，包括用于治疗白血病。其细胞作用需要代谢激活，并通过与各种蛋白质（例如 NUDT15）的相互作用来调节，NUDT15 催化活性 6-TG 代谢物 6-硫代-脱氧 GTP（6-硫代-dGTP）和 6-硫代-GTP 的水解。最近的全基因组 CRISPR 功能丧失研究发现另一种 NUDIX 水解酶 NUDT5 是 6-TG 毒性的关键介质。在这里，我们开发并验证了一种选择性的、细胞活性的 NUDT5 降解工具包，并正交表征靶标参与、三元复合物形成、降解动力学和蛋白质组范围的选择性。这些降解剂与正交 CRISPR 敲除和重建实验相结合，支持 NUDT5 在调节细胞对 6-TG 反应中的非酶作用。 NUDT5 蛋白的消耗与 NUDT15 抑制相反，表明一种独特的作用模式，对患者治疗具有潜在影响。</w:t>
      </w:r>
    </w:p>
    <w:p>
      <w:pPr>
        <w:spacing w:before="0" w:after="200" w:lineRule="auto" w:line="276"/>
      </w:pPr>
      <w:r>
        <w:rPr>
          <w:b/>
        </w:rPr>
        <w:t xml:space="preserve">Abstract (EN): </w:t>
      </w:r>
      <w:r>
        <w:t>6-Thioguanine (6-TG) is an FDA-approved antimetabolite drug that is widely used clinically, including for the treatment of leukemia. Its cellular effects require metabolic activation and are regulated through interactions with various proteins such as NUDT15, which catalyzes the hydrolysis of the active 6-TG metabolites 6-thio-deoxyGTP (6-thio-dGTP) and 6-thio-GTP. Recent genome-wide CRISPR loss-of-function studies have identified another NUDIX hydrolase, NUDT5, as a crucial mediator of 6-TG toxicity. Here, we develop and validate a selective, cell-active NUDT5 degrader toolkit and orthogonally characterize target engagement, ternary complex formation, degradation kinetics, and proteome-wide selectivity. These degraders, in conjunction with orthogonal CRISPR knock-out and reconstitution experiments, support a non-enzymatic role for NUDT5 in modulating the cellular response to 6-TG. Depletion of NUDT5 protein is antagonistic to NUDT15 inhibition, suggesting a distinct mode-of-action with potential implications for patient therapy.</w:t>
      </w:r>
    </w:p>
    <w:p>
      <w:pPr>
        <w:spacing w:before="120" w:after="120"/>
      </w:pPr>
      <w:r>
        <w:rPr>
          <w:sz w:val="18"/>
        </w:rPr>
        <w:t>——————————————————————————————————————————————————————————————————————</w:t>
      </w:r>
    </w:p>
    <w:p>
      <w:pPr>
        <w:spacing w:before="160" w:after="40" w:line="240" w:lineRule="auto"/>
      </w:pPr>
      <w:r>
        <w:rPr>
          <w:b/>
        </w:rPr>
        <w:t xml:space="preserve">[213] </w:t>
      </w:r>
      <w:hyperlink r:id="rId563">
        <w:r>
          <w:rPr>
            <w:color w:val="1155CC"/>
            <w:u w:val="single"/>
          </w:rPr>
          <w:t>可见光诱导分子间脱芳构化构建角稠合四环支架</w:t>
        </w:r>
      </w:hyperlink>
    </w:p>
    <w:p>
      <w:pPr>
        <w:spacing w:before="0" w:after="80"/>
      </w:pPr>
      <w:r>
        <w:rPr>
          <w:i/>
          <w:sz w:val="20"/>
        </w:rPr>
        <w:t>EN: Visible Light-Induced Intermolecular Dearomatization for Constructing Angularly Fused Tetracyclic Scaffolds</w:t>
      </w:r>
    </w:p>
    <w:p>
      <w:pPr>
        <w:spacing w:before="0" w:after="120"/>
      </w:pPr>
      <w:r>
        <w:rPr>
          <w:b/>
        </w:rPr>
        <w:t xml:space="preserve">Source: </w:t>
      </w:r>
      <w:r>
        <w:t>Physical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可见光诱导的脱芳香环加成已成为从简单芳香族前体构建复杂多环骨架的有力策略。有角度稠合的多环系统具有独特的结构刚性和可调节的理化性质，代表了生物活性天然产物和药物中的特殊支架。在此，我们报告了一种强大的光催化方案，用于通过苯并噻吩/吲哚衍生物与N-芳基环丙胺的分子间脱芳构化直接组装有角度融合的四环支架。这种转变是通过机械上有趣的级联实现的，涉及光催化脱芳香[3 + 2]环加成和随后的环化。这项工作证明了光催化分子间脱芳香[3 + 2]过程的合成可行性，提供了直接获得结构不同的角稠合四环核的途径。</w:t>
      </w:r>
    </w:p>
    <w:p>
      <w:pPr>
        <w:spacing w:before="0" w:after="200" w:lineRule="auto" w:line="276"/>
      </w:pPr>
      <w:r>
        <w:rPr>
          <w:b/>
        </w:rPr>
        <w:t xml:space="preserve">Abstract (EN): </w:t>
      </w:r>
      <w:r>
        <w:t>Visible light-induced dearomative cycloaddition has emerged as a powerful strategy for constructing complex polycyclic frameworks from simple aromatic precursors. Angularly fused polycyclic systems, which exhibit distinctive structural rigidity and tunable physicochemical properties, represent privileged scaffolds in bioactive natural products and pharmaceuticals. Herein, we report a robust photocatalytic protocol for the direct assembly of angularly fused tetracyclic scaffolds through intermolecular dearomatization of benzothiophene/indole derivatives with N-aryl cyclopropylamines. This transformation is achieved via a mechanistically intriguing cascade involving photocatalytic dearomative [3 + 2] cycloaddition and subsequent cyclization. This work demonstrates the synthetic feasibility of photocatalytic intermolecular dearomative [3 + 2] processes, providing direct access to structurally distinct angularly fused tetracyclic cores.</w:t>
      </w:r>
    </w:p>
    <w:p>
      <w:pPr>
        <w:spacing w:before="120" w:after="120"/>
      </w:pPr>
      <w:r>
        <w:rPr>
          <w:sz w:val="18"/>
        </w:rPr>
        <w:t>——————————————————————————————————————————————————————————————————————</w:t>
      </w:r>
    </w:p>
    <w:p>
      <w:pPr>
        <w:spacing w:before="160" w:after="40" w:line="240" w:lineRule="auto"/>
      </w:pPr>
      <w:r>
        <w:rPr>
          <w:b/>
        </w:rPr>
        <w:t xml:space="preserve">[214] </w:t>
      </w:r>
      <w:hyperlink r:id="rId564">
        <w:r>
          <w:rPr>
            <w:color w:val="1155CC"/>
            <w:u w:val="single"/>
          </w:rPr>
          <w:t>多元醇到手性烷烃的外围编辑</w:t>
        </w:r>
      </w:hyperlink>
    </w:p>
    <w:p>
      <w:pPr>
        <w:spacing w:before="0" w:after="80"/>
      </w:pPr>
      <w:r>
        <w:rPr>
          <w:i/>
          <w:sz w:val="20"/>
        </w:rPr>
        <w:t>EN: Peripheral editing of polyols to chiral alkanes</w:t>
      </w:r>
    </w:p>
    <w:p>
      <w:pPr>
        <w:spacing w:before="0" w:after="120"/>
      </w:pPr>
      <w:r>
        <w:rPr>
          <w:b/>
        </w:rPr>
        <w:t xml:space="preserve">Source: </w:t>
      </w:r>
      <w:r>
        <w:t>Physical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手性烷烃代表一类主要的有机分子，在许多科学领域具有强大的影响，复杂的手性烷烃的合成通常是一个艰巨的过程，需要冗长的合成序列。在此，我们报告了一种新的概念和新的合成方法，其基于现成的（生物基）多元醇的完全脱氧烷基化。通过简单地引入烯烃并将所有醇转化为酯，多米诺 SN2 反应能够顺序和立体选择性地催化外围编辑所有羟基，从而产生具有多达六个连续立体中心的手性烷烃。原料起始材料的广泛可用性与方法的独特性相结合，允许进入化学空间中尚未开发的区域，并获得其他方式难以获得的手性烷烃和衍生物。</w:t>
      </w:r>
    </w:p>
    <w:p>
      <w:pPr>
        <w:spacing w:before="0" w:after="200" w:lineRule="auto" w:line="276"/>
      </w:pPr>
      <w:r>
        <w:rPr>
          <w:b/>
        </w:rPr>
        <w:t xml:space="preserve">Abstract (EN): </w:t>
      </w:r>
      <w:r>
        <w:t>Chiral alkanes represent a major class of organic molecules which have a strong impact in many scientific fields and the synthesis of complex chiral alkanes is typically an arduous process requiring lengthy synthetic sequences. Herein, we report a new concept and a novel approach for their synthesis based on a full deoxygenative alkylation of readily available (biobased) polyols. Upon simple introduction of an olefin and conversion of all alcohols into esters, domino SN2’ reactions enable the catalytic peripheral editing of all hydroxy groups sequentially and stereoselectively, leading to chiral alkanes with up to six contiguous stereocenters. The broad availability of the feedstock starting materials combined with the uniqueness of the approach allows accessing underexplored regions of the chemical space and access to chiral alkanes and derivatives that are otherwise difficult to access.</w:t>
      </w:r>
    </w:p>
    <w:p>
      <w:pPr>
        <w:spacing w:before="120" w:after="120"/>
      </w:pPr>
      <w:r>
        <w:rPr>
          <w:sz w:val="18"/>
        </w:rPr>
        <w:t>——————————————————————————————————————————————————————————————————————</w:t>
      </w:r>
    </w:p>
    <w:p>
      <w:pPr>
        <w:spacing w:before="160" w:after="40" w:line="240" w:lineRule="auto"/>
      </w:pPr>
      <w:r>
        <w:rPr>
          <w:b/>
        </w:rPr>
        <w:t xml:space="preserve">[215] </w:t>
      </w:r>
      <w:hyperlink r:id="rId565">
        <w:r>
          <w:rPr>
            <w:color w:val="1155CC"/>
            <w:u w:val="single"/>
          </w:rPr>
          <w:t>键合特征和八面体几何形状是铱基氧化物中溶质混溶性的关键决定因素</w:t>
        </w:r>
      </w:hyperlink>
    </w:p>
    <w:p>
      <w:pPr>
        <w:spacing w:before="0" w:after="80"/>
      </w:pPr>
      <w:r>
        <w:rPr>
          <w:i/>
          <w:sz w:val="20"/>
        </w:rPr>
        <w:t>EN: Bonding character and octahedral geometry as key determinants of solute miscibility in Ir-based oxides</w:t>
      </w:r>
    </w:p>
    <w:p>
      <w:pPr>
        <w:spacing w:before="0" w:after="120"/>
      </w:pPr>
      <w:r>
        <w:rPr>
          <w:b/>
        </w:rPr>
        <w:t xml:space="preserve">Source: </w:t>
      </w:r>
      <w:r>
        <w:t>Physical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两种氧化物之间的混溶性可以使用休谟-罗瑟里标准来估计，该标准考虑了晶体结构、离子半径和阳离子价态。然而，尽管完全满足这些标准，基于金红石的 IrO2−TiO2 和 IrO2−SnO2 体系却表现出出人意料的有限混溶性。自 1967 年首次报道它们的相图以来，这种令人费解的现象尚未得到解释。在这里，我们发现 d0 和 d10 M 阳离子（例如 3d0 Ti4+ 和 4d10 Sn4+）由于其 d 态和 O 2p 态之间缺乏重叠，主要形成离子 M-O 键，而 IrO2 中的 Ir-O 键表现出高度共价键合特征。因此，在共享边缘的金红石结构中共享氧位点上的这两种不同的键合类型导致几何上受挫的电子密度局域化，导致M在IrO2中的不混溶性。然而，当键在具有近线性 Ir-O-M 配置的共享角八面体几何结构中相遇时，这种挫败感会显着减轻。因此，可以在具有独特共享角八面体几何形状的立方钙钛矿基铱氧化物中实现整个成分范围的完整固溶体。我们的研究结果强调了键合特性和八面体几何形状在确定氧化物混溶性方面的关键作用。</w:t>
      </w:r>
    </w:p>
    <w:p>
      <w:pPr>
        <w:spacing w:before="0" w:after="200" w:lineRule="auto" w:line="276"/>
      </w:pPr>
      <w:r>
        <w:rPr>
          <w:b/>
        </w:rPr>
        <w:t xml:space="preserve">Abstract (EN): </w:t>
      </w:r>
      <w:r>
        <w:t>The miscibility between two oxides can be estimated using the Hume-Rothery criteria, which consider crystal structure, ionic radius, and cation valence. However, rutile-based IrO2−TiO2 and IrO2−SnO2 systems show unexpectedly limited miscibility despite fully satisfying these criteria. This puzzling phenomenon has not been explained since their phase diagrams were first reported in 1967. Here we find that d0 and d10 M cations (such as 3d0 Ti4+ and 4d10 Sn4+) form primarily ionic M–O bonds due to the lack of overlap between their d states and O 2p states, while Ir–O bonds in IrO2 exhibit highly covalent bonding characteristics. Consequently, these two distinct bonding types at a shared oxygen site in the edge-sharing rutile structure lead to geometrically frustrated electron density localization, resulting in the immiscibility of M in IrO2. However, this frustration is significantly alleviated when the bonds meet in a corner-sharing octahedral geometry with a nearly linear Ir–O–M configuration. Complete solid solutions across the entire composition range can thus be achieved in cubic-perovskite-based Ir oxides with exclusively corner-sharing octahedral geometry. Our findings highlight the crucial role of bonding characteristics and octahedral geometries in determining oxide miscibility.</w:t>
      </w:r>
    </w:p>
    <w:p>
      <w:pPr>
        <w:spacing w:before="120" w:after="120"/>
      </w:pPr>
      <w:r>
        <w:rPr>
          <w:sz w:val="18"/>
        </w:rPr>
        <w:t>——————————————————————————————————————————————————————————————————————</w:t>
      </w:r>
    </w:p>
    <w:p>
      <w:pPr>
        <w:spacing w:before="160" w:after="40" w:line="240" w:lineRule="auto"/>
      </w:pPr>
      <w:r>
        <w:rPr>
          <w:b/>
        </w:rPr>
        <w:t xml:space="preserve">[216] </w:t>
      </w:r>
      <w:hyperlink r:id="rId566">
        <w:r>
          <w:rPr>
            <w:color w:val="1155CC"/>
            <w:u w:val="single"/>
          </w:rPr>
          <w:t>Nur77 激动剂可增强自然杀伤细胞免疫，对抗肝细胞癌</w:t>
        </w:r>
      </w:hyperlink>
    </w:p>
    <w:p>
      <w:pPr>
        <w:spacing w:before="0" w:after="80"/>
      </w:pPr>
      <w:r>
        <w:rPr>
          <w:i/>
          <w:sz w:val="20"/>
        </w:rPr>
        <w:t>EN: Nur77 agonism invigorates Natural Killer cell immunity against hepatocellular carcinoma</w:t>
      </w:r>
    </w:p>
    <w:p>
      <w:pPr>
        <w:spacing w:before="0" w:after="120"/>
      </w:pPr>
      <w:r>
        <w:rPr>
          <w:b/>
        </w:rPr>
        <w:t xml:space="preserve">Source: </w:t>
      </w:r>
      <w:r>
        <w:t>Biological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尽管作为新兴的“现成”癌症疗法前景广阔，自然杀伤（NK）细胞在实体瘤微环境（TME）中仍然面临相当大的挑战，包括外显率差和免疫抑制。在这里，我们采用空间和单细胞转录组学来揭示 Nur77 在 NK 细胞介导的肝细胞癌 (HCC) 免疫中的作用。对人和小鼠 HCC 肿瘤的正交分析表明，编码 Nur77 的 NR4A1 的表达与 NK 细胞增殖、免疫刺激性 AP-1 基因调节子的激活以及 HCC 中更好的无病生存有关。在多种肿瘤模型中，NK 细胞中 Nr4a1 的条件性消除会扰乱其稳态并加速肿瘤进展。相反，NK 细胞在体外或体内的 Nur77 激动性激活增强了其抗肿瘤功能。从机制上讲，下游功能测定证实 Nur77 激活会减弱 NK 细胞中的 CD36 表达，并赋予 TME 中对 oxLDL 介导的免疫抑制的抵抗力。总的来说，我们的研究结果强调了利用 Nur77 激动剂改善基于 NK 细胞的 HCC 免疫疗法的潜力。</w:t>
      </w:r>
    </w:p>
    <w:p>
      <w:pPr>
        <w:spacing w:before="0" w:after="200" w:lineRule="auto" w:line="276"/>
      </w:pPr>
      <w:r>
        <w:rPr>
          <w:b/>
        </w:rPr>
        <w:t xml:space="preserve">Abstract (EN): </w:t>
      </w:r>
      <w:r>
        <w:t>Despite promising development as emerging “off-the-shelf” therapeutics against cancer, natural killer (NK) cells still faced considerable challenges in the solid tumor microenvironment (TME), including poor penetrance and immuno-suppression. Here, we employ spatial and single-cell transcriptomics to reveal a role for Nur77 in NK cell-mediated immunity against hepatocellular carcinoma (HCC). Orthogonal analysis of human and mouse HCC tumors indicate that the expression of NR4A1, encoding Nur77, is associated with NK cell proliferation, activation of the immunostimulatory AP-1 gene regulons, and better disease-free survival in HCC. Conditional ablation of Nr4a1 in NK cells perturbs their homeostasis and accelerates tumor progression in multiple tumor models. Conversely, the agonistic activation of Nur77 in NK cells ex-vivo or in-vivo enhances their anti-tumor functions. Mechanistically, downstream functional assays confirm that Nur77 activation attenuates CD36 expression in NK cells and confers resistance against oxLDL-mediated immunosuppression in the TME. Collectively, our findings highlight the potential of harnessing Nur77 agonism in improving NK cell-based immunotherapy against HCC.</w:t>
      </w:r>
    </w:p>
    <w:p>
      <w:pPr>
        <w:spacing w:before="120" w:after="120"/>
      </w:pPr>
      <w:r>
        <w:rPr>
          <w:sz w:val="18"/>
        </w:rPr>
        <w:t>——————————————————————————————————————————————————————————————————————</w:t>
      </w:r>
    </w:p>
    <w:p>
      <w:pPr>
        <w:spacing w:before="160" w:after="40" w:line="240" w:lineRule="auto"/>
      </w:pPr>
      <w:r>
        <w:rPr>
          <w:b/>
        </w:rPr>
        <w:t xml:space="preserve">[217] </w:t>
      </w:r>
      <w:hyperlink r:id="rId567">
        <w:r>
          <w:rPr>
            <w:color w:val="1155CC"/>
            <w:u w:val="single"/>
          </w:rPr>
          <w:t>电路作为确定性混沌多体系统中流体动力学出现的简单平台</w:t>
        </w:r>
      </w:hyperlink>
    </w:p>
    <w:p>
      <w:pPr>
        <w:spacing w:before="0" w:after="80"/>
      </w:pPr>
      <w:r>
        <w:rPr>
          <w:i/>
          <w:sz w:val="20"/>
        </w:rPr>
        <w:t>EN: Circuits as a simple platform for the emergence of hydrodynamics in deterministic chaotic many-body systems</w:t>
      </w:r>
    </w:p>
    <w:p>
      <w:pPr>
        <w:spacing w:before="0" w:after="120"/>
      </w:pPr>
      <w:r>
        <w:rPr>
          <w:b/>
        </w:rPr>
        <w:t xml:space="preserve">Source: </w:t>
      </w:r>
      <w:r>
        <w:t>Physical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流体动力学的出现是多体系统中最深刻的现象之一。可以说，流体动力学方程也是预测大规模行为的最重要工具。尽管最近在微调可积系统方面取得了进展，但理解这些方程如何从微观确定性动力学中产生是一个百年难题。由于流体动力学的普遍性，具体的微观实施并不重要。在这里，我们证明经典的确定性电路提供了一个最小、精确和有效的平台，该平台允许确定性但混沌的系统具有非平凡的流体动力学行为。通过开发新技术并专注于一维电路作为概念证明，我们获得了特征动力学，包括吉布斯状态松弛、精确欧拉方程、冲击、扩散和精确 KPZ 超扩散。我们的方法可以很容易地推广到更高维度或量子电路。</w:t>
      </w:r>
    </w:p>
    <w:p>
      <w:pPr>
        <w:spacing w:before="0" w:after="200" w:lineRule="auto" w:line="276"/>
      </w:pPr>
      <w:r>
        <w:rPr>
          <w:b/>
        </w:rPr>
        <w:t xml:space="preserve">Abstract (EN): </w:t>
      </w:r>
      <w:r>
        <w:t>The emergence of hydrodynamics is one of the deepest phenomena in many-body systems. Arguably, the hydrodynamic equations are also the most important tools for predicting large-scale behaviour. Understanding how such equations emerge from microscopic deterministic dynamics is a century-old problem, despite recent progress in fine-tuned integrable systems. Due to the universality of hydrodynamics, the specific microscopic implementation should not matter. Here, we show that classical deterministic circuits provide a minimal, exact, and efficient platform that admits non-trivial hydrodynamic behaviour for deterministic but chaotic systems. By developing new techniques and focusing on 1D circuits as a proof of concept, we obtain the characteristic dynamics, including relaxation to Gibbs states, exact Euler equations, shocks, diffusion, and exact KPZ super-diffusion. Our methods can be easily generalised to higher dimensions or quantum circuits.</w:t>
      </w:r>
    </w:p>
    <w:p>
      <w:pPr>
        <w:spacing w:before="120" w:after="120"/>
      </w:pPr>
      <w:r>
        <w:rPr>
          <w:sz w:val="18"/>
        </w:rPr>
        <w:t>——————————————————————————————————————————————————————————————————————</w:t>
      </w:r>
    </w:p>
    <w:p>
      <w:pPr>
        <w:spacing w:before="160" w:after="40" w:line="240" w:lineRule="auto"/>
      </w:pPr>
      <w:r>
        <w:rPr>
          <w:b/>
        </w:rPr>
        <w:t xml:space="preserve">[218] </w:t>
      </w:r>
      <w:hyperlink r:id="rId568">
        <w:r>
          <w:rPr>
            <w:color w:val="1155CC"/>
            <w:u w:val="single"/>
          </w:rPr>
          <w:t>气候变暖延长了全球强烈热带气旋季节</w:t>
        </w:r>
      </w:hyperlink>
    </w:p>
    <w:p>
      <w:pPr>
        <w:spacing w:before="0" w:after="80"/>
      </w:pPr>
      <w:r>
        <w:rPr>
          <w:i/>
          <w:sz w:val="20"/>
        </w:rPr>
        <w:t>EN: Warming climate has lengthened global intense tropical cyclone seasons</w:t>
      </w:r>
    </w:p>
    <w:p>
      <w:pPr>
        <w:spacing w:before="0" w:after="120"/>
      </w:pPr>
      <w:r>
        <w:rPr>
          <w:b/>
        </w:rPr>
        <w:t xml:space="preserve">Source: </w:t>
      </w:r>
      <w:r>
        <w:t>Earth and environmental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强热带气旋（TC）往往在每年短时间内发生，称为强热带气旋季，对人类生命财产造成严重威胁。气候变化下热带气旋季节长度的变化是关键的科学和社会经济问题。尽管热带气旋季节的总体趋势已得到广泛研究，但强烈的热带气旋季节对气候变化的响应仍未得到充分研究。在这里，我们发现自 1980 年以来，全球强热带气旋季节一直在延长，所有流域的统计显着增长趋势为 9.9-13.8 天/十年，相当于每十年强热带气旋季节长度增加 7.4-21.9%。这主要是由于淡季热带气旋经历快速强化的可能性增加，而海洋变暖在一定程度上是造成这种现象的原因。同时，背景大气环流的变化对热带气旋季节性变化的复杂性也起到了一定的作用。因此，淡季的TC更有可能发展为激烈的TC。这项研究的结果表明，人类社会越来越多地面临超出历史季节性正常水平的严重热带气旋风险。这表明，迫切需要针对未来气候变化下强热带气旋的潜在风险做好准备和缓解措施。</w:t>
      </w:r>
    </w:p>
    <w:p>
      <w:pPr>
        <w:spacing w:before="0" w:after="200" w:lineRule="auto" w:line="276"/>
      </w:pPr>
      <w:r>
        <w:rPr>
          <w:b/>
        </w:rPr>
        <w:t xml:space="preserve">Abstract (EN): </w:t>
      </w:r>
      <w:r>
        <w:t>Intense tropical cyclones (TCs), which pose serious threats to human life and property, often occur within a short period of time each year, known as the intense TC season. Changes in the lengths of intense TC seasons under climate change are critical scientific and socioeconomic issues. While trends in overall TC seasons have been widely studied, the response of intense TC seasons to climate change remains underexplored. Here, we show that intense TC seasons have been lengthening globally since 1980, with statistically significant increasing trends ranging from 9.9–13.8 days/decade across all basins, equivalent to 7.4–21.9% increase in intense TC season lengths per decade. This is primarily due to the enhancing probability of off-season TCs experiencing rapid intensification, which is partly driven by oceanic warming. Meanwhile, changes in background atmospheric circulation play a role in the complexity of intense TC seasonality change. As a result, off-season TCs are more likely to develop into intense TCs. The findings in this study indicate an increasing exposure of human societies to intense TC risks outside historical seasonal norms. This suggests the urgent need for preparation and mitigation measures for the potential risks of intense TCs under future climate change.</w:t>
      </w:r>
    </w:p>
    <w:p>
      <w:pPr>
        <w:spacing w:before="120" w:after="120"/>
      </w:pPr>
      <w:r>
        <w:rPr>
          <w:sz w:val="18"/>
        </w:rPr>
        <w:t>——————————————————————————————————————————————————————————————————————</w:t>
      </w:r>
    </w:p>
    <w:p>
      <w:pPr>
        <w:spacing w:before="160" w:after="40" w:line="240" w:lineRule="auto"/>
      </w:pPr>
      <w:r>
        <w:rPr>
          <w:b/>
        </w:rPr>
        <w:t xml:space="preserve">[219] </w:t>
      </w:r>
      <w:hyperlink r:id="rId569">
        <w:r>
          <w:rPr>
            <w:color w:val="1155CC"/>
            <w:u w:val="single"/>
          </w:rPr>
          <w:t>拟南芥中的拮抗组蛋白 H2A 变异和自主异染色质形成塑造表观基因组模式</w:t>
        </w:r>
      </w:hyperlink>
    </w:p>
    <w:p>
      <w:pPr>
        <w:spacing w:before="0" w:after="80"/>
      </w:pPr>
      <w:r>
        <w:rPr>
          <w:i/>
          <w:sz w:val="20"/>
        </w:rPr>
        <w:t>EN: Antagonistic histone H2A variants and autonomous heterochromatin formation shape epigenomic patterns in Arabidopsis</w:t>
      </w:r>
    </w:p>
    <w:p>
      <w:pPr>
        <w:spacing w:before="0" w:after="120"/>
      </w:pPr>
      <w:r>
        <w:rPr>
          <w:b/>
        </w:rPr>
        <w:t xml:space="preserve">Source: </w:t>
      </w:r>
      <w:r>
        <w:t>Biological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异染色质的形成对于许多具有重复序列（例如转座元件（TE））的真核生物至关重要。然而，在植物中，已知的从头DNA甲基化机制（RdDM）以常染色质为目标，但异染色质如何以区域特异性方式形成仍不清楚。我们之前报道了不依赖 RdDM 的 H3K9me 和非 CpG 甲基化的从头建立，这两者都定位于异染色质。在这里，我们展示了相互排斥的组蛋白 H2A 变体 H2A.W 和 H2A.Z，作为启动异染色质形成的指导。 H2A.W 和 H2A.Z 分别促进和抑制异染色质建立，尤其是在具有分散 TE 的染色体臂区域。相比之下，着丝粒周围 TE 表现出自主异染色质形成，较少依赖这些 H2A 变体。此外，H2A.Z 可能通过阻止其扩散来保护蛋白质编码基因免受异位异染色质形成的影响。我们提出，由 H2A 变体驱动的基因组索引机制以及着丝粒周围异染色质的自主形成，在拟南芥中形成了适当的表观基因组模式。</w:t>
      </w:r>
    </w:p>
    <w:p>
      <w:pPr>
        <w:spacing w:before="0" w:after="200" w:lineRule="auto" w:line="276"/>
      </w:pPr>
      <w:r>
        <w:rPr>
          <w:b/>
        </w:rPr>
        <w:t xml:space="preserve">Abstract (EN): </w:t>
      </w:r>
      <w:r>
        <w:t>Heterochromatin formation is pivotal in many eukaryotes with repetitive sequences, such as transposable elements (TEs). However, in plants, where the known de novo DNA methylation mechanism (RdDM) targets euchromatin, how heterochromatin is formed in a region-specific manner remains unclear. We previously reported an RdDM-independent de novo establishment of H3K9me and non-CpG methylation, both of which localize in heterochromatin. Here we show that the mutually exclusive histone H2A variants, H2A.W and H2A.Z, function as guides to initiate heterochromatin formation; H2A.W and H2A.Z promotes and inhibits heterochromatin establishment, respectively, especially in chromosomal arm regions with dispersed TEs. In contrast, pericentromeric TEs demonstrate autonomous heterochromatin formation, less dependently on these H2A variants. Furthermore, H2A.Z protects protein-coding genes from ectopic heterochromatin formation, possibly by preventing its spreading. We propose that the genome indexing mechanism driven by H2A variants, as well as the autonomous formation of pericentromeric heterochromatin, shapes proper epigenomic patterns in Arabidopsis.</w:t>
      </w:r>
    </w:p>
    <w:p>
      <w:pPr>
        <w:spacing w:before="120" w:after="120"/>
      </w:pPr>
      <w:r>
        <w:rPr>
          <w:sz w:val="18"/>
        </w:rPr>
        <w:t>——————————————————————————————————————————————————————————————————————</w:t>
      </w:r>
    </w:p>
    <w:p>
      <w:pPr>
        <w:spacing w:before="160" w:after="40" w:line="240" w:lineRule="auto"/>
      </w:pPr>
      <w:r>
        <w:rPr>
          <w:b/>
        </w:rPr>
        <w:t xml:space="preserve">[220] </w:t>
      </w:r>
      <w:hyperlink r:id="rId570">
        <w:r>
          <w:rPr>
            <w:color w:val="1155CC"/>
            <w:u w:val="single"/>
          </w:rPr>
          <w:t>Bora、CEP192 和 Cenexin 调节不同的 Plk1 依赖性细胞和中心体周期转换</w:t>
        </w:r>
      </w:hyperlink>
    </w:p>
    <w:p>
      <w:pPr>
        <w:spacing w:before="0" w:after="80"/>
      </w:pPr>
      <w:r>
        <w:rPr>
          <w:i/>
          <w:sz w:val="20"/>
        </w:rPr>
        <w:t>EN: Bora, CEP192 and Cenexin regulate distinct Plk1-dependent cell and centrosome cycle transitions</w:t>
      </w:r>
    </w:p>
    <w:p>
      <w:pPr>
        <w:spacing w:before="0" w:after="120"/>
      </w:pPr>
      <w:r>
        <w:rPr>
          <w:b/>
        </w:rPr>
        <w:t xml:space="preserve">Source: </w:t>
      </w:r>
      <w:r>
        <w:t>Biological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Polo 样激酶 1 (Plk1) 调节细胞和中心体周期的多个步骤，包括有丝分裂进入、DNA 损伤恢复、中心体成熟和中心粒脱离。 Plk1 活性取决于几个独立的辅助因子，例如细胞质 Bora 以及中心体蛋白 Cep192 和 Cenexin。然而，这些 Plk1 共激活剂是否差异调节 Plk1 依赖性过程尚不清楚。在这里，我们证明每个 Plk1 共激活因子控制人类细胞中不同的细胞和中心体周期转换。我们发现 Plk1 已经在 S 期发挥作用，在 Cep192 和 Aurora A 的控制下，它促进复制起点激发。 Bora 是驱动有丝分裂进入、DNA 损伤恢复和 G2 中心体成熟的主要 Plk1 激活剂，而中心粒脱离主要受 Cep192 和 Cenexin 调节。因此，我们的结果揭示了一个复杂的 Plk1 激活调节网络，其中不同的上游激活剂以上下文相关的方式决定其活动。</w:t>
      </w:r>
    </w:p>
    <w:p>
      <w:pPr>
        <w:spacing w:before="0" w:after="200" w:lineRule="auto" w:line="276"/>
      </w:pPr>
      <w:r>
        <w:rPr>
          <w:b/>
        </w:rPr>
        <w:t xml:space="preserve">Abstract (EN): </w:t>
      </w:r>
      <w:r>
        <w:t>Polo-like kinase 1 (Plk1) regulates multiple steps of the cell and centrosome cycle, including mitotic entry, DNA-damage recovery, centrosome maturation and centriole disengagement. Plk1 activity depends on several independent cofactors, such as the cytoplasmic Bora, and the centrosomal proteins Cep192 and Cenexin. However, whether these Plk1 coactivators differentially regulate the Plk1-dependent processes is unknown. Here, we show that each Plk1 coactivator controls different cell and centrosome cycle transitions in human cells. We find that Plk1 already acts in S-phase, where under the control of Cep192 and Aurora A it promotes replication origin firing. Bora is the main Plk1 activator driving mitotic entry, DNA-damage recovery and centrosome maturation in G2, while centriole disengagement is mainly regulated by Cep192 and Cenexin. Our results thus uncover a complex Plk1 activation regulatory network, in which distinct upstream activators dictate its activity in a context-dependent manner.</w:t>
      </w:r>
    </w:p>
    <w:p>
      <w:pPr>
        <w:spacing w:before="120" w:after="120"/>
      </w:pPr>
      <w:r>
        <w:rPr>
          <w:sz w:val="18"/>
        </w:rPr>
        <w:t>——————————————————————————————————————————————————————————————————————</w:t>
      </w:r>
    </w:p>
    <w:p>
      <w:pPr>
        <w:spacing w:before="160" w:after="40" w:line="240" w:lineRule="auto"/>
      </w:pPr>
      <w:r>
        <w:rPr>
          <w:b/>
        </w:rPr>
        <w:t xml:space="preserve">[221] </w:t>
      </w:r>
      <w:hyperlink r:id="rId571">
        <w:r>
          <w:rPr>
            <w:color w:val="1155CC"/>
            <w:u w:val="single"/>
          </w:rPr>
          <w:t>卡宾催化的位点选择性磺酰化和单糖的模块化版本，用于羟基立体反转和交换</w:t>
        </w:r>
      </w:hyperlink>
    </w:p>
    <w:p>
      <w:pPr>
        <w:spacing w:before="0" w:after="80"/>
      </w:pPr>
      <w:r>
        <w:rPr>
          <w:i/>
          <w:sz w:val="20"/>
        </w:rPr>
        <w:t>EN: Carbene-catalyzed site-selective sulfonylation and modular edition of monosaccharides for hydroxyl group stereoinversion and swapping</w:t>
      </w:r>
    </w:p>
    <w:p>
      <w:pPr>
        <w:spacing w:before="0" w:after="120"/>
      </w:pPr>
      <w:r>
        <w:rPr>
          <w:b/>
        </w:rPr>
        <w:t xml:space="preserve">Source: </w:t>
      </w:r>
      <w:r>
        <w:t>Physical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单糖是天然和合成分子中普遍存在的基序，但由于用于分化的多个羟基及其结构复杂性，其选择性结构编辑的方法仍然有限。在糖类立体反转和官能团交换的可能策略中，通过磺酸酯对醇进行经典的 SN2 取代提供了一种潜在的稳健方法。然而，一个主要挑战是磺酰基在特定羟基部分上的选择性官能化。在这里，我们报告了一种有机催化方法，通过利用尚未充分开发的 N-杂环卡宾 (NHC) 衍生的磺酰唑鎓中间体，实现最低限度保护的糖的位点选择性磺酰化。独特的 NHC 支架控制磺酰基转移的区域选择性，克服了区分复杂糖底物中多个羟基单元的挑战。安装的磺酸盐可作为后续亲核取代的多功能离去基团，构成“磺酰化交换”策略，将丰富的糖转化为各种高价值的稀有糖，包括药物相关结构，如达格列净类似物。此外，易于获取的稀有糖对各种植物病原体表现出有趣的抗菌活性，显示出开发有效杀菌剂的巨大潜力。</w:t>
      </w:r>
    </w:p>
    <w:p>
      <w:pPr>
        <w:spacing w:before="0" w:after="200" w:lineRule="auto" w:line="276"/>
      </w:pPr>
      <w:r>
        <w:rPr>
          <w:b/>
        </w:rPr>
        <w:t xml:space="preserve">Abstract (EN): </w:t>
      </w:r>
      <w:r>
        <w:t>Monosaccharides are ubiquitous motifs in natural and synthetic molecules, yet methods for their selective structure editing remain limited due to the multiple hydroxy groups for differentiation and their structural complexity. Among possible strategies for stereoinversion and functional group swapping of saccharides, the classical SN2 substitution of alcohols via sulfonate esters offers a potentially robust approach. A central challenge, however, is the selective functionalization of sulfonyl groups on specific hydroxyl moiety. Here we report an organocatalytic approach to enable site-selective sulfonylation of minimally protected saccharides by exploiting an underexplored N-heterocyclic carbene (NHC)-derived sulfonyl-azolium intermediate. Distinct NHC scaffolds govern regioselectivity for the sulfonyl group transfer, overcoming the challenge of differentiating multiple hydroxyl units in complex sugar substrates. The installed sulfonates serve as versatile leaving groups for subsequent nucleophilic substitution, constituting a “sulfonylation–swapping” strategy that transforms abundant sugars into diverse high-value rare sugars, including pharmaceutically relevant structures such as dapagliflozin analogues. Furthermore, the readily accessed rare sugars exhibit intriguing antimicrobial activity against various plant pathogens, demonstrating significant potential for the development of potent fungicide agents.</w:t>
      </w:r>
    </w:p>
    <w:p>
      <w:pPr>
        <w:spacing w:before="120" w:after="120"/>
      </w:pPr>
      <w:r>
        <w:rPr>
          <w:sz w:val="18"/>
        </w:rPr>
        <w:t>——————————————————————————————————————————————————————————————————————</w:t>
      </w:r>
    </w:p>
    <w:p>
      <w:pPr>
        <w:spacing w:before="160" w:after="40" w:line="240" w:lineRule="auto"/>
      </w:pPr>
      <w:r>
        <w:rPr>
          <w:b/>
        </w:rPr>
        <w:t xml:space="preserve">[222] </w:t>
      </w:r>
      <w:hyperlink r:id="rId572">
        <w:r>
          <w:rPr>
            <w:color w:val="1155CC"/>
            <w:u w:val="single"/>
          </w:rPr>
          <w:t>采用范德华铁电 NbOX2 (X = Br, I) 的非线性量子光源</w:t>
        </w:r>
      </w:hyperlink>
    </w:p>
    <w:p>
      <w:pPr>
        <w:spacing w:before="0" w:after="80"/>
      </w:pPr>
      <w:r>
        <w:rPr>
          <w:i/>
          <w:sz w:val="20"/>
        </w:rPr>
        <w:t>EN: Nonlinear quantum light source with van der Waals ferroelectric NbOX2 (X = Br, I)</w:t>
      </w:r>
    </w:p>
    <w:p>
      <w:pPr>
        <w:spacing w:before="0" w:after="120"/>
      </w:pPr>
      <w:r>
        <w:rPr>
          <w:b/>
        </w:rPr>
        <w:t xml:space="preserve">Source: </w:t>
      </w:r>
      <w:r>
        <w:t>Physical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二维（2D）材料已被证明是超紧凑纠缠光子源和片上集成量子光子器件的有前途的候选材料。铁电范德华材料最近已成为通过非线性光学过程产生纠缠光子的有前途的超薄源。在这里，作者比较了 NbOBr2 和 NbOI2 的自发参量下转换，展示了近红外偏振纠缠光子的产生以及性能与晶体结构和光学特性的联系。我们的结果扩展了基于 NbOX2 的 SPDC 光源的波长范围，并证明 NbOI2 特别适合近红外 SPDC。 NbOI2也可以直接产生偏振纠缠态（并发度为0.90±0.05）。除了向 SPDC 材料库添加新的候选材料之外，我们的工作还为下一代集成量子材料提供了新的见解。</w:t>
      </w:r>
    </w:p>
    <w:p>
      <w:pPr>
        <w:spacing w:before="0" w:after="200" w:lineRule="auto" w:line="276"/>
      </w:pPr>
      <w:r>
        <w:rPr>
          <w:b/>
        </w:rPr>
        <w:t xml:space="preserve">Abstract (EN): </w:t>
      </w:r>
      <w:r>
        <w:t>Two-dimensional (2D) materials have been demonstrated as promising candidates for ultracompact entangled photon sources and on-chip integrated quantum photonic devices. Ferroelectric van der Waals materials have recently emerged as promising ultrathin sources of entangled photons via nonlinear optical processes. Here, the authors compare spontaneous parametric down conversion in NbOBr2 and NbOI2, demonstrating near infrared polarization entangled photon generation and linking performance to crystal structure and optical properties. Our results extend the wavelength range of NbOX2-based SPDC sources and demonstrate NbOI2 is especially suitable for near-infrared SPDC. Polarization entangled state (concurrence of 0.90 ± 0.05) can also be directly generated from NbOI2. Besides adding new candidates to the SPDC material library, our work provides new insight for the future generation of integrated quantum materials.</w:t>
      </w:r>
    </w:p>
    <w:p>
      <w:pPr>
        <w:spacing w:before="120" w:after="120"/>
      </w:pPr>
      <w:r>
        <w:rPr>
          <w:sz w:val="18"/>
        </w:rPr>
        <w:t>——————————————————————————————————————————————————————————————————————</w:t>
      </w:r>
    </w:p>
    <w:p>
      <w:pPr>
        <w:spacing w:before="160" w:after="40" w:line="240" w:lineRule="auto"/>
      </w:pPr>
      <w:r>
        <w:rPr>
          <w:b/>
        </w:rPr>
        <w:t xml:space="preserve">[223] </w:t>
      </w:r>
      <w:hyperlink r:id="rId573">
        <w:r>
          <w:rPr>
            <w:color w:val="1155CC"/>
            <w:u w:val="single"/>
          </w:rPr>
          <w:t>具有机械加固界面的统一双层膜，用于阶段适应性骨再生</w:t>
        </w:r>
      </w:hyperlink>
    </w:p>
    <w:p>
      <w:pPr>
        <w:spacing w:before="0" w:after="80"/>
      </w:pPr>
      <w:r>
        <w:rPr>
          <w:i/>
          <w:sz w:val="20"/>
        </w:rPr>
        <w:t>EN: Unified bilayer membranes with mechanically reinforced interface for stage-adaptive bone regeneration</w:t>
      </w:r>
    </w:p>
    <w:p>
      <w:pPr>
        <w:spacing w:before="0" w:after="120"/>
      </w:pPr>
      <w:r>
        <w:rPr>
          <w:b/>
        </w:rPr>
        <w:t xml:space="preserve">Source: </w:t>
      </w:r>
      <w:r>
        <w:t>Biological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使用双层膜引导骨再生通常会受到界面整合不良、稳定性不足以及调节复杂愈合过程的适应性有限的阻碍。在这里，我们通过均质异构原位制造策略开发了一种统一的双层膜，其特征在于阻挡层和多孔层之间具有增强的双交联界面。其优越的机械强度（干态~156 MPa，湿态~8.6 MPa）保证了长期降解稳定性和体内生物活性。结合顺序释放的生物活性成分，我们发现统一的双层膜可调节抗菌功能、免疫调节、神经血管形成和成骨，从而实现阶段适应性骨再生。我们在大鼠临界尺寸颅骨缺损模型中进行测试，证明该膜的性能明显优于临床胶原膜，8周后骨体积再生量增加了约2.7倍。这项工作进一步阐明了统一双层膜的时空成骨机制，它构建了一个良好整合的再生微环境，并在阶段适应性骨修复过程中促进紧密互连的神经血管-成骨通讯网络。</w:t>
      </w:r>
    </w:p>
    <w:p>
      <w:pPr>
        <w:spacing w:before="0" w:after="200" w:lineRule="auto" w:line="276"/>
      </w:pPr>
      <w:r>
        <w:rPr>
          <w:b/>
        </w:rPr>
        <w:t xml:space="preserve">Abstract (EN): </w:t>
      </w:r>
      <w:r>
        <w:t>Guided bone regeneration using double-layered membranes is often hindered by poor interfacial integration, insufficient stability, and limited adaptability to regulate the complex healing process. Herein, we develop a unified bilayer membrane featuring a reinforced dual-crosslinking interface between barrier and porous layers through a homogeneous isomeric in-situ fabrication strategy. Its superior mechanical strength (~156 MPa in dry state and ~8.6 MPa in wet state) ensures the long-term degradation stability and bioactivity in vivo. Combined with sequentially released bioactive components, we show that the unified bilayer membrane regulates antibacterial functions, immunomodulation, neurovascularization, and osteogenesis, thereby enabling stage-adaptive bone regeneration. We test in a rat critical-sized cranial defect model to demonstrate that the membrane significantly outperforms the clinical collagen membrane, achieving ~2.7-fold greater bone volume regeneration after 8 weeks. This work further elucidates the spatiotemporal osteogenic mechanisms of the unified bilayer membrane, which constructs a well-integrated regenerative microenvironment and promotes a tightly interconnected neurovascular-osteogenic communication network during stage-adaptive bone repair.</w:t>
      </w:r>
    </w:p>
    <w:p>
      <w:pPr>
        <w:spacing w:before="120" w:after="120"/>
      </w:pPr>
      <w:r>
        <w:rPr>
          <w:sz w:val="18"/>
        </w:rPr>
        <w:t>——————————————————————————————————————————————————————————————————————</w:t>
      </w:r>
    </w:p>
    <w:p>
      <w:pPr>
        <w:spacing w:before="160" w:after="40" w:line="240" w:lineRule="auto"/>
      </w:pPr>
      <w:r>
        <w:rPr>
          <w:b/>
        </w:rPr>
        <w:t xml:space="preserve">[224] </w:t>
      </w:r>
      <w:hyperlink r:id="rId574">
        <w:r>
          <w:rPr>
            <w:color w:val="1155CC"/>
            <w:u w:val="single"/>
          </w:rPr>
          <w:t>通过仿生多孔界面提高陶瓷基复合材料的强度和韧性</w:t>
        </w:r>
      </w:hyperlink>
    </w:p>
    <w:p>
      <w:pPr>
        <w:spacing w:before="0" w:after="80"/>
      </w:pPr>
      <w:r>
        <w:rPr>
          <w:i/>
          <w:sz w:val="20"/>
        </w:rPr>
        <w:t>EN: Increasing both strength and toughness in ceramic-matrix composites via bioinspired porous interphases</w:t>
      </w:r>
    </w:p>
    <w:p>
      <w:pPr>
        <w:spacing w:before="0" w:after="120"/>
      </w:pPr>
      <w:r>
        <w:rPr>
          <w:b/>
        </w:rPr>
        <w:t xml:space="preserve">Source: </w:t>
      </w:r>
      <w:r>
        <w:t>Physical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陶瓷基复合材料面临着持续的挑战：强度和韧性之间的权衡。受珍珠质矿物桥结构的启发，我们提出了一种反向界面设计，与传统的致密层状热解碳形成鲜明对比，因为纳米孔的主动掺入。多尺度表征和模拟揭示了双重增强机制：纳米孔降低了界面脱粘强度并引起裂纹偏转，从而保护纤维免遭脆性断裂。同时，由此产生的粗糙断裂路径增强了界面摩擦应力和载荷传递，从而提高了基体的承载能力和能量耗散。这种界面特性的不对称调节同时保持了纤维的完整性并最大限度地提高了能量耗散。由此产生的单丝束 Cf/SiC 复合材料的拉伸强度为 903 MPa，比传统设计高 38%，断裂能增加 1.8 倍。这里确定的相间机制本质上是可扩展的，其有效性在陶瓷基复合材料中得到了进一步证明。这项工作展示了从经验优化到理论驱动界面设计的转变，并建立了克服结构复合材料中经典强度-韧性困境的可行途径。</w:t>
      </w:r>
    </w:p>
    <w:p>
      <w:pPr>
        <w:spacing w:before="0" w:after="200" w:lineRule="auto" w:line="276"/>
      </w:pPr>
      <w:r>
        <w:rPr>
          <w:b/>
        </w:rPr>
        <w:t xml:space="preserve">Abstract (EN): </w:t>
      </w:r>
      <w:r>
        <w:t>Ceramic-matrix composites face a persistent challenge: the trade-off between strength and toughness. Inspired by the mineral bridge architecture of nacre, we propose a reverse interphase design that contrasts with conventional dense-laminar pyrolytic carbon given the active incorporation of nanopores. Multiscale characterization and simulations reveal a dual reinforcement mechanism: nanopores reduce the interfacial debonding strength and induce crack deflection that protects fibers from brittle fracture. Meanwhile, the resulting rough fracture paths enhance interfacial frictional stress and load transfer, thereby improving the matrix bearing capacity and energy dissipation. This asymmetric modulation of interfacial properties simultaneously preserves fiber integrity and maximizes energy dissipation. The resulting single-tow Cf/SiC composites exhibit 903 MPa tensile strength, which is 38% higher than that of conventional designs, and a 1.8-fold increase in fracture energy. The interphase-enabled mechanisms identified here are intrinsically scalable, with their effectiveness further demonstrated in architectured ceramic-matrix composites. This work demonstrates a shift from empirical optimization toward theory-driven interface design and establishes a viable route to overcome the classical strength–toughness dilemma in structural composites.</w:t>
      </w:r>
    </w:p>
    <w:p>
      <w:pPr>
        <w:spacing w:before="120" w:after="120"/>
      </w:pPr>
      <w:r>
        <w:rPr>
          <w:sz w:val="18"/>
        </w:rPr>
        <w:t>——————————————————————————————————————————————————————————————————————</w:t>
      </w:r>
    </w:p>
    <w:p>
      <w:pPr>
        <w:spacing w:before="160" w:after="40" w:line="240" w:lineRule="auto"/>
      </w:pPr>
      <w:r>
        <w:rPr>
          <w:b/>
        </w:rPr>
        <w:t xml:space="preserve">[225] </w:t>
      </w:r>
      <w:hyperlink r:id="rId575">
        <w:r>
          <w:rPr>
            <w:color w:val="1155CC"/>
            <w:u w:val="single"/>
          </w:rPr>
          <w:t>时分复用完全可重构光子处理器中量子 C-NOT 门的演示</w:t>
        </w:r>
      </w:hyperlink>
    </w:p>
    <w:p>
      <w:pPr>
        <w:spacing w:before="0" w:after="80"/>
      </w:pPr>
      <w:r>
        <w:rPr>
          <w:i/>
          <w:sz w:val="20"/>
        </w:rPr>
        <w:t>EN: Demonstration of a quantum C-NOT gate in a time-multiplexed fully reconfigurable photonic processor</w:t>
      </w:r>
    </w:p>
    <w:p>
      <w:pPr>
        <w:spacing w:before="0" w:after="120"/>
      </w:pPr>
      <w:r>
        <w:rPr>
          <w:b/>
        </w:rPr>
        <w:t xml:space="preserve">Source: </w:t>
      </w:r>
      <w:r>
        <w:t>Physical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两个量子位受控非 (C-NOT) 门是基于门的量子电路的重要组成部分。事实上，它的操作与单个量子位旋转相结合可以实现任何量子电路。为了构建量子门，已经采用了多种策略。其中，光子学具有双重优势，即与环境隔离良好以及在单量子位水平上易于操作。在这里，我们采用可扩展的时分复用方法来构建一个完全可重新配置的架构，能够实现保真度为 (93.8 ± 1.4)% 的后选 C-NOT 门。然后，我们展示了如何使用我们的时分复用平台来组合 C-NOT 和单个量子位门，以生成四个贝尔状态。</w:t>
      </w:r>
    </w:p>
    <w:p>
      <w:pPr>
        <w:spacing w:before="0" w:after="200" w:lineRule="auto" w:line="276"/>
      </w:pPr>
      <w:r>
        <w:rPr>
          <w:b/>
        </w:rPr>
        <w:t xml:space="preserve">Abstract (EN): </w:t>
      </w:r>
      <w:r>
        <w:t>The two-qubit controlled-not (C-NOT) gate is an essential component for gate-based quantum circuits. In fact, its operation, combined with single qubit rotations allows to realise any quantum circuit. Several strategies have been adopted in order to build quantum gates. Among them, photonics offers the dual advantage of excellent isolation from the environment and ease of manipulation at the single qubit level. Here we adopt a scalable time-multiplexed approach in order to build a fully reconfigurable architecture capable of implementing a post-selected C-NOT gate with a fidelity of (93.8 ± 1.4)%. We then show how our time-multiplexed platform can be employed to combine a C-NOT and a single qubit gate in order to generate the four Bell states.</w:t>
      </w:r>
    </w:p>
    <w:p>
      <w:pPr>
        <w:spacing w:before="120" w:after="120"/>
      </w:pPr>
      <w:r>
        <w:rPr>
          <w:sz w:val="18"/>
        </w:rPr>
        <w:t>——————————————————————————————————————————————————————————————————————</w:t>
      </w:r>
    </w:p>
    <w:p>
      <w:pPr>
        <w:spacing w:before="160" w:after="40" w:line="240" w:lineRule="auto"/>
      </w:pPr>
      <w:r>
        <w:rPr>
          <w:b/>
        </w:rPr>
        <w:t xml:space="preserve">[226] </w:t>
      </w:r>
      <w:hyperlink r:id="rId576">
        <w:r>
          <w:rPr>
            <w:color w:val="1155CC"/>
            <w:u w:val="single"/>
          </w:rPr>
          <w:t>与走时神经场的高速率相位关联</w:t>
        </w:r>
      </w:hyperlink>
    </w:p>
    <w:p>
      <w:pPr>
        <w:spacing w:before="0" w:after="80"/>
      </w:pPr>
      <w:r>
        <w:rPr>
          <w:i/>
          <w:sz w:val="20"/>
        </w:rPr>
        <w:t>EN: High-rate phase association with travel time neural fields</w:t>
      </w:r>
    </w:p>
    <w:p>
      <w:pPr>
        <w:spacing w:before="0" w:after="120"/>
      </w:pPr>
      <w:r>
        <w:rPr>
          <w:b/>
        </w:rPr>
        <w:t xml:space="preserve">Source: </w:t>
      </w:r>
      <w:r>
        <w:t>Physical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地震科学和地震学依赖于相位关联：将多个台站记录的地震到达分组为产生它们的地震。现代深度学习探测器现在通常可以识别比以前更多的小事件，从而在越来越精细的时空尺度上提供有关故障动态的信息。但由此产生的高速率到达序列越来越难以关联，特别是当本地波速不均匀或知之甚少时。在这里，我们介绍 HARPA，一个相位关联框架，它将观察到的和预测的到达序列表示为概率分布，并使用最佳传输度量对它们进行比较。 HARPA 使用走时神经场（将坐标映射到走时的神经网络）联合估计地震位置、起源时间和波速场的低维表示。在具有简单波速的标准低速率数据集上，HARPA 的性能与最先进的关联器相当。在高速率和横向异质或未知波速下，HARPA 的性能优于现有方法。我们的结果表明，当地震活动密集时，自适应走时模型变得很重要，并提出了一条从非关联到达进行联合关联和被动源层析成像的路线。</w:t>
      </w:r>
    </w:p>
    <w:p>
      <w:pPr>
        <w:spacing w:before="0" w:after="200" w:lineRule="auto" w:line="276"/>
      </w:pPr>
      <w:r>
        <w:rPr>
          <w:b/>
        </w:rPr>
        <w:t xml:space="preserve">Abstract (EN): </w:t>
      </w:r>
      <w:r>
        <w:t>Earthquake science and seismology rely on phase association: grouping seismic arrivals recorded across multiple stations into the earthquakes that generated them. Modern deep-learning detectors now routinely identify many more small events than before, providing information about fault dynamics on increasingly fine spatiotemporal scales. But the resulting high-rate arrival sequences are increasingly difficult to associate, especially when local wave speeds are heterogeneous or poorly known. Here we introduce HARPA, a phase-association framework that represents observed and predicted arrival sequences as probability distributions and compares them using an optimal-transport metric. HARPA jointly estimates earthquake locations, origin times and a low-dimensional representation of the wave-speed field using travel-time neural fields, neural networks that map coordinates to travel times. On standard low-rate datasets with simple wave speed, HARPA performs comparably to state-of-the-art associators. At high rates and with laterally heterogeneous or unknown wave speed, HARPA outperforms existing methods. Our results show that adaptive travel-time modeling becomes important when seismicity is dense and suggest a route toward joint association and passive-source tomography from unassociated arrivals.</w:t>
      </w:r>
    </w:p>
    <w:p>
      <w:pPr>
        <w:spacing w:before="120" w:after="120"/>
      </w:pPr>
      <w:r>
        <w:rPr>
          <w:sz w:val="18"/>
        </w:rPr>
        <w:t>——————————————————————————————————————————————————————————————————————</w:t>
      </w:r>
    </w:p>
    <w:p>
      <w:pPr>
        <w:spacing w:before="160" w:after="40" w:line="240" w:lineRule="auto"/>
      </w:pPr>
      <w:r>
        <w:rPr>
          <w:b/>
        </w:rPr>
        <w:t xml:space="preserve">[227] </w:t>
      </w:r>
      <w:hyperlink r:id="rId577">
        <w:r>
          <w:rPr>
            <w:color w:val="1155CC"/>
            <w:u w:val="single"/>
          </w:rPr>
          <w:t>使用深度学习表示基于探针识别金属结合位点</w:t>
        </w:r>
      </w:hyperlink>
    </w:p>
    <w:p>
      <w:pPr>
        <w:spacing w:before="0" w:after="80"/>
      </w:pPr>
      <w:r>
        <w:rPr>
          <w:i/>
          <w:sz w:val="20"/>
        </w:rPr>
        <w:t>EN: Probe-based identification of metal-binding sites using deep learning representations</w:t>
      </w:r>
    </w:p>
    <w:p>
      <w:pPr>
        <w:spacing w:before="0" w:after="120"/>
      </w:pPr>
      <w:r>
        <w:rPr>
          <w:b/>
        </w:rPr>
        <w:t xml:space="preserve">Source: </w:t>
      </w:r>
      <w:r>
        <w:t>Biological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金属蛋白对于许多细胞过程至关重要。它们使用金属离子作为辅助因子来催化反应、稳定蛋白质结构并介导电子转移。由于蛋白质环境的复杂性和金属离子的混杂结合，识别它们的金属结合位点仍然很困难，并且现有的计算方法受到准确性和数据稀缺的限制。在这里，我们介绍 PRIME，这是一种混合深度学习框架，它结合了进化和结构信号来准确有效地预测金属结合位点。 PRIME 采用蛋白质语言模型和预训练的结构模型从蛋白质序列和结构中提取信息，并结合探针生成算法，通过扫描候选位点连接基于序列和结构的预测。 PRIME 在多种金属离子（从丰富的锌和钙到具有挑战性的钾和钠）方面均优于现有方法。消融分析表明，预训练的结构模型提高了准确性。 AlphaFold2 模型的案例研究进一步证明了 PRIME 在高通量金属蛋白质组学方面的潜力。</w:t>
      </w:r>
    </w:p>
    <w:p>
      <w:pPr>
        <w:spacing w:before="0" w:after="200" w:lineRule="auto" w:line="276"/>
      </w:pPr>
      <w:r>
        <w:rPr>
          <w:b/>
        </w:rPr>
        <w:t xml:space="preserve">Abstract (EN): </w:t>
      </w:r>
      <w:r>
        <w:t>Metalloproteins are essential to many cellular processes. They use metal ions as cofactors to catalyze reactions, stabilize protein structures, and mediate electron transfer. Identifying their metal-binding sites remains difficult because of the complexity of protein environments and the promiscuous binding of metal ions, and existing computational methods are limited by accuracy and data scarcity. Here we introduce PRIME, a hybrid deep learning framework that combines evolutionary and structural signals to predict metal-binding sites accurately and efficiently. PRIME employs protein language models and pre-trained structure models to extract information from protein sequences and structures, together with a probe generation algorithm that bridges sequence- and structure-based predictions by scanning candidate sites. PRIME outperforms existing methods across diverse metal ions, from abundant zinc and calcium to challenging potassium and sodium. Ablation analysis shows that pretrained structure models improve accuracy. Case studies on AlphaFold2 models further demonstrate PRIME’s potential for high-throughput metalloproteomics.</w:t>
      </w:r>
    </w:p>
    <w:p>
      <w:pPr>
        <w:spacing w:before="120" w:after="120"/>
      </w:pPr>
      <w:r>
        <w:rPr>
          <w:sz w:val="18"/>
        </w:rPr>
        <w:t>——————————————————————————————————————————————————————————————————————</w:t>
      </w:r>
    </w:p>
    <w:p>
      <w:pPr>
        <w:spacing w:before="160" w:after="40" w:line="240" w:lineRule="auto"/>
      </w:pPr>
      <w:r>
        <w:rPr>
          <w:b/>
        </w:rPr>
        <w:t xml:space="preserve">[228] </w:t>
      </w:r>
      <w:hyperlink r:id="rId578">
        <w:r>
          <w:rPr>
            <w:color w:val="1155CC"/>
            <w:u w:val="single"/>
          </w:rPr>
          <w:t>新多倍体拟南芥DNA甲基化和基因表达模式的趋同与趋异</w:t>
        </w:r>
      </w:hyperlink>
    </w:p>
    <w:p>
      <w:pPr>
        <w:spacing w:before="0" w:after="80"/>
      </w:pPr>
      <w:r>
        <w:rPr>
          <w:i/>
          <w:sz w:val="20"/>
        </w:rPr>
        <w:t>EN: Convergence and divergence of DNA methylation and gene expression patterns in neopolyploid Arabidopsis kamchatica</w:t>
      </w:r>
    </w:p>
    <w:p>
      <w:pPr>
        <w:spacing w:before="0" w:after="120"/>
      </w:pPr>
      <w:r>
        <w:rPr>
          <w:b/>
        </w:rPr>
        <w:t xml:space="preserve">Source: </w:t>
      </w:r>
      <w:r>
        <w:t>Biological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多倍化是植物进化的关键力量，但其普遍存在的原因仍不清楚。虽然已经充分研究了已建立的多倍体的潜在生态效益，但对多倍体化后立即发生的短期基因组和表观遗传反应知之甚少，而这对于成功的物种形成至关重要。在本研究中，我们组装了拟南芥（Arabidopsis kamchatica）的两个祖先（A. Halleri 和 A. lyrata）的基因组，并检查了拟南芥合成和天然四倍体的表观基因组，以研究异源多倍化和环境对 DNA 甲基化变化的综合影响。我们发现异源多倍化时甲基化变化最显着，随后的世代中变化较小。在不同条件下生长的后代表现出不同的模式，表明环境影响，而它们的甲基化模式随着世代的推移向天然四倍体的甲基化模式趋同。我们的研究结果强调了多倍化后两个关键的表观遗传变化：向已建立的多倍体的趋同和环境因素驱动的趋异。</w:t>
      </w:r>
    </w:p>
    <w:p>
      <w:pPr>
        <w:spacing w:before="0" w:after="200" w:lineRule="auto" w:line="276"/>
      </w:pPr>
      <w:r>
        <w:rPr>
          <w:b/>
        </w:rPr>
        <w:t xml:space="preserve">Abstract (EN): </w:t>
      </w:r>
      <w:r>
        <w:t>Polyploidization is a key evolutionary force in plants, but the reasons behind its prevalence remain unclear. While the potential ecological benefits of established polyploids are well studied, little is known about the short-term genomic and epigenetic responses immediately after polyploidization, which are crucial for successful speciation. In this study, we assemble the genomes of the two progenitors of Arabidopsis kamchatica (A. halleri and A. lyrata) and examine the epigenome of synthetic and natural tetraploids of A. kamchatica to investigate the combined effect of allopolyploidization and environment on DNA methylation changes. We find the most significant methylation changes at allopolyploidization, followed by smaller changes in subsequent generations. Offspring grown under different conditions show divergent patterns, suggesting environmental effects, while their methylation patterns converge toward those of natural tetraploids over generations. Our findings highlight two key epigenetic changes post-polyploidization: convergence toward established polyploids and divergence driven by environmental factors.</w:t>
      </w:r>
    </w:p>
    <w:p>
      <w:pPr>
        <w:spacing w:before="120" w:after="120"/>
      </w:pPr>
      <w:r>
        <w:rPr>
          <w:sz w:val="18"/>
        </w:rPr>
        <w:t>——————————————————————————————————————————————————————————————————————</w:t>
      </w:r>
    </w:p>
    <w:p>
      <w:pPr>
        <w:spacing w:before="160" w:after="40" w:line="240" w:lineRule="auto"/>
      </w:pPr>
      <w:r>
        <w:rPr>
          <w:b/>
        </w:rPr>
        <w:t xml:space="preserve">[229] </w:t>
      </w:r>
      <w:hyperlink r:id="rId579">
        <w:r>
          <w:rPr>
            <w:color w:val="1155CC"/>
            <w:u w:val="single"/>
          </w:rPr>
          <w:t>Swi-Snf 和 Tup1-Cyc8 的上下文依赖性相互作用影响拮抗调节基因的染色质和转录</w:t>
        </w:r>
      </w:hyperlink>
    </w:p>
    <w:p>
      <w:pPr>
        <w:spacing w:before="0" w:after="80"/>
      </w:pPr>
      <w:r>
        <w:rPr>
          <w:i/>
          <w:sz w:val="20"/>
        </w:rPr>
        <w:t>EN: Context-dependent interplay of Swi-Snf and Tup1-Cyc8 influences chromatin and transcription at antagonistically regulated genes</w:t>
      </w:r>
    </w:p>
    <w:p>
      <w:pPr>
        <w:spacing w:before="0" w:after="120"/>
      </w:pPr>
      <w:r>
        <w:rPr>
          <w:b/>
        </w:rPr>
        <w:t xml:space="preserve">Source: </w:t>
      </w:r>
      <w:r>
        <w:t>Biological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酵母 Swi-Snf 共激活剂是第一个被发现的染色质重塑复合物，它可以破坏启动子核小体以实现转录。 Tup1-Cyc8 复合物是第一个被鉴定的全局共阻遏物，它可以将核小体定位在启动子上以阻断转录。然而，它们在酵母中对基因转录的拮抗调节的整体程度尚不清楚。我们已经鉴定出在葡萄糖生长的细胞中被 Tup1-Cyc8 抑制并被 Swi-Snf 激活的基因，其中包括非活性和活跃转录的基因。我们发现 Swi-Snf 和 Tup1-Cyc8 均存在于活性和非活性基因启动子中，其中 SNF2 是 Tup1-Cyc8 完全占据所必需的。 Swi-Snf 和 Tup1-Cyc8 对核小体定位的影响特定于每个共同调控的基因，并延伸到可用的上游基因间区域。我们认为 Tup1-Cyc8 和 Swi-Snf 组成型存在于共同调控的基因启动子中，它们的相互作用影响靶基因和转录的整个基因间上游染色质环境。</w:t>
      </w:r>
    </w:p>
    <w:p>
      <w:pPr>
        <w:spacing w:before="0" w:after="200" w:lineRule="auto" w:line="276"/>
      </w:pPr>
      <w:r>
        <w:rPr>
          <w:b/>
        </w:rPr>
        <w:t xml:space="preserve">Abstract (EN): </w:t>
      </w:r>
      <w:r>
        <w:t>The yeast Swi-Snf co-activator was the first chromatin remodelling complex discovered which can disrupt promoter nucleosomes to enable transcription. The Tup1-Cyc8 complex was the first global co-repressor identified which can position nucleosomes across promoters to block transcription. However, the global extent of their antagonistic regulation of gene transcription in yeast is unknown. We have identified the genes repressed by Tup1-Cyc8 and activated by Swi-Snf in glucose-grown cells which include inactive and actively transcribed genes. We show that Swi-Snf and Tup1-Cyc8 are present at both active and inactive gene promoters, where SNF2 is required for full Tup1-Cyc8 occupancy. The influence of Swi-Snf and Tup1-Cyc8 upon nucleosome positioning is specific to each co-regulated gene and extends over the available upstream intergenic region. We propose Tup1-Cyc8 and Swi-Snf are constitutively present at co-regulated gene promoters where their interplay influences the entire intergenic upstream chromatin environment of target genes and transcription.</w:t>
      </w:r>
    </w:p>
    <w:p>
      <w:pPr>
        <w:spacing w:before="120" w:after="120"/>
      </w:pPr>
      <w:r>
        <w:rPr>
          <w:sz w:val="18"/>
        </w:rPr>
        <w:t>——————————————————————————————————————————————————————————————————————</w:t>
      </w:r>
    </w:p>
    <w:p>
      <w:pPr>
        <w:spacing w:before="160" w:after="40" w:line="240" w:lineRule="auto"/>
      </w:pPr>
      <w:r>
        <w:rPr>
          <w:b/>
        </w:rPr>
        <w:t xml:space="preserve">[230] </w:t>
      </w:r>
      <w:hyperlink r:id="rId580">
        <w:r>
          <w:rPr>
            <w:color w:val="1155CC"/>
            <w:u w:val="single"/>
          </w:rPr>
          <w:t>分层谱系追踪揭示了阿糖胞苷耐药的多种途径</w:t>
        </w:r>
      </w:hyperlink>
    </w:p>
    <w:p>
      <w:pPr>
        <w:spacing w:before="0" w:after="80"/>
      </w:pPr>
      <w:r>
        <w:rPr>
          <w:i/>
          <w:sz w:val="20"/>
        </w:rPr>
        <w:t>EN: Hierarchical lineage tracing reveals diverse pathways of cytarabine resistance</w:t>
      </w:r>
    </w:p>
    <w:p>
      <w:pPr>
        <w:spacing w:before="0" w:after="120"/>
      </w:pPr>
      <w:r>
        <w:rPr>
          <w:b/>
        </w:rPr>
        <w:t xml:space="preserve">Source: </w:t>
      </w:r>
      <w:r>
        <w:t>Biological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癌细胞适应治疗，导致更具攻击性和对抗癌疗法具有抵抗力的克隆的出现。我们对耐药机制的了解有限，因为我们缺乏绘制选择性治疗压力下癌症进化图谱的技术。为了解决这个问题，我们提出了一种分层的动态谱系追踪方法，FLARE（遵循谱系适应和抵抗进化）。我们使用 FLARE 追踪用阿糖胞苷 (AraC)（一种 AML 一线治疗药物）治疗的急性髓系白血病 (AML) 细胞系的体外和体内进展情况。我们绘制了小鼠和人类 AML 细胞系中易产生 AraC 耐药性的不同细胞谱系。使用 FLARE，我们确定了导致播种抗性的未接受治疗的群体，其特征是干性标记物上调和细胞粘附相关的 AraC 抗性谱系特征。我们发现，这一特征在儿科 AML 中的表达与复发时 HSC 样恶性细胞的扩增以及显着缩短的总生存期相关。这些发现强调了预先存在的谱系状态在驱动复发中的作用，并将 FLARE 建立为一个平台，用于揭示肿瘤进化背后不断演变的、可遗传的转录程序。</w:t>
      </w:r>
    </w:p>
    <w:p>
      <w:pPr>
        <w:spacing w:before="0" w:after="200" w:lineRule="auto" w:line="276"/>
      </w:pPr>
      <w:r>
        <w:rPr>
          <w:b/>
        </w:rPr>
        <w:t xml:space="preserve">Abstract (EN): </w:t>
      </w:r>
      <w:r>
        <w:t>Cancer cells adapt to treatment, leading to the emergence of clones that are more aggressive and resistant to anti-cancer therapies. We have a limited understanding of resistance mechanisms as we lack technologies to map cancer evolution under the selective pressure of treatment. To address this, we present a hierarchical, dynamic lineage-tracing method, FLARE (Following Lineage Adaptation and Resistance Evolution). We use FLARE to track the progression of acute myeloid leukemia (AML) cell lines treated with Cytarabine (AraC), a front-line treatment in AML, both in vitro and in vivo. We map distinct cellular lineages in both murine and human AML cell lines that are predisposed to AraC resistance. Using FLARE, we identify treatment-naïve populations responsible for seeding resistance that are characterized by upregulation of stemness markers and a cell adhesion-associated AraC-resistant lineage signature. We find that expression of this signature in pediatric AML is associated with the expansion of HSC-like malignant cells at relapse and significantly shorter overall survival. These findings underscore the role of pre-existing lineage states in driving relapse and establish FLARE as a platform for uncovering the evolving, heritable transcriptional programs that underlie tumor evolution.</w:t>
      </w:r>
    </w:p>
    <w:p>
      <w:pPr>
        <w:spacing w:before="120" w:after="120"/>
      </w:pPr>
      <w:r>
        <w:rPr>
          <w:sz w:val="18"/>
        </w:rPr>
        <w:t>——————————————————————————————————————————————————————————————————————</w:t>
      </w:r>
    </w:p>
    <w:p>
      <w:pPr>
        <w:spacing w:before="160" w:after="40" w:line="240" w:lineRule="auto"/>
      </w:pPr>
      <w:r>
        <w:rPr>
          <w:b/>
        </w:rPr>
        <w:t xml:space="preserve">[231] </w:t>
      </w:r>
      <w:hyperlink r:id="rId581">
        <w:r>
          <w:rPr>
            <w:color w:val="1155CC"/>
            <w:u w:val="single"/>
          </w:rPr>
          <w:t>单核细胞来源的肺细胞的 IFNγ 反应性受损限制了对结核分枝杆菌的免疫力</w:t>
        </w:r>
      </w:hyperlink>
    </w:p>
    <w:p>
      <w:pPr>
        <w:spacing w:before="0" w:after="80"/>
      </w:pPr>
      <w:r>
        <w:rPr>
          <w:i/>
          <w:sz w:val="20"/>
        </w:rPr>
        <w:t>EN: Impaired IFNγ responsiveness of monocyte-derived lung cells limits immunity to Mycobacterium tuberculosis</w:t>
      </w:r>
    </w:p>
    <w:p>
      <w:pPr>
        <w:spacing w:before="0" w:after="120"/>
      </w:pPr>
      <w:r>
        <w:rPr>
          <w:b/>
        </w:rPr>
        <w:t xml:space="preserve">Source: </w:t>
      </w:r>
      <w:r>
        <w:t>Biological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肺单核吞噬细胞亚群在慢性感染期间限制结核分枝杆菌（Mtb）的能力有所不同，但这种差异背后的机制尚不清楚。在这里，我们发现CD11clo单核细胞衍生的细胞（在慢性感染期间最容易获得Mtb活力的肺细胞亚群）表达较低水平的干扰素-γ（IFNγ）信号蛋白，导致与肺泡巨噬细胞和CD11chi单核细胞衍生的细胞相比，对IFNγ的反应减少。此外，I 型 IFN 信号传导抑制 IFNγ 介导的 MHC II 类表达，损害 CD11clo 单核细胞衍生细胞对抗原特异性 CD4 T 细胞的激活。重要的是，结核分枝杆菌感染所赋予的先前免疫力增强了单核细胞衍生细胞的 IFNγ 反应性，减少了肺部和单核细胞衍生细胞亚群内的细菌负担。我们的研究结果表明，Mtb 利用异质 IFNγ 反应性来实现体内持久性。克服或绕过受损的 IFNγ 反应性可能会指导开发更有效的结核病疫苗和针对宿主的疗法。</w:t>
      </w:r>
    </w:p>
    <w:p>
      <w:pPr>
        <w:spacing w:before="0" w:after="200" w:lineRule="auto" w:line="276"/>
      </w:pPr>
      <w:r>
        <w:rPr>
          <w:b/>
        </w:rPr>
        <w:t xml:space="preserve">Abstract (EN): </w:t>
      </w:r>
      <w:r>
        <w:t>Lung mononuclear phagocyte subsets differ in their ability to restrict Mycobacterium tuberculosis (Mtb) during chronic infection, yet the mechanisms underlying this difference are not well defined. Here, we show that CD11clo monocyte-derived cells, the subset of lung cells that is most permissive for Mtb viability during chronic infection, express lower levels of interferon-gamma (IFNγ) signaling proteins, resulting in reduced responses to IFNγ compared to alveolar macrophages and CD11chi monocyte-derived cells. Moreover, type I IFN signaling suppresses IFNγ-mediated MHC class II expression, impairing antigen-specific CD4 T cell activation by CD11clo monocyte-derived cells. Importantly, prior immunity conferred by contained Mtb infection enhances IFNγ responsiveness of monocyte-derived cells, reducing bacterial burdens in lungs and within monocyte-derived cell subsets. Our findings indicate that heterogeneous IFNγ responsiveness is exploited by Mtb for persistence in vivo. Overcoming or bypassing impaired IFNγ responsiveness may guide the development of more effective tuberculosis vaccines and host-directed therapies.</w:t>
      </w:r>
    </w:p>
    <w:p>
      <w:pPr>
        <w:spacing w:before="120" w:after="120"/>
      </w:pPr>
      <w:r>
        <w:rPr>
          <w:sz w:val="18"/>
        </w:rPr>
        <w:t>——————————————————————————————————————————————————————————————————————</w:t>
      </w:r>
    </w:p>
    <w:p>
      <w:pPr>
        <w:spacing w:before="160" w:after="40" w:line="240" w:lineRule="auto"/>
      </w:pPr>
      <w:r>
        <w:rPr>
          <w:b/>
        </w:rPr>
        <w:t xml:space="preserve">[232] </w:t>
      </w:r>
      <w:hyperlink r:id="rId582">
        <w:r>
          <w:rPr>
            <w:color w:val="1155CC"/>
            <w:u w:val="single"/>
          </w:rPr>
          <w:t>天然可编程超材料控制复眼的 3D 曲率</w:t>
        </w:r>
      </w:hyperlink>
    </w:p>
    <w:p>
      <w:pPr>
        <w:spacing w:before="0" w:after="80"/>
      </w:pPr>
      <w:r>
        <w:rPr>
          <w:i/>
          <w:sz w:val="20"/>
        </w:rPr>
        <w:t>EN: A natural programmable metamaterial controls 3D curvature of compound eyes</w:t>
      </w:r>
    </w:p>
    <w:p>
      <w:pPr>
        <w:spacing w:before="0" w:after="120"/>
      </w:pPr>
      <w:r>
        <w:rPr>
          <w:b/>
        </w:rPr>
        <w:t xml:space="preserve">Source: </w:t>
      </w:r>
      <w:r>
        <w:t>Biological sciences : Nature Communications subject feeds</w:t>
      </w:r>
      <w:r>
        <w:t xml:space="preserve">    </w:t>
      </w:r>
      <w:r>
        <w:rPr>
          <w:b/>
        </w:rPr>
        <w:t xml:space="preserve">Pub date: </w:t>
      </w:r>
      <w:r>
        <w:t>2026-06-30 00:00:00+00:00</w:t>
      </w:r>
    </w:p>
    <w:p>
      <w:pPr>
        <w:spacing w:before="0" w:after="120"/>
      </w:pPr>
      <w:r>
        <w:rPr>
          <w:b/>
        </w:rPr>
        <w:t xml:space="preserve">Notes: </w:t>
      </w:r>
      <w:r>
        <w:t>abstract_source=nature_html</w:t>
      </w:r>
    </w:p>
    <w:p>
      <w:pPr>
        <w:spacing w:before="0" w:after="80" w:lineRule="auto" w:line="276"/>
      </w:pPr>
      <w:r>
        <w:rPr>
          <w:b/>
        </w:rPr>
        <w:t xml:space="preserve">摘要（ZH）: </w:t>
      </w:r>
      <w:r>
        <w:t>昆虫和甲壳类动物常见的凸复眼的全景视觉依赖于微米级的曲率变化。这些变化产生了适应特定任务的专门视觉区域，包括检测猎物、配偶或捕食者。然而，在开发过程中如何编码这种精细的曲率仍然未知。我们在果蝇中发现，发育中的视网膜的基底表面被组织为细胞上三角形网格，其中这些三角形的大小以物种特异性的二维模式分布。使用遗传扰动的功能实验与计算模型一起支持了这种模式引导成人眼睛局部曲率的观点。毛里塔尼亚果蝇视网膜发育中的类似模式表明这种机制的进化保守性。我们的研究结果确定了一种形态发生机制，其中精细尺度的 3D 曲率被编程在具有超材料特性的组织的 2D 图案中。该机制为设计形状可编程的 3D 生物表面提供了一个框架，具有从合成形态发生到临床应用的广泛影响。</w:t>
      </w:r>
    </w:p>
    <w:p>
      <w:pPr>
        <w:spacing w:before="0" w:after="200" w:lineRule="auto" w:line="276"/>
      </w:pPr>
      <w:r>
        <w:rPr>
          <w:b/>
        </w:rPr>
        <w:t xml:space="preserve">Abstract (EN): </w:t>
      </w:r>
      <w:r>
        <w:t>Panoramic vision of the convex compound eyes, common to insects and crustaceans, relies on micrometer-scale curvature variations. These variations generate specialized visual zones adapted to specific tasks, including detecting prey, mates, or predators. However, how such fine-scale curvature is encoded during development remains unknown. We find in Drosophila melanogaster that the basal surface of the developing retina is organized as a supracellular triangular mesh where the size of these triangles is distributed in a species-specific 2D pattern. Functional experiments using genetic perturbations, together with computational modeling, support the notion that this pattern guides adult eye local curvature. A similar pattern in the Drosophila mauritania developing retina indicates an evolutionary conservation of this mechanism. Our findings identify a mechanism of morphogenesis where fine-scale 3D curvature is programmed in the 2D patterning of a tissue with metamaterial properties. This mechanism provides a framework for designing shape-programmable 3D biological surfaces, with broad implications from synthetic morphogenesis to clinical applications.</w:t>
      </w:r>
    </w:p>
    <w:p>
      <w:pPr>
        <w:spacing w:before="120" w:after="120"/>
      </w:pPr>
      <w:r>
        <w:rPr>
          <w:sz w:val="18"/>
        </w:rPr>
        <w:t>——————————————————————————————————————————————————————————————————————</w:t>
      </w:r>
    </w:p>
    <w:p>
      <w:pPr>
        <w:spacing w:before="160" w:after="40" w:line="240" w:lineRule="auto"/>
      </w:pPr>
      <w:r>
        <w:rPr>
          <w:b/>
        </w:rPr>
        <w:t xml:space="preserve">[233] </w:t>
      </w:r>
      <w:hyperlink r:id="rId583">
        <w:r>
          <w:rPr>
            <w:color w:val="1155CC"/>
            <w:u w:val="single"/>
          </w:rPr>
          <w:t>布氏锥虫的螺旋运动是由鞭毛的螺旋跳动驱动的，并由其弯曲形状促进</w:t>
        </w:r>
      </w:hyperlink>
    </w:p>
    <w:p>
      <w:pPr>
        <w:spacing w:before="0" w:after="80"/>
      </w:pPr>
      <w:r>
        <w:rPr>
          <w:i/>
          <w:sz w:val="20"/>
        </w:rPr>
        <w:t>EN: Corkscrew motion of Trypanosoma brucei is driven by helical beating of the flagellum and facilitated by its bent shape</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584">
        <w:r>
          <w:rPr>
            <w:color w:val="1155CC"/>
            <w:u w:val="single"/>
          </w:rPr>
          <w:t>10.1073/pnas.2536746123</w:t>
        </w:r>
      </w:hyperlink>
    </w:p>
    <w:p>
      <w:pPr>
        <w:spacing w:before="0" w:after="120"/>
      </w:pPr>
      <w:r>
        <w:rPr>
          <w:b/>
        </w:rPr>
        <w:t xml:space="preserve">Notes: </w:t>
      </w:r>
      <w:r>
        <w:t>abstract_source=crossref</w:t>
      </w:r>
    </w:p>
    <w:p>
      <w:pPr>
        <w:spacing w:before="0" w:after="80" w:lineRule="auto" w:line="276"/>
      </w:pPr>
      <w:r>
        <w:rPr>
          <w:b/>
        </w:rPr>
        <w:t xml:space="preserve">摘要（ZH）: </w:t>
      </w:r>
      <w:r>
        <w:t>在致病寄生虫中</w:t>
      </w:r>
      <w:r>
        <w:t xml:space="preserve"> </w:t>
      </w:r>
      <w:r>
        <w:t>布氏锥虫</w:t>
      </w:r>
      <w:r>
        <w:t xml:space="preserve"> </w:t>
      </w:r>
      <w:r>
        <w:t>，横向附着的鞭毛驱动复杂细胞体的快速变形，产生令人费解的动力学。高速散焦成像揭示了表面点在横向平面上描绘出花朵状图案。花瓣是由顺时针鞭毛跳动产生的，鞭毛产生右手螺旋波，从前尖端沿着身体传播，像扭曲的开瓶器一样推进细胞。中心瓣是由平衡主动扭矩所需的较慢的逆时针身体旋转产生的。鞭毛下方的弯曲细胞形状以不同的径向距离叠加这两种手性运动，产生观察到的图案。使用正则化 Stokeslet 方法进行的三维流体动力学模拟再现了这些动力学，并表明弯曲的细胞形状增强了游泳能力，这表明了</w:t>
      </w:r>
      <w:r>
        <w:t xml:space="preserve"> </w:t>
      </w:r>
      <w:r>
        <w:t>布氏锥虫</w:t>
      </w:r>
      <w:r>
        <w:t xml:space="preserve"> </w:t>
      </w:r>
      <w:r>
        <w:t>的形态。</w:t>
      </w:r>
    </w:p>
    <w:p>
      <w:pPr>
        <w:spacing w:before="0" w:after="200" w:lineRule="auto" w:line="276"/>
      </w:pPr>
      <w:r>
        <w:rPr>
          <w:b/>
        </w:rPr>
        <w:t xml:space="preserve">Abstract (EN): </w:t>
      </w:r>
      <w:r>
        <w:t>In the pathogenic parasite</w:t>
      </w:r>
      <w:r>
        <w:t xml:space="preserve"> </w:t>
      </w:r>
      <w:r>
        <w:t>Trypanosoma brucei</w:t>
      </w:r>
      <w:r>
        <w:t xml:space="preserve"> </w:t>
      </w:r>
      <w:r>
        <w:t>, a laterally attached flagellum drives rapid deformation of the complex cell body, producing puzzling dynamics. High-speed defocusing imaging reveals that surface points trace flower-like patterns in transverse planes. The petals arise from clockwise flagellar beating, which generates a right-handed helical wave propagating from the anterior tip along the body, advancing the cell like a twisted corkscrew. The central lobes result from slower counterclockwise body rotation required to balance the active torque. The bent cell shape underneath the flagellum superimposes these two chiral motions at different radial distances, producing the observed patterns. Three-dimensional hydrodynamic simulations using the method of regularized Stokeslets reproduce these dynamics and show that bent cell shape enhances swimming, suggesting an adaptive advantage of</w:t>
      </w:r>
      <w:r>
        <w:t xml:space="preserve"> </w:t>
      </w:r>
      <w:r>
        <w:t>T. brucei</w:t>
      </w:r>
      <w:r>
        <w:t xml:space="preserve"> </w:t>
      </w:r>
      <w:r>
        <w:t>’s morphology.</w:t>
      </w:r>
    </w:p>
    <w:p>
      <w:pPr>
        <w:spacing w:before="120" w:after="120"/>
      </w:pPr>
      <w:r>
        <w:rPr>
          <w:sz w:val="18"/>
        </w:rPr>
        <w:t>——————————————————————————————————————————————————————————————————————</w:t>
      </w:r>
    </w:p>
    <w:p>
      <w:pPr>
        <w:spacing w:before="160" w:after="40" w:line="240" w:lineRule="auto"/>
      </w:pPr>
      <w:r>
        <w:rPr>
          <w:b/>
        </w:rPr>
        <w:t xml:space="preserve">[234] </w:t>
      </w:r>
      <w:hyperlink r:id="rId585">
        <w:r>
          <w:rPr>
            <w:color w:val="1155CC"/>
            <w:u w:val="single"/>
          </w:rPr>
          <w:t>矛盾的是，持续的 A2AR 表达和缺失会促进 CD8+ T 细胞耗竭</w:t>
        </w:r>
      </w:hyperlink>
    </w:p>
    <w:p>
      <w:pPr>
        <w:spacing w:before="0" w:after="80"/>
      </w:pPr>
      <w:r>
        <w:rPr>
          <w:i/>
          <w:sz w:val="20"/>
        </w:rPr>
        <w:t>EN: Sustained A2AR expression and loss paradoxically promote CD8+ T cell exhaustion</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586">
        <w:r>
          <w:rPr>
            <w:color w:val="1155CC"/>
            <w:u w:val="single"/>
          </w:rPr>
          <w:t>10.1073/pnas.2602385123</w:t>
        </w:r>
      </w:hyperlink>
    </w:p>
    <w:p>
      <w:pPr>
        <w:spacing w:before="0" w:after="120"/>
      </w:pPr>
      <w:r>
        <w:rPr>
          <w:b/>
        </w:rPr>
        <w:t xml:space="preserve">Notes: </w:t>
      </w:r>
      <w:r>
        <w:t>abstract_source=crossref</w:t>
      </w:r>
    </w:p>
    <w:p>
      <w:pPr>
        <w:spacing w:before="0" w:after="80" w:lineRule="auto" w:line="276"/>
      </w:pPr>
      <w:r>
        <w:rPr>
          <w:b/>
        </w:rPr>
        <w:t xml:space="preserve">摘要（ZH）: </w:t>
      </w:r>
      <w:r>
        <w:t>虽然A2AR是抑制CD8的关键免疫调节受体</w:t>
      </w:r>
      <w:r>
        <w:t xml:space="preserve"> </w:t>
      </w:r>
      <w:r>
        <w:t>+</w:t>
      </w:r>
      <w:r>
        <w:t xml:space="preserve"> </w:t>
      </w:r>
      <w:r>
        <w:t>在炎症或缺氧微环境中响应细胞外腺苷升高的 T 细胞激活及其在 CD8 中的作用</w:t>
      </w:r>
      <w:r>
        <w:t xml:space="preserve"> </w:t>
      </w:r>
      <w:r>
        <w:t>+</w:t>
      </w:r>
      <w:r>
        <w:t xml:space="preserve"> </w:t>
      </w:r>
      <w:r>
        <w:t>慢性病毒感染和癌症期间的 T 细胞分化和细胞命运决定仍然知之甚少。使用 A2AR-eGFP 报告小鼠，我们发现 A2AR 表达由 TCR 刺激快速诱导，并在慢性抗原暴露和缺氧下持续存在，持续表达与通过经典 Gα 的终末衰竭密切相关。</w:t>
      </w:r>
      <w:r>
        <w:t xml:space="preserve"> </w:t>
      </w:r>
      <w:r>
        <w:t>s</w:t>
      </w:r>
      <w:r>
        <w:t xml:space="preserve"> </w:t>
      </w:r>
      <w:r>
        <w:t>–cAMP-PKA 途径。矛盾的是，A2AR 损失并不能缓解疲劳，反而会加速向最终疲劳状态的分化。单细胞多组学分析表明，A2AR 缺陷会激活 CD122 (IL-2Rβ) 依赖性信号传导，导致 T 细胞耗竭。 A2AR 缺陷型 CD8 中 CD122 的基因缺失</w:t>
      </w:r>
      <w:r>
        <w:t xml:space="preserve"> </w:t>
      </w:r>
      <w:r>
        <w:t>+</w:t>
      </w:r>
      <w:r>
        <w:t xml:space="preserve"> </w:t>
      </w:r>
      <w:r>
        <w:t>T 细胞减少了终末衰竭，将 CD122 信号传导确定为 A2AR 丢失驱动的衰竭的关键介质。有趣的是，持续的 A2AR 表达和 A2AR 损失共同通过不同的机制促进 T 细胞衰竭分化。这些发现揭示了 A2AR 在塑造 CD8 中的矛盾作用</w:t>
      </w:r>
      <w:r>
        <w:t xml:space="preserve"> </w:t>
      </w:r>
      <w:r>
        <w:t>+</w:t>
      </w:r>
      <w:r>
        <w:t xml:space="preserve"> </w:t>
      </w:r>
      <w:r>
        <w:t>慢性感染和癌症期间 T 细胞的命运选择。</w:t>
      </w:r>
    </w:p>
    <w:p>
      <w:pPr>
        <w:spacing w:before="0" w:after="200" w:lineRule="auto" w:line="276"/>
      </w:pPr>
      <w:r>
        <w:rPr>
          <w:b/>
        </w:rPr>
        <w:t xml:space="preserve">Abstract (EN): </w:t>
      </w:r>
      <w:r>
        <w:t>Although A2AR is a key immunoregulatory receptor that suppresses CD8</w:t>
      </w:r>
      <w:r>
        <w:t xml:space="preserve"> </w:t>
      </w:r>
      <w:r>
        <w:t>+</w:t>
      </w:r>
      <w:r>
        <w:t xml:space="preserve"> </w:t>
      </w:r>
      <w:r>
        <w:t>T cell activation in response to elevated extracellular adenosine in inflamed or hypoxic microenvironments, its role in CD8</w:t>
      </w:r>
      <w:r>
        <w:t xml:space="preserve"> </w:t>
      </w:r>
      <w:r>
        <w:t>+</w:t>
      </w:r>
      <w:r>
        <w:t xml:space="preserve"> </w:t>
      </w:r>
      <w:r>
        <w:t>T cell differentiation and cell-fate decisions during chronic viral infection and cancer remains poorly understood. Using A2AR-eGFP reporter mice, we show that A2AR expression is rapidly induced by TCR stimulation and persists under chronic antigen exposure and hypoxia, with sustained expression strongly associated with terminal exhaustion via the canonical Gα</w:t>
      </w:r>
      <w:r>
        <w:t xml:space="preserve"> </w:t>
      </w:r>
      <w:r>
        <w:t>s</w:t>
      </w:r>
      <w:r>
        <w:t xml:space="preserve"> </w:t>
      </w:r>
      <w:r>
        <w:t>–cAMP–PKA pathway. Paradoxically, A2AR loss does not alleviate exhaustion but instead accelerates differentiation toward the terminally exhausted state. Single-cell multiomics profiling revealed that A2AR deficiency activates CD122 (IL-2Rβ)–dependent signaling, driving T cell exhaustion. Genetic deletion of CD122 in A2AR-deficient CD8</w:t>
      </w:r>
      <w:r>
        <w:t xml:space="preserve"> </w:t>
      </w:r>
      <w:r>
        <w:t>+</w:t>
      </w:r>
      <w:r>
        <w:t xml:space="preserve"> </w:t>
      </w:r>
      <w:r>
        <w:t>T cells reduced terminal exhaustion, identifying CD122 signaling as a key mediator of A2AR loss–driven exhaustion. Intriguingly, both sustained A2AR expression and A2AR loss converge to promote T cell exhaustion differentiation through distinct mechanisms. These findings uncover a paradoxical role of A2AR in shaping CD8</w:t>
      </w:r>
      <w:r>
        <w:t xml:space="preserve"> </w:t>
      </w:r>
      <w:r>
        <w:t>+</w:t>
      </w:r>
      <w:r>
        <w:t xml:space="preserve"> </w:t>
      </w:r>
      <w:r>
        <w:t>T cell fate choices during chronic infection and cancer.</w:t>
      </w:r>
    </w:p>
    <w:p>
      <w:pPr>
        <w:spacing w:before="120" w:after="120"/>
      </w:pPr>
      <w:r>
        <w:rPr>
          <w:sz w:val="18"/>
        </w:rPr>
        <w:t>——————————————————————————————————————————————————————————————————————</w:t>
      </w:r>
    </w:p>
    <w:p>
      <w:pPr>
        <w:spacing w:before="160" w:after="40" w:line="240" w:lineRule="auto"/>
      </w:pPr>
      <w:r>
        <w:rPr>
          <w:b/>
        </w:rPr>
        <w:t xml:space="preserve">[235] </w:t>
      </w:r>
      <w:hyperlink r:id="rId587">
        <w:r>
          <w:rPr>
            <w:color w:val="1155CC"/>
            <w:u w:val="single"/>
          </w:rPr>
          <w:t>债务为福：资本筛选机制</w:t>
        </w:r>
      </w:hyperlink>
    </w:p>
    <w:p>
      <w:pPr>
        <w:spacing w:before="0" w:after="80"/>
      </w:pPr>
      <w:r>
        <w:rPr>
          <w:i/>
          <w:sz w:val="20"/>
        </w:rPr>
        <w:t>EN: Debt as a blessing: A capital screening mechanism</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588">
        <w:r>
          <w:rPr>
            <w:color w:val="1155CC"/>
            <w:u w:val="single"/>
          </w:rPr>
          <w:t>10.1073/pnas.2602272123</w:t>
        </w:r>
      </w:hyperlink>
    </w:p>
    <w:p>
      <w:pPr>
        <w:spacing w:before="0" w:after="120"/>
      </w:pPr>
      <w:r>
        <w:rPr>
          <w:b/>
        </w:rPr>
        <w:t xml:space="preserve">Notes: </w:t>
      </w:r>
      <w:r>
        <w:t>abstract_source=crossref</w:t>
      </w:r>
    </w:p>
    <w:p>
      <w:pPr>
        <w:spacing w:before="0" w:after="80" w:lineRule="auto" w:line="276"/>
      </w:pPr>
      <w:r>
        <w:rPr>
          <w:b/>
        </w:rPr>
        <w:t xml:space="preserve">摘要（ZH）: </w:t>
      </w:r>
      <w:r>
        <w:t>我们对最近流行的一种观点提出质疑，即负利率差距（</w:t>
      </w:r>
      <w:r>
        <w:t xml:space="preserve"> </w:t>
      </w:r>
      <w:r>
        <w:t>r</w:t>
      </w:r>
      <w:r>
        <w:t xml:space="preserve"> </w:t>
      </w:r>
      <w:r>
        <w:t>&lt;</w:t>
      </w:r>
      <w:r>
        <w:t xml:space="preserve"> </w:t>
      </w:r>
      <w:r>
        <w:t>克</w:t>
      </w:r>
      <w:r>
        <w:t xml:space="preserve"> </w:t>
      </w:r>
      <w:r>
        <w:t>）通过制定一个模型，为债务融资的政府支出提供了“免费午餐”：</w:t>
      </w:r>
      <w:r>
        <w:t xml:space="preserve"> </w:t>
      </w:r>
      <w:r>
        <w:t>r</w:t>
      </w:r>
      <w:r>
        <w:t xml:space="preserve"> </w:t>
      </w:r>
      <w:r>
        <w:t>和</w:t>
      </w:r>
      <w:r>
        <w:t xml:space="preserve"> </w:t>
      </w:r>
      <w:r>
        <w:t>克</w:t>
      </w:r>
      <w:r>
        <w:t xml:space="preserve"> </w:t>
      </w:r>
      <w:r>
        <w:t>是财政政策通过其对均衡多重性和资本配置的影响而形成的内生变量。观察</w:t>
      </w:r>
      <w:r>
        <w:t xml:space="preserve"> </w:t>
      </w:r>
      <w:r>
        <w:t>r</w:t>
      </w:r>
      <w:r>
        <w:t xml:space="preserve"> </w:t>
      </w:r>
      <w:r>
        <w:t>&lt;</w:t>
      </w:r>
      <w:r>
        <w:t xml:space="preserve"> </w:t>
      </w:r>
      <w:r>
        <w:t>克</w:t>
      </w:r>
      <w:r>
        <w:t xml:space="preserve"> </w:t>
      </w:r>
      <w:r>
        <w:t>可以表明持续的政府赤字已经产生了多重稳态，经济已经收敛到稳定的低效率均衡。由于企业家具有异质性，该模型的实际利率可以作为投资效率的筛选工具。因果关系从财政制度到均衡选择和结果：财政盈余消除了均衡多重性并锚定了维持独特的高生产率均衡的预期，从而使亚历山大·汉密尔顿的问题合理化。</w:t>
      </w:r>
    </w:p>
    <w:p>
      <w:pPr>
        <w:spacing w:before="0" w:after="200" w:lineRule="auto" w:line="276"/>
      </w:pPr>
      <w:r>
        <w:rPr>
          <w:b/>
        </w:rPr>
        <w:t xml:space="preserve">Abstract (EN): </w:t>
      </w:r>
      <w:r>
        <w:t>We challenge a recently popular view that a negative interest-growth rate gap (</w:t>
      </w:r>
      <w:r>
        <w:t xml:space="preserve"> </w:t>
      </w:r>
      <w:r>
        <w:t>r</w:t>
      </w:r>
      <w:r>
        <w:t xml:space="preserve"> </w:t>
      </w:r>
      <w:r>
        <w:t>&amp;lt;</w:t>
      </w:r>
      <w:r>
        <w:t xml:space="preserve"> </w:t>
      </w:r>
      <w:r>
        <w:t>g</w:t>
      </w:r>
      <w:r>
        <w:t xml:space="preserve"> </w:t>
      </w:r>
      <w:r>
        <w:t>) offers a “free lunch” for debt-financed government spending by formulating a model in which</w:t>
      </w:r>
      <w:r>
        <w:t xml:space="preserve"> </w:t>
      </w:r>
      <w:r>
        <w:t>r</w:t>
      </w:r>
      <w:r>
        <w:t xml:space="preserve"> </w:t>
      </w:r>
      <w:r>
        <w:t>and</w:t>
      </w:r>
      <w:r>
        <w:t xml:space="preserve"> </w:t>
      </w:r>
      <w:r>
        <w:t>g</w:t>
      </w:r>
      <w:r>
        <w:t xml:space="preserve"> </w:t>
      </w:r>
      <w:r>
        <w:t>are endogenous variables shaped by fiscal policy through its effects on equilibrium multiplicity and capital allocation. Observing</w:t>
      </w:r>
      <w:r>
        <w:t xml:space="preserve"> </w:t>
      </w:r>
      <w:r>
        <w:t>r</w:t>
      </w:r>
      <w:r>
        <w:t xml:space="preserve"> </w:t>
      </w:r>
      <w:r>
        <w:t>&amp;lt;</w:t>
      </w:r>
      <w:r>
        <w:t xml:space="preserve"> </w:t>
      </w:r>
      <w:r>
        <w:t>g</w:t>
      </w:r>
      <w:r>
        <w:t xml:space="preserve"> </w:t>
      </w:r>
      <w:r>
        <w:t>can signal that sustained government deficits have generated multiple steady states, and the economy has converged to a stable low-efficiency equilibrium. With its heterogeneous entrepreneurs, the model’s real interest rate serves as a screening device for investment efficiency. Causation runs from the fiscal regime to equilibrium selection and outcomes: Fiscal surpluses eliminate equilibrium multiplicity and anchor expectations that sustain a unique, high-productivity equilibrium, thereby rationalizing Alexander Hamilton’s characterization of “debt as a blessing.” Persistent deficits can push the economy into a “misallocation trap” characterized by scarce safe assets, low interest rates, survival of inefficient firms, depressed aggregate productivity, and self-validating low growth. Thus, costs of debt-financed fiscal deficits consist not only of deferred taxes, but also of permanently lower national productive capacity.</w:t>
      </w:r>
    </w:p>
    <w:p>
      <w:pPr>
        <w:spacing w:before="120" w:after="120"/>
      </w:pPr>
      <w:r>
        <w:rPr>
          <w:sz w:val="18"/>
        </w:rPr>
        <w:t>——————————————————————————————————————————————————————————————————————</w:t>
      </w:r>
    </w:p>
    <w:p>
      <w:pPr>
        <w:spacing w:before="160" w:after="40" w:line="240" w:lineRule="auto"/>
      </w:pPr>
      <w:r>
        <w:rPr>
          <w:b/>
        </w:rPr>
        <w:t xml:space="preserve">[236] </w:t>
      </w:r>
      <w:hyperlink r:id="rId589">
        <w:r>
          <w:rPr>
            <w:color w:val="1155CC"/>
            <w:u w:val="single"/>
          </w:rPr>
          <w:t>中心体中枢统一了 NLRP3 炎症小体激活的调节因子</w:t>
        </w:r>
      </w:hyperlink>
    </w:p>
    <w:p>
      <w:pPr>
        <w:spacing w:before="0" w:after="80"/>
      </w:pPr>
      <w:r>
        <w:rPr>
          <w:i/>
          <w:sz w:val="20"/>
        </w:rPr>
        <w:t>EN: The centrosomal hub unifies regulatory factors of NLRP3 inflammasome activation</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590">
        <w:r>
          <w:rPr>
            <w:color w:val="1155CC"/>
            <w:u w:val="single"/>
          </w:rPr>
          <w:t>10.1073/pnas.2612800123</w:t>
        </w:r>
      </w:hyperlink>
    </w:p>
    <w:p>
      <w:pPr>
        <w:spacing w:before="0" w:after="120"/>
      </w:pPr>
      <w:r>
        <w:rPr>
          <w:b/>
        </w:rPr>
        <w:t xml:space="preserve">Notes: </w:t>
      </w:r>
      <w:r>
        <w:t>abstract_source=crossref</w:t>
      </w:r>
    </w:p>
    <w:p>
      <w:pPr>
        <w:spacing w:before="0" w:after="80" w:lineRule="auto" w:line="276"/>
      </w:pPr>
      <w:r>
        <w:rPr>
          <w:b/>
        </w:rPr>
        <w:t xml:space="preserve">摘要（ZH）: </w:t>
      </w:r>
      <w:r>
        <w:t>NLRP3 炎症小体是宿主防御和无菌炎症的核心，并在微管组织中心（也称为中心体）形成凝聚物，尽管调节这一过程的机制仍不清楚。在这里，我们定义了微管运输、中心体激酶 NEK7、启动和 NLRP3 丰度之间的功能关系。我们发现微管依赖性运输是 NEK7 依赖性 NLRP3 激活所必需的，并促进 NEK7 到达中心粒周围材料（PCM）。微管、引发和 NEK7 协同聚合 PCM 丰度，从而为 NLRP3 凝聚和炎性小体组装创造一个宽松的中心体环境。 NLRP3 表达升高补偿了有限的 PCM 丰度，呈现 K</w:t>
      </w:r>
      <w:r>
        <w:t xml:space="preserve"> </w:t>
      </w:r>
      <w:r>
        <w:t>+</w:t>
      </w:r>
      <w:r>
        <w:t xml:space="preserve"> </w:t>
      </w:r>
      <w:r>
        <w:t>外排诱导的激活独立于人和小鼠巨噬细胞中的 NEK7 和启动。相比之下，NLRP3 过表达仅部分绕过 NEK7 依赖以响应 K</w:t>
      </w:r>
      <w:r>
        <w:t xml:space="preserve"> </w:t>
      </w:r>
      <w:r>
        <w:t>+</w:t>
      </w:r>
      <w:r>
        <w:t xml:space="preserve"> </w:t>
      </w:r>
      <w:r>
        <w:t>外排独立的刺激咪喹莫特，可能是由于其激活数量有限的非反式高尔基体网络池 NLRP3。总之，这些发现定义了一种保守的空间机制，其中微管运输、NEK7 定位、启动和 NLRP3 丰度在 PCM 上整合，以建立跨物种和刺激的 NLRP3 炎性体信号传导的激活阈值和强度。</w:t>
      </w:r>
    </w:p>
    <w:p>
      <w:pPr>
        <w:spacing w:before="0" w:after="200" w:lineRule="auto" w:line="276"/>
      </w:pPr>
      <w:r>
        <w:rPr>
          <w:b/>
        </w:rPr>
        <w:t xml:space="preserve">Abstract (EN): </w:t>
      </w:r>
      <w:r>
        <w:t>The NLRP3 inflammasome is central to host defense and sterile inflammation and forms condensates at the microtubule-organizing center (also known as the centrosome), although the mechanisms regulating this process remain unclear. Here we define a functional relationship among microtubule transport, the centrosomal kinase NEK7, priming, and NLRP3 abundance. We show that microtubule-dependent transport is required for NEK7-dependent NLRP3 activation and promotes NEK7 to the pericentriolar material (PCM). Microtubules, priming, and NEK7 synergistically converge on PCM abundance, thereby creating a permissive centrosomal environment for NLRP3 condensation and inflammasome assembly. Elevated NLRP3 expression compensates for limited PCM abundance, rendering K</w:t>
      </w:r>
      <w:r>
        <w:t xml:space="preserve"> </w:t>
      </w:r>
      <w:r>
        <w:t>+</w:t>
      </w:r>
      <w:r>
        <w:t xml:space="preserve"> </w:t>
      </w:r>
      <w:r>
        <w:t>efflux-induced activation independent of both NEK7 and priming in human and mouse macrophages. By contrast, NLRP3 overexpression only partially bypasses NEK7 dependence in response to the K</w:t>
      </w:r>
      <w:r>
        <w:t xml:space="preserve"> </w:t>
      </w:r>
      <w:r>
        <w:t>+</w:t>
      </w:r>
      <w:r>
        <w:t xml:space="preserve"> </w:t>
      </w:r>
      <w:r>
        <w:t>efflux-independent stimulus imiquimod, likely due to its activation of a non-trans-Golgi network pool of NLRP3 that is quantitatively limited. Together, these findings define a conserved spatial mechanism in which microtubule transport, NEK7 localization, priming, and NLRP3 abundance integrate at the PCM to establish the activation threshold and magnitude of NLRP3 inflammasome signaling across species and stimuli.</w:t>
      </w:r>
    </w:p>
    <w:p>
      <w:pPr>
        <w:spacing w:before="120" w:after="120"/>
      </w:pPr>
      <w:r>
        <w:rPr>
          <w:sz w:val="18"/>
        </w:rPr>
        <w:t>——————————————————————————————————————————————————————————————————————</w:t>
      </w:r>
    </w:p>
    <w:p>
      <w:pPr>
        <w:spacing w:before="160" w:after="40" w:line="240" w:lineRule="auto"/>
      </w:pPr>
      <w:r>
        <w:rPr>
          <w:b/>
        </w:rPr>
        <w:t xml:space="preserve">[237] </w:t>
      </w:r>
      <w:hyperlink r:id="rId591">
        <w:r>
          <w:rPr>
            <w:color w:val="1155CC"/>
            <w:u w:val="single"/>
          </w:rPr>
          <w:t>“高熵 + 稀释”设计策略可提供 77 至 1,373 K 的坚固且具有延展性的耐火合金</w:t>
        </w:r>
      </w:hyperlink>
    </w:p>
    <w:p>
      <w:pPr>
        <w:spacing w:before="0" w:after="80"/>
      </w:pPr>
      <w:r>
        <w:rPr>
          <w:i/>
          <w:sz w:val="20"/>
        </w:rPr>
        <w:t>EN: A “high-entropy + dilute” design strategy delivers a strong and ductile refractory alloy from 77 to 1,373 K</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592">
        <w:r>
          <w:rPr>
            <w:color w:val="1155CC"/>
            <w:u w:val="single"/>
          </w:rPr>
          <w:t>10.1073/pnas.2611876123</w:t>
        </w:r>
      </w:hyperlink>
    </w:p>
    <w:p>
      <w:pPr>
        <w:spacing w:before="0" w:after="120"/>
      </w:pPr>
      <w:r>
        <w:rPr>
          <w:b/>
        </w:rPr>
        <w:t xml:space="preserve">Notes: </w:t>
      </w:r>
      <w:r>
        <w:t>abstract_source=crossref</w:t>
      </w:r>
    </w:p>
    <w:p>
      <w:pPr>
        <w:spacing w:before="0" w:after="80" w:lineRule="auto" w:line="276"/>
      </w:pPr>
      <w:r>
        <w:rPr>
          <w:b/>
        </w:rPr>
        <w:t xml:space="preserve">摘要（ZH）: </w:t>
      </w:r>
      <w:r>
        <w:t>耐火高熵合金 (RHEA) 是极端温度结构应用的理想选择，但强化单相体心立方 (BCC) RHEA 通常会损害延展性，并且在其广阔的成分空间中进行系统优化仍然具有挑战性。在这项工作中，我们引入了一种“高熵+稀释”设计策略，将集中的高熵基体与目标稀释微合金化相结合。我们进一步将这个概念细化为相反特征应变溶质配对规则，其中具有相反符号局部体积应变的溶质被组合以协同放大晶格畸变。具体来说，添加 1.5 at.% 替代 Re（局部收缩）和 0.3 at.% 填隙 B（局部膨胀）共同将局部晶格畸变放大约 20%，同时保持化学均匀的单相固溶体。该策略将室温屈服强度提高了 34% 以上，同时保持了延展性，在 77 至 1,373 K 的异常宽的温度范围内保持了强度优势。从机制上讲，放大的晶格畸变同时改变了扭结对介导的螺杆滑移并加强了边缘段的溶质钉扎，从而减少了螺杆边缘迁移率失配并促进了协调的位错倍增和存储。这些发现将相反特征应变溶质配对作为一种机械基础的微合金化策略，用于在极端温度下强化单相 BCC RHEA。</w:t>
      </w:r>
    </w:p>
    <w:p>
      <w:pPr>
        <w:spacing w:before="0" w:after="200" w:lineRule="auto" w:line="276"/>
      </w:pPr>
      <w:r>
        <w:rPr>
          <w:b/>
        </w:rPr>
        <w:t xml:space="preserve">Abstract (EN): </w:t>
      </w:r>
      <w:r>
        <w:t>Refractory high-entropy alloys (RHEAs) are ideal for extreme-temperature structural applications, but strengthening single-phase body-centered cubic (BCC) RHEAs typically compromises ductility, and systematic optimization across their vast compositional space remains challenging. In this work, we introduce a “high-entropy + dilute” design strategy that integrates concentrated high-entropy matrices with targeted dilute microalloying. We further refine this concept into an opposite-eigenstrain solute-pairing rule, in which solutes with opposite-sign local volumetric strains are combined to cooperatively amplify lattice distortion. Specifically, adding 1.5 at.% substitutional Re (local contraction) and 0.3 at.% interstitial B (local expansion) cooperatively amplifies local lattice distortion by approximately 20%, while maintaining a chemically homogeneous single-phase solid solution. This strategy raises the room-temperature yield strength by more than 34% while maintaining ductility, with the strength advantage sustained across an unusually wide temperature range from 77 to 1,373 K. Mechanistically, the amplified lattice distortion simultaneously modifies kink-pair-mediated screw glide and strengthens solute pinning of edge segments, thereby reducing screw-edge mobility mismatch and promoting coordinated dislocation multiplication and storage. These findings establish opposite-eigenstrain solute pairing as a mechanistically grounded microalloying strategy for strengthening single-phase BCC RHEAs across extreme temperatures.</w:t>
      </w:r>
    </w:p>
    <w:p>
      <w:pPr>
        <w:spacing w:before="120" w:after="120"/>
      </w:pPr>
      <w:r>
        <w:rPr>
          <w:sz w:val="18"/>
        </w:rPr>
        <w:t>——————————————————————————————————————————————————————————————————————</w:t>
      </w:r>
    </w:p>
    <w:p>
      <w:pPr>
        <w:spacing w:before="160" w:after="40" w:line="240" w:lineRule="auto"/>
      </w:pPr>
      <w:r>
        <w:rPr>
          <w:b/>
        </w:rPr>
        <w:t xml:space="preserve">[238] </w:t>
      </w:r>
      <w:hyperlink r:id="rId593">
        <w:r>
          <w:rPr>
            <w:color w:val="1155CC"/>
            <w:u w:val="single"/>
          </w:rPr>
          <w:t>同类相食的权衡：为什么人类同类相食会出现以及为什么禁忌会抑制它</w:t>
        </w:r>
      </w:hyperlink>
    </w:p>
    <w:p>
      <w:pPr>
        <w:spacing w:before="0" w:after="80"/>
      </w:pPr>
      <w:r>
        <w:rPr>
          <w:i/>
          <w:sz w:val="20"/>
        </w:rPr>
        <w:t>EN: The cannibalistic trade-off: Why human cannibalism emerges and why taboos suppress it</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594">
        <w:r>
          <w:rPr>
            <w:color w:val="1155CC"/>
            <w:u w:val="single"/>
          </w:rPr>
          <w:t>10.1073/pnas.2605120123</w:t>
        </w:r>
      </w:hyperlink>
    </w:p>
    <w:p>
      <w:pPr>
        <w:spacing w:before="0" w:after="120"/>
      </w:pPr>
      <w:r>
        <w:rPr>
          <w:b/>
        </w:rPr>
        <w:t xml:space="preserve">Notes: </w:t>
      </w:r>
      <w:r>
        <w:t>abstract_source=crossref</w:t>
      </w:r>
    </w:p>
    <w:p>
      <w:pPr>
        <w:spacing w:before="0" w:after="80" w:lineRule="auto" w:line="276"/>
      </w:pPr>
      <w:r>
        <w:rPr>
          <w:b/>
        </w:rPr>
        <w:t xml:space="preserve">摘要（ZH）: </w:t>
      </w:r>
      <w:r>
        <w:t>同类相食是人类社会中最普遍的禁忌之一，但考古、人种学和历史证据表明，同类相食在人类群体中反复出现。这种反复出现的做法和持续禁止的并存提出了一个基本问题：食人行为何时变得适应性强，以及什么机制导致其受到抑制？我们使用正式模型来解决这个问题，该模型将同类相​​食视为一种潜在的食物来源，受到能量效益和多种成本来源的影响。营养增益是使用热量摄入的饱和函数来建模的，而成本则来自获取、消化和感染。感染成本被表示为一个随机过程，其平均值随着营养传播链的长度而增加，捕获了与物种内重复消费相关的风险。分析食物供应水平和同类相食秩序之间的预期能量平衡，揭示了同类相食产生积极预期平衡的狭隘生态条件和强烈不利于同类相食的更广泛条件。该模型通过指定边界条件并确定预计发生不同形式的同类相食的最可能的生态情景，为解释考古和人种学发现提供了一个框架。结果预测，在资源极度匮乏的情况下，当获取成本较低且感染风险受到限制时，食人行为最有可能出现，而持续的食人行为由于病毒升级而迅速变得不可行。</w:t>
      </w:r>
    </w:p>
    <w:p>
      <w:pPr>
        <w:spacing w:before="0" w:after="200" w:lineRule="auto" w:line="276"/>
      </w:pPr>
      <w:r>
        <w:rPr>
          <w:b/>
        </w:rPr>
        <w:t xml:space="preserve">Abstract (EN): </w:t>
      </w:r>
      <w:r>
        <w:t>Cannibalism is among the most widespread taboos in human societies, yet archaeological, ethnographic, and historical evidence indicates that it has repeatedly emerged across human populations. This coexistence of recurrent practice and persistent prohibition raises a fundamental question: when does cannibalism become adaptive, and what mechanisms lead to its suppression? We address this problem using a formal model that treats cannibalism as a potential food source subject to energetic benefits and multiple sources of cost. Nutritional gains are modeled using a saturating function of caloric intake, while costs arise from acquisition, digestion, and infection. Infection costs are represented as a stochastic process whose mean increases with the length of the trophic transmission chain, capturing the risks associated with repeated within-species consumption. Analyzing the expected energetic balance across levels of food availability and cannibalism order reveals narrow ecological conditions in which cannibalism yields a positive expected balance and broader conditions in which it is strongly disfavored. The model provides a framework for interpreting archaeological and ethnographic findings by specifying boundary conditions and identifying the most probable ecological scenarios under which different forms of cannibalism are expected to occur. The results predict that cannibalism is most likely to emerge under extreme resource scarcity, when acquisition costs are low and infection risks are constrained, while sustained cannibalism rapidly becomes unviable due to escalating infection costs. Overall, the findings suggest that cannibalism is best understood as a conditional trade-off rather than a behavioral anomaly, with cultural taboos functioning as adaptive responses to nonlinear epidemiological risks.</w:t>
      </w:r>
    </w:p>
    <w:p>
      <w:pPr>
        <w:spacing w:before="120" w:after="120"/>
      </w:pPr>
      <w:r>
        <w:rPr>
          <w:sz w:val="18"/>
        </w:rPr>
        <w:t>——————————————————————————————————————————————————————————————————————</w:t>
      </w:r>
    </w:p>
    <w:p>
      <w:pPr>
        <w:spacing w:before="160" w:after="40" w:line="240" w:lineRule="auto"/>
      </w:pPr>
      <w:r>
        <w:rPr>
          <w:b/>
        </w:rPr>
        <w:t xml:space="preserve">[239] </w:t>
      </w:r>
      <w:hyperlink r:id="rId595">
        <w:r>
          <w:rPr>
            <w:color w:val="1155CC"/>
            <w:u w:val="single"/>
          </w:rPr>
          <w:t>长期太空飞行后的女性生殖功能障碍和跨代后果</w:t>
        </w:r>
      </w:hyperlink>
    </w:p>
    <w:p>
      <w:pPr>
        <w:spacing w:before="0" w:after="80"/>
      </w:pPr>
      <w:r>
        <w:rPr>
          <w:i/>
          <w:sz w:val="20"/>
        </w:rPr>
        <w:t>EN: Female reproductive dysfunction and transgenerational consequences following prolonged spaceflight exposure</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596">
        <w:r>
          <w:rPr>
            <w:color w:val="1155CC"/>
            <w:u w:val="single"/>
          </w:rPr>
          <w:t>10.1073/pnas.2606092123</w:t>
        </w:r>
      </w:hyperlink>
    </w:p>
    <w:p>
      <w:pPr>
        <w:spacing w:before="0" w:after="120"/>
      </w:pPr>
      <w:r>
        <w:rPr>
          <w:b/>
        </w:rPr>
        <w:t xml:space="preserve">Notes: </w:t>
      </w:r>
      <w:r>
        <w:t>abstract_source=crossref</w:t>
      </w:r>
    </w:p>
    <w:p>
      <w:pPr>
        <w:spacing w:before="0" w:after="80" w:lineRule="auto" w:line="276"/>
      </w:pPr>
      <w:r>
        <w:rPr>
          <w:b/>
        </w:rPr>
        <w:t xml:space="preserve">摘要（ZH）: </w:t>
      </w:r>
      <w:r>
        <w:t>太空飞行给人类探索月球、火星及其他地方带来了独特的重力、辐射和隔离危险，但其对女性生殖系统和后代的影响在很大程度上尚未得到评估。在 NASA Rodent Research 20 任务中，我们研究了 42 天的太空飞行对女性生殖轴的影响，包括排卵能力、着床率和繁殖力，以及 F1 和 F2 后代的行为、代谢和功能结果。返回地球后 5 天繁殖的雌性怀孕了，但与地面对照相比，其繁殖力仅略有下降。相比之下，与对照母鼠的 F1 后代相比，航天母鼠的 F1 后代表现出显着的生长、功能和行为差异。此外，来自航天大坝的F1雌性后代表现出卵巢储备下降，表现为生命早期（21天）抗苗勒氏管激素水平降低，以及卵巢过早衰竭或早期丧失生育能力，表现为9个月内雌性产仔数和幼崽总数的减少。引人注目的是，在航天祖父的 F2 幼崽中也观察到跨代代谢和生殖紊乱，包括卵巢储备持续减少，这表明生殖系水平的影响。这些发现共同揭示了航天对女性生殖系统及其后代的重大短期和长期影响，证明了孕产妇航天实验后生殖脆弱性的生物传播</w:t>
      </w:r>
    </w:p>
    <w:p>
      <w:pPr>
        <w:spacing w:before="0" w:after="200" w:lineRule="auto" w:line="276"/>
      </w:pPr>
      <w:r>
        <w:rPr>
          <w:b/>
        </w:rPr>
        <w:t xml:space="preserve">Abstract (EN): </w:t>
      </w:r>
      <w:r>
        <w:t>Spaceflight presents unique gravitational, radiation, and isolation hazards for human exploration of the Moon, Mars, and beyond, yet its impact on the female reproductive system and successive generations has been largely unassessed. In the NASA Rodent Research 20 mission, we examined the impact of a 42-d spaceflight on the female reproductive axis including ovulatory capacity, implantation rate, and fecundity as well as behavioral, metabolic, and functional outcomes in F1 and F2 offspring. Females bred 5 d after return to Earth became pregnant but only exhibited a slight decline in fecundity compared to ground controls. In contrast, F1 offspring from spaceflight dams exhibited marked growth, functional, and behavioral differences compared to F1 offspring from control dams. Moreover, F1 female offspring from spaceflight dams exhibited decreased ovarian reserves as evidenced by reduced anti-Mullerian hormone levels early in life (21 d of age) and premature ovarian failure or an early loss in fertility, as indicated by reduced numbers of litters and total number of pups born to females over a 9-mo period. Strikingly, transgenerational metabolic and reproductive disturbances were also observed in F2 pups of spaceflight granddams, including persistent reductions in ovarian reserve, suggesting germline-level effects. Together these findings reveal significant short- and long-term impacts of spaceflight on the female reproductive system and on their offspring across generations, demonstrating biological transmission of reproductive vulnerability following maternal spaceflight exposure, and raising concerns for space travelers and colonization missions.</w:t>
      </w:r>
    </w:p>
    <w:p>
      <w:pPr>
        <w:spacing w:before="120" w:after="120"/>
      </w:pPr>
      <w:r>
        <w:rPr>
          <w:sz w:val="18"/>
        </w:rPr>
        <w:t>——————————————————————————————————————————————————————————————————————</w:t>
      </w:r>
    </w:p>
    <w:p>
      <w:pPr>
        <w:spacing w:before="160" w:after="40" w:line="240" w:lineRule="auto"/>
      </w:pPr>
      <w:r>
        <w:rPr>
          <w:b/>
        </w:rPr>
        <w:t xml:space="preserve">[240] </w:t>
      </w:r>
      <w:hyperlink r:id="rId597">
        <w:r>
          <w:rPr>
            <w:color w:val="1155CC"/>
            <w:u w:val="single"/>
          </w:rPr>
          <w:t>宏观连续时空晶体的三阶段熔化</w:t>
        </w:r>
      </w:hyperlink>
    </w:p>
    <w:p>
      <w:pPr>
        <w:spacing w:before="0" w:after="80"/>
      </w:pPr>
      <w:r>
        <w:rPr>
          <w:i/>
          <w:sz w:val="20"/>
        </w:rPr>
        <w:t>EN: Three-stage melting of a macroscopic continuous spacetime crystal</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598">
        <w:r>
          <w:rPr>
            <w:color w:val="1155CC"/>
            <w:u w:val="single"/>
          </w:rPr>
          <w:t>10.1073/pnas.2613063123</w:t>
        </w:r>
      </w:hyperlink>
    </w:p>
    <w:p>
      <w:pPr>
        <w:spacing w:before="0" w:after="120"/>
      </w:pPr>
      <w:r>
        <w:rPr>
          <w:b/>
        </w:rPr>
        <w:t xml:space="preserve">Notes: </w:t>
      </w:r>
      <w:r>
        <w:t>abstract_source=crossref</w:t>
      </w:r>
    </w:p>
    <w:p>
      <w:pPr>
        <w:spacing w:before="0" w:after="80" w:lineRule="auto" w:line="276"/>
      </w:pPr>
      <w:r>
        <w:rPr>
          <w:b/>
        </w:rPr>
        <w:t xml:space="preserve">摘要（ZH）: </w:t>
      </w:r>
      <w:r>
        <w:t>时空晶体是一种在空间和时间上自发形成周期性秩序的物质相。时空晶体已在微观量子多体系统中以及最近在介观向列液晶中被实验观察到。然而，时空晶体的熔化过程及其潜在的物理机制尚未得到实验报道。在这里，我们在桌面实验中使用 2 + 1 时空维度的宏观活性颗粒盘直接观察经典的连续时空晶体熔化。时空晶体的特点是自发形成二维三角晶格的连贯刚体旋转，这种旋转可以持续几乎一天，并且对噪声具有非常强的鲁棒性。通过调整圆盘堆积分数，我们观察到一个复杂的三阶段熔化过程，涉及空间六方相和多个共存区域。重要的是，我们表明，空间和时间晶体秩序通过不同的机制分别融化：空间秩序因拓扑缺陷的扩散而被破坏，而时间秩序因多体相互作用的逐渐减弱而导致方向持久性的衰减而丢失。我们的结果表明，空间和时间平移对称性的自发破缺可以被解耦，从而导致奇异的物质的不平衡经典相的出现。</w:t>
      </w:r>
    </w:p>
    <w:p>
      <w:pPr>
        <w:spacing w:before="0" w:after="200" w:lineRule="auto" w:line="276"/>
      </w:pPr>
      <w:r>
        <w:rPr>
          <w:b/>
        </w:rPr>
        <w:t xml:space="preserve">Abstract (EN): </w:t>
      </w:r>
      <w:r>
        <w:t>A spacetime crystal is a phase of matter that spontaneously develops periodic order in both space and time. Spacetime crystals have been experimentally observed in microscopic quantum many-body systems and, very recently, in a mesoscopic nematic liquid crystal. However, the melting process of a spacetime crystal and its underlying physical mechanisms have not yet been experimentally reported. Here, we present a direct observation of a classical continuous spacetime crystal melting in a table-top experiment with macroscopic active granular disks in 2 + 1 spacetime dimensions. The spacetime crystal is characterized by the spontaneous formation of a coherent, rigid-body rotation of a 2D triangular lattice that persists for almost a day and remains remarkably robust to noise. By tuning the disk packing fraction, we observe a complex three-stage melting process involving a spatially hexatic phase and multiple coexistence regions. Importantly, we show that spatial and temporal crystalline orders melt separately through distinct mechanisms: Spatial order is destroyed by the proliferation of topological defects, while temporal order is lost through the decay of directional persistence caused by the progressive weakening of many-body interactions. Our results demonstrate that the spontaneous breaking of spatial and temporal translational symmetries can be decoupled, leading to the emergence of exotic out-of-equilibrium classical phases of matter.</w:t>
      </w:r>
    </w:p>
    <w:p>
      <w:pPr>
        <w:spacing w:before="120" w:after="120"/>
      </w:pPr>
      <w:r>
        <w:rPr>
          <w:sz w:val="18"/>
        </w:rPr>
        <w:t>——————————————————————————————————————————————————————————————————————</w:t>
      </w:r>
    </w:p>
    <w:p>
      <w:pPr>
        <w:spacing w:before="160" w:after="40" w:line="240" w:lineRule="auto"/>
      </w:pPr>
      <w:r>
        <w:rPr>
          <w:b/>
        </w:rPr>
        <w:t xml:space="preserve">[241] </w:t>
      </w:r>
      <w:hyperlink r:id="rId599">
        <w:r>
          <w:rPr>
            <w:color w:val="1155CC"/>
            <w:u w:val="single"/>
          </w:rPr>
          <w:t>监测战区主要生物多样性据点：模型预测乍得湖仍然是非洲最重要的水鸟湿地</w:t>
        </w:r>
      </w:hyperlink>
    </w:p>
    <w:p>
      <w:pPr>
        <w:spacing w:before="0" w:after="80"/>
      </w:pPr>
      <w:r>
        <w:rPr>
          <w:i/>
          <w:sz w:val="20"/>
        </w:rPr>
        <w:t>EN: Monitoring major biodiversity stronghold in war zones: Model predicts Lake Chad remains Africa’s most important wetland for waterbirds</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600">
        <w:r>
          <w:rPr>
            <w:color w:val="1155CC"/>
            <w:u w:val="single"/>
          </w:rPr>
          <w:t>10.1073/pnas.2603538123</w:t>
        </w:r>
      </w:hyperlink>
    </w:p>
    <w:p>
      <w:pPr>
        <w:spacing w:before="0" w:after="120"/>
      </w:pPr>
      <w:r>
        <w:rPr>
          <w:b/>
        </w:rPr>
        <w:t xml:space="preserve">Notes: </w:t>
      </w:r>
      <w:r>
        <w:t>abstract_source=crossref</w:t>
      </w:r>
    </w:p>
    <w:p>
      <w:pPr>
        <w:spacing w:before="0" w:after="80" w:lineRule="auto" w:line="276"/>
      </w:pPr>
      <w:r>
        <w:rPr>
          <w:b/>
        </w:rPr>
        <w:t xml:space="preserve">摘要（ZH）: </w:t>
      </w:r>
      <w:r>
        <w:t>乍得湖既是非洲最大的跨境湿地之一，也是主要的生物多样性热点地区。因此，乍得湖需要健全和长期的生物多样性监测，但它也是一个战区。通过采取多项缓解措施，我们成功地在 2022 年对大部分地区进行了调查，以估计野生动物的丰富程度。这项研究标志着对某些物种的首次全面种群数量估计。与以前的总数方法相比，我们引入了空中距离采样方法，以提高调查安全性、可重复性、估计不确定性并减少检测偏差。由于强烈的安全考虑，该湖的一部分无法进入。为了克服这一限制并估计时间趋势，应用密度表面模型来估计整个湖泊的物种丰度。冲突事件地点出现了多个物种密度较高的地点，这表明存在“庇护效应”，这是冲突地区对野生动物罕见的积极结果。事实上，我们还注意到濒临灭绝的大型哺乳动物种群的持续存在，这可能是由于流离失所社区的人为压力减少所致。结果表明，乍得湖栖息着约 248 万只水鸟，据我们所知，这是非洲已知最重要的湿地鸟类集中地。更新的种群估计显示，一些物种可能经历了积极的趋势。然而，包括跨大陆物种在内的一些物种显示出丰度减少的迹象。该研究敦促采取行动保护这个对全球生物多样性至关重要的生态系统，建议</w:t>
      </w:r>
    </w:p>
    <w:p>
      <w:pPr>
        <w:spacing w:before="0" w:after="200" w:lineRule="auto" w:line="276"/>
      </w:pPr>
      <w:r>
        <w:rPr>
          <w:b/>
        </w:rPr>
        <w:t xml:space="preserve">Abstract (EN): </w:t>
      </w:r>
      <w:r>
        <w:t>Lake Chad is both one of the largest transboundary wetlands in Africa and a major biodiversity hotspot. As such, Lake Chad would require sound and long-term biodiversity monitoring, but it is also a war zone. Using several mitigation measures, we succeeded in surveying a major part of it in 2022 to estimate the abundance of wildlife. This study marked the first comprehensive population estimates for some species. Compared to previous total count approaches, we introduced an aerial distance sampling methodology to improve survey safety, repeatability, estimate uncertainty, and reduce detection bias. Due to strong security concerns, a portion of the lake was inaccessible. To overcome this limitation and estimate temporal trends, density surface modeling was applied to estimate species abundance over the entire lake. Locations of conflict events emerged as sites of higher densities for several species, suggesting a “refuge effect,” a rare positive outcome of conflict zones on wildlife. Indeed, we also noted the persistence of endangered large mammal populations, possibly due to reduced anthropogenic pressure from displaced communities. Results indicated that Lake Chad hosts approximately 2.48 million waterbirds, to our knowledge the most important known wetland bird concentration in Africa. Updated population estimates revealed that some species may have experienced positive trends. However, a few species, including transcontinental ones, showed signs of reduced abundance. The study urges actions to protect this ecosystem of major importance for global biodiversity, recommending the establishment of a protected area and World Heritage status for Lake Chad.</w:t>
      </w:r>
    </w:p>
    <w:p>
      <w:pPr>
        <w:spacing w:before="120" w:after="120"/>
      </w:pPr>
      <w:r>
        <w:rPr>
          <w:sz w:val="18"/>
        </w:rPr>
        <w:t>——————————————————————————————————————————————————————————————————————</w:t>
      </w:r>
    </w:p>
    <w:p>
      <w:pPr>
        <w:spacing w:before="160" w:after="40" w:line="240" w:lineRule="auto"/>
      </w:pPr>
      <w:r>
        <w:rPr>
          <w:b/>
        </w:rPr>
        <w:t xml:space="preserve">[242] </w:t>
      </w:r>
      <w:hyperlink r:id="rId601">
        <w:r>
          <w:rPr>
            <w:color w:val="1155CC"/>
            <w:u w:val="single"/>
          </w:rPr>
          <w:t>1 kHz 帧速率单次宽视场生化成像</w:t>
        </w:r>
      </w:hyperlink>
    </w:p>
    <w:p>
      <w:pPr>
        <w:spacing w:before="0" w:after="80"/>
      </w:pPr>
      <w:r>
        <w:rPr>
          <w:i/>
          <w:sz w:val="20"/>
        </w:rPr>
        <w:t>EN: Single-shot wide-field biochemical imaging at 1 kHz frame rate</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602">
        <w:r>
          <w:rPr>
            <w:color w:val="1155CC"/>
            <w:u w:val="single"/>
          </w:rPr>
          <w:t>10.1073/pnas.2603591123</w:t>
        </w:r>
      </w:hyperlink>
    </w:p>
    <w:p>
      <w:pPr>
        <w:spacing w:before="0" w:after="120"/>
      </w:pPr>
      <w:r>
        <w:rPr>
          <w:b/>
        </w:rPr>
        <w:t xml:space="preserve">Notes: </w:t>
      </w:r>
      <w:r>
        <w:t>abstract_source=crossref</w:t>
      </w:r>
    </w:p>
    <w:p>
      <w:pPr>
        <w:spacing w:before="0" w:after="80" w:lineRule="auto" w:line="276"/>
      </w:pPr>
      <w:r>
        <w:rPr>
          <w:b/>
        </w:rPr>
        <w:t xml:space="preserve">摘要（ZH）: </w:t>
      </w:r>
      <w:r>
        <w:t>振动显微光谱学，包括基于拉曼和基于红外的技术，可以基于分子振动绘制样品的化学分布图，而无需标记。然而，对活体生物体的快速动态成像仍然具有挑战性。为了解决这个问题，我们提出了一种能够单次成像的宽视场红外显微光谱仪，其中每张图像都是用一对持续约一皮秒的激光脉冲捕获的。它最大限度地减少运动模糊，并允许以高达激光重复率的帧速率观察快速动态过程。该方法基于红外谐振三阶和频过程，可将红外光转换为可见信号。我们通过活体单次活体成像展示了这种能力</w:t>
      </w:r>
      <w:r>
        <w:t xml:space="preserve"> </w:t>
      </w:r>
      <w:r>
        <w:t>秀丽隐杆线虫</w:t>
      </w:r>
      <w:r>
        <w:t xml:space="preserve"> </w:t>
      </w:r>
      <w:r>
        <w:t>水中的蠕虫，实现了约 400 nm 的空间分辨率。此外，还使用 ​​kHz 激光系统显示移动蠕虫的 1,000 Hz 单次视频。这种方法为参与快速动态过程的化学成像提供了更多可能性，在化学和生物学领域提供了多样化的应用。</w:t>
      </w:r>
    </w:p>
    <w:p>
      <w:pPr>
        <w:spacing w:before="0" w:after="200" w:lineRule="auto" w:line="276"/>
      </w:pPr>
      <w:r>
        <w:rPr>
          <w:b/>
        </w:rPr>
        <w:t xml:space="preserve">Abstract (EN): </w:t>
      </w:r>
      <w:r>
        <w:t>Vibrational microspectroscopy, including both Raman-based and infrared-based techniques, can map the chemical distribution of samples based on molecular vibrations without labeling. However, imaging fast dynamics in living organisms remains challenging. To address this, we propose a wide-field infrared microspectroscopy capable of single-shot imaging, where each image is captured with a single pair of laser pulses lasting approximately one picosecond. It minimizes motion blur and allows observing fast dynamic processes at frame rates up to the laser repetition rate. This approach is based on the infrared-resonant third-order sum-frequency process, which converts infrared light to visible signals. We demonstrate the capability through single-shot in vivo imaging of alive</w:t>
      </w:r>
      <w:r>
        <w:t xml:space="preserve"> </w:t>
      </w:r>
      <w:r>
        <w:t>Caenorhabditis elegans</w:t>
      </w:r>
      <w:r>
        <w:t xml:space="preserve"> </w:t>
      </w:r>
      <w:r>
        <w:t>worms in water, achieving a spatial resolution of approximately 400 nm. Additionally, 1,000 Hz single-shot videos of moving worms are shown by using a kHz laser system. This approach opens more possibilities for imaging chemicals involved in fast dynamic processes, offering diverse applications in both chemistry and biology.</w:t>
      </w:r>
    </w:p>
    <w:p>
      <w:pPr>
        <w:spacing w:before="120" w:after="120"/>
      </w:pPr>
      <w:r>
        <w:rPr>
          <w:sz w:val="18"/>
        </w:rPr>
        <w:t>——————————————————————————————————————————————————————————————————————</w:t>
      </w:r>
    </w:p>
    <w:p>
      <w:pPr>
        <w:spacing w:before="160" w:after="40" w:line="240" w:lineRule="auto"/>
      </w:pPr>
      <w:r>
        <w:rPr>
          <w:b/>
        </w:rPr>
        <w:t xml:space="preserve">[243] </w:t>
      </w:r>
      <w:hyperlink r:id="rId603">
        <w:r>
          <w:rPr>
            <w:color w:val="1155CC"/>
            <w:u w:val="single"/>
          </w:rPr>
          <w:t>间充质 BMP 信号的表观遗传调控指导出生后器官神经支配</w:t>
        </w:r>
      </w:hyperlink>
    </w:p>
    <w:p>
      <w:pPr>
        <w:spacing w:before="0" w:after="80"/>
      </w:pPr>
      <w:r>
        <w:rPr>
          <w:i/>
          <w:sz w:val="20"/>
        </w:rPr>
        <w:t>EN: Epigenetic regulation of mesenchymal BMP signaling directs postnatal organ innervation</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604">
        <w:r>
          <w:rPr>
            <w:color w:val="1155CC"/>
            <w:u w:val="single"/>
          </w:rPr>
          <w:t>10.1073/pnas.2605881123</w:t>
        </w:r>
      </w:hyperlink>
    </w:p>
    <w:p>
      <w:pPr>
        <w:spacing w:before="0" w:after="120"/>
      </w:pPr>
      <w:r>
        <w:rPr>
          <w:b/>
        </w:rPr>
        <w:t xml:space="preserve">Notes: </w:t>
      </w:r>
      <w:r>
        <w:t>abstract_source=crossref</w:t>
      </w:r>
    </w:p>
    <w:p>
      <w:pPr>
        <w:spacing w:before="0" w:after="80" w:lineRule="auto" w:line="276"/>
      </w:pPr>
      <w:r>
        <w:rPr>
          <w:b/>
        </w:rPr>
        <w:t xml:space="preserve">摘要（ZH）: </w:t>
      </w:r>
      <w:r>
        <w:t>发育中器官的感觉神经支配受到周围组织分泌的分子线索的影响，但协调这种组织间通讯的机制尚不清楚。牙根发育过程中的牙齿神经支配提供了一个有价值的模型，用于研究当神经支配随着牙根形成而开始和进展时，局部间充质线索如何在生理条件下调节轴突生长。在这里，我们确定了在颅神经嵴衍生的牙齿间充质中表达的组蛋白去甲基酶 KDM6B，作为牙齿感觉神经支配的关键外在调节剂。损失</w:t>
      </w:r>
      <w:r>
        <w:t xml:space="preserve"> </w:t>
      </w:r>
      <w:r>
        <w:t>Kdm6b</w:t>
      </w:r>
      <w:r>
        <w:t xml:space="preserve"> </w:t>
      </w:r>
      <w:r>
        <w:t>牙齿间充质中的三叉神经轴突严重损害三叉神经轴突进入牙髓的入口和分支，导致牙根发育缺陷。从机械上讲，损失</w:t>
      </w:r>
      <w:r>
        <w:t xml:space="preserve"> </w:t>
      </w:r>
      <w:r>
        <w:t>Kdm6b</w:t>
      </w:r>
      <w:r>
        <w:t xml:space="preserve"> </w:t>
      </w:r>
      <w:r>
        <w:t>减少骨形态发生蛋白 (BMP) 途径拮抗剂的表达</w:t>
      </w:r>
      <w:r>
        <w:t xml:space="preserve"> </w:t>
      </w:r>
      <w:r>
        <w:t>小鹿斑比</w:t>
      </w:r>
      <w:r>
        <w:t xml:space="preserve"> </w:t>
      </w:r>
      <w:r>
        <w:t>通过调节 H3K27me3 染色质标记，导致 BMP 信号过度激活，从而直接抑制神经生长因子的表达。</w:t>
      </w:r>
      <w:r>
        <w:t xml:space="preserve"> </w:t>
      </w:r>
      <w:r>
        <w:t>神经纤维</w:t>
      </w:r>
      <w:r>
        <w:t xml:space="preserve"> </w:t>
      </w:r>
      <w:r>
        <w:t>）。 NGF 活性受损从而减少了牙根发育过程中感觉轴突延伸的间充质支持。单倍体不足</w:t>
      </w:r>
      <w:r>
        <w:t xml:space="preserve"> </w:t>
      </w:r>
      <w:r>
        <w:t>埃兹2,</w:t>
      </w:r>
      <w:r>
        <w:t xml:space="preserve"> </w:t>
      </w:r>
      <w:r>
        <w:t>这会对抗</w:t>
      </w:r>
      <w:r>
        <w:t xml:space="preserve"> </w:t>
      </w:r>
      <w:r>
        <w:t>Kdm6b</w:t>
      </w:r>
      <w:r>
        <w:t xml:space="preserve"> </w:t>
      </w:r>
      <w:r>
        <w:t>, 或</w:t>
      </w:r>
      <w:r>
        <w:t xml:space="preserve"> </w:t>
      </w:r>
      <w:r>
        <w:t>Bmpr1a,</w:t>
      </w:r>
      <w:r>
        <w:t xml:space="preserve"> </w:t>
      </w:r>
      <w:r>
        <w:t>一个关键的 BMP 受体，部分拯救</w:t>
      </w:r>
      <w:r>
        <w:t xml:space="preserve"> </w:t>
      </w:r>
      <w:r>
        <w:t>神经纤维</w:t>
      </w:r>
    </w:p>
    <w:p>
      <w:pPr>
        <w:spacing w:before="0" w:after="200" w:lineRule="auto" w:line="276"/>
      </w:pPr>
      <w:r>
        <w:rPr>
          <w:b/>
        </w:rPr>
        <w:t xml:space="preserve">Abstract (EN): </w:t>
      </w:r>
      <w:r>
        <w:t>Sensory innervation of developing organs is influenced by molecular cues secreted from surrounding tissues, yet the mechanisms coordinating this tissue–tissue communication are not well understood. Tooth innervation during root development provides a valuable model to investigate how local mesenchymal cues regulate axonal growth under physiological conditions, as innervation begins and progresses alongside tooth root formation. Here we identify the histone demethylase KDM6B, expressed in cranial neural crest-derived dental mesenchyme, as a critical extrinsic regulator of tooth sensory innervation. Loss of</w:t>
      </w:r>
      <w:r>
        <w:t xml:space="preserve"> </w:t>
      </w:r>
      <w:r>
        <w:t>Kdm6b</w:t>
      </w:r>
      <w:r>
        <w:t xml:space="preserve"> </w:t>
      </w:r>
      <w:r>
        <w:t>in dental mesenchyme severely impairs trigeminal axon entry and branching into the dental pulp, leading to tooth root development defects. Mechanistically, loss of</w:t>
      </w:r>
      <w:r>
        <w:t xml:space="preserve"> </w:t>
      </w:r>
      <w:r>
        <w:t>Kdm6b</w:t>
      </w:r>
      <w:r>
        <w:t xml:space="preserve"> </w:t>
      </w:r>
      <w:r>
        <w:t>reduces the expression of bone morphogenetic protein (BMP) pathway antagonist</w:t>
      </w:r>
      <w:r>
        <w:t xml:space="preserve"> </w:t>
      </w:r>
      <w:r>
        <w:t>Bambi</w:t>
      </w:r>
      <w:r>
        <w:t xml:space="preserve"> </w:t>
      </w:r>
      <w:r>
        <w:t>in the dental mesenchyme by modulating H3K27me3 chromatin marks, causing overactivation of BMP signaling, which then directly suppresses the expression of nerve growth factor (</w:t>
      </w:r>
      <w:r>
        <w:t xml:space="preserve"> </w:t>
      </w:r>
      <w:r>
        <w:t>Ngf</w:t>
      </w:r>
      <w:r>
        <w:t xml:space="preserve"> </w:t>
      </w:r>
      <w:r>
        <w:t>). Compromised NGF activity thereby diminishes mesenchymal support for sensory axon extension during tooth root development. Haploinsufficiency of</w:t>
      </w:r>
      <w:r>
        <w:t xml:space="preserve"> </w:t>
      </w:r>
      <w:r>
        <w:t>Ezh2,</w:t>
      </w:r>
      <w:r>
        <w:t xml:space="preserve"> </w:t>
      </w:r>
      <w:r>
        <w:t>which antagonizes</w:t>
      </w:r>
      <w:r>
        <w:t xml:space="preserve"> </w:t>
      </w:r>
      <w:r>
        <w:t>Kdm6b</w:t>
      </w:r>
      <w:r>
        <w:t xml:space="preserve"> </w:t>
      </w:r>
      <w:r>
        <w:t>, or</w:t>
      </w:r>
      <w:r>
        <w:t xml:space="preserve"> </w:t>
      </w:r>
      <w:r>
        <w:t>Bmpr1a,</w:t>
      </w:r>
      <w:r>
        <w:t xml:space="preserve"> </w:t>
      </w:r>
      <w:r>
        <w:t>a key BMP receptor, partially rescues</w:t>
      </w:r>
      <w:r>
        <w:t xml:space="preserve"> </w:t>
      </w:r>
      <w:r>
        <w:t>Ngf</w:t>
      </w:r>
      <w:r>
        <w:t xml:space="preserve"> </w:t>
      </w:r>
      <w:r>
        <w:t>expression, sensory innervation, and tooth root development defects in</w:t>
      </w:r>
      <w:r>
        <w:t xml:space="preserve"> </w:t>
      </w:r>
      <w:r>
        <w:t>Kdm6b</w:t>
      </w:r>
      <w:r>
        <w:t xml:space="preserve"> </w:t>
      </w:r>
      <w:r>
        <w:t>mutants. Together, these findings reveal that epigenetic regulation within mesenchymal cells governs sensory innervation during organogenesis, uncovering important regulatory mechanisms that may inform future strategies for restoring innervation in tissue regenerative approaches.</w:t>
      </w:r>
    </w:p>
    <w:p>
      <w:pPr>
        <w:spacing w:before="120" w:after="120"/>
      </w:pPr>
      <w:r>
        <w:rPr>
          <w:sz w:val="18"/>
        </w:rPr>
        <w:t>——————————————————————————————————————————————————————————————————————</w:t>
      </w:r>
    </w:p>
    <w:p>
      <w:pPr>
        <w:spacing w:before="160" w:after="40" w:line="240" w:lineRule="auto"/>
      </w:pPr>
      <w:r>
        <w:rPr>
          <w:b/>
        </w:rPr>
        <w:t xml:space="preserve">[244] </w:t>
      </w:r>
      <w:hyperlink r:id="rId605">
        <w:r>
          <w:rPr>
            <w:color w:val="1155CC"/>
            <w:u w:val="single"/>
          </w:rPr>
          <w:t>RNA聚合酶抑制剂揭示了核苷酸添加循环所必需的活性位点运动</w:t>
        </w:r>
      </w:hyperlink>
    </w:p>
    <w:p>
      <w:pPr>
        <w:spacing w:before="0" w:after="80"/>
      </w:pPr>
      <w:r>
        <w:rPr>
          <w:i/>
          <w:sz w:val="20"/>
        </w:rPr>
        <w:t>EN: RNA polymerase inhibitors reveal active-site motions essential for the nucleotide addition cycle</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606">
        <w:r>
          <w:rPr>
            <w:color w:val="1155CC"/>
            <w:u w:val="single"/>
          </w:rPr>
          <w:t>10.1073/pnas.2609228123</w:t>
        </w:r>
      </w:hyperlink>
    </w:p>
    <w:p>
      <w:pPr>
        <w:spacing w:before="0" w:after="120"/>
      </w:pPr>
      <w:r>
        <w:rPr>
          <w:b/>
        </w:rPr>
        <w:t xml:space="preserve">Notes: </w:t>
      </w:r>
      <w:r>
        <w:t>abstract_source=crossref</w:t>
      </w:r>
    </w:p>
    <w:p>
      <w:pPr>
        <w:spacing w:before="0" w:after="80" w:lineRule="auto" w:line="276"/>
      </w:pPr>
      <w:r>
        <w:rPr>
          <w:b/>
        </w:rPr>
        <w:t xml:space="preserve">摘要（ZH）: </w:t>
      </w:r>
      <w:r>
        <w:t>多亚基 DNA 依赖性 RNA 聚合酶 (RNAP) 的核苷酸添加循环 (NAC) 涉及保守活性位点结构元件（包括触发环 (TL)）的协调构象变化。 TL 在大多数 RNAP 结构中是开放的（展开），但在 RNAP 的底物结合（易位后或易位前）状态下可以关闭（折叠），从而促进催化。 TL 闭合与另一个保守结构元件 Rim-Helices/F-loop (RH-FL) 的闭合有关，但 RH-FL 在 NAC 中的作用尚不清楚。抗生素先导化合物 CBR9379 和 AAP-SO</w:t>
      </w:r>
      <w:r>
        <w:rPr>
          <w:vertAlign w:val="subscript"/>
        </w:rPr>
        <w:t>2</w:t>
      </w:r>
      <w:r>
        <w:t>抑制</w:t>
      </w:r>
      <w:r>
        <w:t xml:space="preserve"> </w:t>
      </w:r>
      <w:r>
        <w:t>大肠杆菌</w:t>
      </w:r>
      <w:r>
        <w:t xml:space="preserve"> </w:t>
      </w:r>
      <w:r>
        <w:t>和</w:t>
      </w:r>
      <w:r>
        <w:t xml:space="preserve"> </w:t>
      </w:r>
      <w:r>
        <w:t>结核分枝杆菌</w:t>
      </w:r>
      <w:r>
        <w:t xml:space="preserve"> </w:t>
      </w:r>
      <w:r>
        <w:t>RNAPs分别通过结合在由桥螺旋和RH-FL形成的口袋中。这些抑制剂的确切作用机制尚未确定。我们展示的冷冻电镜结构表明，这两种化合物通过阻止 RH-FL 闭合来抑制 RNAP NAC，从而变构地破坏闭合 TL 的稳定性。这项工作揭示了生命各领域 RNAP 催化的保守机制原理，并为抗生素设计提供了见解。</w:t>
      </w:r>
    </w:p>
    <w:p>
      <w:pPr>
        <w:spacing w:before="0" w:after="200" w:lineRule="auto" w:line="276"/>
      </w:pPr>
      <w:r>
        <w:rPr>
          <w:b/>
        </w:rPr>
        <w:t xml:space="preserve">Abstract (EN): </w:t>
      </w:r>
      <w:r>
        <w:t>The nucleotide addition cycle (NAC) of multisubunit DNA-dependent RNA polymerases (RNAPs) involves coordinated conformational changes in conserved active-site structural elements, including the trigger loop (TL). The TL is open (unfolded) in most RNAP structures but can close (fold) in substrate-bound (post- or pretranslocated) states of the RNAP, promoting catalysis. TL closure has been associated with closure of another conserved structural element, the Rim-Helices/F-loop (RH-FL), but the role of the RH-FL in the NAC is unclear. Antibiotic leads CBR9379 and AAP-SO</w:t>
      </w:r>
      <w:r>
        <w:rPr>
          <w:vertAlign w:val="subscript"/>
        </w:rPr>
        <w:t>2</w:t>
      </w:r>
      <w:r>
        <w:t>inhibit the</w:t>
      </w:r>
      <w:r>
        <w:t xml:space="preserve"> </w:t>
      </w:r>
      <w:r>
        <w:t>Escherichia coli</w:t>
      </w:r>
      <w:r>
        <w:t xml:space="preserve"> </w:t>
      </w:r>
      <w:r>
        <w:t>and</w:t>
      </w:r>
      <w:r>
        <w:t xml:space="preserve"> </w:t>
      </w:r>
      <w:r>
        <w:t>Mycobacterium tuberculosis</w:t>
      </w:r>
      <w:r>
        <w:t xml:space="preserve"> </w:t>
      </w:r>
      <w:r>
        <w:t>RNAPs, respectively, by binding in a pocket formed by the bridge helix and RH-FL. The precise mechanism of action for these inhibitors is yet to be defined. We present cryoelectron microscopy structures showing that both compounds inhibit the RNAP NAC by preventing RH-FL closure, thereby allosterically destabilizing the closed TL. This work reveals a conserved mechanistic principle of RNAP catalysis across all domains of life and provides insight for antibiotic design.</w:t>
      </w:r>
    </w:p>
    <w:p>
      <w:pPr>
        <w:spacing w:before="120" w:after="120"/>
      </w:pPr>
      <w:r>
        <w:rPr>
          <w:sz w:val="18"/>
        </w:rPr>
        <w:t>——————————————————————————————————————————————————————————————————————</w:t>
      </w:r>
    </w:p>
    <w:p>
      <w:pPr>
        <w:spacing w:before="160" w:after="40" w:line="240" w:lineRule="auto"/>
      </w:pPr>
      <w:r>
        <w:rPr>
          <w:b/>
        </w:rPr>
        <w:t xml:space="preserve">[245] </w:t>
      </w:r>
      <w:hyperlink r:id="rId607">
        <w:r>
          <w:rPr>
            <w:color w:val="1155CC"/>
            <w:u w:val="single"/>
          </w:rPr>
          <w:t>睡眠节律的分层级联支持运动记忆，并被人类癫痫中的癫痫尖峰劫持</w:t>
        </w:r>
      </w:hyperlink>
    </w:p>
    <w:p>
      <w:pPr>
        <w:spacing w:before="0" w:after="80"/>
      </w:pPr>
      <w:r>
        <w:rPr>
          <w:i/>
          <w:sz w:val="20"/>
        </w:rPr>
        <w:t>EN: A hierarchical cascade of sleep rhythms supports motor memory and is hijacked by epileptic spikes in human epilepsy</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608">
        <w:r>
          <w:rPr>
            <w:color w:val="1155CC"/>
            <w:u w:val="single"/>
          </w:rPr>
          <w:t>10.1073/pnas.2517454123</w:t>
        </w:r>
      </w:hyperlink>
    </w:p>
    <w:p>
      <w:pPr>
        <w:spacing w:before="0" w:after="120"/>
      </w:pPr>
      <w:r>
        <w:rPr>
          <w:b/>
        </w:rPr>
        <w:t xml:space="preserve">Notes: </w:t>
      </w:r>
      <w:r>
        <w:t>abstract_source=crossref</w:t>
      </w:r>
    </w:p>
    <w:p>
      <w:pPr>
        <w:spacing w:before="0" w:after="80" w:lineRule="auto" w:line="276"/>
      </w:pPr>
      <w:r>
        <w:rPr>
          <w:b/>
        </w:rPr>
        <w:t xml:space="preserve">摘要（ZH）: </w:t>
      </w:r>
      <w:r>
        <w:t>睡眠期间缓慢振荡、纺锤波和波纹的跨区域相互作用被认为支持系统记忆巩固，但在人类中的研究仍然不足。使用经过验证的行为任务和 19 名癫痫患者的眶额皮层、丘脑和海马的同步颅内神经记录，我们检查了睡眠振荡（慢速振荡、纺锤形和波纹）与癫痫尖峰的跨区域相互作用，以及它们在运动记忆巩固中的作用。睡眠期间，眶额缓慢振荡有力地调节区域内和区域间的纺锤体和波纹振荡。尽管大多数振荡率组合都可以积极预测运动任务的夜间表现变化，但海马纹波率和耦合的海马-眶额纹波率是受试者中最可靠的预测因子。相比之下，大多数与癫痫尖峰相关的睡眠振荡率是夜间运动能力变化的负面预测因素，而与癫痫尖峰同时发生的缓慢振荡率是受试者之间负面变化的最可靠预测因素。这些发现提供了人类运动记忆处理中睡眠振荡分级级联的直接证据，并揭示了与睡眠振荡相结合的癫痫尖峰会干扰癫痫患者的这一过程。</w:t>
      </w:r>
    </w:p>
    <w:p>
      <w:pPr>
        <w:spacing w:before="0" w:after="200" w:lineRule="auto" w:line="276"/>
      </w:pPr>
      <w:r>
        <w:rPr>
          <w:b/>
        </w:rPr>
        <w:t xml:space="preserve">Abstract (EN): </w:t>
      </w:r>
      <w:r>
        <w:t>The cross-regional interplay of slow oscillations, spindles, and ripples during sleep is believed to support systems memory consolidation but remains understudied in humans. Using a validated behavioral task and simultaneous intracranial neural recordings from the orbitofrontal cortex, thalamus, and hippocampus in 19 patients with epilepsy, we examined the cross-regional interplay of sleep oscillations (slow oscillations, spindles, and ripples), alongside epileptic spikes, and their role in motor memory consolidation. Orbitofrontal slow oscillations robustly modulate spindle and ripple oscillations within and across regions during sleep. Although most combinations of oscillation rates positively predicted overnight performance change in a motor task, hippocampal ripple rate and coupled hippocampal-orbitofrontal ripple rates were the most reliable predictors across subjects. In contrast, rates of most sleep oscillations coupled to epileptic spikes were negative predictors of overnight motor performance change, with the rate of slow oscillations co-occurring with epileptic spikes the most reliable predictors of negative change across subjects. These findings provide direct evidence of a hierarchical cascade of sleep oscillations in human motor memory processing and reveal that epileptic spikes coupled to sleep oscillations interfere with this process in patients with epilepsy.</w:t>
      </w:r>
    </w:p>
    <w:p>
      <w:pPr>
        <w:spacing w:before="120" w:after="120"/>
      </w:pPr>
      <w:r>
        <w:rPr>
          <w:sz w:val="18"/>
        </w:rPr>
        <w:t>——————————————————————————————————————————————————————————————————————</w:t>
      </w:r>
    </w:p>
    <w:p>
      <w:pPr>
        <w:spacing w:before="160" w:after="40" w:line="240" w:lineRule="auto"/>
      </w:pPr>
      <w:r>
        <w:rPr>
          <w:b/>
        </w:rPr>
        <w:t xml:space="preserve">[246] </w:t>
      </w:r>
      <w:hyperlink r:id="rId609">
        <w:r>
          <w:rPr>
            <w:color w:val="1155CC"/>
            <w:u w:val="single"/>
          </w:rPr>
          <w:t>外围天线中的 Lhcf2 对于硅藻 gracilis 中的非光化学猝灭和 Lhcx1 积累至关重要</w:t>
        </w:r>
      </w:hyperlink>
    </w:p>
    <w:p>
      <w:pPr>
        <w:spacing w:before="0" w:after="80"/>
      </w:pPr>
      <w:r>
        <w:rPr>
          <w:i/>
          <w:sz w:val="20"/>
        </w:rPr>
        <w:t>EN: Lhcf2 in the peripheral antenna is essential for nonphotochemical quenching and Lhcx1 accumulation in the diatom Chaetoceros gracilis</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610">
        <w:r>
          <w:rPr>
            <w:color w:val="1155CC"/>
            <w:u w:val="single"/>
          </w:rPr>
          <w:t>10.1073/pnas.2601782123</w:t>
        </w:r>
      </w:hyperlink>
    </w:p>
    <w:p>
      <w:pPr>
        <w:spacing w:before="0" w:after="120"/>
      </w:pPr>
      <w:r>
        <w:rPr>
          <w:b/>
        </w:rPr>
        <w:t xml:space="preserve">Notes: </w:t>
      </w:r>
      <w:r>
        <w:t>abstract_source=crossref</w:t>
      </w:r>
    </w:p>
    <w:p>
      <w:pPr>
        <w:spacing w:before="0" w:after="80" w:lineRule="auto" w:line="276"/>
      </w:pPr>
      <w:r>
        <w:rPr>
          <w:b/>
        </w:rPr>
        <w:t xml:space="preserve">摘要（ZH）: </w:t>
      </w:r>
      <w:r>
        <w:t>光合生物必须不断平衡有效的光捕获和防止过量激发能量的保护，这是非光化学猝灭（NPQ）所面临的挑战。尽管 NPQ 涉及的分子成分已被广泛研究，但重要的能量猝灭位点是如何组装的仍然知之甚少，特别是在海洋硅藻中。在这里，我们表明在中心硅藻中</w:t>
      </w:r>
      <w:r>
        <w:t xml:space="preserve"> </w:t>
      </w:r>
      <w:r>
        <w:t>细角角藻</w:t>
      </w:r>
      <w:r>
        <w:t xml:space="preserve"> </w:t>
      </w:r>
      <w:r>
        <w:t>属于海洋浮游植物中最丰富和多样化的属之一，光捕获复合物 (LHC) 蛋白 Lhcf2 是能量依赖性猝灭 (qE) 所必需的。 Lhcf2 的靶向敲除通过阻止 Lhcx1（该物种中 NPQ 效应子的核心成分）的稳定积累来消除 qE。生化和功能分析表明，Lhcf2 定位于外围天线系统，并在高阶复合体中与 Lhcx1 相关联。相比之下，其他已确定的 NPQ 相关因素，包括跨类囊体质子梯度和二毒黄素的积累，并未受到 Lhcf2 丢失的影响。这些结果确定了非 Lhcx 型 LHC 蛋白是 qE-NPQ 的重要结构成分，并为真核光合作用中光保护性能量猝灭位点的协同组装建立了一般设计原则，对海洋碳固定具有影响。</w:t>
      </w:r>
    </w:p>
    <w:p>
      <w:pPr>
        <w:spacing w:before="0" w:after="200" w:lineRule="auto" w:line="276"/>
      </w:pPr>
      <w:r>
        <w:rPr>
          <w:b/>
        </w:rPr>
        <w:t xml:space="preserve">Abstract (EN): </w:t>
      </w:r>
      <w:r>
        <w:t>Photosynthetic organisms must continuously balance efficient light harvesting with protection against excess excitation energy, a challenge met by nonphotochemical quenching (NPQ). Although the molecular components involved in NPQ have been extensively studied, how the essential energy-quenching site is assembled remains poorly understood, particularly in marine diatoms. Here, we show that in the centric diatom</w:t>
      </w:r>
      <w:r>
        <w:t xml:space="preserve"> </w:t>
      </w:r>
      <w:r>
        <w:t>Chaetoceros gracilis</w:t>
      </w:r>
      <w:r>
        <w:t xml:space="preserve"> </w:t>
      </w:r>
      <w:r>
        <w:t>, which belongs to one of the most abundant and diverse genera in marine phytoplankton, the light-harvesting complex (LHC) protein Lhcf2 is required for energy-dependent quenching (qE). Targeted knockout of Lhcf2 abolished qE by preventing the stable accumulation of Lhcx1, a core component of the NPQ effectors in this species. Lhcf2 localizes to the peripheral antenna system and associates with Lhcx1 in a higher-order complex suggested by biochemical and functional analyses. In contrast, other established NPQ-related factors, including the trans-thylakoid proton gradient and the accumulation of diatoxanthin, were not affected by the loss of Lhcf2. These results identify a non-Lhcx-type LHC protein as an essential structural component for qE-NPQ and establish a general design principle for the cooperative assembly of photoprotective energy-quenching sites in eukaryotic photosynthesis, with implications for marine carbon fixation.</w:t>
      </w:r>
    </w:p>
    <w:p>
      <w:pPr>
        <w:spacing w:before="120" w:after="120"/>
      </w:pPr>
      <w:r>
        <w:rPr>
          <w:sz w:val="18"/>
        </w:rPr>
        <w:t>——————————————————————————————————————————————————————————————————————</w:t>
      </w:r>
    </w:p>
    <w:p>
      <w:pPr>
        <w:spacing w:before="160" w:after="40" w:line="240" w:lineRule="auto"/>
      </w:pPr>
      <w:r>
        <w:rPr>
          <w:b/>
        </w:rPr>
        <w:t xml:space="preserve">[247] </w:t>
      </w:r>
      <w:hyperlink r:id="rId611">
        <w:r>
          <w:rPr>
            <w:color w:val="1155CC"/>
            <w:u w:val="single"/>
          </w:rPr>
          <w:t>注意力转移期间的敏感性抑制</w:t>
        </w:r>
      </w:hyperlink>
    </w:p>
    <w:p>
      <w:pPr>
        <w:spacing w:before="0" w:after="80"/>
      </w:pPr>
      <w:r>
        <w:rPr>
          <w:i/>
          <w:sz w:val="20"/>
        </w:rPr>
        <w:t>EN: Sensitivity suppression during attention shifts</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612">
        <w:r>
          <w:rPr>
            <w:color w:val="1155CC"/>
            <w:u w:val="single"/>
          </w:rPr>
          <w:t>10.1073/pnas.2530939123</w:t>
        </w:r>
      </w:hyperlink>
    </w:p>
    <w:p>
      <w:pPr>
        <w:spacing w:before="0" w:after="120"/>
      </w:pPr>
      <w:r>
        <w:rPr>
          <w:b/>
        </w:rPr>
        <w:t xml:space="preserve">Notes: </w:t>
      </w:r>
      <w:r>
        <w:t>abstract_source=crossref</w:t>
      </w:r>
    </w:p>
    <w:p>
      <w:pPr>
        <w:spacing w:before="0" w:after="80" w:lineRule="auto" w:line="276"/>
      </w:pPr>
      <w:r>
        <w:rPr>
          <w:b/>
        </w:rPr>
        <w:t xml:space="preserve">摘要（ZH）: </w:t>
      </w:r>
      <w:r>
        <w:t>大脑具有抑制我们自己的行为产生的不良信号的非凡能力，以确保准确的感知，例如在快速眼球运动期间抑制视网膜运动信号，称为扫视抑制。注意力通常被称为“心灵之眼”，会经历快速而频繁的转变，通常发生在没有明确的运动动作的情况下。注意力转移期间视觉处理是否也会受到类似的抑制？在这项研究中，我们采用瞳孔测量和脑磁图（MEG）来评估不同注意力状态下的视觉敏感性。我们的结果表明，通过注意力振荡范式，注意力转移期间视觉敏感性降低或受到抑制。这种抑制不是由微扫视引起的，并且在没有空间转移的有节奏的注意力采样期间不存在。 MEG 数据进一步表明，这种抑制在顶叶通道中更为明显，表现在视觉处理的相对较晚阶段（150 至 200 毫秒），并表明与扫视抑制相比，存在独特的神经机制。我们的研究结果表明，抑制机制不仅在传感器运动产生虚假信号时起作用，而且在表征空间内认知资源分配的过渡状态期间也起作用，从而支持视觉处理的稳定性。</w:t>
      </w:r>
    </w:p>
    <w:p>
      <w:pPr>
        <w:spacing w:before="0" w:after="200" w:lineRule="auto" w:line="276"/>
      </w:pPr>
      <w:r>
        <w:rPr>
          <w:b/>
        </w:rPr>
        <w:t xml:space="preserve">Abstract (EN): </w:t>
      </w:r>
      <w:r>
        <w:t>The brain possesses the remarkable ability to suppress undesirable signals generated by our own actions to ensure accurate perception, like the suppression of retinal motion signals during rapid eye movements, known as saccadic suppression. Attention, often referred to as the “mind’s eye,” undergoes rapid and frequent shifts, often occurring in the absence of explicit motor actions. Is visual processing similarly suppressed during attention shifts? In this study, we employed pupillometry and magnetoencephalography (MEG) to assess visual sensitivity across different attentional states. Our results revealed a reduced or suppressed visual sensitivity during attention shifts through an attentional oscillation paradigm. Such suppression was not due to microsaccades and was absent during rhythmic attentional sampling without spatial shift. MEG data further indicated that the suppression was more pronounced in parietal channels, manifesting at a relatively late stage (150 to 200 ms) of visual processing and suggesting a distinct neural mechanism compared to saccadic suppression. Our findings indicate that suppression mechanisms operate not only when there are spurious signals generated due to the movements of the sensors, but also during transitional states in the allocation of cognitive resources within representational space, thereby supporting stability of visual processing.</w:t>
      </w:r>
    </w:p>
    <w:p>
      <w:pPr>
        <w:spacing w:before="120" w:after="120"/>
      </w:pPr>
      <w:r>
        <w:rPr>
          <w:sz w:val="18"/>
        </w:rPr>
        <w:t>——————————————————————————————————————————————————————————————————————</w:t>
      </w:r>
    </w:p>
    <w:p>
      <w:pPr>
        <w:spacing w:before="160" w:after="40" w:line="240" w:lineRule="auto"/>
      </w:pPr>
      <w:r>
        <w:rPr>
          <w:b/>
        </w:rPr>
        <w:t xml:space="preserve">[248] </w:t>
      </w:r>
      <w:hyperlink r:id="rId613">
        <w:r>
          <w:rPr>
            <w:color w:val="1155CC"/>
            <w:u w:val="single"/>
          </w:rPr>
          <w:t>B 细胞固有的 CXCR3 驱动异位肺生发中心对甲型流感病毒感染的有效反应</w:t>
        </w:r>
      </w:hyperlink>
    </w:p>
    <w:p>
      <w:pPr>
        <w:spacing w:before="0" w:after="80"/>
      </w:pPr>
      <w:r>
        <w:rPr>
          <w:i/>
          <w:sz w:val="20"/>
        </w:rPr>
        <w:t>EN: B cell–intrinsic CXCR3 drives efficient generation of ectopic pulmonary germinal center responses to influenza A virus infection</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614">
        <w:r>
          <w:rPr>
            <w:color w:val="1155CC"/>
            <w:u w:val="single"/>
          </w:rPr>
          <w:t>10.1073/pnas.2535787123</w:t>
        </w:r>
      </w:hyperlink>
    </w:p>
    <w:p>
      <w:pPr>
        <w:spacing w:before="0" w:after="120"/>
      </w:pPr>
      <w:r>
        <w:rPr>
          <w:b/>
        </w:rPr>
        <w:t xml:space="preserve">Notes: </w:t>
      </w:r>
      <w:r>
        <w:t>abstract_source=crossref</w:t>
      </w:r>
    </w:p>
    <w:p>
      <w:pPr>
        <w:spacing w:before="0" w:after="80" w:lineRule="auto" w:line="276"/>
      </w:pPr>
      <w:r>
        <w:rPr>
          <w:b/>
        </w:rPr>
        <w:t xml:space="preserve">摘要（ZH）: </w:t>
      </w:r>
      <w:r>
        <w:t>参与可诱导支气管相关淋巴组织（iBALT）内异位肺生发中心（GC）生成的趋化受体尚不清楚。在这里，使用 CIBER</w:t>
      </w:r>
      <w:r>
        <w:t xml:space="preserve"> </w:t>
      </w:r>
      <w:r>
        <w:t>CXCR3</w:t>
      </w:r>
      <w:r>
        <w:t xml:space="preserve"> </w:t>
      </w:r>
      <w:r>
        <w:t>-报告小鼠，我们证明鼻内感染后纵隔淋巴结、脾脏、肺、外周血和气道中的甲型流感病毒（IAV）反应性 B 细胞高度诱导原型 1 型炎症趋化因子受体 CXCR3。值得注意的是，升高</w:t>
      </w:r>
      <w:r>
        <w:t xml:space="preserve"> </w:t>
      </w:r>
      <w:r>
        <w:t>CXCR3</w:t>
      </w:r>
      <w:r>
        <w:t xml:space="preserve"> </w:t>
      </w:r>
      <w:r>
        <w:t>在 IAV 感染反应的整个时间过程中，在 iBALT 中的异位肺生发中心 B (GCB) 细胞中观察到相对于次级淋巴器官中的同期对应细胞的差异。具有 B 细胞特异性缺失的小鼠</w:t>
      </w:r>
      <w:r>
        <w:t xml:space="preserve"> </w:t>
      </w:r>
      <w:r>
        <w:t>CXCR3</w:t>
      </w:r>
      <w:r>
        <w:t xml:space="preserve"> </w:t>
      </w:r>
      <w:r>
        <w:t>与对照组相比，在 IAV 感染后反应高峰时，肺部异位 GCB 细胞的频率和数量减少了 50% 至 60%。此外，在共转移中，</w:t>
      </w:r>
      <w:r>
        <w:t xml:space="preserve"> </w:t>
      </w:r>
      <w:r>
        <w:t>CXCR3</w:t>
      </w:r>
      <w:r>
        <w:t xml:space="preserve"> </w:t>
      </w:r>
      <w:r>
        <w:t>- 缺陷型 B 细胞在竞争中被其自身的 B 细胞击败</w:t>
      </w:r>
      <w:r>
        <w:t xml:space="preserve"> </w:t>
      </w:r>
      <w:r>
        <w:t>CXCR3</w:t>
      </w:r>
      <w:r>
        <w:t xml:space="preserve"> </w:t>
      </w:r>
      <w:r>
        <w:t>-异位肺GC参与的足够对应物，但在其他区室中的GCB细胞频率方面没有受到影响。因此，数据阐明了 IAV 呼吸道病毒感染后，B 细胞固有的 CXCR3 表达对于在 iBALT 中有效产生异位肺 GCB 细胞反应的要求，这一发现拓宽了对 IAV 呼吸道病毒感染的理解。</w:t>
      </w:r>
    </w:p>
    <w:p>
      <w:pPr>
        <w:spacing w:before="0" w:after="200" w:lineRule="auto" w:line="276"/>
      </w:pPr>
      <w:r>
        <w:rPr>
          <w:b/>
        </w:rPr>
        <w:t xml:space="preserve">Abstract (EN): </w:t>
      </w:r>
      <w:r>
        <w:t>Chemotactic receptors involved in generation of ectopic pulmonary germinal centers (GCs) within inducible bronchus-associated lymphoid tissue (iBALT) are poorly defined. Here, using CIBER</w:t>
      </w:r>
      <w:r>
        <w:t xml:space="preserve"> </w:t>
      </w:r>
      <w:r>
        <w:t>Cxcr3</w:t>
      </w:r>
      <w:r>
        <w:t xml:space="preserve"> </w:t>
      </w:r>
      <w:r>
        <w:t>-reporter mice, we demonstrate that the prototypical type 1 inflammatory chemokine receptor CXCR3 is highly induced in influenza A virus (IAV)-reactive B cells in the mediastinal lymph node, spleen, lung, peripheral blood, and airways following intranasal infection. Notably, elevated</w:t>
      </w:r>
      <w:r>
        <w:t xml:space="preserve"> </w:t>
      </w:r>
      <w:r>
        <w:t>Cxcr3</w:t>
      </w:r>
      <w:r>
        <w:t xml:space="preserve"> </w:t>
      </w:r>
      <w:r>
        <w:t>was observed in ectopic pulmonary germinal center B (GCB) cells in iBALT relative to their contemporaneous counterparts in secondary lymphoid organs across the timecourse of the response to IAV infection. Mice with a B cell–specific deletion of</w:t>
      </w:r>
      <w:r>
        <w:t xml:space="preserve"> </w:t>
      </w:r>
      <w:r>
        <w:t>Cxcr3</w:t>
      </w:r>
      <w:r>
        <w:t xml:space="preserve"> </w:t>
      </w:r>
      <w:r>
        <w:t>displayed a 50 to 60% reduction in the frequency and number of ectopic GCB cells in the lungs at the peak of the response following IAV infection, relative to controls. Furthermore, in cotransfers,</w:t>
      </w:r>
      <w:r>
        <w:t xml:space="preserve"> </w:t>
      </w:r>
      <w:r>
        <w:t>Cxcr3</w:t>
      </w:r>
      <w:r>
        <w:t xml:space="preserve"> </w:t>
      </w:r>
      <w:r>
        <w:t>-deficient B cells were substantially outcompeted by their</w:t>
      </w:r>
      <w:r>
        <w:t xml:space="preserve"> </w:t>
      </w:r>
      <w:r>
        <w:t>Cxcr3</w:t>
      </w:r>
      <w:r>
        <w:t xml:space="preserve"> </w:t>
      </w:r>
      <w:r>
        <w:t>-sufficient counterparts for ectopic pulmonary GC participation, but were not impacted with respect to GCB cell frequencies in other compartments. Thus, the data elucidate the requirement of B cell–intrinsic CXCR3 expression for efficient generation of ectopic pulmonary GCB cell responses in iBALT following respiratory viral infection with IAV, a finding that broadens understanding of the molecular cues underpinning this key component of local protective humoral immunity to IAV.</w:t>
      </w:r>
    </w:p>
    <w:p>
      <w:pPr>
        <w:spacing w:before="120" w:after="120"/>
      </w:pPr>
      <w:r>
        <w:rPr>
          <w:sz w:val="18"/>
        </w:rPr>
        <w:t>——————————————————————————————————————————————————————————————————————</w:t>
      </w:r>
    </w:p>
    <w:p>
      <w:pPr>
        <w:spacing w:before="160" w:after="40" w:line="240" w:lineRule="auto"/>
      </w:pPr>
      <w:r>
        <w:rPr>
          <w:b/>
        </w:rPr>
        <w:t xml:space="preserve">[249] </w:t>
      </w:r>
      <w:hyperlink r:id="rId615">
        <w:r>
          <w:rPr>
            <w:color w:val="1155CC"/>
            <w:u w:val="single"/>
          </w:rPr>
          <w:t>生活在个人主义文化中的人更有动力让别人感觉更好</w:t>
        </w:r>
      </w:hyperlink>
    </w:p>
    <w:p>
      <w:pPr>
        <w:spacing w:before="0" w:after="80"/>
      </w:pPr>
      <w:r>
        <w:rPr>
          <w:i/>
          <w:sz w:val="20"/>
        </w:rPr>
        <w:t>EN: People in more individualist cultures are more motivated to make others feel better</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616">
        <w:r>
          <w:rPr>
            <w:color w:val="1155CC"/>
            <w:u w:val="single"/>
          </w:rPr>
          <w:t>10.1073/pnas.2533994123</w:t>
        </w:r>
      </w:hyperlink>
    </w:p>
    <w:p>
      <w:pPr>
        <w:spacing w:before="0" w:after="120"/>
      </w:pPr>
      <w:r>
        <w:rPr>
          <w:b/>
        </w:rPr>
        <w:t xml:space="preserve">Notes: </w:t>
      </w:r>
      <w:r>
        <w:t>abstract_source=crossref</w:t>
      </w:r>
    </w:p>
    <w:p>
      <w:pPr>
        <w:spacing w:before="0" w:after="80" w:lineRule="auto" w:line="276"/>
      </w:pPr>
      <w:r>
        <w:rPr>
          <w:b/>
        </w:rPr>
        <w:t xml:space="preserve">摘要（ZH）: </w:t>
      </w:r>
      <w:r>
        <w:t>在许多西方文化中，试图让他人感觉更好被认为对心理健康和社会关系至关重要。然而，鉴于不同文化中人们对情感和关系的看法不同，让他人感觉更好的愿望、手段和好处也可能因文化而异。在两项多国调查研究中（研究 1：</w:t>
      </w:r>
      <w:r>
        <w:t xml:space="preserve"> </w:t>
      </w:r>
      <w:r>
        <w:t>氮</w:t>
      </w:r>
      <w:r>
        <w:t xml:space="preserve"> </w:t>
      </w:r>
      <w:r>
        <w:t>= 3,154，13 个国家；研究2：</w:t>
      </w:r>
      <w:r>
        <w:t xml:space="preserve"> </w:t>
      </w:r>
      <w:r>
        <w:t>氮</w:t>
      </w:r>
      <w:r>
        <w:t xml:space="preserve"> </w:t>
      </w:r>
      <w:r>
        <w:t>= 17 个国家/地区 3,503 人）以及日常乳制品研究（研究 3：</w:t>
      </w:r>
      <w:r>
        <w:t xml:space="preserve"> </w:t>
      </w:r>
      <w:r>
        <w:t>氮</w:t>
      </w:r>
      <w:r>
        <w:t xml:space="preserve"> </w:t>
      </w:r>
      <w:r>
        <w:t>= 243, 2 个国家），我们评估了用于影响他人和自己情绪的动机和策略。为了测试情绪调节动机和策略的潜在跨文化差异是否是社交互动所独有的，我们比较了让他人感觉更好和让自己感觉更好的文化差异。各项研究显示，影响他人情绪的文化差异大于影响自己情绪的文化差异。个人主义（相对于集体主义）文化中的成员更有动力让他人（但不是自己）感觉更好，更有可能表达关心，而不太可能鼓励他人压抑自己的情绪或沉思。反过来，这些模式与个人主义（而非集体主义）文化中的关系亲密程度指数相关。这些发现表明，帮助他人感觉更好在不同文化中可能并不同样可取。</w:t>
      </w:r>
    </w:p>
    <w:p>
      <w:pPr>
        <w:spacing w:before="0" w:after="200" w:lineRule="auto" w:line="276"/>
      </w:pPr>
      <w:r>
        <w:rPr>
          <w:b/>
        </w:rPr>
        <w:t xml:space="preserve">Abstract (EN): </w:t>
      </w:r>
      <w:r>
        <w:t>In many Western cultures, trying to make others feel better is considered critical for psychological health and social relationships. However, given that people think about emotions and relationships differently across cultures, the desirability, means, and benefits of making others feel better may also vary by culture. In two multicountry survey studies (Study 1:</w:t>
      </w:r>
      <w:r>
        <w:t xml:space="preserve"> </w:t>
      </w:r>
      <w:r>
        <w:t>N</w:t>
      </w:r>
      <w:r>
        <w:t xml:space="preserve"> </w:t>
      </w:r>
      <w:r>
        <w:t>= 3,154, 13 countries; Study 2:</w:t>
      </w:r>
      <w:r>
        <w:t xml:space="preserve"> </w:t>
      </w:r>
      <w:r>
        <w:t>N</w:t>
      </w:r>
      <w:r>
        <w:t xml:space="preserve"> </w:t>
      </w:r>
      <w:r>
        <w:t>= 3,503, 17 countries) and in a daily dairy study (Study 3:</w:t>
      </w:r>
      <w:r>
        <w:t xml:space="preserve"> </w:t>
      </w:r>
      <w:r>
        <w:t>N</w:t>
      </w:r>
      <w:r>
        <w:t xml:space="preserve"> </w:t>
      </w:r>
      <w:r>
        <w:t>= 243, 2 countries), we assessed motivation and strategies used for influencing others’ and one’s own emotions. To test whether potential cross-cultural differences in motivation and strategies in emotion regulation are unique to social interactions, we compared cultural differences in making others feel better to making oneself feel better. Across studies, cultural differences in influencing others’ emotions were greater than those in influencing one’s own emotions. Members of more individualist (vs. collectivist) cultures were more motivated to make others (but not themselves) feel better, were more likely to express care and less likely to encourage others to suppress their emotions or to ruminate. These patterns, in turn, were linked to an index of relationship closeness in an individualist (but not a collectivist) culture. These findings suggest that helping others feel better may not be equally desirable across cultures.</w:t>
      </w:r>
    </w:p>
    <w:p>
      <w:pPr>
        <w:spacing w:before="120" w:after="120"/>
      </w:pPr>
      <w:r>
        <w:rPr>
          <w:sz w:val="18"/>
        </w:rPr>
        <w:t>——————————————————————————————————————————————————————————————————————</w:t>
      </w:r>
    </w:p>
    <w:p>
      <w:pPr>
        <w:spacing w:before="160" w:after="40" w:line="240" w:lineRule="auto"/>
      </w:pPr>
      <w:r>
        <w:rPr>
          <w:b/>
        </w:rPr>
        <w:t xml:space="preserve">[250] </w:t>
      </w:r>
      <w:hyperlink r:id="rId617">
        <w:r>
          <w:rPr>
            <w:color w:val="1155CC"/>
            <w:u w:val="single"/>
          </w:rPr>
          <w:t>ESCRT-III 丝结合磷脂酰肌醇二磷酸</w:t>
        </w:r>
      </w:hyperlink>
    </w:p>
    <w:p>
      <w:pPr>
        <w:spacing w:before="0" w:after="80"/>
      </w:pPr>
      <w:r>
        <w:rPr>
          <w:i/>
          <w:sz w:val="20"/>
        </w:rPr>
        <w:t>EN: Phosphatidylinositol diphosphate binding by ESCRT-III filaments</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618">
        <w:r>
          <w:rPr>
            <w:color w:val="1155CC"/>
            <w:u w:val="single"/>
          </w:rPr>
          <w:t>10.1073/pnas.2616668123</w:t>
        </w:r>
      </w:hyperlink>
    </w:p>
    <w:p>
      <w:pPr>
        <w:spacing w:before="0" w:after="120"/>
      </w:pPr>
      <w:r>
        <w:rPr>
          <w:b/>
        </w:rPr>
        <w:t xml:space="preserve">Notes: </w:t>
      </w:r>
      <w:r>
        <w:t>abstract_source=crossref</w:t>
      </w:r>
    </w:p>
    <w:p>
      <w:pPr>
        <w:spacing w:before="0" w:after="80" w:lineRule="auto" w:line="276"/>
      </w:pPr>
      <w:r>
        <w:rPr>
          <w:b/>
        </w:rPr>
        <w:t xml:space="preserve">摘要（ZH）: </w:t>
      </w:r>
      <w:r>
        <w:t>不同的肌醇磷脂 (PIP) 分布到不同的亚细胞器，形成一个寻址系统，决定 PIP 结合蛋白的作用位点，包括运输所需的内体分选复合物 (ESCRT) 的成分。 ESCRT 机制通过早期作用的 ESCRT-I 和 ESCRT-II 复合物与 PIP、泛素修饰和膜特异性接头的组合结合相互作用来重塑许多不同的细胞膜。然后，膜重塑、收缩和裂变由晚效 ESCRT-III 复合物的亚基及其相关的 VPS4 AAA ATP 酶形成的膜相关丝介导。在这里，我们描述了两种不同类别的螺旋 ESCRT-III 细丝，它们可以围绕和管状含有 PIP 的膜</w:t>
      </w:r>
      <w:r>
        <w:rPr>
          <w:vertAlign w:val="subscript"/>
        </w:rPr>
        <w:t>2</w:t>
      </w:r>
      <w:r>
        <w:t>脂质。冷冻电镜重建显示，包含闭合 IST1 亚基的原丝形成了包围单层膜的 8 链纳米管。纳米管坐标暴露 PI(4,5)P</w:t>
      </w:r>
      <w:r>
        <w:rPr>
          <w:vertAlign w:val="subscript"/>
        </w:rPr>
        <w:t>2</w:t>
      </w:r>
      <w:r>
        <w:t>或 PI(3,5)P</w:t>
      </w:r>
      <w:r>
        <w:rPr>
          <w:vertAlign w:val="subscript"/>
        </w:rPr>
        <w:t>2</w:t>
      </w:r>
      <w:r>
        <w:t>头部基团位于三个 IST1 亚基连接处形成的基本口袋内，我们的结构揭示了口袋如何容纳任一 PIP</w:t>
      </w:r>
      <w:r>
        <w:rPr>
          <w:vertAlign w:val="subscript"/>
        </w:rPr>
        <w:t>2</w:t>
      </w:r>
      <w:r>
        <w:t>具有最小调整的异构体。相比之下，包含开放 CHMP1A 亚基的原丝形成一个起始螺旋，包裹膜双层并结合暴露的 PI(4,5)P</w:t>
      </w:r>
      <w:r>
        <w:rPr>
          <w:vertAlign w:val="subscript"/>
        </w:rPr>
        <w:t>2</w:t>
      </w:r>
      <w:r>
        <w:t>头组跨越</w:t>
      </w:r>
    </w:p>
    <w:p>
      <w:pPr>
        <w:spacing w:before="0" w:after="200" w:lineRule="auto" w:line="276"/>
      </w:pPr>
      <w:r>
        <w:rPr>
          <w:b/>
        </w:rPr>
        <w:t xml:space="preserve">Abstract (EN): </w:t>
      </w:r>
      <w:r>
        <w:t>Different inositol phospholipids (PIPs) distribute to distinct subcellular organelles, creating an addressing system that dictates the sites of action of PIP-binding proteins, including components of the Endosomal Sorting Complexes Required for Transport (ESCRT). The ESCRT machinery is recruited to remodel many different cellular membranes through combinatorial binding interactions made by the early-acting ESCRT-I and ESCRT-II complexes with PIPs, ubiquitin modifications, and membrane-specific adaptors. Membrane remodeling, constriction, and fission are then mediated by membrane-associated filaments formed by subunits of the late-acting ESCRT-III complexes, together with their associated VPS4 AAA ATPases. Here, we describe two different classes of helical ESCRT-III filaments that can surround and tubulate membranes containing PIP</w:t>
      </w:r>
      <w:r>
        <w:rPr>
          <w:vertAlign w:val="subscript"/>
        </w:rPr>
        <w:t>2</w:t>
      </w:r>
      <w:r>
        <w:t>lipids. Cryo-EM reconstructions revealed that protofilaments comprising closed IST1 subunits formed 8-stranded nanotubes that encase membrane monolayers. The nanotube coordinates exposed PI(4,5)P</w:t>
      </w:r>
      <w:r>
        <w:rPr>
          <w:vertAlign w:val="subscript"/>
        </w:rPr>
        <w:t>2</w:t>
      </w:r>
      <w:r>
        <w:t>or PI(3,5)P</w:t>
      </w:r>
      <w:r>
        <w:rPr>
          <w:vertAlign w:val="subscript"/>
        </w:rPr>
        <w:t>2</w:t>
      </w:r>
      <w:r>
        <w:t>headgroups within a basic pocket formed at the junction of three IST1 subunits, and our structures reveal how the pocket can accommodate either PIP</w:t>
      </w:r>
      <w:r>
        <w:rPr>
          <w:vertAlign w:val="subscript"/>
        </w:rPr>
        <w:t>2</w:t>
      </w:r>
      <w:r>
        <w:t>isomer with minimal adjustment. In contrast, protofilaments comprising open CHMP1A subunits formed one start helices that encase membrane bilayers and bind exposed PI(4,5)P</w:t>
      </w:r>
      <w:r>
        <w:rPr>
          <w:vertAlign w:val="subscript"/>
        </w:rPr>
        <w:t>2</w:t>
      </w:r>
      <w:r>
        <w:t>headgroups across a basic surface that spans adjacent subunits of the CHMP1A protofilament. These two different structures extend the known plasticity of ESCRT-III polymers, reveal how PIP</w:t>
      </w:r>
      <w:r>
        <w:rPr>
          <w:vertAlign w:val="subscript"/>
        </w:rPr>
        <w:t>2</w:t>
      </w:r>
      <w:r>
        <w:t>lipids can promote ESCRT-III filament assembly and membrane remodeling, and define the molecular contacts that underlie specific ESCRT-III/PIP</w:t>
      </w:r>
      <w:r>
        <w:rPr>
          <w:vertAlign w:val="subscript"/>
        </w:rPr>
        <w:t>2</w:t>
      </w:r>
      <w:r>
        <w:t>interactions.</w:t>
      </w:r>
    </w:p>
    <w:p>
      <w:pPr>
        <w:spacing w:before="120" w:after="120"/>
      </w:pPr>
      <w:r>
        <w:rPr>
          <w:sz w:val="18"/>
        </w:rPr>
        <w:t>——————————————————————————————————————————————————————————————————————</w:t>
      </w:r>
    </w:p>
    <w:p>
      <w:pPr>
        <w:spacing w:before="160" w:after="40" w:line="240" w:lineRule="auto"/>
      </w:pPr>
      <w:r>
        <w:rPr>
          <w:b/>
        </w:rPr>
        <w:t xml:space="preserve">[251] </w:t>
      </w:r>
      <w:hyperlink r:id="rId619">
        <w:r>
          <w:rPr>
            <w:color w:val="1155CC"/>
            <w:u w:val="single"/>
          </w:rPr>
          <w:t>损伤引起的 tau 蛋白病理学促进果蝇的攻击行为，但没有神经退行性变</w:t>
        </w:r>
      </w:hyperlink>
    </w:p>
    <w:p>
      <w:pPr>
        <w:spacing w:before="0" w:after="80"/>
      </w:pPr>
      <w:r>
        <w:rPr>
          <w:i/>
          <w:sz w:val="20"/>
        </w:rPr>
        <w:t>EN: Injury-induced tau pathology promotes aggressive behavior in Drosophila without neurodegeneration</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620">
        <w:r>
          <w:rPr>
            <w:color w:val="1155CC"/>
            <w:u w:val="single"/>
          </w:rPr>
          <w:t>10.1073/pnas.2600627123</w:t>
        </w:r>
      </w:hyperlink>
    </w:p>
    <w:p>
      <w:pPr>
        <w:spacing w:before="0" w:after="120"/>
      </w:pPr>
      <w:r>
        <w:rPr>
          <w:b/>
        </w:rPr>
        <w:t xml:space="preserve">Notes: </w:t>
      </w:r>
      <w:r>
        <w:t>abstract_source=crossref</w:t>
      </w:r>
    </w:p>
    <w:p>
      <w:pPr>
        <w:spacing w:before="0" w:after="80" w:lineRule="auto" w:line="276"/>
      </w:pPr>
      <w:r>
        <w:rPr>
          <w:b/>
        </w:rPr>
        <w:t xml:space="preserve">摘要（ZH）: </w:t>
      </w:r>
      <w:r>
        <w:t>微管相关蛋白 tau 与神经退行性疾病有关，但其生理作用仍知之甚少。在这里，我们发现人类 tau (HsTau) 的全神经元表达</w:t>
      </w:r>
      <w:r>
        <w:t xml:space="preserve"> </w:t>
      </w:r>
      <w:r>
        <w:t>果蝇</w:t>
      </w:r>
      <w:r>
        <w:t xml:space="preserve"> </w:t>
      </w:r>
      <w:r>
        <w:t>再加上损伤会引发雄性果蝇的攻击性升高，而在表达非磷酸化 tau 蛋白的果蝇中没有观察到这种情况。这些行为表现是由多巴胺能回路激活引起的，但没有神经退行性变。使用体外重构测定，我们发现磷酸化的 HsTau 维持微管结合，但失去其抑制灾难的能力，从而促进微管动态。相比之下，未磷酸化的 HsTau 和 Fly tau (DmTau) 通过降低灾难频率来稳定微管。我们的研究结果挑战了 tau 作为简单微管稳定剂的经典观点，并将其定位为微管功能和神经元兴奋性的动态调节剂。这些结果揭示了 tau 蛋白急性磷酸化如何在神经退行性变之前改变神经回路功能和行为，从而深入了解 tau 蛋白的生理和病理作用。</w:t>
      </w:r>
    </w:p>
    <w:p>
      <w:pPr>
        <w:spacing w:before="0" w:after="200" w:lineRule="auto" w:line="276"/>
      </w:pPr>
      <w:r>
        <w:rPr>
          <w:b/>
        </w:rPr>
        <w:t xml:space="preserve">Abstract (EN): </w:t>
      </w:r>
      <w:r>
        <w:t>The microtubule-associated protein tau is implicated in neurodegenerative diseases, but its physiological roles remain poorly understood. Here, we find that panneuronal expression of human tau (HsTau) in</w:t>
      </w:r>
      <w:r>
        <w:t xml:space="preserve"> </w:t>
      </w:r>
      <w:r>
        <w:t>Drosophila</w:t>
      </w:r>
      <w:r>
        <w:t xml:space="preserve"> </w:t>
      </w:r>
      <w:r>
        <w:t>coupled with injury triggers elevated aggression in male flies, which was not observed in flies expressing nonphosphorylatable tau. These behavioral manifestations result from activation of dopaminergic circuits without neurodegeneration. Using in vitro reconstitution assays, we find that phosphorylated HsTau maintains microtubule binding but loses its ability to suppress catastrophes, thereby promoting microtubule dynamicity. In contrast, unphosphorylated HsTau as well as fly tau (DmTau) stabilize microtubules by reducing catastrophe frequency. Our findings challenge the canonical view of tau as a simple microtubule stabilizer and instead position it as a dynamic regulator of microtubule function and neuronal excitability. These results reveal how acute tau phosphorylation can alter neural circuit function and behavior prior to neurodegeneration, providing insights into tau’s physiological and pathological roles.</w:t>
      </w:r>
    </w:p>
    <w:p>
      <w:pPr>
        <w:spacing w:before="120" w:after="120"/>
      </w:pPr>
      <w:r>
        <w:rPr>
          <w:sz w:val="18"/>
        </w:rPr>
        <w:t>——————————————————————————————————————————————————————————————————————</w:t>
      </w:r>
    </w:p>
    <w:p>
      <w:pPr>
        <w:spacing w:before="160" w:after="40" w:line="240" w:lineRule="auto"/>
      </w:pPr>
      <w:r>
        <w:rPr>
          <w:b/>
        </w:rPr>
        <w:t xml:space="preserve">[252] </w:t>
      </w:r>
      <w:hyperlink r:id="rId621">
        <w:r>
          <w:rPr>
            <w:color w:val="1155CC"/>
            <w:u w:val="single"/>
          </w:rPr>
          <w:t>一种可扩展的分裂细胞模型，用于人类散发性克雅氏病朊病毒的稳健繁殖和定量</w:t>
        </w:r>
      </w:hyperlink>
    </w:p>
    <w:p>
      <w:pPr>
        <w:spacing w:before="0" w:after="80"/>
      </w:pPr>
      <w:r>
        <w:rPr>
          <w:i/>
          <w:sz w:val="20"/>
        </w:rPr>
        <w:t>EN: A scalable, dividing cell model for the robust propagation and quantification of human sporadic Creutzfeldt–Jakob disease prions</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622">
        <w:r>
          <w:rPr>
            <w:color w:val="1155CC"/>
            <w:u w:val="single"/>
          </w:rPr>
          <w:t>10.1073/pnas.2600341123</w:t>
        </w:r>
      </w:hyperlink>
    </w:p>
    <w:p>
      <w:pPr>
        <w:spacing w:before="0" w:after="120"/>
      </w:pPr>
      <w:r>
        <w:rPr>
          <w:b/>
        </w:rPr>
        <w:t xml:space="preserve">Notes: </w:t>
      </w:r>
      <w:r>
        <w:t>abstract_source=crossref</w:t>
      </w:r>
    </w:p>
    <w:p>
      <w:pPr>
        <w:spacing w:before="0" w:after="80" w:lineRule="auto" w:line="276"/>
      </w:pPr>
      <w:r>
        <w:rPr>
          <w:b/>
        </w:rPr>
        <w:t xml:space="preserve">摘要（ZH）: </w:t>
      </w:r>
      <w:r>
        <w:t>朊病毒疾病代表了一种独特的生物学范式，其机制与阿尔茨海默病和帕金森病等其他神经退行性疾病相似。然而，人类朊病毒病理学的研究和有效治疗方法的开发因无法在分裂细胞中繁殖人类朊病毒而受到严重限制，迫使人们依赖昂贵且缓慢的动物生物测定法。在这里，我们报告了 EKV 细胞的产生，这是一种人源化细胞模型，支持散发性克雅氏病 (sCJD) 朊病毒的稳健、无限繁殖。我们证明这些细胞在培养物中复制了真正的人类朊病毒感染性——细胞裂解物会在人源化小鼠中诱导致命性神经变性，这在临床和神经病理学上与接种感染了 sCJD 的脑组织没有什么区别。我们使用 EKV 细胞开发人类朊病毒测定 (HPA)，该方法可量化 sCJD 感染性，其灵敏度与金标准小鼠生物测定相当，同时将实验时间从几年缩短到几周。此外，我们证明了已确定的 sCJD 感染可以通过抗朊病毒蛋白抗体治愈，从而验证了该系统作为药物发现的高通量平台。该模型弥合了关键的转化差距，为动物生物测定提供了一种可再生的替代方案，是剖析人类 sCJD 朊病毒病生物学和筛选治疗药物的范例。</w:t>
      </w:r>
    </w:p>
    <w:p>
      <w:pPr>
        <w:spacing w:before="0" w:after="200" w:lineRule="auto" w:line="276"/>
      </w:pPr>
      <w:r>
        <w:rPr>
          <w:b/>
        </w:rPr>
        <w:t xml:space="preserve">Abstract (EN): </w:t>
      </w:r>
      <w:r>
        <w:t>Prion diseases represent a unique biological paradigm with mechanistic parallels to other neurodegenerative conditions like Alzheimer’s and Parkinson’s diseases. However, the study of human prion pathobiology and the development of effective therapeutics has been severely constrained by the inability to propagate human prions in dividing cells—forcing reliance on costly and slow animal bioassays. Here, we report the generation of EKV cells—a humanized cell model which supports the robust, indefinite propagation of sporadic Creutzfeldt–Jakob disease (sCJD) prions. We demonstrate that these cells replicate bona fide human prion infectivity in culture—cell lysates induce lethal neurodegeneration in humanized mice that is clinically and neuropathologically indistinguishable from inoculation with sCJD-infected brain tissue. We use EKV cells to develop the Human Prion Assay (HPA), which quantifies sCJD infectivity with sensitivity comparable to gold-standard mouse bioassay, while reducing the experimental timeline from years to weeks. Furthermore, we demonstrate that established sCJD infection can be cured by an anti-prion protein antibody, validating the system as a high-throughput platform for drug discovery. This model bridges a critical translational gap, offering a renewable alternative to animal bioassays, a paradigm to dissect the biology of human sCJD prion disease and screen for therapeutic agents.</w:t>
      </w:r>
    </w:p>
    <w:p>
      <w:pPr>
        <w:spacing w:before="120" w:after="120"/>
      </w:pPr>
      <w:r>
        <w:rPr>
          <w:sz w:val="18"/>
        </w:rPr>
        <w:t>——————————————————————————————————————————————————————————————————————</w:t>
      </w:r>
    </w:p>
    <w:p>
      <w:pPr>
        <w:spacing w:before="160" w:after="40" w:line="240" w:lineRule="auto"/>
      </w:pPr>
      <w:r>
        <w:rPr>
          <w:b/>
        </w:rPr>
        <w:t xml:space="preserve">[253] </w:t>
      </w:r>
      <w:hyperlink r:id="rId623">
        <w:r>
          <w:rPr>
            <w:color w:val="1155CC"/>
            <w:u w:val="single"/>
          </w:rPr>
          <w:t>CPKs 通过增强 OST1 启动的 Ca2+ 流入来参与 Ca2+ 信号编码，从而促进拟南芥中 ABA 诱导的气孔关闭</w:t>
        </w:r>
      </w:hyperlink>
    </w:p>
    <w:p>
      <w:pPr>
        <w:spacing w:before="0" w:after="80"/>
      </w:pPr>
      <w:r>
        <w:rPr>
          <w:i/>
          <w:sz w:val="20"/>
        </w:rPr>
        <w:t>EN: CPKs are involved in Ca2+ signaling encoding by enhancing OST1-initiated Ca2+ influx for ABA-induced stomatal closure in Arabidopsis</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624">
        <w:r>
          <w:rPr>
            <w:color w:val="1155CC"/>
            <w:u w:val="single"/>
          </w:rPr>
          <w:t>10.1073/pnas.2537976123</w:t>
        </w:r>
      </w:hyperlink>
    </w:p>
    <w:p>
      <w:pPr>
        <w:spacing w:before="0" w:after="120"/>
      </w:pPr>
      <w:r>
        <w:rPr>
          <w:b/>
        </w:rPr>
        <w:t xml:space="preserve">Notes: </w:t>
      </w:r>
      <w:r>
        <w:t>abstract_source=crossref</w:t>
      </w:r>
    </w:p>
    <w:p>
      <w:pPr>
        <w:spacing w:before="0" w:after="80" w:lineRule="auto" w:line="276"/>
      </w:pPr>
      <w:r>
        <w:rPr>
          <w:b/>
        </w:rPr>
        <w:t xml:space="preserve">摘要（ZH）: </w:t>
      </w:r>
      <w:r>
        <w:t>两者钙</w:t>
      </w:r>
      <w:r>
        <w:t xml:space="preserve"> </w:t>
      </w:r>
      <w:r>
        <w:t>2+</w:t>
      </w:r>
      <w:r>
        <w:t xml:space="preserve"> </w:t>
      </w:r>
      <w:r>
        <w:t>-独立激酶 OPEN STOMATA 1 (OST1) 和 Ca</w:t>
      </w:r>
      <w:r>
        <w:t xml:space="preserve"> </w:t>
      </w:r>
      <w:r>
        <w:t>2+</w:t>
      </w:r>
      <w:r>
        <w:t xml:space="preserve"> </w:t>
      </w:r>
      <w:r>
        <w:t>-依赖蛋白激酶 (CPK) 在 ABA 诱导的气孔关闭中发挥重要作用。我们最近报道了 OST1 介导的 Ca 磷酸化和激活</w:t>
      </w:r>
      <w:r>
        <w:t xml:space="preserve"> </w:t>
      </w:r>
      <w:r>
        <w:t>2+</w:t>
      </w:r>
      <w:r>
        <w:t xml:space="preserve"> </w:t>
      </w:r>
      <w:r>
        <w:t>主要由环状核苷酸门控通道 5 (CNGC5)、6、9 和 12 (CNGC5/6/9/12) 组成的通道是 ABA 诱导拟南芥气孔关闭所必需的。然而，钙</w:t>
      </w:r>
      <w:r>
        <w:t xml:space="preserve"> </w:t>
      </w:r>
      <w:r>
        <w:t>2+</w:t>
      </w:r>
      <w:r>
        <w:t xml:space="preserve"> </w:t>
      </w:r>
      <w:r>
        <w:t>- 依赖性蛋白激酶和参与此 Ca 的潜在机制</w:t>
      </w:r>
      <w:r>
        <w:t xml:space="preserve"> </w:t>
      </w:r>
      <w:r>
        <w:t>2+</w:t>
      </w:r>
      <w:r>
        <w:t xml:space="preserve"> </w:t>
      </w:r>
      <w:r>
        <w:t>信号通路仍然很大程度上未知。在本研究中，我们将 CPK3、8 和 10 (CPK3/8/10) 鉴定为 Ca</w:t>
      </w:r>
      <w:r>
        <w:t xml:space="preserve"> </w:t>
      </w:r>
      <w:r>
        <w:t>2+</w:t>
      </w:r>
      <w:r>
        <w:t xml:space="preserve"> </w:t>
      </w:r>
      <w:r>
        <w:t>以CPK3为主的依赖性CNGC激活激酶，CNGCs C端的保守丝氨酸位点被揭示为主要的CPK3靶位点，与CNGCs N端的OST靶位点不同。 OST1 和 CPK3 靶位点的双 S-to-D (2D) 和 S-to-A (2A) 点突变分别共激活和共抑制 CNGC，但单个 S-to-D 激活会因另一个位点的 S-to-A 突变而受损。脱落酸 (ABA) 诱导的气孔关闭和 Ca</w:t>
      </w:r>
      <w:r>
        <w:t xml:space="preserve"> </w:t>
      </w:r>
      <w:r>
        <w:t>2+</w:t>
      </w:r>
      <w:r>
        <w:t xml:space="preserve"> </w:t>
      </w:r>
      <w:r>
        <w:t>拟南芥三突变体中的振荡受损</w:t>
      </w:r>
      <w:r>
        <w:t xml:space="preserve"> </w:t>
      </w:r>
      <w:r>
        <w:t>cpk3/8/10</w:t>
      </w:r>
      <w:r>
        <w:t xml:space="preserve"> </w:t>
      </w:r>
      <w:r>
        <w:t>，但完全被 CNGC6 的 2D 变体拯救，主要是通过混合 A/D 变体，而不是 2A 变体。这些结果表明</w:t>
      </w:r>
    </w:p>
    <w:p>
      <w:pPr>
        <w:spacing w:before="0" w:after="200" w:lineRule="auto" w:line="276"/>
      </w:pPr>
      <w:r>
        <w:rPr>
          <w:b/>
        </w:rPr>
        <w:t xml:space="preserve">Abstract (EN): </w:t>
      </w:r>
      <w:r>
        <w:t>Both Ca</w:t>
      </w:r>
      <w:r>
        <w:t xml:space="preserve"> </w:t>
      </w:r>
      <w:r>
        <w:t>2+</w:t>
      </w:r>
      <w:r>
        <w:t xml:space="preserve"> </w:t>
      </w:r>
      <w:r>
        <w:t>-independent kinase OPEN STOMATA 1 (OST1) and Ca</w:t>
      </w:r>
      <w:r>
        <w:t xml:space="preserve"> </w:t>
      </w:r>
      <w:r>
        <w:t>2+</w:t>
      </w:r>
      <w:r>
        <w:t xml:space="preserve"> </w:t>
      </w:r>
      <w:r>
        <w:t>-DEPENDENT PROTEIN KINASEs (CPKs) play important roles in ABA-induced stomatal closure. We recently reported that OST1-mediated phosphorylation and activation of Ca</w:t>
      </w:r>
      <w:r>
        <w:t xml:space="preserve"> </w:t>
      </w:r>
      <w:r>
        <w:t>2+</w:t>
      </w:r>
      <w:r>
        <w:t xml:space="preserve"> </w:t>
      </w:r>
      <w:r>
        <w:t>channels constituted mainly with CYCLIC NUCLEOTIDE-GATED CHANNEL 5 (CNGC5), 6, 9, and 12 (CNGC5/6/9/12) are required for ABA-induced stomatal closure in Arabidopsis. However, Ca</w:t>
      </w:r>
      <w:r>
        <w:t xml:space="preserve"> </w:t>
      </w:r>
      <w:r>
        <w:t>2+</w:t>
      </w:r>
      <w:r>
        <w:t xml:space="preserve"> </w:t>
      </w:r>
      <w:r>
        <w:t>-dependent protein kinases and underlying mechanisms that are involved in this Ca</w:t>
      </w:r>
      <w:r>
        <w:t xml:space="preserve"> </w:t>
      </w:r>
      <w:r>
        <w:t>2+</w:t>
      </w:r>
      <w:r>
        <w:t xml:space="preserve"> </w:t>
      </w:r>
      <w:r>
        <w:t>signaling pathway are still largely unknown. In this study, we identified CPK3, 8, and 10 (CPK3/8/10) as Ca</w:t>
      </w:r>
      <w:r>
        <w:t xml:space="preserve"> </w:t>
      </w:r>
      <w:r>
        <w:t>2+</w:t>
      </w:r>
      <w:r>
        <w:t xml:space="preserve"> </w:t>
      </w:r>
      <w:r>
        <w:t>-dependent CNGC-activating kinases with CPK3 as the main one, and a conserved serine site at CNGCs’ C termini is revealed to be the main CPK3-target sites, differing from OST-target sites at CNGCs’ N termini. Double S-to-D (2D) and S-to-A (2A) point mutations at OST1- and CPK3-target sites respectively coactivate and cosuppress CNGCs, but individual S-to-D activation is impaired by S-to-A mutation at the other site. Abscisic acid (ABA)-induced stomatal closure and Ca</w:t>
      </w:r>
      <w:r>
        <w:t xml:space="preserve"> </w:t>
      </w:r>
      <w:r>
        <w:t>2+</w:t>
      </w:r>
      <w:r>
        <w:t xml:space="preserve"> </w:t>
      </w:r>
      <w:r>
        <w:t>oscillations are impaired in Arabidopsis triple mutant</w:t>
      </w:r>
      <w:r>
        <w:t xml:space="preserve"> </w:t>
      </w:r>
      <w:r>
        <w:t>cpk3/8/10</w:t>
      </w:r>
      <w:r>
        <w:t xml:space="preserve"> </w:t>
      </w:r>
      <w:r>
        <w:t>, but are rescued fully by the CNGC6’s 2D variant, largely by mixed A/D variant, and not by 2A variant. These results demonstrate that the cytosolic Ca</w:t>
      </w:r>
      <w:r>
        <w:t xml:space="preserve"> </w:t>
      </w:r>
      <w:r>
        <w:t>2+</w:t>
      </w:r>
      <w:r>
        <w:t xml:space="preserve"> </w:t>
      </w:r>
      <w:r>
        <w:t>elevation derived from OST1-CNGC modules-mediated external Ca</w:t>
      </w:r>
      <w:r>
        <w:t xml:space="preserve"> </w:t>
      </w:r>
      <w:r>
        <w:t>2+</w:t>
      </w:r>
      <w:r>
        <w:t xml:space="preserve"> </w:t>
      </w:r>
      <w:r>
        <w:t>influx activates CPK3 via Ca</w:t>
      </w:r>
      <w:r>
        <w:t xml:space="preserve"> </w:t>
      </w:r>
      <w:r>
        <w:t>2+</w:t>
      </w:r>
      <w:r>
        <w:t xml:space="preserve"> </w:t>
      </w:r>
      <w:r>
        <w:t>binding, the Ca</w:t>
      </w:r>
      <w:r>
        <w:t xml:space="preserve"> </w:t>
      </w:r>
      <w:r>
        <w:t>2+</w:t>
      </w:r>
      <w:r>
        <w:t xml:space="preserve"> </w:t>
      </w:r>
      <w:r>
        <w:t>-bound CPK3 evokes more massive external Ca</w:t>
      </w:r>
      <w:r>
        <w:t xml:space="preserve"> </w:t>
      </w:r>
      <w:r>
        <w:t>2+</w:t>
      </w:r>
      <w:r>
        <w:t xml:space="preserve"> </w:t>
      </w:r>
      <w:r>
        <w:t>influx through enhancing the activity of CNGCs by phosphorylation, and CPK3-evoked Ca</w:t>
      </w:r>
      <w:r>
        <w:t xml:space="preserve"> </w:t>
      </w:r>
      <w:r>
        <w:t>2+</w:t>
      </w:r>
      <w:r>
        <w:t xml:space="preserve"> </w:t>
      </w:r>
      <w:r>
        <w:t>influx is required for the encoding of ABA-induced cytosolic Ca</w:t>
      </w:r>
      <w:r>
        <w:t xml:space="preserve"> </w:t>
      </w:r>
      <w:r>
        <w:t>2+</w:t>
      </w:r>
      <w:r>
        <w:t xml:space="preserve"> </w:t>
      </w:r>
      <w:r>
        <w:t>signaling in Arabidopsis guard cells.</w:t>
      </w:r>
    </w:p>
    <w:p>
      <w:pPr>
        <w:spacing w:before="120" w:after="120"/>
      </w:pPr>
      <w:r>
        <w:rPr>
          <w:sz w:val="18"/>
        </w:rPr>
        <w:t>——————————————————————————————————————————————————————————————————————</w:t>
      </w:r>
    </w:p>
    <w:p>
      <w:pPr>
        <w:spacing w:before="160" w:after="40" w:line="240" w:lineRule="auto"/>
      </w:pPr>
      <w:r>
        <w:rPr>
          <w:b/>
        </w:rPr>
        <w:t xml:space="preserve">[254] </w:t>
      </w:r>
      <w:hyperlink r:id="rId625">
        <w:r>
          <w:rPr>
            <w:color w:val="1155CC"/>
            <w:u w:val="single"/>
          </w:rPr>
          <w:t>软凝胶微球的毛细血管粘附力</w:t>
        </w:r>
      </w:hyperlink>
    </w:p>
    <w:p>
      <w:pPr>
        <w:spacing w:before="0" w:after="80"/>
      </w:pPr>
      <w:r>
        <w:rPr>
          <w:i/>
          <w:sz w:val="20"/>
        </w:rPr>
        <w:t>EN: Elastocapillary adhesion of soft gel microspheres</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626">
        <w:r>
          <w:rPr>
            <w:color w:val="1155CC"/>
            <w:u w:val="single"/>
          </w:rPr>
          <w:t>10.1073/pnas.2537087123</w:t>
        </w:r>
      </w:hyperlink>
    </w:p>
    <w:p>
      <w:pPr>
        <w:spacing w:before="0" w:after="120"/>
      </w:pPr>
      <w:r>
        <w:rPr>
          <w:b/>
        </w:rPr>
        <w:t xml:space="preserve">Notes: </w:t>
      </w:r>
      <w:r>
        <w:t>abstract_source=crossref</w:t>
      </w:r>
    </w:p>
    <w:p>
      <w:pPr>
        <w:spacing w:before="0" w:after="80" w:lineRule="auto" w:line="276"/>
      </w:pPr>
      <w:r>
        <w:rPr>
          <w:b/>
        </w:rPr>
        <w:t xml:space="preserve">摘要（ZH）: </w:t>
      </w:r>
      <w:r>
        <w:t>对于固体粘合剂来说，更软意味着更粘，因为材料柔顺性有利于非共形表面之间的紧密接触。最近的发现表明，软材料可以表现出一系列丰富的新物理现象，这些新物理现象是由连续弹性、类流体表面力学和内部孔隙弹性流动的竞争效应产生的，所有这些都可以直接影响界面相互作用。在这项工作中，我们通过测量顺应性硅胶微球和平坦刚性基材之间的完整粘合剂接触几何形状，研究了弹性刚度几个数量级的复杂相互作用。我们观察到粘附力学中的连续弹性毛细管转变，这由数据的广度和详细的接触几何形状揭示。重要的是，软凝胶球表现出非常广泛的近平衡接触形态，并且它们的接触线变形总是由与凝胶相分离的流体接触区介导。为了解释这一点，我们开发了一个结合弹性毛细管和多孔弹性力学的模型，该模型可以预测粘合行为的完整范围并阐明能量权衡。数据和模型共同揭示了浅层能量景观，可能有助于日常粘合剂的坚固性。</w:t>
      </w:r>
    </w:p>
    <w:p>
      <w:pPr>
        <w:spacing w:before="0" w:after="200" w:lineRule="auto" w:line="276"/>
      </w:pPr>
      <w:r>
        <w:rPr>
          <w:b/>
        </w:rPr>
        <w:t xml:space="preserve">Abstract (EN): </w:t>
      </w:r>
      <w:r>
        <w:t>Softer means stickier for solid adhesives, because material compliance facilitates close contact between nonconformal surfaces. Recent discoveries have revealed that soft materials can exhibit a rich array of new physics arising from competing effects of continuum elasticity, fluid-like surface mechanics, and internal poroelastic flows, all of which can directly impact interfacial interactions. In this work, we investigate this complex interplay across several orders of magnitude of elastic stiffness by measuring the complete adhesive contact geometry between compliant silicone gel microspheres and flat, rigid substrates. We observe a continuous elastocapillary transition in adhesion mechanics, revealed by both the breadth of data and the detailed contact geometries. Importantly, soft gel spheres exhibit a remarkably broad range of near-equilibrium contact morphologies and their contact line deformation is always mediated by a fluid contact zone that phase separates from the gel. To explain this, we develop a model incorporating elastocapillary and poroelastic mechanics that predicts the complete range of adhesive behavior and elucidates energetic tradeoffs. The data and model together reveal a shallow energy landscape that may contribute to the robustness of everyday adhesives.</w:t>
      </w:r>
    </w:p>
    <w:p>
      <w:pPr>
        <w:spacing w:before="120" w:after="120"/>
      </w:pPr>
      <w:r>
        <w:rPr>
          <w:sz w:val="18"/>
        </w:rPr>
        <w:t>——————————————————————————————————————————————————————————————————————</w:t>
      </w:r>
    </w:p>
    <w:p>
      <w:pPr>
        <w:spacing w:before="160" w:after="40" w:line="240" w:lineRule="auto"/>
      </w:pPr>
      <w:r>
        <w:rPr>
          <w:b/>
        </w:rPr>
        <w:t xml:space="preserve">[255] </w:t>
      </w:r>
      <w:hyperlink r:id="rId627">
        <w:r>
          <w:rPr>
            <w:color w:val="1155CC"/>
            <w:u w:val="single"/>
          </w:rPr>
          <w:t>本期</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628">
        <w:r>
          <w:rPr>
            <w:color w:val="1155CC"/>
            <w:u w:val="single"/>
          </w:rPr>
          <w:t>10.1073/iti2626123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[256] </w:t>
      </w:r>
      <w:hyperlink r:id="rId629">
        <w:r>
          <w:rPr>
            <w:color w:val="1155CC"/>
            <w:u w:val="single"/>
          </w:rPr>
          <w:t>约束下受抑向列液晶的形态发生和拓扑演化</w:t>
        </w:r>
      </w:hyperlink>
    </w:p>
    <w:p>
      <w:pPr>
        <w:spacing w:before="0" w:after="80"/>
      </w:pPr>
      <w:r>
        <w:rPr>
          <w:i/>
          <w:sz w:val="20"/>
        </w:rPr>
        <w:t>EN: Morphogenesis and topological evolution of a frustrated nematic liquid crystal under confinement</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630">
        <w:r>
          <w:rPr>
            <w:color w:val="1155CC"/>
            <w:u w:val="single"/>
          </w:rPr>
          <w:t>10.1073/pnas.2536520123</w:t>
        </w:r>
      </w:hyperlink>
    </w:p>
    <w:p>
      <w:pPr>
        <w:spacing w:before="0" w:after="120"/>
      </w:pPr>
      <w:r>
        <w:rPr>
          <w:b/>
        </w:rPr>
        <w:t xml:space="preserve">Notes: </w:t>
      </w:r>
      <w:r>
        <w:t>abstract_source=crossref</w:t>
      </w:r>
    </w:p>
    <w:p>
      <w:pPr>
        <w:spacing w:before="0" w:after="80" w:lineRule="auto" w:line="276"/>
      </w:pPr>
      <w:r>
        <w:rPr>
          <w:b/>
        </w:rPr>
        <w:t xml:space="preserve">摘要（ZH）: </w:t>
      </w:r>
      <w:r>
        <w:t>液晶 (LC) 代表拓扑软物质，可自发形成成分和介观纹理的集合，以最大限度地减少自由能。根据边界条件，它们表现出可变换的拓扑缺陷，其研究提供了适用于广泛学科的基本见解。然而，由于传统分子液晶的亚衍射极限长度尺度和亚毫秒时间尺度特征，它们的三维（3D）结构和动力学在很大程度上仍未被探索。在这里，我们使用由 Eu 组成的胶体 LC 报告了从传统向列类晶团簇到独特花形形态的形态发生</w:t>
      </w:r>
      <w:r>
        <w:t xml:space="preserve"> </w:t>
      </w:r>
      <w:r>
        <w:t>3+</w:t>
      </w:r>
      <w:r>
        <w:t xml:space="preserve"> </w:t>
      </w:r>
      <w:r>
        <w:t>掺杂LaPO</w:t>
      </w:r>
      <w:r>
        <w:rPr>
          <w:vertAlign w:val="subscript"/>
        </w:rPr>
        <w:t>4</w:t>
      </w:r>
      <w:r>
        <w:t>纳米棒。我们展示了基于 Eu 偏振光致发光光谱的 3D 定向断层扫描</w:t>
      </w:r>
      <w:r>
        <w:t xml:space="preserve"> </w:t>
      </w:r>
      <w:r>
        <w:t>3+</w:t>
      </w:r>
      <w:r>
        <w:t xml:space="preserve"> </w:t>
      </w:r>
      <w:r>
        <w:t>掺杂剂，揭示了戏剧性的拓扑和形貌调制。我们发现这种形态发生是由理论上意想不到的纳米棒垂直锚定在基底上驱动的，这施加了相互冲突的边界条件，并导致弹性能和相对较弱的表面张力之间的竞争。我们的结果为如何通过调整拓扑物质的物理化学性质来调节拓扑物质的能量平衡提供了宝贵的见解。</w:t>
      </w:r>
    </w:p>
    <w:p>
      <w:pPr>
        <w:spacing w:before="0" w:after="200" w:lineRule="auto" w:line="276"/>
      </w:pPr>
      <w:r>
        <w:rPr>
          <w:b/>
        </w:rPr>
        <w:t xml:space="preserve">Abstract (EN): </w:t>
      </w:r>
      <w:r>
        <w:t>Liquid crystals (LC) represent topological soft matter that spontaneously form assemblies of constituents and mesoscale textures to minimize free energy. Depending on boundary conditions, they exhibit transformable topological defects, whose study provides fundamental insights applicable to a wide array of disciplines. However, their three-dimensional (3D) structures and dynamics remain largely unexplored due to the subdiffraction limit length scales and submillisecond time scales characteristic of conventional molecular LCs. Here, we report a morphogenesis from conventional nematic tactoids to a unique flower-shaped morphology using a colloidal LC composed of Eu</w:t>
      </w:r>
      <w:r>
        <w:t xml:space="preserve"> </w:t>
      </w:r>
      <w:r>
        <w:t>3+</w:t>
      </w:r>
      <w:r>
        <w:t xml:space="preserve"> </w:t>
      </w:r>
      <w:r>
        <w:t>-doped LaPO</w:t>
      </w:r>
      <w:r>
        <w:rPr>
          <w:vertAlign w:val="subscript"/>
        </w:rPr>
        <w:t>4</w:t>
      </w:r>
      <w:r>
        <w:t>nanorods. We demonstrate 3D orientational tomography based on polarized photoluminescence spectroscopy of the Eu</w:t>
      </w:r>
      <w:r>
        <w:t xml:space="preserve"> </w:t>
      </w:r>
      <w:r>
        <w:t>3+</w:t>
      </w:r>
      <w:r>
        <w:t xml:space="preserve"> </w:t>
      </w:r>
      <w:r>
        <w:t>dopants, revealing dramatic topological and topographical modulations. We find that this morphogenesis is driven by a theoretically unexpected vertical anchoring of the nanorods on the substrate, which exerts conflicting boundary conditions and leads to a competition between elastic energy and relatively weak surface tension. Our results provide valuable insights into how energy balance in topological matter can be modulated by tuning physicochemical properties of its building blocks.</w:t>
      </w:r>
    </w:p>
    <w:p>
      <w:pPr>
        <w:spacing w:before="120" w:after="120"/>
      </w:pPr>
      <w:r>
        <w:rPr>
          <w:sz w:val="18"/>
        </w:rPr>
        <w:t>——————————————————————————————————————————————————————————————————————</w:t>
      </w:r>
    </w:p>
    <w:p>
      <w:pPr>
        <w:spacing w:before="160" w:after="40" w:line="240" w:lineRule="auto"/>
      </w:pPr>
      <w:r>
        <w:rPr>
          <w:b/>
        </w:rPr>
        <w:t xml:space="preserve">[257] </w:t>
      </w:r>
      <w:hyperlink r:id="rId631">
        <w:r>
          <w:rPr>
            <w:color w:val="1155CC"/>
            <w:u w:val="single"/>
          </w:rPr>
          <w:t>手臂优势是练习执行工具和物体所需的复杂轨迹形状的自然效果</w:t>
        </w:r>
      </w:hyperlink>
    </w:p>
    <w:p>
      <w:pPr>
        <w:spacing w:before="0" w:after="80"/>
      </w:pPr>
      <w:r>
        <w:rPr>
          <w:i/>
          <w:sz w:val="20"/>
        </w:rPr>
        <w:t>EN: Arm dominance is an emergent effect of practice executing complex trajectory shapes required by tools and objects</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632">
        <w:r>
          <w:rPr>
            <w:color w:val="1155CC"/>
            <w:u w:val="single"/>
          </w:rPr>
          <w:t>10.1073/pnas.2601569123</w:t>
        </w:r>
      </w:hyperlink>
    </w:p>
    <w:p>
      <w:pPr>
        <w:spacing w:before="0" w:after="120"/>
      </w:pPr>
      <w:r>
        <w:rPr>
          <w:b/>
        </w:rPr>
        <w:t xml:space="preserve">Notes: </w:t>
      </w:r>
      <w:r>
        <w:t>abstract_source=crossref</w:t>
      </w:r>
    </w:p>
    <w:p>
      <w:pPr>
        <w:spacing w:before="0" w:after="80" w:lineRule="auto" w:line="276"/>
      </w:pPr>
      <w:r>
        <w:rPr>
          <w:b/>
        </w:rPr>
        <w:t xml:space="preserve">摘要（ZH）: </w:t>
      </w:r>
      <w:r>
        <w:t>肢体优势是一种人类行为特征，具有许多文化、实践、科学和临床意义。然而，为什么优势肢体在一系列需要运动技能的任务中表现更好仍然没有答案。是因为固有的半球优势，还是终生与优势侧练习的结果？我们使用横截面或训练后的两项任务测试了这些替代方案。第一个是 3D 到达，需要惯性挑战或需要使用棒状工具。第二个要求参与者用惯用手和非惯用手写字。我们应用几何分析来量化运动轨迹形状。我们表明：1）工具的使用暴露了非优势手臂的明显较差的控制能力，这是因为工具强加了产生不熟悉形状的运动轨迹的需要； 2）没有一般的主导肢体运动控制优势，只有特定任务的经验或在初始偏好之上练习骑行。这些结果将主导地位重新定义为主要与工具运动学的学习控制有关，而不是肢体动力学控制中的基线不对称性。</w:t>
      </w:r>
    </w:p>
    <w:p>
      <w:pPr>
        <w:spacing w:before="0" w:after="200" w:lineRule="auto" w:line="276"/>
      </w:pPr>
      <w:r>
        <w:rPr>
          <w:b/>
        </w:rPr>
        <w:t xml:space="preserve">Abstract (EN): </w:t>
      </w:r>
      <w:r>
        <w:t>Limb dominance is a human behavioral characteristic with many cultural, practical, scientific, and clinical implications. Yet why the dominant limb performs better across a range of motor skill-requiring tasks remains unanswered. Is it because of an intrinsic hemispheric advantage or instead is it the result of life-long practice with the dominant side? We tested these alternatives using two tasks either cross sectionally or after training. The first was 3D reaching with either an inertial challenge or the need to use a stick-like tool. The second required participants to write with their dominant and nondominant elbows. We applied a geometric analysis to quantify movement-trajectory shape. We show that 1) tool-use unmasks markedly inferior control in the nondominant arm, and this is because tools impose the need to generate unfamiliarly shaped movement trajectories; and 2) there is no general dominant limb motor control advantage, only task-specific experience or practice riding on top of an initial preference. These results reframe dominance as predominantly about learned control of tool kinematics rather than baseline asymmetry in control of limb dynamics.</w:t>
      </w:r>
    </w:p>
    <w:p>
      <w:pPr>
        <w:spacing w:before="120" w:after="120"/>
      </w:pPr>
      <w:r>
        <w:rPr>
          <w:sz w:val="18"/>
        </w:rPr>
        <w:t>——————————————————————————————————————————————————————————————————————</w:t>
      </w:r>
    </w:p>
    <w:p>
      <w:pPr>
        <w:spacing w:before="160" w:after="40" w:line="240" w:lineRule="auto"/>
      </w:pPr>
      <w:r>
        <w:rPr>
          <w:b/>
        </w:rPr>
        <w:t xml:space="preserve">[258] </w:t>
      </w:r>
      <w:hyperlink r:id="rId633">
        <w:r>
          <w:rPr>
            <w:color w:val="1155CC"/>
            <w:u w:val="single"/>
          </w:rPr>
          <w:t>Tau 蛋白作为线粒体功能和动力学的调节剂</w:t>
        </w:r>
      </w:hyperlink>
    </w:p>
    <w:p>
      <w:pPr>
        <w:spacing w:before="0" w:after="80"/>
      </w:pPr>
      <w:r>
        <w:rPr>
          <w:i/>
          <w:sz w:val="20"/>
        </w:rPr>
        <w:t>EN: Tau protein as a regulator of mitochondrial function and dynamics</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634">
        <w:r>
          <w:rPr>
            <w:color w:val="1155CC"/>
            <w:u w:val="single"/>
          </w:rPr>
          <w:t>10.1073/pnas.2521642123</w:t>
        </w:r>
      </w:hyperlink>
    </w:p>
    <w:p>
      <w:pPr>
        <w:spacing w:before="0" w:after="120"/>
      </w:pPr>
      <w:r>
        <w:rPr>
          <w:b/>
        </w:rPr>
        <w:t xml:space="preserve">Notes: </w:t>
      </w:r>
      <w:r>
        <w:t>abstract_source=crossref</w:t>
      </w:r>
    </w:p>
    <w:p>
      <w:pPr>
        <w:spacing w:before="0" w:after="80" w:lineRule="auto" w:line="276"/>
      </w:pPr>
      <w:r>
        <w:rPr>
          <w:b/>
        </w:rPr>
        <w:t xml:space="preserve">摘要（ZH）: </w:t>
      </w:r>
      <w:r>
        <w:t>线粒体损伤是大脑衰老和神经退行性变的共同标志。虽然病理性 Tau 突变会破坏线粒体动力学和功能，但野生型 (WT) Tau 在维持线粒体稳态中的生理作用仍知之甚少。在这里，使用</w:t>
      </w:r>
      <w:r>
        <w:t xml:space="preserve"> </w:t>
      </w:r>
      <w:r>
        <w:t>秀丽隐杆线虫</w:t>
      </w:r>
      <w:r>
        <w:t xml:space="preserve"> </w:t>
      </w:r>
      <w:r>
        <w:t>以及分别缺乏 PTL-1（线虫 Tau 样同源物）和 Tau 的小鼠，我们证明 Tau 缺乏促进了向促融合线粒体状态的转变，与增强的线粒体功能和抗应激能力相关。在这两种模型中，Tau 蛋白的缺失都会导致线粒体活性增加和氧化还原稳态改变，同时增强对热和线粒体应激的抵抗力。</w:t>
      </w:r>
      <w:r>
        <w:t xml:space="preserve"> </w:t>
      </w:r>
      <w:r>
        <w:t>线虫</w:t>
      </w:r>
      <w:r>
        <w:t xml:space="preserve"> </w:t>
      </w:r>
      <w:r>
        <w:t>。引人注目的是，线粒体融合蛋白同源物 FZO-1 的缺失会消除有益的表型，而其过度表达表型则复制了 Tau/PTL-1 缺陷的关键方面。总之，我们的研究结果揭示了 WT Tau 在抑制线粒体融合和功能适应方面的保守作用，强调了它对线粒体稳态和细胞应激反应的贡献。</w:t>
      </w:r>
    </w:p>
    <w:p>
      <w:pPr>
        <w:spacing w:before="0" w:after="200" w:lineRule="auto" w:line="276"/>
      </w:pPr>
      <w:r>
        <w:rPr>
          <w:b/>
        </w:rPr>
        <w:t xml:space="preserve">Abstract (EN): </w:t>
      </w:r>
      <w:r>
        <w:t>Mitochondrial damage is a shared hallmark of brain aging and neurodegeneration. While pathological Tau mutations disrupt mitochondrial dynamics and function, the physiological role of wild-type (WT) Tau in the maintenance of mitochondrial homeostasis remains poorly understood. Here, using</w:t>
      </w:r>
      <w:r>
        <w:t xml:space="preserve"> </w:t>
      </w:r>
      <w:r>
        <w:t>Caenorhabditis elegans</w:t>
      </w:r>
      <w:r>
        <w:t xml:space="preserve"> </w:t>
      </w:r>
      <w:r>
        <w:t>and mice lacking PTL-1, the nematode Tau-like homolog, and Tau respectively, we demonstrate that Tau deficiency promotes a shift toward a pro-fusion mitochondrial state associated with enhanced mitochondrial function and stress resistance. In both models, loss of Tau leads to increased mitochondrial activity and altered redox homeostasis, while it enhances resistance to heat and mitochondrial stress in</w:t>
      </w:r>
      <w:r>
        <w:t xml:space="preserve"> </w:t>
      </w:r>
      <w:r>
        <w:t>C. elegans</w:t>
      </w:r>
      <w:r>
        <w:t xml:space="preserve"> </w:t>
      </w:r>
      <w:r>
        <w:t>. Strikingly, loss of FZO-1, the mitofusin homolog, abolishes the beneficial phenotypes, whereas its overexpression phenocopies key aspects of Tau/PTL-1 deficiency. Together, our findings uncover a conserved role for WT Tau in restraining mitochondrial fusion and functional adaptation, highlighting its contribution to mitochondrial homeostasis and cellular stress responses.</w:t>
      </w:r>
    </w:p>
    <w:p>
      <w:pPr>
        <w:spacing w:before="120" w:after="120"/>
      </w:pPr>
      <w:r>
        <w:rPr>
          <w:sz w:val="18"/>
        </w:rPr>
        <w:t>——————————————————————————————————————————————————————————————————————</w:t>
      </w:r>
    </w:p>
    <w:p>
      <w:pPr>
        <w:spacing w:before="160" w:after="40" w:line="240" w:lineRule="auto"/>
      </w:pPr>
      <w:r>
        <w:rPr>
          <w:b/>
        </w:rPr>
        <w:t xml:space="preserve">[259] </w:t>
      </w:r>
      <w:hyperlink r:id="rId635">
        <w:r>
          <w:rPr>
            <w:color w:val="1155CC"/>
            <w:u w:val="single"/>
          </w:rPr>
          <w:t>智力障碍中动力蛋白复合体功能的破坏</w:t>
        </w:r>
      </w:hyperlink>
    </w:p>
    <w:p>
      <w:pPr>
        <w:spacing w:before="0" w:after="80"/>
      </w:pPr>
      <w:r>
        <w:rPr>
          <w:i/>
          <w:sz w:val="20"/>
        </w:rPr>
        <w:t>EN: Disruption of dynactin complex function in intellectual disability</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636">
        <w:r>
          <w:rPr>
            <w:color w:val="1155CC"/>
            <w:u w:val="single"/>
          </w:rPr>
          <w:t>10.1073/pnas.2522636123</w:t>
        </w:r>
      </w:hyperlink>
    </w:p>
    <w:p>
      <w:pPr>
        <w:spacing w:before="0" w:after="120"/>
      </w:pPr>
      <w:r>
        <w:rPr>
          <w:b/>
        </w:rPr>
        <w:t xml:space="preserve">Notes: </w:t>
      </w:r>
      <w:r>
        <w:t>abstract_source=crossref</w:t>
      </w:r>
    </w:p>
    <w:p>
      <w:pPr>
        <w:spacing w:before="0" w:after="80" w:lineRule="auto" w:line="276"/>
      </w:pPr>
      <w:r>
        <w:rPr>
          <w:b/>
        </w:rPr>
        <w:t xml:space="preserve">摘要（ZH）: </w:t>
      </w:r>
      <w:r>
        <w:t>智力障碍 (ID) 是一种非常普遍的疾病，影响着全球约 2 亿人，其特点是认知功能受损。 Dynactin 复合物由多个蛋白质亚基组成，是发育和成熟神经元细胞内运输和突触稳态所必需的。在这里，我们在 ID 谱系中鉴定了 dynactin 亚基 4 (DCTN4) 的有害变体。小鼠中 DCTN4 的消融会导致神经祖细胞的神经元定位改变和凋亡。值得注意的是，携带 ID 连锁的小鼠</w:t>
      </w:r>
      <w:r>
        <w:t xml:space="preserve"> </w:t>
      </w:r>
      <w:r>
        <w:t>DCTN4</w:t>
      </w:r>
      <w:r>
        <w:t xml:space="preserve"> </w:t>
      </w:r>
      <w:r>
        <w:t>变体表现出认知缺陷，树突发育受损。具有 DCTN4 缺陷或变异的皮质神经元显示各种 dynactin 亚基的水平降低，表明 dynactin 复合物的缺陷会影响突触功能。此外，DCTN4-JIP3复合物的破坏会损害溶酶体运输、树突发育以及突触发育。重要的是，我们发现另一个 dynactin 亚基 DCTN2 中的破坏性变异也会破坏神经元定位，从而强化了 dynactin 复合物在神经发育和 ID 发病机制中的关键作用。这些发现说明功能失调的 dynactin 复合物是一种以前未被认识的 ID 疾病机制。</w:t>
      </w:r>
    </w:p>
    <w:p>
      <w:pPr>
        <w:spacing w:before="0" w:after="200" w:lineRule="auto" w:line="276"/>
      </w:pPr>
      <w:r>
        <w:rPr>
          <w:b/>
        </w:rPr>
        <w:t xml:space="preserve">Abstract (EN): </w:t>
      </w:r>
      <w:r>
        <w:t>Intellectual disability (ID) is a highly prevalent condition affecting approximately 200 millions of people worldwide, characterized by impaired cognitive function. Dynactin complex consists of multiple protein subunits and is required for intracellular trafficking and synaptic homeostasis in developing and mature neurons. Here, we identify deleterious variants of dynactin subunit 4 (DCTN4) in ID pedigrees. DCTN4 ablation in mice results in altered neuronal positioning and apoptosis in neural progenitor cells. Notably, mice carrying the ID-linked</w:t>
      </w:r>
      <w:r>
        <w:t xml:space="preserve"> </w:t>
      </w:r>
      <w:r>
        <w:t>DCTN4</w:t>
      </w:r>
      <w:r>
        <w:t xml:space="preserve"> </w:t>
      </w:r>
      <w:r>
        <w:t>variant exhibit cognitive deficits with impaired dendritic development. Cortical neurons with DCTN4 deficiency or variant show reduced levels of various dynactin subunits, suggesting that deficits in dynactin complex affects synaptic function. Furthermore, disruption of the DCTN4–JIP3 complex impairs lysosomal transport and dendritic development as well as synaptic development. Importantly, we showed that damaging variants in another dynactin subunit DCTN2 also disrupt neuronal positioning, reinforcing the critical role of dynactin complex in neurodevelopment and ID pathogenesis. These findings illustrate dysfunctional dynactin complex as a previously unrecognized disease mechanism of ID.</w:t>
      </w:r>
    </w:p>
    <w:p>
      <w:pPr>
        <w:spacing w:before="120" w:after="120"/>
      </w:pPr>
      <w:r>
        <w:rPr>
          <w:sz w:val="18"/>
        </w:rPr>
        <w:t>——————————————————————————————————————————————————————————————————————</w:t>
      </w:r>
    </w:p>
    <w:p>
      <w:pPr>
        <w:spacing w:before="160" w:after="40" w:line="240" w:lineRule="auto"/>
      </w:pPr>
      <w:r>
        <w:rPr>
          <w:b/>
        </w:rPr>
        <w:t xml:space="preserve">[260] </w:t>
      </w:r>
      <w:hyperlink r:id="rId637">
        <w:r>
          <w:rPr>
            <w:color w:val="1155CC"/>
            <w:u w:val="single"/>
          </w:rPr>
          <w:t>大型语言模型准确识别口头报告中的决策原因</w:t>
        </w:r>
      </w:hyperlink>
    </w:p>
    <w:p>
      <w:pPr>
        <w:spacing w:before="0" w:after="80"/>
      </w:pPr>
      <w:r>
        <w:rPr>
          <w:i/>
          <w:sz w:val="20"/>
        </w:rPr>
        <w:t>EN: Large language models accurately identify decision reasons in verbal reports</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638">
        <w:r>
          <w:rPr>
            <w:color w:val="1155CC"/>
            <w:u w:val="single"/>
          </w:rPr>
          <w:t>10.1073/pnas.2526798123</w:t>
        </w:r>
      </w:hyperlink>
    </w:p>
    <w:p>
      <w:pPr>
        <w:spacing w:before="0" w:after="120"/>
      </w:pPr>
      <w:r>
        <w:rPr>
          <w:b/>
        </w:rPr>
        <w:t xml:space="preserve">Notes: </w:t>
      </w:r>
      <w:r>
        <w:t>abstract_source=crossref</w:t>
      </w:r>
    </w:p>
    <w:p>
      <w:pPr>
        <w:spacing w:before="0" w:after="80" w:lineRule="auto" w:line="276"/>
      </w:pPr>
      <w:r>
        <w:rPr>
          <w:b/>
        </w:rPr>
        <w:t xml:space="preserve">摘要（ZH）: </w:t>
      </w:r>
      <w:r>
        <w:t>了解人类在风险下做出选择背后的原因是决策科学家的核心目标，但依赖行为数据的传统方法受到严格的不变性假设的限制。我们引入了一个可扩展的分析框架，使用大型语言模型（LLM）来分析口头报告并确定在货币彩票之间进行选择的明确原因。经过验证的法学硕士可以准确识别参与者自由文本报告中预定义的决策原因，与他们在 95% 的试验中的实际选择保持一致。我们的分析表明，人们决策背后的原因存在系统性差异，并且更多地是由选择问题的结构驱动，而不是个体差异。至关重要的是，与仅从选择中推断出的原因相比，从口头报告中确定的原因可以产生更简洁、信息更丰富的决策过程表示；此外，针对特定问题的原因概况实现了样本外预测的准确性，可与已建立的计算模型相媲美。这项工作表明，口头报告是一个丰富的数据源，我们的分析框架可以释放其潜力，提供挑战该领域基本不变性假设的结果，并为更加上下文敏感和可解释的人类决策模型铺平道路。</w:t>
      </w:r>
    </w:p>
    <w:p>
      <w:pPr>
        <w:spacing w:before="0" w:after="200" w:lineRule="auto" w:line="276"/>
      </w:pPr>
      <w:r>
        <w:rPr>
          <w:b/>
        </w:rPr>
        <w:t xml:space="preserve">Abstract (EN): </w:t>
      </w:r>
      <w:r>
        <w:t>Understanding the reasons behind human choices under risk is a central goal of decision scientists, but traditional methods relying on behavioral data are limited by strict invariance assumptions. We introduce a scalable analytical framework using large language models (LLMs) to analyze verbal reports and identify articulated reasons for choice between monetary lotteries. A validated LLM accurately identified predefined decision reasons in participants’ free-text reports, aligning with their actual choices in 95% of trials. Our analysis reveals that the reasons behind people’s decisions vary systematically and are driven more by the structure of the choice problem than by individual differences. Crucially, reasons identified from verbal reports yield more parsimonious and informative representations of decision processes compared to those inferred from choices alone; furthermore, problem-specific reason profiles achieve out-of-sample prediction accuracy that is competitive with established computational models. This work demonstrates that verbal reports are a rich data source and our analytical framework can unlock their potential, delivering results that challenge the field’s foundational invariance assumptions and pave the way for more context-sensitive and interpretable models of human decision making.</w:t>
      </w:r>
    </w:p>
    <w:p>
      <w:pPr>
        <w:spacing w:before="120" w:after="120"/>
      </w:pPr>
      <w:r>
        <w:rPr>
          <w:sz w:val="18"/>
        </w:rPr>
        <w:t>——————————————————————————————————————————————————————————————————————</w:t>
      </w:r>
    </w:p>
    <w:p>
      <w:pPr>
        <w:spacing w:before="160" w:after="40" w:line="240" w:lineRule="auto"/>
      </w:pPr>
      <w:r>
        <w:rPr>
          <w:b/>
        </w:rPr>
        <w:t xml:space="preserve">[261] </w:t>
      </w:r>
      <w:hyperlink r:id="rId639">
        <w:r>
          <w:rPr>
            <w:color w:val="1155CC"/>
            <w:u w:val="single"/>
          </w:rPr>
          <w:t>力响应对称细胞分裂使气孔沿着整体组织轴定向</w:t>
        </w:r>
      </w:hyperlink>
    </w:p>
    <w:p>
      <w:pPr>
        <w:spacing w:before="0" w:after="80"/>
      </w:pPr>
      <w:r>
        <w:rPr>
          <w:i/>
          <w:sz w:val="20"/>
        </w:rPr>
        <w:t>EN: Force-responsive symmetric cell divisions orient stomata along global tissue axes</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640">
        <w:r>
          <w:rPr>
            <w:color w:val="1155CC"/>
            <w:u w:val="single"/>
          </w:rPr>
          <w:t>10.1073/pnas.2529768123</w:t>
        </w:r>
      </w:hyperlink>
    </w:p>
    <w:p>
      <w:pPr>
        <w:spacing w:before="0" w:after="120"/>
      </w:pPr>
      <w:r>
        <w:rPr>
          <w:b/>
        </w:rPr>
        <w:t xml:space="preserve">Notes: </w:t>
      </w:r>
      <w:r>
        <w:t>abstract_source=crossref</w:t>
      </w:r>
    </w:p>
    <w:p>
      <w:pPr>
        <w:spacing w:before="0" w:after="80" w:lineRule="auto" w:line="276"/>
      </w:pPr>
      <w:r>
        <w:rPr>
          <w:b/>
        </w:rPr>
        <w:t xml:space="preserve">摘要（ZH）: </w:t>
      </w:r>
      <w:r>
        <w:t>气孔是调节植物气体交换的微观孔隙，其模式是根据调节其生理机能的保守途径而形成的。在这里，我们确定了一种气孔模式模式，该模式依赖于先前未被识别的最终对称细胞分裂（SCD）的调节，该最终对称细胞分裂创建配对的保卫细胞。 SCD 在亚细胞和超细胞尺度上通过拉应力排列，形成一个全局极化的气孔场，跟踪组织生长的主轴。通过将 KATANIN 1 确定为对称分裂方向的关键调节因子，我们表明需要基于应力的分裂方向来预图案化气孔形态和孔的形成。我们发现相邻细胞的扩张非自主地控制对称分裂方向，将气孔排列与整体叶子形状联系起来。最后，我们表明极化气孔场在植物属中广泛存在，并且它们的物种特异性排列模式与我们在</w:t>
      </w:r>
      <w:r>
        <w:t xml:space="preserve"> </w:t>
      </w:r>
      <w:r>
        <w:t>拟南芥</w:t>
      </w:r>
      <w:r>
        <w:t xml:space="preserve"> </w:t>
      </w:r>
      <w:r>
        <w:t>。这种力响应途径提供了一个统一的模型，可以解释长期以来对跨物种气孔组织的观察。</w:t>
      </w:r>
    </w:p>
    <w:p>
      <w:pPr>
        <w:spacing w:before="0" w:after="200" w:lineRule="auto" w:line="276"/>
      </w:pPr>
      <w:r>
        <w:rPr>
          <w:b/>
        </w:rPr>
        <w:t xml:space="preserve">Abstract (EN): </w:t>
      </w:r>
      <w:r>
        <w:t>Stomata, microscopic pores that regulate gas exchange in plants, are patterned according to conserved pathways that regulate their physiology. Here, we identify a mode of stomatal patterning that depends on previously unrecognized regulation of the final symmetric cell division (SCD) that creates paired guard cells. SCDs are aligned by tensile stress at both the subcellular and supracellular scales, creating a globally polarized stomatal field that tracks the major axes of tissue growth. By identifying KATANIN 1 as a critical regulator of symmetric division orientation, we show that stress-based division orientation is required to prepattern stomatal morphology and pore creation. We find that expansion of neighboring cells nonautonomously controls symmetric division orientation, linking stomatal alignment to overall leaf shape. Finally, we show that polarized stomatal fields are widespread across plant genera and their species-specific alignment patterns are consistent with the force-based mechanism we identify in</w:t>
      </w:r>
      <w:r>
        <w:t xml:space="preserve"> </w:t>
      </w:r>
      <w:r>
        <w:t>Arabidopsis</w:t>
      </w:r>
      <w:r>
        <w:t xml:space="preserve"> </w:t>
      </w:r>
      <w:r>
        <w:t>. This force-responsive pathway provides a unifying model that explains long-standing observations of stomatal organization across species.</w:t>
      </w:r>
    </w:p>
    <w:p>
      <w:pPr>
        <w:spacing w:before="120" w:after="120"/>
      </w:pPr>
      <w:r>
        <w:rPr>
          <w:sz w:val="18"/>
        </w:rPr>
        <w:t>——————————————————————————————————————————————————————————————————————</w:t>
      </w:r>
    </w:p>
    <w:p>
      <w:pPr>
        <w:spacing w:before="160" w:after="40" w:line="240" w:lineRule="auto"/>
      </w:pPr>
      <w:r>
        <w:rPr>
          <w:b/>
        </w:rPr>
        <w:t xml:space="preserve">[262] </w:t>
      </w:r>
      <w:hyperlink r:id="rId641">
        <w:r>
          <w:rPr>
            <w:color w:val="1155CC"/>
            <w:u w:val="single"/>
          </w:rPr>
          <w:t>预期和特定主题的神经振荡预测诗歌的审美评价</w:t>
        </w:r>
      </w:hyperlink>
    </w:p>
    <w:p>
      <w:pPr>
        <w:spacing w:before="0" w:after="80"/>
      </w:pPr>
      <w:r>
        <w:rPr>
          <w:i/>
          <w:sz w:val="20"/>
        </w:rPr>
        <w:t>EN: Anticipatory and theme-specific neural oscillations predict aesthetic evaluation of poetry</w:t>
      </w:r>
    </w:p>
    <w:p>
      <w:pPr>
        <w:spacing w:before="0" w:after="120"/>
      </w:pPr>
      <w:r>
        <w:rPr>
          <w:b/>
        </w:rPr>
        <w:t xml:space="preserve">Source: </w:t>
      </w:r>
      <w:r>
        <w:t>Proceedings of the National Academy of Sciences: Keyword search for query</w:t>
      </w:r>
      <w:r>
        <w:t xml:space="preserve">    </w:t>
      </w:r>
      <w:r>
        <w:rPr>
          <w:b/>
        </w:rPr>
        <w:t xml:space="preserve">Pub date: </w:t>
      </w:r>
      <w:r>
        <w:t>2026-06-30 07:00:00+00:00</w:t>
      </w:r>
      <w:r>
        <w:t xml:space="preserve">    </w:t>
      </w:r>
      <w:r>
        <w:rPr>
          <w:b/>
        </w:rPr>
        <w:t xml:space="preserve">DOI: </w:t>
      </w:r>
      <w:hyperlink r:id="rId642">
        <w:r>
          <w:rPr>
            <w:color w:val="1155CC"/>
            <w:u w:val="single"/>
          </w:rPr>
          <w:t>10.1073/pnas.2536387123</w:t>
        </w:r>
      </w:hyperlink>
    </w:p>
    <w:p>
      <w:pPr>
        <w:spacing w:before="0" w:after="120"/>
      </w:pPr>
      <w:r>
        <w:rPr>
          <w:b/>
        </w:rPr>
        <w:t xml:space="preserve">Notes: </w:t>
      </w:r>
      <w:r>
        <w:t>abstract_source=crossref</w:t>
      </w:r>
    </w:p>
    <w:p>
      <w:pPr>
        <w:spacing w:before="0" w:after="80" w:lineRule="auto" w:line="276"/>
      </w:pPr>
      <w:r>
        <w:rPr>
          <w:b/>
        </w:rPr>
        <w:t xml:space="preserve">摘要（ZH）: </w:t>
      </w:r>
      <w:r>
        <w:t>诗歌将语言浓缩成最小的形式，唤起情感、意象和审美判断，但这种评价的神经基础仍然知之甚少。我们研究了大脑如何评估两种结构匹配但主题不同的诗歌形式：以自然为主题的俳句和以情感为主题的千流。参与者阅读诗歌并从五个维度对它们进行评分——审美情趣、生动形象、感动、原创性和创造力——同时记录脑电图。使用带有 SHapley Additive exPlanations 的多类梯度增强树模型，我们根据跨时间窗口和头皮区域的振荡神经特征预测了评估评级。模型的表现优于线性基线，并且显示出有限的跨主题泛化能力，表明内容特定的神经编码。出现了不同的处理模式：Senryu 显示出更强的 β 频段贡献，而 Haiku 则采用更多分布式多频动态。时间概况也有所不同，俳句在阅读和思考阶段表现出持续的参与，而千龙在阅读过程中表现出较早的评估解决能力。刺激前的神经活动有助于预测随后的评估，表明预期的大脑状态在审美评估中的作用。在诗歌中，评价维度集中在一个主要的共享轴上，该轴是根据神经特征可靠预测的。总之，这些发现表明，诗歌的审美评价反映了预期神经状态、特定内容的振荡动力学和特定维度过程之间的相互作用</w:t>
      </w:r>
    </w:p>
    <w:p>
      <w:pPr>
        <w:spacing w:before="0" w:after="200" w:lineRule="auto" w:line="276"/>
      </w:pPr>
      <w:r>
        <w:rPr>
          <w:b/>
        </w:rPr>
        <w:t xml:space="preserve">Abstract (EN): </w:t>
      </w:r>
      <w:r>
        <w:t>Poetry condenses language into minimal forms, evoking emotion, imagery, and aesthetic judgment, yet the neural basis of such evaluations remains poorly understood. We investigated how the brain evaluates two structurally matched but thematically distinct poetic forms: nature-themed Haiku and emotion-themed Senryu. Participants read poems and rated them across five dimensions—aesthetic appeal, vivid imagery, being moved, originality, and creativity—while EEG was recorded. Using multiclass gradient-boosted tree models with SHapley Additive exPlanations, we predicted evaluative ratings from oscillatory neural features across temporal windows and scalp regions. Models outperformed linear baselines and showed limited cross-theme generalization, indicating content-specific neural encoding. Distinct processing patterns emerged: Senryu showed stronger beta-band contributions, whereas Haiku engaged more distributed multifrequency dynamics. Temporal profiles also differed, with Haiku showing sustained engagement across reading and contemplation phases and Senryu showing earlier evaluative resolution during reading. Prestimulus neural activity contributed to prediction of subsequent evaluations, suggesting a role for anticipatory brain states in aesthetic evaluation. Across poems, evaluative dimensions converged on a dominant shared axis that was reliably predicted from neural features. Together, these findings suggest that aesthetic evaluation of poetry reflects an interaction between anticipatory neural states, content-specific oscillatory dynamics, and dimension-specific processes organized around a shared evaluative axis. This work establishes poetry as a tractable model system for studying how the brain constructs meaning and value from minimal linguistic input.</w:t>
      </w:r>
    </w:p>
    <w:p>
      <w:pPr>
        <w:spacing w:before="120" w:after="120"/>
      </w:pPr>
      <w:r>
        <w:rPr>
          <w:sz w:val="18"/>
        </w:rPr>
        <w:t>——————————————————————————————————————————————————————————————————————</w:t>
      </w:r>
    </w:p>
    <w:p>
      <w:pPr>
        <w:spacing w:before="160" w:after="40" w:line="240" w:lineRule="auto"/>
      </w:pPr>
      <w:r>
        <w:rPr>
          <w:b/>
        </w:rPr>
        <w:t xml:space="preserve">[263] </w:t>
      </w:r>
      <w:hyperlink r:id="rId643">
        <w:r>
          <w:rPr>
            <w:color w:val="1155CC"/>
            <w:u w:val="single"/>
          </w:rPr>
          <w:t>瞬时激活 Windows 程序自适应光化学响应</w:t>
        </w:r>
      </w:hyperlink>
    </w:p>
    <w:p>
      <w:pPr>
        <w:spacing w:before="0" w:after="80"/>
      </w:pPr>
      <w:r>
        <w:rPr>
          <w:i/>
          <w:sz w:val="20"/>
        </w:rPr>
        <w:t>EN: Transient Activation Windows Program Adaptive Photochemical Responses</w:t>
      </w:r>
    </w:p>
    <w:p>
      <w:pPr>
        <w:spacing w:before="0" w:after="120"/>
      </w:pPr>
      <w:r>
        <w:rPr>
          <w:b/>
        </w:rPr>
        <w:t xml:space="preserve">Source: </w:t>
      </w:r>
      <w:r>
        <w:t>Wiley: Angewandte Chemie International Edition: Table of Contents</w:t>
      </w:r>
      <w:r>
        <w:t xml:space="preserve">    </w:t>
      </w:r>
      <w:r>
        <w:rPr>
          <w:b/>
        </w:rPr>
        <w:t xml:space="preserve">Pub date: </w:t>
      </w:r>
      <w:r>
        <w:t>2026-06-30 07:30:25+00:00</w:t>
      </w:r>
      <w:r>
        <w:t xml:space="preserve">    </w:t>
      </w:r>
      <w:r>
        <w:rPr>
          <w:b/>
        </w:rPr>
        <w:t xml:space="preserve">DOI: </w:t>
      </w:r>
      <w:hyperlink r:id="rId644">
        <w:r>
          <w:rPr>
            <w:color w:val="1155CC"/>
            <w:u w:val="single"/>
          </w:rPr>
          <w:t>10.1002/anie.4081888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生物系统通过瞬态激活状态调节光化学功能，瞬态激活状态决定刺激何时可以产生反应。受这一原理的启发，我们开发了一个时间门控分子平台，其中动态 pH 变化控制可见光光化学。该系统集成了质子响应电荷转移复合物（CTC）敏化剂和二芳基乙烯光电开关。 CTC 的可逆质子化能够实现三线态敏化光致变色的化学门控，从而通过与耗散 pH 调节网络耦合进一步生成瞬态激活窗口。因此，相同的光刺激会导致不同的结果，具体取决于它们在化学演化过程中应用的时间，有效地促进化学门控到分子光开关的时间门控。敏化剂的渐进调节会引起光化学反应的时间依赖性衰减，从而实现类似于生物光接收中的视觉疲劳的适应性行为。</w:t>
      </w:r>
    </w:p>
    <w:p>
      <w:pPr>
        <w:spacing w:before="0" w:after="200" w:lineRule="auto" w:line="276"/>
      </w:pPr>
      <w:r>
        <w:rPr>
          <w:b/>
        </w:rPr>
        <w:t xml:space="preserve">Abstract (EN): </w:t>
      </w:r>
      <w:r>
        <w:t>Biological systems regulate photochemical functions through transient activation states that determine when a stimulus can produce a response. Inspired by this principle, we develop a temporally gated molecular platform in which dynamic pH evolution controls visible‐light photochemistry. The system integrates a proton‐responsive charge‐transfer complex (CTC) sensitizer and a diarylethene photoswitch. Reversible protonation of the CTC enables chemical gating of triplet‐sensitized photochromism, which further generates a transient activation window via coupling with a dissipative, pH‐regulation network. As a result, identical optical stimuli lead to distinct outcomes depending on when they are applied during chemical evolution, effectively promoting chemical gating to temporal gating of molecular photoswitch. The progressive modulation of the sensitizer induces a time‐dependent attenuation of photochemical responses, enabling adaptive behaviors reminiscent of visual fatigue in biological photo‐reception.</w:t>
      </w:r>
    </w:p>
    <w:p>
      <w:pPr>
        <w:spacing w:before="120" w:after="120"/>
      </w:pPr>
      <w:r>
        <w:rPr>
          <w:sz w:val="18"/>
        </w:rPr>
        <w:t>——————————————————————————————————————————————————————————————————————</w:t>
      </w:r>
    </w:p>
    <w:p>
      <w:pPr>
        <w:spacing w:before="160" w:after="40" w:line="240" w:lineRule="auto"/>
      </w:pPr>
      <w:r>
        <w:rPr>
          <w:b/>
        </w:rPr>
        <w:t xml:space="preserve">[264] </w:t>
      </w:r>
      <w:hyperlink r:id="rId645">
        <w:r>
          <w:rPr>
            <w:color w:val="1155CC"/>
            <w:u w:val="single"/>
          </w:rPr>
          <w:t>[3]Rotaxane 分子机中的精密切换和耦合运动</w:t>
        </w:r>
      </w:hyperlink>
    </w:p>
    <w:p>
      <w:pPr>
        <w:spacing w:before="0" w:after="80"/>
      </w:pPr>
      <w:r>
        <w:rPr>
          <w:i/>
          <w:sz w:val="20"/>
        </w:rPr>
        <w:t>EN: Precision Switching and Coupled Motion in a [3]Rotaxane Molecular Machine</w:t>
      </w:r>
    </w:p>
    <w:p>
      <w:pPr>
        <w:spacing w:before="0" w:after="120"/>
      </w:pPr>
      <w:r>
        <w:rPr>
          <w:b/>
        </w:rPr>
        <w:t xml:space="preserve">Source: </w:t>
      </w:r>
      <w:r>
        <w:t>Wiley: Angewandte Chemie International Edition: Table of Contents</w:t>
      </w:r>
      <w:r>
        <w:t xml:space="preserve">    </w:t>
      </w:r>
      <w:r>
        <w:rPr>
          <w:b/>
        </w:rPr>
        <w:t xml:space="preserve">Pub date: </w:t>
      </w:r>
      <w:r>
        <w:t>2026-06-30 07:31:50+00:00</w:t>
      </w:r>
      <w:r>
        <w:t xml:space="preserve">    </w:t>
      </w:r>
      <w:r>
        <w:rPr>
          <w:b/>
        </w:rPr>
        <w:t xml:space="preserve">DOI: </w:t>
      </w:r>
      <w:hyperlink r:id="rId646">
        <w:r>
          <w:rPr>
            <w:color w:val="1155CC"/>
            <w:u w:val="single"/>
          </w:rPr>
          <w:t>10.1002/anie.6152447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我们报告了基于[3]轮烷结构的多组分分子机器的合成和表征。该系统由两个冠醚大环和一个具有三个环识别位点的轴组成：铵（AmH</w:t>
      </w:r>
      <w:r>
        <w:t xml:space="preserve"> </w:t>
      </w:r>
      <w:r>
        <w:t>+</w:t>
      </w:r>
      <w:r>
        <w:t xml:space="preserve"> </w:t>
      </w:r>
      <w:r>
        <w:t>), 联吡啶 (Bpy</w:t>
      </w:r>
      <w:r>
        <w:t xml:space="preserve"> </w:t>
      </w:r>
      <w:r>
        <w:t>2+</w:t>
      </w:r>
      <w:r>
        <w:t xml:space="preserve"> </w:t>
      </w:r>
      <w:r>
        <w:t>) 和三唑 (Trz</w:t>
      </w:r>
      <w:r>
        <w:t xml:space="preserve"> </w:t>
      </w:r>
      <w:r>
        <w:t>+</w:t>
      </w:r>
      <w:r>
        <w:t xml:space="preserve"> </w:t>
      </w:r>
      <w:r>
        <w:t>）。两个环的位置可以精确控制</w:t>
      </w:r>
      <w:r>
        <w:t xml:space="preserve"> </w:t>
      </w:r>
      <w:r>
        <w:t>通过</w:t>
      </w:r>
      <w:r>
        <w:t xml:space="preserve"> </w:t>
      </w:r>
      <w:r>
        <w:t>一系列化学和电化学输入：两个环可以位于相邻的站上，强制在同一站上或在轴的相对末端分开。核磁共振波谱和伏安技术的结合阐明了这种复杂的机制，从而能够表征反应网络的热力学。研究表明，每个环都受到另一个环的存在和位置的影响，从而产生耦合运动，这是下一代分子机器开发的关键特征。</w:t>
      </w:r>
    </w:p>
    <w:p>
      <w:pPr>
        <w:spacing w:before="0" w:after="200" w:lineRule="auto" w:line="276"/>
      </w:pPr>
      <w:r>
        <w:rPr>
          <w:b/>
        </w:rPr>
        <w:t xml:space="preserve">Abstract (EN): </w:t>
      </w:r>
      <w:r>
        <w:t>We report the synthesis and the characterization of a multicomponent molecular machine based on a [3]rotaxane architecture. The system is composed by two crown ether macrocycles and an axle with three recognition sites for the rings: ammonium (AmH</w:t>
      </w:r>
      <w:r>
        <w:t xml:space="preserve"> </w:t>
      </w:r>
      <w:r>
        <w:t>+</w:t>
      </w:r>
      <w:r>
        <w:t xml:space="preserve"> </w:t>
      </w:r>
      <w:r>
        <w:t>), bipyridinium (Bpy</w:t>
      </w:r>
      <w:r>
        <w:t xml:space="preserve"> </w:t>
      </w:r>
      <w:r>
        <w:t>2+</w:t>
      </w:r>
      <w:r>
        <w:t xml:space="preserve"> </w:t>
      </w:r>
      <w:r>
        <w:t>), and triazolium (Trz</w:t>
      </w:r>
      <w:r>
        <w:t xml:space="preserve"> </w:t>
      </w:r>
      <w:r>
        <w:t>+</w:t>
      </w:r>
      <w:r>
        <w:t xml:space="preserve"> </w:t>
      </w:r>
      <w:r>
        <w:t>). The position of the two rings can be precisely controlled</w:t>
      </w:r>
      <w:r>
        <w:t xml:space="preserve"> </w:t>
      </w:r>
      <w:r>
        <w:t>via</w:t>
      </w:r>
      <w:r>
        <w:t xml:space="preserve"> </w:t>
      </w:r>
      <w:r>
        <w:t>a sequence of chemical and electrochemical inputs: the two rings can be located on neighboring stations, forced on the same station or separated at the opposite extremities of the axle. This complex mechanism is elucidated by a combination of NMR spectroscopy and voltammetric techniques, allowing to characterize the thermodynamics of the reaction network. The investigation shows that each ring is influenced by the presence and position of the other, resulting in a coupled motion, a critical feature for the development of next‐generation molecular machines.</w:t>
      </w:r>
    </w:p>
    <w:p>
      <w:pPr>
        <w:spacing w:before="120" w:after="120"/>
      </w:pPr>
      <w:r>
        <w:rPr>
          <w:sz w:val="18"/>
        </w:rPr>
        <w:t>——————————————————————————————————————————————————————————————————————</w:t>
      </w:r>
    </w:p>
    <w:p>
      <w:pPr>
        <w:spacing w:before="160" w:after="40" w:line="240" w:lineRule="auto"/>
      </w:pPr>
      <w:r>
        <w:rPr>
          <w:b/>
        </w:rPr>
        <w:t xml:space="preserve">[265] </w:t>
      </w:r>
      <w:hyperlink r:id="rId647">
        <w:r>
          <w:rPr>
            <w:color w:val="1155CC"/>
            <w:u w:val="single"/>
          </w:rPr>
          <w:t>脂肪族伯胺的直接脱氨基炔基化</w:t>
        </w:r>
      </w:hyperlink>
    </w:p>
    <w:p>
      <w:pPr>
        <w:spacing w:before="0" w:after="80"/>
      </w:pPr>
      <w:r>
        <w:rPr>
          <w:i/>
          <w:sz w:val="20"/>
        </w:rPr>
        <w:t>EN: Direct Deaminative Alkynylation of Aliphatic Primary Amines</w:t>
      </w:r>
    </w:p>
    <w:p>
      <w:pPr>
        <w:spacing w:before="0" w:after="120"/>
      </w:pPr>
      <w:r>
        <w:rPr>
          <w:b/>
        </w:rPr>
        <w:t xml:space="preserve">Source: </w:t>
      </w:r>
      <w:r>
        <w:t>Wiley: Angewandte Chemie International Edition: Table of Contents</w:t>
      </w:r>
      <w:r>
        <w:t xml:space="preserve">    </w:t>
      </w:r>
      <w:r>
        <w:rPr>
          <w:b/>
        </w:rPr>
        <w:t xml:space="preserve">Pub date: </w:t>
      </w:r>
      <w:r>
        <w:t>2026-06-30 07:33:57+00:00</w:t>
      </w:r>
      <w:r>
        <w:t xml:space="preserve">    </w:t>
      </w:r>
      <w:r>
        <w:rPr>
          <w:b/>
        </w:rPr>
        <w:t xml:space="preserve">DOI: </w:t>
      </w:r>
      <w:hyperlink r:id="rId648">
        <w:r>
          <w:rPr>
            <w:color w:val="1155CC"/>
            <w:u w:val="single"/>
          </w:rPr>
          <w:t>10.1002/anie.1809869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烷基取代的内炔是有机合成和药物化学中有用的基序，但从常见的胺前体制备它们仍然具有挑战性。脂肪族伯胺是广泛使用的官能团，但它们作为烷基化试剂的直接使用受到 C(sp</w:t>
      </w:r>
      <w:r>
        <w:rPr>
          <w:vertAlign w:val="subscript"/>
        </w:rPr>
        <w:t>3</w:t>
      </w:r>
      <w:r>
        <w:t>)─N键。在此，我们描述了使用炔基溴作为偶联伙伴对脂肪族伯胺进行直接脱氨基炔基化。该转变在无金属条件下进行</w:t>
      </w:r>
      <w:r>
        <w:t xml:space="preserve"> </w:t>
      </w:r>
      <w:r>
        <w:t>氮</w:t>
      </w:r>
      <w:r>
        <w:t xml:space="preserve"> </w:t>
      </w:r>
      <w:r>
        <w:t>‐异头酰胺作为氮缺失试剂，能够形成 C(sp</w:t>
      </w:r>
      <w:r>
        <w:rPr>
          <w:vertAlign w:val="subscript"/>
        </w:rPr>
        <w:t>3</w:t>
      </w:r>
      <w:r>
        <w:t>)─C(sp) 键，无需预先进行胺预官能化。该反应表现出良好的官能团耐受性，并适应一系列脂肪胺，包括源自药物和天然产物的底物。这项研究证明了将脂肪族伯胺转化为内炔的可行性，并扩大了脱氨基C─C成键反应的范围。</w:t>
      </w:r>
    </w:p>
    <w:p>
      <w:pPr>
        <w:spacing w:before="0" w:after="200" w:lineRule="auto" w:line="276"/>
      </w:pPr>
      <w:r>
        <w:rPr>
          <w:b/>
        </w:rPr>
        <w:t xml:space="preserve">Abstract (EN): </w:t>
      </w:r>
      <w:r>
        <w:t>Alkyl‐substituted internal alkynes are useful motifs in organic synthesis and medicinal chemistry, but their preparation from common amine precursors remains challenging. Aliphatic primary amines are widespread functional groups, yet their direct use as alkylating reagents is limited by the strength of the C(sp</w:t>
      </w:r>
      <w:r>
        <w:rPr>
          <w:vertAlign w:val="subscript"/>
        </w:rPr>
        <w:t>3</w:t>
      </w:r>
      <w:r>
        <w:t>)─N bond. Herein, we describe a direct deaminative alkynylation of aliphatic primary amines using alkynyl bromides as coupling partners. The transformation proceeds under metal‐free conditions with an</w:t>
      </w:r>
      <w:r>
        <w:t xml:space="preserve"> </w:t>
      </w:r>
      <w:r>
        <w:t>N</w:t>
      </w:r>
      <w:r>
        <w:t xml:space="preserve"> </w:t>
      </w:r>
      <w:r>
        <w:t>‐anomeric amide as a nitrogen‐deletion reagent, enabling formation of C(sp</w:t>
      </w:r>
      <w:r>
        <w:rPr>
          <w:vertAlign w:val="subscript"/>
        </w:rPr>
        <w:t>3</w:t>
      </w:r>
      <w:r>
        <w:t>)─C(sp) bonds without prior amine prefunctionalization. The reaction shows good functional‐group tolerance and accommodates a range of aliphatic amines, including substrates derived from pharmaceuticals and natural products. This study demonstrates the feasibility of converting aliphatic primary amines into internal alkynes and expands the scope of deaminative C─C bond‐forming reactions.</w:t>
      </w:r>
    </w:p>
    <w:p>
      <w:pPr>
        <w:spacing w:before="120" w:after="120"/>
      </w:pPr>
      <w:r>
        <w:rPr>
          <w:sz w:val="18"/>
        </w:rPr>
        <w:t>——————————————————————————————————————————————————————————————————————</w:t>
      </w:r>
    </w:p>
    <w:p>
      <w:pPr>
        <w:spacing w:before="160" w:after="40" w:line="240" w:lineRule="auto"/>
      </w:pPr>
      <w:r>
        <w:rPr>
          <w:b/>
        </w:rPr>
        <w:t xml:space="preserve">[266] </w:t>
      </w:r>
      <w:hyperlink r:id="rId649">
        <w:r>
          <w:rPr>
            <w:color w:val="1155CC"/>
            <w:u w:val="single"/>
          </w:rPr>
          <w:t>用于动态有机磷光的离子驱动聚合物缠结</w:t>
        </w:r>
      </w:hyperlink>
    </w:p>
    <w:p>
      <w:pPr>
        <w:spacing w:before="0" w:after="80"/>
      </w:pPr>
      <w:r>
        <w:rPr>
          <w:i/>
          <w:sz w:val="20"/>
        </w:rPr>
        <w:t>EN: Ion‐Driving Polymer Entanglement for Dynamic Organic Phosphorescence</w:t>
      </w:r>
    </w:p>
    <w:p>
      <w:pPr>
        <w:spacing w:before="0" w:after="120"/>
      </w:pPr>
      <w:r>
        <w:rPr>
          <w:b/>
        </w:rPr>
        <w:t xml:space="preserve">Source: </w:t>
      </w:r>
      <w:r>
        <w:t>Wiley: Angewandte Chemie International Edition: Table of Contents</w:t>
      </w:r>
      <w:r>
        <w:t xml:space="preserve">    </w:t>
      </w:r>
      <w:r>
        <w:rPr>
          <w:b/>
        </w:rPr>
        <w:t xml:space="preserve">Pub date: </w:t>
      </w:r>
      <w:r>
        <w:t>2026-06-30 07:36:13+00:00</w:t>
      </w:r>
      <w:r>
        <w:t xml:space="preserve">    </w:t>
      </w:r>
      <w:r>
        <w:rPr>
          <w:b/>
        </w:rPr>
        <w:t xml:space="preserve">DOI: </w:t>
      </w:r>
      <w:hyperlink r:id="rId650">
        <w:r>
          <w:rPr>
            <w:color w:val="1155CC"/>
            <w:u w:val="single"/>
          </w:rPr>
          <w:t>10.1002/anie.2634196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动态有机磷光聚合物的发展常常受到对其凝聚态结构进行精确和可逆控制的挑战的限制。虽然外部刺激可以调节发射，但控制分层重组的基本材料水平原则仍然难以捉摸。在这里，我们报告了聚合物链的离子驱动缠结作为一种强大的通用策略来指导可重构的分层结构，从而实现高度可调的有机磷光。具体来说，钾离子以编程方式桥接内的醚和磺酸基团</w:t>
      </w:r>
      <w:r>
        <w:t xml:space="preserve"> </w:t>
      </w:r>
      <w:r>
        <w:t>κ</w:t>
      </w:r>
      <w:r>
        <w:t xml:space="preserve"> </w:t>
      </w:r>
      <w:r>
        <w:t>‐卡拉胶 (κCG)，触发聚合物缠结和发色团聚集，形成动态可逆结构。这种结构转变经原子力显微镜 (AFM) 和流变学验证，可以控制三重态激子行为，产生从蓝色到绿色可调的磷光（CIEy：0.037–0.382），寿命高达 199.50 毫秒，效率为 17.97%。纠缠是热可逆的，允许按需发射切换。此外，我们通过构建视觉尿钾分析仪证明了这种机制的转化潜力，其中离子浓度依赖性磷光能够进行定量检测。这项工作将聚合物纠缠确立为自适应光子材料的核心设计原理，为智能传感和医疗保健监测开辟了途径。</w:t>
      </w:r>
    </w:p>
    <w:p>
      <w:pPr>
        <w:spacing w:before="0" w:after="200" w:lineRule="auto" w:line="276"/>
      </w:pPr>
      <w:r>
        <w:rPr>
          <w:b/>
        </w:rPr>
        <w:t xml:space="preserve">Abstract (EN): </w:t>
      </w:r>
      <w:r>
        <w:t>The development of dynamic organic phosphorescent polymers is often limited by the challenge of exerting precise and reversible control over their condensed matter structures. While external stimuli can modulate emission, a fundamental materials‐level principle for governing hierarchical reorganization remains elusive. Here, we report that ion‐driving entanglement of polymer chains serves as a powerful general strategy to direct reconfigurable hierarchical structures, thereby enabling highly tunable organic phosphorescence. Specifically, potassium ions programmatically bridge ether and sulfonic acid groups within</w:t>
      </w:r>
      <w:r>
        <w:t xml:space="preserve"> </w:t>
      </w:r>
      <w:r>
        <w:t>κ</w:t>
      </w:r>
      <w:r>
        <w:t xml:space="preserve"> </w:t>
      </w:r>
      <w:r>
        <w:t>‐carrageenan (κCG), triggering polymer entanglement and chromophore aggregation to form a dynamically reversible architecture. This structural transformation, validated by atomic force microscopy (AFM) and rheology, grants control over triplet exciton behavior, yielding phosphorescence that is tunable from blue to green (CIEy: 0.037–0.382) with a lifetime of up to 199.50 ms and an efficiency of 17.97%. The entanglement is thermally reversible, allowing on‐demand emission switching. Furthermore, we demonstrate the translational potential of this mechanism by constructing a visual urinary potassium analyzer, where ion‐concentration‐dependent phosphorescence enables quantitative detection. This work establishes polymer entanglement as a central design principle for adaptive photonic materials, opening avenues for smart sensing and healthcare monitoring.</w:t>
      </w:r>
    </w:p>
    <w:p>
      <w:pPr>
        <w:spacing w:before="120" w:after="120"/>
      </w:pPr>
      <w:r>
        <w:rPr>
          <w:sz w:val="18"/>
        </w:rPr>
        <w:t>——————————————————————————————————————————————————————————————————————</w:t>
      </w:r>
    </w:p>
    <w:p>
      <w:pPr>
        <w:spacing w:before="160" w:after="40" w:line="240" w:lineRule="auto"/>
      </w:pPr>
      <w:r>
        <w:rPr>
          <w:b/>
        </w:rPr>
        <w:t xml:space="preserve">[267] </w:t>
      </w:r>
      <w:hyperlink r:id="rId651">
        <w:r>
          <w:rPr>
            <w:color w:val="1155CC"/>
            <w:u w:val="single"/>
          </w:rPr>
          <w:t>Pd/C 催化含 CF3、CF2H 和 CF2CO2Et 的吡啶氢化：一种高功能化含哌啶的稳健方法</w:t>
        </w:r>
      </w:hyperlink>
    </w:p>
    <w:p>
      <w:pPr>
        <w:spacing w:before="0" w:after="80"/>
      </w:pPr>
      <w:r>
        <w:rPr>
          <w:i/>
          <w:sz w:val="20"/>
        </w:rPr>
        <w:t>EN: Pd/C‐Catalyzed Hydrogenation of CF3‐, CF2H‐, and CF2CO2Et‐containing Pyridines: A Robust Method for Highly Functionalized containing Piperidines</w:t>
      </w:r>
    </w:p>
    <w:p>
      <w:pPr>
        <w:spacing w:before="0" w:after="120"/>
      </w:pPr>
      <w:r>
        <w:rPr>
          <w:b/>
        </w:rPr>
        <w:t xml:space="preserve">Source: </w:t>
      </w:r>
      <w:r>
        <w:t>Wiley: Angewandte Chemie International Edition: Table of Contents</w:t>
      </w:r>
      <w:r>
        <w:t xml:space="preserve">    </w:t>
      </w:r>
      <w:r>
        <w:rPr>
          <w:b/>
        </w:rPr>
        <w:t xml:space="preserve">Pub date: </w:t>
      </w:r>
      <w:r>
        <w:t>2026-06-30 07:38:39+00:00</w:t>
      </w:r>
      <w:r>
        <w:t xml:space="preserve">    </w:t>
      </w:r>
      <w:r>
        <w:rPr>
          <w:b/>
        </w:rPr>
        <w:t xml:space="preserve">DOI: </w:t>
      </w:r>
      <w:hyperlink r:id="rId652">
        <w:r>
          <w:rPr>
            <w:color w:val="1155CC"/>
            <w:u w:val="single"/>
          </w:rPr>
          <w:t>10.1002/anie.4352204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一种用于氢化各种被 CF 取代的吡啶的稳健方法</w:t>
      </w:r>
      <w:r>
        <w:rPr>
          <w:vertAlign w:val="subscript"/>
        </w:rPr>
        <w:t>3</w:t>
      </w:r>
      <w:r>
        <w:t>, CF</w:t>
      </w:r>
      <w:r>
        <w:rPr>
          <w:vertAlign w:val="subscript"/>
        </w:rPr>
        <w:t>2</w:t>
      </w:r>
      <w:r>
        <w:t>H 和 CF</w:t>
      </w:r>
      <w:r>
        <w:rPr>
          <w:vertAlign w:val="subscript"/>
        </w:rPr>
        <w:t>2</w:t>
      </w:r>
      <w:r>
        <w:t>一氧化碳</w:t>
      </w:r>
      <w:r>
        <w:rPr>
          <w:vertAlign w:val="subscript"/>
        </w:rPr>
        <w:t>2</w:t>
      </w:r>
      <w:r>
        <w:t>Et团体已经发展起来。使用廉价的多相 Pd/C 催化剂，在耐空气和耐湿反应条件下合成了多种功能化的氟化哌啶（37 个实例，产率高达 98%），具有良好到高的非对映选择性。全面的核磁共振研究能够对合成的氟化化合物进行全面的结构表征。氟化支架的克级制备和抗精神病药物美哌隆三氟甲基化类似物的合成进一步凸显了该方法的合成效用。</w:t>
      </w:r>
    </w:p>
    <w:p>
      <w:pPr>
        <w:spacing w:before="0" w:after="200" w:lineRule="auto" w:line="276"/>
      </w:pPr>
      <w:r>
        <w:rPr>
          <w:b/>
        </w:rPr>
        <w:t xml:space="preserve">Abstract (EN): </w:t>
      </w:r>
      <w:r>
        <w:t>A robust method for the hydrogenation of various pyridines substituted by CF</w:t>
      </w:r>
      <w:r>
        <w:rPr>
          <w:vertAlign w:val="subscript"/>
        </w:rPr>
        <w:t>3</w:t>
      </w:r>
      <w:r>
        <w:t>, CF</w:t>
      </w:r>
      <w:r>
        <w:rPr>
          <w:vertAlign w:val="subscript"/>
        </w:rPr>
        <w:t>2</w:t>
      </w:r>
      <w:r>
        <w:t>H, and CF</w:t>
      </w:r>
      <w:r>
        <w:rPr>
          <w:vertAlign w:val="subscript"/>
        </w:rPr>
        <w:t>2</w:t>
      </w:r>
      <w:r>
        <w:t>CO</w:t>
      </w:r>
      <w:r>
        <w:rPr>
          <w:vertAlign w:val="subscript"/>
        </w:rPr>
        <w:t>2</w:t>
      </w:r>
      <w:r>
        <w:t>Et groups has been developed. Using an inexpensive heterogeneous Pd/C catalyst, diversely functionalized fluorinated piperidines were synthesized under air‐ and moisture‐tolerant reaction conditions (37 examples, up to 98% yield) with good to high diastereoselectivity. Comprehensive NMR studies enabled full structural characterization of the synthesized fluorinated compounds. The synthetic utility of the methods was further highlighted by the gram‐scale preparation of the fluorinated scaffolds and the synthesis of a trifluoromethylated analog of the antipsychotic drug melperone.</w:t>
      </w:r>
    </w:p>
    <w:p>
      <w:pPr>
        <w:spacing w:before="120" w:after="120"/>
      </w:pPr>
      <w:r>
        <w:rPr>
          <w:sz w:val="18"/>
        </w:rPr>
        <w:t>——————————————————————————————————————————————————————————————————————</w:t>
      </w:r>
    </w:p>
    <w:p>
      <w:pPr>
        <w:spacing w:before="160" w:after="40" w:line="240" w:lineRule="auto"/>
      </w:pPr>
      <w:r>
        <w:rPr>
          <w:b/>
        </w:rPr>
        <w:t xml:space="preserve">[268] </w:t>
      </w:r>
      <w:hyperlink r:id="rId653">
        <w:r>
          <w:rPr>
            <w:color w:val="1155CC"/>
            <w:u w:val="single"/>
          </w:rPr>
          <w:t>脉冲激光烧蚀合成高熵合金气凝胶以实现 H2O2 生产和水脱色</w:t>
        </w:r>
      </w:hyperlink>
    </w:p>
    <w:p>
      <w:pPr>
        <w:spacing w:before="0" w:after="80"/>
      </w:pPr>
      <w:r>
        <w:rPr>
          <w:i/>
          <w:sz w:val="20"/>
        </w:rPr>
        <w:t>EN: Pulsed‐Laser Ablation for the Synthesis of High‐Entropy Alloy Aerogels Toward H2O2 Production and Water Decolorization</w:t>
      </w:r>
    </w:p>
    <w:p>
      <w:pPr>
        <w:spacing w:before="0" w:after="120"/>
      </w:pPr>
      <w:r>
        <w:rPr>
          <w:b/>
        </w:rPr>
        <w:t xml:space="preserve">Source: </w:t>
      </w:r>
      <w:r>
        <w:t>Wiley: Angewandte Chemie International Edition: Table of Contents</w:t>
      </w:r>
      <w:r>
        <w:t xml:space="preserve">    </w:t>
      </w:r>
      <w:r>
        <w:rPr>
          <w:b/>
        </w:rPr>
        <w:t xml:space="preserve">Pub date: </w:t>
      </w:r>
      <w:r>
        <w:t>2026-06-30 07:40:30+00:00</w:t>
      </w:r>
      <w:r>
        <w:t xml:space="preserve">    </w:t>
      </w:r>
      <w:r>
        <w:rPr>
          <w:b/>
        </w:rPr>
        <w:t xml:space="preserve">DOI: </w:t>
      </w:r>
      <w:hyperlink r:id="rId654">
        <w:r>
          <w:rPr>
            <w:color w:val="1155CC"/>
            <w:u w:val="single"/>
          </w:rPr>
          <w:t>10.1002/anie.2026722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H的电合成</w:t>
      </w:r>
      <w:r>
        <w:rPr>
          <w:vertAlign w:val="subscript"/>
        </w:rPr>
        <w:t>2</w:t>
      </w:r>
      <w:r>
        <w:t>氧</w:t>
      </w:r>
      <w:r>
        <w:rPr>
          <w:vertAlign w:val="subscript"/>
        </w:rPr>
        <w:t>2</w:t>
      </w:r>
      <w:r>
        <w:t>因其环境可持续性和成本效益而具有吸引力，但受到竞争性 4e 引发的缓慢反应动力学和低选择性的阻碍</w:t>
      </w:r>
      <w:r>
        <w:t xml:space="preserve"> </w:t>
      </w:r>
      <w:r>
        <w:t>-</w:t>
      </w:r>
      <w:r>
        <w:t>途径。在这里，使用液体中纳秒脉冲激光合成的 CrMnFeCoNi HEA 纳米粒子以及分别不含 Co、Fe 和 Ni 的三个示例性四元系统设计了一种基于过渡金属的多金属气凝胶模型。其中，所得的 CrMnFeCoNi HEA 气凝胶表现出最高的 H</w:t>
      </w:r>
      <w:r>
        <w:rPr>
          <w:vertAlign w:val="subscript"/>
        </w:rPr>
        <w:t>2</w:t>
      </w:r>
      <w:r>
        <w:t>氧</w:t>
      </w:r>
      <w:r>
        <w:rPr>
          <w:vertAlign w:val="subscript"/>
        </w:rPr>
        <w:t>2</w:t>
      </w:r>
      <w:r>
        <w:t>选择性高达95%，最低转移电子数为2.1，以及近100% H的良好稳定性</w:t>
      </w:r>
      <w:r>
        <w:rPr>
          <w:vertAlign w:val="subscript"/>
        </w:rPr>
        <w:t>2</w:t>
      </w:r>
      <w:r>
        <w:t>氧</w:t>
      </w:r>
      <w:r>
        <w:rPr>
          <w:vertAlign w:val="subscript"/>
        </w:rPr>
        <w:t>2</w:t>
      </w:r>
      <w:r>
        <w:t>10k 循环后的选择性。此外，所制备的 CrMnFeCoNi 气凝胶达到了最大 H</w:t>
      </w:r>
      <w:r>
        <w:rPr>
          <w:vertAlign w:val="subscript"/>
        </w:rPr>
        <w:t>2</w:t>
      </w:r>
      <w:r>
        <w:t>氧</w:t>
      </w:r>
      <w:r>
        <w:rPr>
          <w:vertAlign w:val="subscript"/>
        </w:rPr>
        <w:t>2</w:t>
      </w:r>
      <w:r>
        <w:t>产率 2.34 mmol h</w:t>
      </w:r>
      <w:r>
        <w:t xml:space="preserve"> </w:t>
      </w:r>
      <w:r>
        <w:t>−1</w:t>
      </w:r>
      <w:r>
        <w:t xml:space="preserve"> </w:t>
      </w:r>
      <w:r>
        <w:t>并表现出对有机污染物（例如亚甲蓝或罗丹明 B）的有效脱色能力。这种出色的性能归因于各种金属的协同效应和构型熵的贡献，从而在电化学反应过程中实现了表面原子排列的有利分布和最佳的结合能。</w:t>
      </w:r>
    </w:p>
    <w:p>
      <w:pPr>
        <w:spacing w:before="0" w:after="200" w:lineRule="auto" w:line="276"/>
      </w:pPr>
      <w:r>
        <w:rPr>
          <w:b/>
        </w:rPr>
        <w:t xml:space="preserve">Abstract (EN): </w:t>
      </w:r>
      <w:r>
        <w:t>Electrosynthesis of H</w:t>
      </w:r>
      <w:r>
        <w:rPr>
          <w:vertAlign w:val="subscript"/>
        </w:rPr>
        <w:t>2</w:t>
      </w:r>
      <w:r>
        <w:t>O</w:t>
      </w:r>
      <w:r>
        <w:rPr>
          <w:vertAlign w:val="subscript"/>
        </w:rPr>
        <w:t>2</w:t>
      </w:r>
      <w:r>
        <w:t>is attractive for its environmental sustainability and cost‐effectiveness, yet is impeded by the sluggish reaction kinetics and low selectivity triggered by the competing 4e</w:t>
      </w:r>
      <w:r>
        <w:t xml:space="preserve"> </w:t>
      </w:r>
      <w:r>
        <w:t>−</w:t>
      </w:r>
      <w:r>
        <w:t>pathway. Here, a model transition‐metal‐based multimetallic aerogel was designed using CrMnFeCoNi HEA nanoparticles from nanosecond‐pulsed laser synthesis in liquids, along with three exemplary quaternary systems without Co, Fe, and Ni, respectively. Among them, the resulting CrMnFeCoNi HEA aerogel exhibits the highest H</w:t>
      </w:r>
      <w:r>
        <w:rPr>
          <w:vertAlign w:val="subscript"/>
        </w:rPr>
        <w:t>2</w:t>
      </w:r>
      <w:r>
        <w:t>O</w:t>
      </w:r>
      <w:r>
        <w:rPr>
          <w:vertAlign w:val="subscript"/>
        </w:rPr>
        <w:t>2</w:t>
      </w:r>
      <w:r>
        <w:t>selectivity of 95% and the lowest transferred electron number of 2.1, as well as good stability of nearly 100% H</w:t>
      </w:r>
      <w:r>
        <w:rPr>
          <w:vertAlign w:val="subscript"/>
        </w:rPr>
        <w:t>2</w:t>
      </w:r>
      <w:r>
        <w:t>O</w:t>
      </w:r>
      <w:r>
        <w:rPr>
          <w:vertAlign w:val="subscript"/>
        </w:rPr>
        <w:t>2</w:t>
      </w:r>
      <w:r>
        <w:t>selectivity after 10k cycles. Furthermore, the as‐prepared CrMnFeCoNi aerogel reaches a maximum H</w:t>
      </w:r>
      <w:r>
        <w:rPr>
          <w:vertAlign w:val="subscript"/>
        </w:rPr>
        <w:t>2</w:t>
      </w:r>
      <w:r>
        <w:t>O</w:t>
      </w:r>
      <w:r>
        <w:rPr>
          <w:vertAlign w:val="subscript"/>
        </w:rPr>
        <w:t>2</w:t>
      </w:r>
      <w:r>
        <w:t>yield of 2.34 mmol h</w:t>
      </w:r>
      <w:r>
        <w:t xml:space="preserve"> </w:t>
      </w:r>
      <w:r>
        <w:t>−1</w:t>
      </w:r>
      <w:r>
        <w:t xml:space="preserve"> </w:t>
      </w:r>
      <w:r>
        <w:t>and demonstrates an efficient decolorization ability for organic pollutants (e.g., Methylene blue or Rhodamine B). This outstanding performance is attributed to the synergetic effects of the various metals and the configurational entropy contribution, enabling a favored distribution of surface atom arrangements and optimal binding energies during electrochemical reactions. This work not only provides a novel perspective for manipulating HEA aerogels but also presents a promising alternative for industrial H</w:t>
      </w:r>
      <w:r>
        <w:rPr>
          <w:vertAlign w:val="subscript"/>
        </w:rPr>
        <w:t>2</w:t>
      </w:r>
      <w:r>
        <w:t>O</w:t>
      </w:r>
      <w:r>
        <w:rPr>
          <w:vertAlign w:val="subscript"/>
        </w:rPr>
        <w:t>2</w:t>
      </w:r>
      <w:r>
        <w:t>production and water treatment.</w:t>
      </w:r>
    </w:p>
    <w:p>
      <w:pPr>
        <w:spacing w:before="120" w:after="120"/>
      </w:pPr>
      <w:r>
        <w:rPr>
          <w:sz w:val="18"/>
        </w:rPr>
        <w:t>——————————————————————————————————————————————————————————————————————</w:t>
      </w:r>
    </w:p>
    <w:p>
      <w:pPr>
        <w:spacing w:before="160" w:after="40" w:line="240" w:lineRule="auto"/>
      </w:pPr>
      <w:r>
        <w:rPr>
          <w:b/>
        </w:rPr>
        <w:t xml:space="preserve">[269] </w:t>
      </w:r>
      <w:hyperlink r:id="rId655">
        <w:r>
          <w:rPr>
            <w:color w:val="1155CC"/>
            <w:u w:val="single"/>
          </w:rPr>
          <w:t>镍催化天然羟基引发未活化烯烃的 1,2-芳基烯基化</w:t>
        </w:r>
      </w:hyperlink>
    </w:p>
    <w:p>
      <w:pPr>
        <w:spacing w:before="0" w:after="80"/>
      </w:pPr>
      <w:r>
        <w:rPr>
          <w:i/>
          <w:sz w:val="20"/>
        </w:rPr>
        <w:t>EN: Nickel‐Catalyzed 1,2‐Arylalkenylation of Unactivated Alkenes Enabled by a Native Hydroxy Group</w:t>
      </w:r>
    </w:p>
    <w:p>
      <w:pPr>
        <w:spacing w:before="0" w:after="120"/>
      </w:pPr>
      <w:r>
        <w:rPr>
          <w:b/>
        </w:rPr>
        <w:t xml:space="preserve">Source: </w:t>
      </w:r>
      <w:r>
        <w:t>Wiley: Angewandte Chemie International Edition: Table of Contents</w:t>
      </w:r>
      <w:r>
        <w:t xml:space="preserve">    </w:t>
      </w:r>
      <w:r>
        <w:rPr>
          <w:b/>
        </w:rPr>
        <w:t xml:space="preserve">Pub date: </w:t>
      </w:r>
      <w:r>
        <w:t>2026-06-30 07:44:27+00:00</w:t>
      </w:r>
      <w:r>
        <w:t xml:space="preserve">    </w:t>
      </w:r>
      <w:r>
        <w:rPr>
          <w:b/>
        </w:rPr>
        <w:t xml:space="preserve">DOI: </w:t>
      </w:r>
      <w:hyperlink r:id="rId656">
        <w:r>
          <w:rPr>
            <w:color w:val="1155CC"/>
            <w:u w:val="single"/>
          </w:rPr>
          <w:t>10.1002/anie.7918717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过渡金属催化的烯烃二碳官能化代表了一步构建分子复杂性的强大策略。在此，我们报道了使用烯基硼酸酯和芳基碘化物对未活化烯基醇进行前所未有的镍催化 1,2-芳基烯基化反应。该方法独特地利用天然羟基作为内在的定向手柄，无需预先安装的助剂，并简化了结构多样的烯醇衍生物的合成。该反应在温和的条件下进行，具有广泛的官能团耐受性和优异的区域选择性，能够有效构建有价值的结构单元。 DFT 计算支持的机理研究揭示了 Ni(0)/Ni(I)/Ni(II) 催化循环可能涉及芳基自由基中间体。通过利用醇作为导向基团，这项工作扩大了烯烃二碳官能化的范围，并为与药物、农用化学品和材料开发相关的后期官能化提供了一个多功能平台。</w:t>
      </w:r>
    </w:p>
    <w:p>
      <w:pPr>
        <w:spacing w:before="0" w:after="200" w:lineRule="auto" w:line="276"/>
      </w:pPr>
      <w:r>
        <w:rPr>
          <w:b/>
        </w:rPr>
        <w:t xml:space="preserve">Abstract (EN): </w:t>
      </w:r>
      <w:r>
        <w:t>Transition‐metal‐catalyzed dicarbofunctionalization of alkenes represents a powerful strategy for building molecular complexity in a single step. Here we report an unprecedented nickel‐catalyzed 1,2‐arylalkenylation of unactivated alkenyl alcohols using alkenyl boronates and aryl iodides. This method uniquely leverages the native hydroxyl group as an intrinsic directing handle, eliminating the need for pre‐installed auxiliaries and streamlining the synthesis of structurally diverse alkenol derivatives. The reaction proceeds under mild conditions with broad functional group tolerance and excellent regioselectivity, enabling efficient construction of valuable building blocks. Mechanistic studies, supported by DFT calculations, reveal a Ni(0)/Ni(I)/Ni(II) catalytic cycle probably involving aryl radical intermediates. By exploiting alcohols as directing groups, this work expands the scope of alkene dicarbofunctionalization and provides a versatile platform for late‐stage functionalization relevant to pharmaceuticals, agrochemicals, and materials development.</w:t>
      </w:r>
    </w:p>
    <w:p>
      <w:pPr>
        <w:spacing w:before="120" w:after="120"/>
      </w:pPr>
      <w:r>
        <w:rPr>
          <w:sz w:val="18"/>
        </w:rPr>
        <w:t>——————————————————————————————————————————————————————————————————————</w:t>
      </w:r>
    </w:p>
    <w:p>
      <w:pPr>
        <w:spacing w:before="160" w:after="40" w:line="240" w:lineRule="auto"/>
      </w:pPr>
      <w:r>
        <w:rPr>
          <w:b/>
        </w:rPr>
        <w:t xml:space="preserve">[270] </w:t>
      </w:r>
      <w:hyperlink r:id="rId657">
        <w:r>
          <w:rPr>
            <w:color w:val="1155CC"/>
            <w:u w:val="single"/>
          </w:rPr>
          <w:t>复杂笼结构的无偏结构预测</w:t>
        </w:r>
      </w:hyperlink>
    </w:p>
    <w:p>
      <w:pPr>
        <w:spacing w:before="0" w:after="80"/>
      </w:pPr>
      <w:r>
        <w:rPr>
          <w:i/>
          <w:sz w:val="20"/>
        </w:rPr>
        <w:t>EN: Unbiased Structure Prediction of Sophisticated Cage Structures</w:t>
      </w:r>
    </w:p>
    <w:p>
      <w:pPr>
        <w:spacing w:before="0" w:after="120"/>
      </w:pPr>
      <w:r>
        <w:rPr>
          <w:b/>
        </w:rPr>
        <w:t xml:space="preserve">Source: </w:t>
      </w:r>
      <w:r>
        <w:t>Wiley: Angewandte Chemie International Edition: Table of Contents</w:t>
      </w:r>
      <w:r>
        <w:t xml:space="preserve">    </w:t>
      </w:r>
      <w:r>
        <w:rPr>
          <w:b/>
        </w:rPr>
        <w:t xml:space="preserve">Pub date: </w:t>
      </w:r>
      <w:r>
        <w:t>2026-06-30 07:50:45+00:00</w:t>
      </w:r>
      <w:r>
        <w:t xml:space="preserve">    </w:t>
      </w:r>
      <w:r>
        <w:rPr>
          <w:b/>
        </w:rPr>
        <w:t xml:space="preserve">DOI: </w:t>
      </w:r>
      <w:hyperlink r:id="rId658">
        <w:r>
          <w:rPr>
            <w:color w:val="1155CC"/>
            <w:u w:val="single"/>
          </w:rPr>
          <w:t>10.1002/anie.9267462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根据社区之前所见生成结构，笼式结构预测取得了重大进展。然而，为了通过计算设计和发现新颖的结构，社区必须能够评估和建模所有候选结构。在这里，我们在我们的软件中引入了无偏结构预测工作流程，</w:t>
      </w:r>
      <w:r>
        <w:t xml:space="preserve"> </w:t>
      </w:r>
      <w:r>
        <w:t>CGX</w:t>
      </w:r>
      <w:r>
        <w:t xml:space="preserve"> </w:t>
      </w:r>
      <w:r>
        <w:t>，由探索算法和我们的低成本最小模型推动。通过与实验进行比较，我们表明我们的方法仅从实验输入（构建块类型、特征及其化学计量）开始预测笼结构。我们在任何昂贵的实验承诺之前演示了该方法的使用，提供了一种开源且适用于多种模型分辨率的高效自动化方法。通过在文档中提供带有可复制代码的配方，我们使具有广泛专业知识的化学家尽可能轻松地采用这种新方法。</w:t>
      </w:r>
    </w:p>
    <w:p>
      <w:pPr>
        <w:spacing w:before="0" w:after="200" w:lineRule="auto" w:line="276"/>
      </w:pPr>
      <w:r>
        <w:rPr>
          <w:b/>
        </w:rPr>
        <w:t xml:space="preserve">Abstract (EN): </w:t>
      </w:r>
      <w:r>
        <w:t>Cage structure prediction has made significant strides by generating structures based on what the community has seen before. However, to computationally design and discover novel structures, the community must be able to evaluate and model all structural candidates. Here, we introduce unbiased structure prediction workflows in our software,</w:t>
      </w:r>
      <w:r>
        <w:t xml:space="preserve"> </w:t>
      </w:r>
      <w:r>
        <w:t>cgx</w:t>
      </w:r>
      <w:r>
        <w:t xml:space="preserve"> </w:t>
      </w:r>
      <w:r>
        <w:t>, facilitated by exploration algorithms and our low‐cost minimal models. By comparing to experiments, we show that our approach predicts cage structures starting only from the experimental inputs (building block types, features and their stoichiometry). We demonstrate the use of this method prior to any costly experimental commitment, providing an efficient automated approach that is open source and applicable to multiple model resolutions. By providing recipes with copyable code in the documentation, we make uptake of this new method as facile as possible for chemists with a wide‐range of expertise.</w:t>
      </w:r>
    </w:p>
    <w:p>
      <w:pPr>
        <w:spacing w:before="120" w:after="120"/>
      </w:pPr>
      <w:r>
        <w:rPr>
          <w:sz w:val="18"/>
        </w:rPr>
        <w:t>——————————————————————————————————————————————————————————————————————</w:t>
      </w:r>
    </w:p>
    <w:p>
      <w:pPr>
        <w:spacing w:before="160" w:after="40" w:line="240" w:lineRule="auto"/>
      </w:pPr>
      <w:r>
        <w:rPr>
          <w:b/>
        </w:rPr>
        <w:t xml:space="preserve">[271] </w:t>
      </w:r>
      <w:hyperlink r:id="rId659">
        <w:r>
          <w:rPr>
            <w:color w:val="1155CC"/>
            <w:u w:val="single"/>
          </w:rPr>
          <w:t>手性螺环支架 C(sp3),P-螯合铱环：β,β-二取代丙烯酸盐的直接不对称氢化</w:t>
        </w:r>
      </w:hyperlink>
    </w:p>
    <w:p>
      <w:pPr>
        <w:spacing w:before="0" w:after="80"/>
      </w:pPr>
      <w:r>
        <w:rPr>
          <w:i/>
          <w:sz w:val="20"/>
        </w:rPr>
        <w:t>EN: Chiral Spiro‐Scaffolded C(sp3),P‐Chelated Iridacycles: Direct Asymmetric Hydrogenation of β,β‐Disubstituted Acrylate Salts</w:t>
      </w:r>
    </w:p>
    <w:p>
      <w:pPr>
        <w:spacing w:before="0" w:after="120"/>
      </w:pPr>
      <w:r>
        <w:rPr>
          <w:b/>
        </w:rPr>
        <w:t xml:space="preserve">Source: </w:t>
      </w:r>
      <w:r>
        <w:t>Wiley: Angewandte Chemie International Edition: Table of Contents</w:t>
      </w:r>
      <w:r>
        <w:t xml:space="preserve">    </w:t>
      </w:r>
      <w:r>
        <w:rPr>
          <w:b/>
        </w:rPr>
        <w:t xml:space="preserve">Pub date: </w:t>
      </w:r>
      <w:r>
        <w:t>2026-06-30 07:52:27+00:00</w:t>
      </w:r>
      <w:r>
        <w:t xml:space="preserve">    </w:t>
      </w:r>
      <w:r>
        <w:rPr>
          <w:b/>
        </w:rPr>
        <w:t xml:space="preserve">DOI: </w:t>
      </w:r>
      <w:hyperlink r:id="rId660">
        <w:r>
          <w:rPr>
            <w:color w:val="1155CC"/>
            <w:u w:val="single"/>
          </w:rPr>
          <w:t>10.1002/anie.9164765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具有精确定制的空间和电子特性的手性配体的合理设计对于推进不对称过渡金属催化至关重要。尽管他们有很强的 σ 捐赠能力，但 sp</w:t>
      </w:r>
      <w:r>
        <w:rPr>
          <w:vertAlign w:val="subscript"/>
        </w:rPr>
        <w:t>3</w:t>
      </w:r>
      <w:r>
        <w:t>‐杂化碳负离子配体长期以来一直未被充分探索，因为 C(sp</w:t>
      </w:r>
      <w:r>
        <w:rPr>
          <w:vertAlign w:val="subscript"/>
        </w:rPr>
        <w:t>3</w:t>
      </w:r>
      <w:r>
        <w:t>)-金属化配合物。在这项研究中，我们报告了手性螺单膦配体的模块化设计（（</w:t>
      </w:r>
      <w:r>
        <w:t xml:space="preserve"> </w:t>
      </w:r>
      <w:r>
        <w:t>右</w:t>
      </w:r>
      <w:r>
        <w:t xml:space="preserve"> </w:t>
      </w:r>
      <w:r>
        <w:t>)-SciPhos) 集成了吸电子基团、季碳部分和刚性螺环支架，有效解决了这一长期存在的挑战。这种明智的设计能够合成稳定的中性 C(sp</w:t>
      </w:r>
      <w:r>
        <w:rPr>
          <w:vertAlign w:val="subscript"/>
        </w:rPr>
        <w:t>3</w:t>
      </w:r>
      <w:r>
        <w:t>),通过分子内 C─H 活化形成 P 螯合铱配合物。这些新型铱环催化剂在具有挑战性的 β,β-二取代丙烯酸钠的不对称氢化中表现出高效率、优异的对映选择性和广泛的底物范围，实现高达 99% 的产率和 97% ee，周转数 (TON) 为 5000。机理研究揭示了涉及烯烃二氢铱 (III) 中间体的 Ir(III)/Ir(V) 催化循环，其中迁移插入步骤决定了通过非共价相互作用实现对映选择性。这项工作为 C(sp</w:t>
      </w:r>
      <w:r>
        <w:rPr>
          <w:vertAlign w:val="subscript"/>
        </w:rPr>
        <w:t>3</w:t>
      </w:r>
      <w:r>
        <w:t>)-金属配合物催化，为创新发展开辟新途径</w:t>
      </w:r>
    </w:p>
    <w:p>
      <w:pPr>
        <w:spacing w:before="0" w:after="200" w:lineRule="auto" w:line="276"/>
      </w:pPr>
      <w:r>
        <w:rPr>
          <w:b/>
        </w:rPr>
        <w:t xml:space="preserve">Abstract (EN): </w:t>
      </w:r>
      <w:r>
        <w:t>Rational design of chiral ligands with precisely tailored steric and electronic properties is pivotal to advancing asymmetric transition‐metal catalysis. Despite their promising strong σ‐donating ability, sp</w:t>
      </w:r>
      <w:r>
        <w:rPr>
          <w:vertAlign w:val="subscript"/>
        </w:rPr>
        <w:t>3</w:t>
      </w:r>
      <w:r>
        <w:t>‐hybridized carbanion ligands have long been underexplored owing to the inherent instability of C(sp</w:t>
      </w:r>
      <w:r>
        <w:rPr>
          <w:vertAlign w:val="subscript"/>
        </w:rPr>
        <w:t>3</w:t>
      </w:r>
      <w:r>
        <w:t>)‐metalated complexes. In this study, we report a modular design of chiral spiro monophosphine ligands ((</w:t>
      </w:r>
      <w:r>
        <w:t xml:space="preserve"> </w:t>
      </w:r>
      <w:r>
        <w:t>R</w:t>
      </w:r>
      <w:r>
        <w:t xml:space="preserve"> </w:t>
      </w:r>
      <w:r>
        <w:t>)‐SciPhos) integrating an electronic‐withdrawing group, a quaternary carbon moiety, and a rigid spiro scaffold, which efficiently addresses this long‐standing challenge. This judicious design enables the synthesis of bench‐stable neutral C(sp</w:t>
      </w:r>
      <w:r>
        <w:rPr>
          <w:vertAlign w:val="subscript"/>
        </w:rPr>
        <w:t>3</w:t>
      </w:r>
      <w:r>
        <w:t>),P‐chelated iridium complexes via intramolecular C─H activation. These novel iridacycle catalysts exhibit high efficiency, excellent enantioselectivity, and a broad substrate scope in the asymmetric hydrogenation of challenging β,β‐disubstituted sodium acrylates, achieving up to 99% yield and 97% ee with a turnover number (TON) of 5000. Mechanistic studies reveal an Ir(III)/Ir(V) catalytic cycle involving an olefin dihydride iridium(III) intermediate, wherein the migratory insertion step dictates enantioselectivity via noncovalent interactions. This work establishes a general platform for C(sp</w:t>
      </w:r>
      <w:r>
        <w:rPr>
          <w:vertAlign w:val="subscript"/>
        </w:rPr>
        <w:t>3</w:t>
      </w:r>
      <w:r>
        <w:t>)‐metalated complex‐based catalysis, opens new avenues for the development of innovative asymmetric catalytic systems, and unlocks access to previously inaccessible enantioselective transformations.</w:t>
      </w:r>
    </w:p>
    <w:p>
      <w:pPr>
        <w:spacing w:before="120" w:after="120"/>
      </w:pPr>
      <w:r>
        <w:rPr>
          <w:sz w:val="18"/>
        </w:rPr>
        <w:t>——————————————————————————————————————————————————————————————————————</w:t>
      </w:r>
    </w:p>
    <w:p>
      <w:pPr>
        <w:spacing w:before="160" w:after="40" w:line="240" w:lineRule="auto"/>
      </w:pPr>
      <w:r>
        <w:rPr>
          <w:b/>
        </w:rPr>
        <w:t xml:space="preserve">[272] </w:t>
      </w:r>
      <w:hyperlink r:id="rId661">
        <w:r>
          <w:rPr>
            <w:color w:val="1155CC"/>
            <w:u w:val="single"/>
          </w:rPr>
          <w:t>通过立体选择性聚合和定制后转化制备功能性和网络 PHA</w:t>
        </w:r>
      </w:hyperlink>
    </w:p>
    <w:p>
      <w:pPr>
        <w:spacing w:before="0" w:after="80"/>
      </w:pPr>
      <w:r>
        <w:rPr>
          <w:i/>
          <w:sz w:val="20"/>
        </w:rPr>
        <w:t>EN: Functional and Network PHAs via Stereoselective Polymerization and Tailored Post‐Transformation</w:t>
      </w:r>
    </w:p>
    <w:p>
      <w:pPr>
        <w:spacing w:before="0" w:after="120"/>
      </w:pPr>
      <w:r>
        <w:rPr>
          <w:b/>
        </w:rPr>
        <w:t xml:space="preserve">Source: </w:t>
      </w:r>
      <w:r>
        <w:t>Wiley: Angewandte Chemie International Edition: Table of Contents</w:t>
      </w:r>
      <w:r>
        <w:t xml:space="preserve">    </w:t>
      </w:r>
      <w:r>
        <w:rPr>
          <w:b/>
        </w:rPr>
        <w:t xml:space="preserve">Pub date: </w:t>
      </w:r>
      <w:r>
        <w:t>2026-06-30 07:56:32+00:00</w:t>
      </w:r>
      <w:r>
        <w:t xml:space="preserve">    </w:t>
      </w:r>
      <w:r>
        <w:rPr>
          <w:b/>
        </w:rPr>
        <w:t xml:space="preserve">DOI: </w:t>
      </w:r>
      <w:hyperlink r:id="rId662">
        <w:r>
          <w:rPr>
            <w:color w:val="1155CC"/>
            <w:u w:val="single"/>
          </w:rPr>
          <w:t>10.1002/anie.9747437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官能团掺入聚（3-羟基链烷酸酯）（PHA）中是针对特定应用定制其性能的重要策略，但官能团的范围以及将其转化为定制PHA材料的方法目前都受到限制，值得进一步探索。在这里，我们报道了一种催化剂控制的官能化丙内酯立体选择性开环聚合，用于合成具有高间同立构规整度的乙烯基、烯丙基和炔丙基官能化PHA（</w:t>
      </w:r>
      <w:r>
        <w:t xml:space="preserve"> </w:t>
      </w:r>
      <w:r>
        <w:t>磷</w:t>
      </w:r>
      <w:r>
        <w:t xml:space="preserve"> </w:t>
      </w:r>
      <w:r>
        <w:t>r</w:t>
      </w:r>
      <w:r>
        <w:t xml:space="preserve"> </w:t>
      </w:r>
      <w:r>
        <w:t>高达 0.95）以及宽广的玻璃和熔化转变窗口（</w:t>
      </w:r>
      <w:r>
        <w:t xml:space="preserve"> </w:t>
      </w:r>
      <w:r>
        <w:t>时间</w:t>
      </w:r>
      <w:r>
        <w:t xml:space="preserve"> </w:t>
      </w:r>
      <w:r>
        <w:t>克</w:t>
      </w:r>
      <w:r>
        <w:t xml:space="preserve"> </w:t>
      </w:r>
      <w:r>
        <w:t>低至−31°C，</w:t>
      </w:r>
      <w:r>
        <w:t xml:space="preserve"> </w:t>
      </w:r>
      <w:r>
        <w:t>时间</w:t>
      </w:r>
      <w:r>
        <w:t xml:space="preserve"> </w:t>
      </w:r>
      <w:r>
        <w:t>米</w:t>
      </w:r>
      <w:r>
        <w:t xml:space="preserve"> </w:t>
      </w:r>
      <w:r>
        <w:t>高达 126°C）。这种内酯与β-丁内酯的共聚进一步增强了PHA的热稳定性和机械韧性。人们开发了三种不同的方法来进一步将功能化PHA转化为耐蠕变和耐溶剂的交联PHA热固性材料、动态超分子弹性体PHA网络以及具有亲水性和生物活性分子的接枝PHA。 PHA 官能化还通过混合对映体乙烯基官能化 PHA 对揭示了 PHA 超分子立体复合物的罕见例子。</w:t>
      </w:r>
    </w:p>
    <w:p>
      <w:pPr>
        <w:spacing w:before="0" w:after="200" w:lineRule="auto" w:line="276"/>
      </w:pPr>
      <w:r>
        <w:rPr>
          <w:b/>
        </w:rPr>
        <w:t xml:space="preserve">Abstract (EN): </w:t>
      </w:r>
      <w:r>
        <w:t>Incorporation of functional groups into poly(3‐hydroxyalkanoate)s (PHAs) is an important strategy to tailor their properties for specific applications, but both scopes of functional groups and the methods of transforming them into tailored PHA materials are currently limited and merit further exploration. Here, we report a catalyst‐controlled stereoselective ring‐opening polymerization of functionalized propiolactones for the synthesis of vinyl‐, allyl‐, and propargyl‐functionalized PHAs with high syndiotacticity (</w:t>
      </w:r>
      <w:r>
        <w:t xml:space="preserve"> </w:t>
      </w:r>
      <w:r>
        <w:t>P</w:t>
      </w:r>
      <w:r>
        <w:t xml:space="preserve"> </w:t>
      </w:r>
      <w:r>
        <w:t>r</w:t>
      </w:r>
      <w:r>
        <w:t xml:space="preserve"> </w:t>
      </w:r>
      <w:r>
        <w:t>up to 0.95) and a broad glass and melting transition window (</w:t>
      </w:r>
      <w:r>
        <w:t xml:space="preserve"> </w:t>
      </w:r>
      <w:r>
        <w:t>T</w:t>
      </w:r>
      <w:r>
        <w:t xml:space="preserve"> </w:t>
      </w:r>
      <w:r>
        <w:t>g</w:t>
      </w:r>
      <w:r>
        <w:t xml:space="preserve"> </w:t>
      </w:r>
      <w:r>
        <w:t>down to −31°C,</w:t>
      </w:r>
      <w:r>
        <w:t xml:space="preserve"> </w:t>
      </w:r>
      <w:r>
        <w:t>T</w:t>
      </w:r>
      <w:r>
        <w:t xml:space="preserve"> </w:t>
      </w:r>
      <w:r>
        <w:t>m</w:t>
      </w:r>
      <w:r>
        <w:t xml:space="preserve"> </w:t>
      </w:r>
      <w:r>
        <w:t>up to 126°C). Copolymerization of such lactones with β‐butyrolactone further enhances PHA's thermal robustness and mechanical toughness. Three different methods have been developed to further transform the functionalized PHAs into creep‐ and solvent‐resistant crosslinked PHA thermosets, dynamic‐supramolecular elastomeric PHA networks, and grafted PHAs with hydrophilic and bioactive molecules. PHA functionalization, also uncovers a rare example of PHA supramolecular stereocomplexes via blending an enantiomeric, vinyl‐functionalized PHA pair.</w:t>
      </w:r>
    </w:p>
    <w:p>
      <w:pPr>
        <w:spacing w:before="120" w:after="120"/>
      </w:pPr>
      <w:r>
        <w:rPr>
          <w:sz w:val="18"/>
        </w:rPr>
        <w:t>——————————————————————————————————————————————————————————————————————</w:t>
      </w:r>
    </w:p>
    <w:p>
      <w:pPr>
        <w:spacing w:before="160" w:after="40" w:line="240" w:lineRule="auto"/>
      </w:pPr>
      <w:r>
        <w:rPr>
          <w:b/>
        </w:rPr>
        <w:t xml:space="preserve">[273] </w:t>
      </w:r>
      <w:hyperlink r:id="rId663">
        <w:r>
          <w:rPr>
            <w:color w:val="1155CC"/>
            <w:u w:val="single"/>
          </w:rPr>
          <w:t>偏置工作条件下具有超低暗电流密度的短波红外有机光电探测器</w:t>
        </w:r>
      </w:hyperlink>
    </w:p>
    <w:p>
      <w:pPr>
        <w:spacing w:before="0" w:after="80"/>
      </w:pPr>
      <w:r>
        <w:rPr>
          <w:i/>
          <w:sz w:val="20"/>
        </w:rPr>
        <w:t>EN: Short‐Wave Infrared Organic Photodetectors With Ultralow Dark Current Density Under Biased Operating Conditions</w:t>
      </w:r>
    </w:p>
    <w:p>
      <w:pPr>
        <w:spacing w:before="0" w:after="120"/>
      </w:pPr>
      <w:r>
        <w:rPr>
          <w:b/>
        </w:rPr>
        <w:t xml:space="preserve">Source: </w:t>
      </w:r>
      <w:r>
        <w:t>Wiley: Advanced Materials: Table of Contents</w:t>
      </w:r>
      <w:r>
        <w:t xml:space="preserve">    </w:t>
      </w:r>
      <w:r>
        <w:rPr>
          <w:b/>
        </w:rPr>
        <w:t xml:space="preserve">Pub date: </w:t>
      </w:r>
      <w:r>
        <w:t>2026-06-30 07:58:29+00:00</w:t>
      </w:r>
      <w:r>
        <w:t xml:space="preserve">    </w:t>
      </w:r>
      <w:r>
        <w:rPr>
          <w:b/>
        </w:rPr>
        <w:t xml:space="preserve">DOI: </w:t>
      </w:r>
      <w:hyperlink r:id="rId664">
        <w:r>
          <w:rPr>
            <w:color w:val="1155CC"/>
            <w:u w:val="single"/>
          </w:rPr>
          <w:t>10.1002/adma.73895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集成在读出电路上的商用光电探测器通常在偏置电压下工作，因此需要低暗电流密度（</w:t>
      </w:r>
      <w:r>
        <w:t xml:space="preserve"> </w:t>
      </w:r>
      <w:r>
        <w:t>J</w:t>
      </w:r>
      <w:r>
        <w:t xml:space="preserve"> </w:t>
      </w:r>
      <w:r>
        <w:t>d</w:t>
      </w:r>
      <w:r>
        <w:t xml:space="preserve"> </w:t>
      </w:r>
      <w:r>
        <w:t>）以实现高检测率。然而，抑制</w:t>
      </w:r>
      <w:r>
        <w:t xml:space="preserve"> </w:t>
      </w:r>
      <w:r>
        <w:t>J</w:t>
      </w:r>
      <w:r>
        <w:t xml:space="preserve"> </w:t>
      </w:r>
      <w:r>
        <w:t>d</w:t>
      </w:r>
      <w:r>
        <w:t xml:space="preserve"> </w:t>
      </w:r>
      <w:r>
        <w:t>对于有机光电探测器（OPD）来说仍然是一个严峻的挑战，特别是那些在短波红外（SWIR）区域工作的探测器。在此，我们报告了实现超低</w:t>
      </w:r>
      <w:r>
        <w:t xml:space="preserve"> </w:t>
      </w:r>
      <w:r>
        <w:t>J</w:t>
      </w:r>
      <w:r>
        <w:t xml:space="preserve"> </w:t>
      </w:r>
      <w:r>
        <w:t>d</w:t>
      </w:r>
      <w:r>
        <w:t xml:space="preserve"> </w:t>
      </w:r>
      <w:r>
        <w:t>通过开发窄带隙 p 型聚合物作为 SWIR 吸收剂，在高偏置电压下进行研究，从而为高性能 SWIR-OPD 建立替代材料平台。新型聚合物PDCBT-DTO2F采用推拉结构，包含四噻吩供体单元和5,6-二氰基-2,1,3-苯并噻二唑受体部分。用烷氧基链取代四噻吩单元上的烷基链显着增强了分子内电荷转移效应和主链共面性。这种修饰同时产生了强烈的短波红外吸收、高结晶度、降低的陷阱密度和低能量无序。通过广泛的器件优化，基于 PDCBT-DTO2F 的 SWIR-OPD 表现出了</w:t>
      </w:r>
      <w:r>
        <w:t xml:space="preserve"> </w:t>
      </w:r>
      <w:r>
        <w:t>J</w:t>
      </w:r>
      <w:r>
        <w:t xml:space="preserve"> </w:t>
      </w:r>
      <w:r>
        <w:t>d</w:t>
      </w:r>
      <w:r>
        <w:t xml:space="preserve"> </w:t>
      </w:r>
      <w:r>
        <w:t>低至 15.6 nA cm</w:t>
      </w:r>
      <w:r>
        <w:t xml:space="preserve"> </w:t>
      </w:r>
      <w:r>
        <w:t>–</w:t>
      </w:r>
      <w:r>
        <w:rPr>
          <w:vertAlign w:val="subscript"/>
        </w:rPr>
        <w:t>2</w:t>
      </w:r>
      <w:r>
        <w:t>低于 -2 V 和 58.1 nA cm</w:t>
      </w:r>
      <w:r>
        <w:t xml:space="preserve"> </w:t>
      </w:r>
      <w:r>
        <w:t>−2</w:t>
      </w:r>
      <w:r>
        <w:t xml:space="preserve"> </w:t>
      </w:r>
      <w:r>
        <w:t>即使在 -5 V 下也是如此。因此，探测率为 1。</w:t>
      </w:r>
    </w:p>
    <w:p>
      <w:pPr>
        <w:spacing w:before="0" w:after="200" w:lineRule="auto" w:line="276"/>
      </w:pPr>
      <w:r>
        <w:rPr>
          <w:b/>
        </w:rPr>
        <w:t xml:space="preserve">Abstract (EN): </w:t>
      </w:r>
      <w:r>
        <w:t>Commercial photodetectors integrated on readout circuits typically operate under bias voltage, necessitating low dark current density (</w:t>
      </w:r>
      <w:r>
        <w:t xml:space="preserve"> </w:t>
      </w:r>
      <w:r>
        <w:t>J</w:t>
      </w:r>
      <w:r>
        <w:t xml:space="preserve"> </w:t>
      </w:r>
      <w:r>
        <w:t>d</w:t>
      </w:r>
      <w:r>
        <w:t xml:space="preserve"> </w:t>
      </w:r>
      <w:r>
        <w:t>) to achieve high detectivity. However, suppressing</w:t>
      </w:r>
      <w:r>
        <w:t xml:space="preserve"> </w:t>
      </w:r>
      <w:r>
        <w:t>J</w:t>
      </w:r>
      <w:r>
        <w:t xml:space="preserve"> </w:t>
      </w:r>
      <w:r>
        <w:t>d</w:t>
      </w:r>
      <w:r>
        <w:t xml:space="preserve"> </w:t>
      </w:r>
      <w:r>
        <w:t>remains a critical challenge for organic photodetectors (OPDs), particularly those operating in the short‐wave infrared (SWIR) region. Herein, we report SWIR‐OPDs that achieve ultralow</w:t>
      </w:r>
      <w:r>
        <w:t xml:space="preserve"> </w:t>
      </w:r>
      <w:r>
        <w:t>J</w:t>
      </w:r>
      <w:r>
        <w:t xml:space="preserve"> </w:t>
      </w:r>
      <w:r>
        <w:t>d</w:t>
      </w:r>
      <w:r>
        <w:t xml:space="preserve"> </w:t>
      </w:r>
      <w:r>
        <w:t>under high bias voltage by developing a narrow bandgap p‐type polymer as the SWIR absorber, thereby establishing an alternative material platform for high‐performance SWIR‐OPDs. The new polymer PDCBT‐DTO2F adopts a push‐pull architecture comprising quaterthiophene donor units and 5,6‐dicyano‐2,1,3‐benzothiadiazole acceptor moieties. Substituting the alkyl chains on quaterthiophene units with alkoxy chains significantly enhanced the intramolecular charge transfer effect and backbone coplanarity. This modification simultaneously yielded intense SWIR absorption, high crystallinity, reduced trap density, and low energetic disorder. Through extensive device optimization, the SWIR‐OPD based on PDCBT‐DTO2F exhibited</w:t>
      </w:r>
      <w:r>
        <w:t xml:space="preserve"> </w:t>
      </w:r>
      <w:r>
        <w:t>J</w:t>
      </w:r>
      <w:r>
        <w:t xml:space="preserve"> </w:t>
      </w:r>
      <w:r>
        <w:t>d</w:t>
      </w:r>
      <w:r>
        <w:t xml:space="preserve"> </w:t>
      </w:r>
      <w:r>
        <w:t>as low as 15.6 nA cm</w:t>
      </w:r>
      <w:r>
        <w:t xml:space="preserve"> </w:t>
      </w:r>
      <w:r>
        <w:t>–</w:t>
      </w:r>
      <w:r>
        <w:rPr>
          <w:vertAlign w:val="subscript"/>
        </w:rPr>
        <w:t>2</w:t>
      </w:r>
      <w:r>
        <w:t>under −2 V and 58.1 nA cm</w:t>
      </w:r>
      <w:r>
        <w:t xml:space="preserve"> </w:t>
      </w:r>
      <w:r>
        <w:t>−2</w:t>
      </w:r>
      <w:r>
        <w:t xml:space="preserve"> </w:t>
      </w:r>
      <w:r>
        <w:t>even under −5 V. Consequently, a detectivity of 1.04 × 10</w:t>
      </w:r>
      <w:r>
        <w:rPr>
          <w:vertAlign w:val="subscript"/>
        </w:rPr>
        <w:t>12</w:t>
      </w:r>
      <w:r>
        <w:t>Jones was realized at 1100 nm under −2 V bias, ranking among the best performance for SWIR‐OPDs operating under reverse bias.</w:t>
      </w:r>
    </w:p>
    <w:p>
      <w:pPr>
        <w:spacing w:before="120" w:after="120"/>
      </w:pPr>
      <w:r>
        <w:rPr>
          <w:sz w:val="18"/>
        </w:rPr>
        <w:t>——————————————————————————————————————————————————————————————————————</w:t>
      </w:r>
    </w:p>
    <w:p>
      <w:pPr>
        <w:spacing w:before="160" w:after="40" w:line="240" w:lineRule="auto"/>
      </w:pPr>
      <w:r>
        <w:rPr>
          <w:b/>
        </w:rPr>
        <w:t xml:space="preserve">[274] </w:t>
      </w:r>
      <w:hyperlink r:id="rId665">
        <w:r>
          <w:rPr>
            <w:color w:val="1155CC"/>
            <w:u w:val="single"/>
          </w:rPr>
          <w:t>具有解耦静态和动态输出的差分图像传感器</w:t>
        </w:r>
      </w:hyperlink>
    </w:p>
    <w:p>
      <w:pPr>
        <w:spacing w:before="0" w:after="80"/>
      </w:pPr>
      <w:r>
        <w:rPr>
          <w:i/>
          <w:sz w:val="20"/>
        </w:rPr>
        <w:t>EN: Differential Image Sensor With Decoupled Static and Dynamic Outputs</w:t>
      </w:r>
    </w:p>
    <w:p>
      <w:pPr>
        <w:spacing w:before="0" w:after="120"/>
      </w:pPr>
      <w:r>
        <w:rPr>
          <w:b/>
        </w:rPr>
        <w:t xml:space="preserve">Source: </w:t>
      </w:r>
      <w:r>
        <w:t>Wiley: Advanced Materials: Table of Contents</w:t>
      </w:r>
      <w:r>
        <w:t xml:space="preserve">    </w:t>
      </w:r>
      <w:r>
        <w:rPr>
          <w:b/>
        </w:rPr>
        <w:t xml:space="preserve">Pub date: </w:t>
      </w:r>
      <w:r>
        <w:t>2026-06-30 08:00:14+00:00</w:t>
      </w:r>
      <w:r>
        <w:t xml:space="preserve">    </w:t>
      </w:r>
      <w:r>
        <w:rPr>
          <w:b/>
        </w:rPr>
        <w:t xml:space="preserve">DOI: </w:t>
      </w:r>
      <w:hyperlink r:id="rId666">
        <w:r>
          <w:rPr>
            <w:color w:val="1155CC"/>
            <w:u w:val="single"/>
          </w:rPr>
          <w:t>10.1002/adma.73884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机器视觉中获取和处理全运动细节通常会消耗大量能量。相比之下，分层处理架构将低功耗待机前端与按需激活后端相结合，提供了优化的能源性能权衡。为了实现这一目标，在感觉层面上静态（亮度）和动态（幅度和极性）输出的完整采集和解耦对于激活按需视觉功能至关重要。在这里，我们报告了一种差分图像传感器（DIS），它利用具有解耦差分和隧道模式的差分光电二极管。这些模式可以通过传统的 ROIC 读出，为大规模集成（例如 640 × 512）铺平道路。通过按需激活的动态和静态模式，DIS 实现了从稀疏运动检测到光流和深度分析的分层运动处理管道。这项工作为推进基于视觉的 AIoT 应用提供了一种节能且可扩展的策略。</w:t>
      </w:r>
    </w:p>
    <w:p>
      <w:pPr>
        <w:spacing w:before="0" w:after="200" w:lineRule="auto" w:line="276"/>
      </w:pPr>
      <w:r>
        <w:rPr>
          <w:b/>
        </w:rPr>
        <w:t xml:space="preserve">Abstract (EN): </w:t>
      </w:r>
      <w:r>
        <w:t>Acquiring and processing full‐motion details in machine vision typically consumes a substantial amount of energy. In contrast, a hierarchical processing architecture, combining a low‐power standby front end with an on‐demand activated back end, provides an optimized energy‐performance tradeoff. To achieve this, the complete acquisition and decoupling of static (brightness) and dynamic (amplitude and polarity) output at the sensory level are essential for activating on‐demand vision function. Here, we report a differential image sensor (DIS) that leverages differential photodiodes with decoupled differential and tunneling modes. These modes can be read out via conventional ROICs, paving the way for the up‐scaled integration (e.g., 640 × 512). With on‐demand activated dynamic and static modes, the DIS implements a hierarchical motion‐processing pipeline—from sparse motion detection to optical flow and depth analysis. This work provides a power‐efficient and scalable strategy for advancing vision‐based AIoT applications.</w:t>
      </w:r>
    </w:p>
    <w:p>
      <w:pPr>
        <w:spacing w:before="120" w:after="120"/>
      </w:pPr>
      <w:r>
        <w:rPr>
          <w:sz w:val="18"/>
        </w:rPr>
        <w:t>——————————————————————————————————————————————————————————————————————</w:t>
      </w:r>
    </w:p>
    <w:p>
      <w:pPr>
        <w:spacing w:before="160" w:after="40" w:line="240" w:lineRule="auto"/>
      </w:pPr>
      <w:r>
        <w:rPr>
          <w:b/>
        </w:rPr>
        <w:t xml:space="preserve">[275] </w:t>
      </w:r>
      <w:hyperlink r:id="rId667">
        <w:r>
          <w:rPr>
            <w:color w:val="1155CC"/>
            <w:u w:val="single"/>
          </w:rPr>
          <w:t>将工业废水中的亚硫酸盐可持续电化学转化为磺酸盐分子</w:t>
        </w:r>
      </w:hyperlink>
    </w:p>
    <w:p>
      <w:pPr>
        <w:spacing w:before="0" w:after="80"/>
      </w:pPr>
      <w:r>
        <w:rPr>
          <w:i/>
          <w:sz w:val="20"/>
        </w:rPr>
        <w:t>EN: Sustainable Electrochemical Valorization of Sulfite in Industrial Wastewater Into Sulfonate‐Based Molecules</w:t>
      </w:r>
    </w:p>
    <w:p>
      <w:pPr>
        <w:spacing w:before="0" w:after="120"/>
      </w:pPr>
      <w:r>
        <w:rPr>
          <w:b/>
        </w:rPr>
        <w:t xml:space="preserve">Source: </w:t>
      </w:r>
      <w:r>
        <w:t>Wiley: Angewandte Chemie International Edition: Table of Contents</w:t>
      </w:r>
      <w:r>
        <w:t xml:space="preserve">    </w:t>
      </w:r>
      <w:r>
        <w:rPr>
          <w:b/>
        </w:rPr>
        <w:t xml:space="preserve">Pub date: </w:t>
      </w:r>
      <w:r>
        <w:t>2026-06-30 08:02:18+00:00</w:t>
      </w:r>
      <w:r>
        <w:t xml:space="preserve">    </w:t>
      </w:r>
      <w:r>
        <w:rPr>
          <w:b/>
        </w:rPr>
        <w:t xml:space="preserve">DOI: </w:t>
      </w:r>
      <w:hyperlink r:id="rId668">
        <w:r>
          <w:rPr>
            <w:color w:val="1155CC"/>
            <w:u w:val="single"/>
          </w:rPr>
          <w:t>10.1002/anie.8869640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亚硫酸盐（SO</w:t>
      </w:r>
      <w:r>
        <w:rPr>
          <w:vertAlign w:val="subscript"/>
        </w:rPr>
        <w:t>3</w:t>
      </w:r>
      <w:r>
        <w:t>2−</w:t>
      </w:r>
      <w:r>
        <w:t>）在工业废水中含量丰富，由于其不稳定性、除氧性和微生物毒性而对环境造成挑战。然而，目前的亚硫酸盐处理方法主要集中在氧化成惰性硫酸盐或生物还原，这两种方法都存在效率低、二次排放或硫值损失的问题。在这项研究中，我们提出了一种可持续的电催化策略，通过直接转化 SO 来升级含亚硫酸盐废水</w:t>
      </w:r>
      <w:r>
        <w:rPr>
          <w:vertAlign w:val="subscript"/>
        </w:rPr>
        <w:t>3</w:t>
      </w:r>
      <w:r>
        <w:t>2−</w:t>
      </w:r>
      <w:r>
        <w:t>在环境条件下转化为增值磺酸盐。该系统以商用镍催化剂和甲醇为代表性原料，连续电解3小时后，亚硫酸盐转化为磺酸盐的转化率超过90%，最大磺酸盐产率为7870 µmol cm</w:t>
      </w:r>
      <w:r>
        <w:t xml:space="preserve"> </w:t>
      </w:r>
      <w:r>
        <w:t>−2</w:t>
      </w:r>
      <w:r>
        <w:t xml:space="preserve"> </w:t>
      </w:r>
      <w:r>
        <w:t>小时</w:t>
      </w:r>
      <w:r>
        <w:t xml:space="preserve"> </w:t>
      </w:r>
      <w:r>
        <w:t>−1</w:t>
      </w:r>
      <w:r>
        <w:t xml:space="preserve"> </w:t>
      </w:r>
      <w:r>
        <w:t>1000 mA cm 时</w:t>
      </w:r>
      <w:r>
        <w:t xml:space="preserve"> </w:t>
      </w:r>
      <w:r>
        <w:t>−2</w:t>
      </w:r>
      <w:r>
        <w:t xml:space="preserve"> </w:t>
      </w:r>
      <w:r>
        <w:t>，强调了将含亚硫酸盐废水有效升级为有机硫产品。为了实现系统的连续运行，将镍纳米粒子纳入基于碳纳米管（CNT）的电化学膜中，其亚硫酸盐去除率高于93％，亚硫酸盐至磺酸盐的转化率高于90％，证明了可扩展的废水处理和硫增值的适用性。此外，技术经济分析显示最低平准化生产成本为 300 美元</w:t>
      </w:r>
    </w:p>
    <w:p>
      <w:pPr>
        <w:spacing w:before="0" w:after="200" w:lineRule="auto" w:line="276"/>
      </w:pPr>
      <w:r>
        <w:rPr>
          <w:b/>
        </w:rPr>
        <w:t xml:space="preserve">Abstract (EN): </w:t>
      </w:r>
      <w:r>
        <w:t>Sulfite (SO</w:t>
      </w:r>
      <w:r>
        <w:rPr>
          <w:vertAlign w:val="subscript"/>
        </w:rPr>
        <w:t>3</w:t>
      </w:r>
      <w:r>
        <w:t>2−</w:t>
      </w:r>
      <w:r>
        <w:t>), abundant in industrial wastewater, poses environmental challenges due to its instability, oxygen scavenging, and microbial toxicity. However, current sulfite treatment methods primarily focus on oxidation to inert sulfate or biological reduction, both of which suffer from low efficiency, secondary emissions, or loss of sulfur value. In this study, we present a sustainable electrocatalytic strategy for upgrading sulfite‐laden wastewater by directly converting SO</w:t>
      </w:r>
      <w:r>
        <w:rPr>
          <w:vertAlign w:val="subscript"/>
        </w:rPr>
        <w:t>3</w:t>
      </w:r>
      <w:r>
        <w:t>2−</w:t>
      </w:r>
      <w:r>
        <w:t>into value‐added sulfonates under ambient conditions. Using commercial Ni catalysts and methanol as a representative feedstock, the system achieves a sulfite‐to‐sulfonate conversion ratio exceeding 90% after 3 h of continuous electrolysis, with a maximum sulfonate production rate of 7870 µmol cm</w:t>
      </w:r>
      <w:r>
        <w:t xml:space="preserve"> </w:t>
      </w:r>
      <w:r>
        <w:t>−2</w:t>
      </w:r>
      <w:r>
        <w:t xml:space="preserve"> </w:t>
      </w:r>
      <w:r>
        <w:t>h</w:t>
      </w:r>
      <w:r>
        <w:t xml:space="preserve"> </w:t>
      </w:r>
      <w:r>
        <w:t>−1</w:t>
      </w:r>
      <w:r>
        <w:t xml:space="preserve"> </w:t>
      </w:r>
      <w:r>
        <w:t>at 1000 mA cm</w:t>
      </w:r>
      <w:r>
        <w:t xml:space="preserve"> </w:t>
      </w:r>
      <w:r>
        <w:t>−2</w:t>
      </w:r>
      <w:r>
        <w:t xml:space="preserve"> </w:t>
      </w:r>
      <w:r>
        <w:t>, highlighting efficient upgrading of sulfite‐laden wastewater into organosulfur products. To enable continuous system operation, Ni nanoparticles were incorporated into a carbon nanotube (CNT)‐based electrochemical membrane, which shows a sulfite removal ratio above 93% and a sulfite‐to‐sulfonate conversion ratio above 90%, demonstrating suitability for scalable wastewater treatment and sulfur valorization. Moreover, techno‐economic analysis reveals a minimum levelized production cost of $300.84 per ton at 400 mA, corresponding to an 79.85% reduction compared with conventional routes. This integrated electrocatalytic membrane system offers a promising route for coupling sulfite removal with organosulfur synthesis.</w:t>
      </w:r>
    </w:p>
    <w:p>
      <w:pPr>
        <w:spacing w:before="120" w:after="120"/>
      </w:pPr>
      <w:r>
        <w:rPr>
          <w:sz w:val="18"/>
        </w:rPr>
        <w:t>——————————————————————————————————————————————————————————————————————</w:t>
      </w:r>
    </w:p>
    <w:p>
      <w:pPr>
        <w:spacing w:before="160" w:after="40" w:line="240" w:lineRule="auto"/>
      </w:pPr>
      <w:r>
        <w:rPr>
          <w:b/>
        </w:rPr>
        <w:t xml:space="preserve">[276] </w:t>
      </w:r>
      <w:hyperlink r:id="rId669">
        <w:r>
          <w:rPr>
            <w:color w:val="1155CC"/>
            <w:u w:val="single"/>
          </w:rPr>
          <w:t>通过厚度工程生长实现二维磁体中的多状态存储器</w:t>
        </w:r>
      </w:hyperlink>
    </w:p>
    <w:p>
      <w:pPr>
        <w:spacing w:before="0" w:after="80"/>
      </w:pPr>
      <w:r>
        <w:rPr>
          <w:i/>
          <w:sz w:val="20"/>
        </w:rPr>
        <w:t>EN: Multi‐State Memory in 2D Magnets via Thickness‐Engineered Growth</w:t>
      </w:r>
    </w:p>
    <w:p>
      <w:pPr>
        <w:spacing w:before="0" w:after="120"/>
      </w:pPr>
      <w:r>
        <w:rPr>
          <w:b/>
        </w:rPr>
        <w:t xml:space="preserve">Source: </w:t>
      </w:r>
      <w:r>
        <w:t>Wiley: Advanced Materials: Table of Contents</w:t>
      </w:r>
      <w:r>
        <w:t xml:space="preserve">    </w:t>
      </w:r>
      <w:r>
        <w:rPr>
          <w:b/>
        </w:rPr>
        <w:t xml:space="preserve">Pub date: </w:t>
      </w:r>
      <w:r>
        <w:t>2026-06-30 08:03:06+00:00</w:t>
      </w:r>
      <w:r>
        <w:t xml:space="preserve">    </w:t>
      </w:r>
      <w:r>
        <w:rPr>
          <w:b/>
        </w:rPr>
        <w:t xml:space="preserve">DOI: </w:t>
      </w:r>
      <w:hyperlink r:id="rId670">
        <w:r>
          <w:rPr>
            <w:color w:val="1155CC"/>
            <w:u w:val="single"/>
          </w:rPr>
          <w:t>10.1002/adma.73853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二维（2D）磁体由于其可调谐的磁状态而为高密度自旋电子存储器提供了巨大的潜力，但用于控制 2D 磁体域配置的稳健、可扩展的策略仍然难以捉摸。在此，提出了一种通过化学气相沉积的选择性非均匀成核策略，以实现室温铁磁性 CrTe 纳米片的受控、非均匀生长。通过利用厚度分布和磁化反转之间的强相关性，可以实现自下而上的磁畴演化控制。多厚度纳米片中的逐步磁化反转赋予 CrTe 多种磁态。利用这种多厚度的CrTe纳米片，在垂直自旋阀器件中成功实现了可调谐多态磁阻。多厚度CrTe纳米片的受控合成标志着二维磁体域态控制的突破，并为多态存储和自旋加密通信的潜在应用奠定了坚实的材料基础。</w:t>
      </w:r>
    </w:p>
    <w:p>
      <w:pPr>
        <w:spacing w:before="0" w:after="200" w:lineRule="auto" w:line="276"/>
      </w:pPr>
      <w:r>
        <w:rPr>
          <w:b/>
        </w:rPr>
        <w:t xml:space="preserve">Abstract (EN): </w:t>
      </w:r>
      <w:r>
        <w:t>Two‐dimensional (2D) magnets offer substantial potential for high‐density spintronic memory due to their tunable magnetic states, yet a robust, scalable strategy for controlling domain configurations for 2D magnets remains elusive. Here, a selective non‐uniform nucleation strategy via chemical vapor deposition is proposed to achieve controlled, non‐homogeneous growth of room‐temperature ferromagnetic CrTe nanoflakes. This enables bottom‐up control of domain evolution by leveraging the strong correlation between the thickness profile and magnetization reversal. The stepwise magnetization reversal in multi‐thickness nanoflakes endows CrTe with multiple magnetic states. Utilizing such multi‐thickness CrTe nanoflake, a tunable multi‐state magnetoresistance is successfully realized in vertical spin valve devices. The controlled synthesis of multi‐thickness CrTe nanoflakes signifies a breakthrough in domain‐state control in 2D magnet, and establishes a robust material foundation for potential applications in multi‐state storage and spin encryption communication.</w:t>
      </w:r>
    </w:p>
    <w:p>
      <w:pPr>
        <w:spacing w:before="120" w:after="120"/>
      </w:pPr>
      <w:r>
        <w:rPr>
          <w:sz w:val="18"/>
        </w:rPr>
        <w:t>——————————————————————————————————————————————————————————————————————</w:t>
      </w:r>
    </w:p>
    <w:p>
      <w:pPr>
        <w:spacing w:before="160" w:after="40" w:line="240" w:lineRule="auto"/>
      </w:pPr>
      <w:r>
        <w:rPr>
          <w:b/>
        </w:rPr>
        <w:t xml:space="preserve">[277] </w:t>
      </w:r>
      <w:hyperlink r:id="rId671">
        <w:r>
          <w:rPr>
            <w:color w:val="1155CC"/>
            <w:u w:val="single"/>
          </w:rPr>
          <w:t>通过非手性 MOF 中手性连接体交换出现手性缺陷孔以实现对映选择性识别</w:t>
        </w:r>
      </w:hyperlink>
    </w:p>
    <w:p>
      <w:pPr>
        <w:spacing w:before="0" w:after="80"/>
      </w:pPr>
      <w:r>
        <w:rPr>
          <w:i/>
          <w:sz w:val="20"/>
        </w:rPr>
        <w:t>EN: Emergence of Chiral Defective Pores Through Chiral Linker Exchange in Nonchiral MOFs for Enantioselective Recognition</w:t>
      </w:r>
    </w:p>
    <w:p>
      <w:pPr>
        <w:spacing w:before="0" w:after="120"/>
      </w:pPr>
      <w:r>
        <w:rPr>
          <w:b/>
        </w:rPr>
        <w:t xml:space="preserve">Source: </w:t>
      </w:r>
      <w:r>
        <w:t>Wiley: Angewandte Chemie International Edition: Table of Contents</w:t>
      </w:r>
      <w:r>
        <w:t xml:space="preserve">    </w:t>
      </w:r>
      <w:r>
        <w:rPr>
          <w:b/>
        </w:rPr>
        <w:t xml:space="preserve">Pub date: </w:t>
      </w:r>
      <w:r>
        <w:t>2026-06-30 08:03:31+00:00</w:t>
      </w:r>
      <w:r>
        <w:t xml:space="preserve">    </w:t>
      </w:r>
      <w:r>
        <w:rPr>
          <w:b/>
        </w:rPr>
        <w:t xml:space="preserve">DOI: </w:t>
      </w:r>
      <w:hyperlink r:id="rId672">
        <w:r>
          <w:rPr>
            <w:color w:val="1155CC"/>
            <w:u w:val="single"/>
          </w:rPr>
          <w:t>10.1002/anie.8824438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映选择性识别对于许多化学和生物应用至关重要，然而，由于对映体的物理化学性质几乎无法区分，这仍然具有挑战性。在这项研究中，我们报告了一种基于通过手性连接体交换构建的金属有机框架（MOF）的对映选择性识别的发光传感策略，该策略同时将手性和缺陷位点引入框架中。由此产生的手性缺陷 MOF 表现出有限的纳米孔环境，导致对映体产生不同的发光响应。构建了一对对映体 MOF，对 R 和 S 底物表现出相反的选择性识别性能。传感行为是由竞争性吸收和电子转移过程的相互作用产生的，而结合亲和力的差异是决定对映选择性的主要因素。同时，该系统能够通过微分发光响应定量检测混合物中的对映体过量（ee）值。由于其简单的合成路线、选择性和易于实施，该策略为开发手性发光传感材料提供了一种实用的方法，同时强调了主客体相互作用在传感中的重要性。</w:t>
      </w:r>
    </w:p>
    <w:p>
      <w:pPr>
        <w:spacing w:before="0" w:after="200" w:lineRule="auto" w:line="276"/>
      </w:pPr>
      <w:r>
        <w:rPr>
          <w:b/>
        </w:rPr>
        <w:t xml:space="preserve">Abstract (EN): </w:t>
      </w:r>
      <w:r>
        <w:t>Enantioselective recognition is vital for numerous chemical and biological applications, which, however, remains challenging due to the nearly indistinguishable physicochemical properties of enantiomers. In this study, we report a luminescent sensing strategy for enantioselective recognition based on metal‐organic frameworks (MOFs) constructed through chiral linker exchange, which simultaneously introduces chirality and defective sites into the frameworks. The resulting chiral defective MOFs exhibit confined nanopore environments, resulting in distinct luminescence responses toward enantiomers. A pair of enantiomeric MOFs was constructed, exhibiting opposite selective recognition performance toward R‐ and S‐substrates. The sensing behavior arises from the interplay of competitive absorption and electron transfer process, while disparities in binding affinities serve as the dominating factor dictating the enantioselectivity. Meanwhile, this system enables the quantitative detection of enantiomeric excess (ee) values in mixtures through differential luminescence responses. Due to its facile synthesis routes, selectivity, and ease of implementation, this strategy offers a practical approach for developing chiral luminescent sensing materials, while highlighting the significance of host‐guest interactions in sensing.</w:t>
      </w:r>
    </w:p>
    <w:p>
      <w:pPr>
        <w:spacing w:before="120" w:after="120"/>
      </w:pPr>
      <w:r>
        <w:rPr>
          <w:sz w:val="18"/>
        </w:rPr>
        <w:t>——————————————————————————————————————————————————————————————————————</w:t>
      </w:r>
    </w:p>
    <w:p>
      <w:pPr>
        <w:spacing w:before="160" w:after="40" w:line="240" w:lineRule="auto"/>
      </w:pPr>
      <w:r>
        <w:rPr>
          <w:b/>
        </w:rPr>
        <w:t xml:space="preserve">[278] </w:t>
      </w:r>
      <w:hyperlink r:id="rId673">
        <w:r>
          <w:rPr>
            <w:color w:val="1155CC"/>
            <w:u w:val="single"/>
          </w:rPr>
          <w:t>用于多时间尺度储层计算的具有可调离子电导的单片 3D 集成全固态离子门控碳纳米管晶体管</w:t>
        </w:r>
      </w:hyperlink>
    </w:p>
    <w:p>
      <w:pPr>
        <w:spacing w:before="0" w:after="80"/>
      </w:pPr>
      <w:r>
        <w:rPr>
          <w:i/>
          <w:sz w:val="20"/>
        </w:rPr>
        <w:t>EN: Monolithic 3D‐Integrated All‐Solid Ion‐Gated Carbon Nanotube Transistors With Tunable Ionic Conductance for Multi‐Timescale Reservoir Computing</w:t>
      </w:r>
    </w:p>
    <w:p>
      <w:pPr>
        <w:spacing w:before="0" w:after="120"/>
      </w:pPr>
      <w:r>
        <w:rPr>
          <w:b/>
        </w:rPr>
        <w:t xml:space="preserve">Source: </w:t>
      </w:r>
      <w:r>
        <w:t>Wiley: Advanced Materials: Table of Contents</w:t>
      </w:r>
      <w:r>
        <w:t xml:space="preserve">    </w:t>
      </w:r>
      <w:r>
        <w:rPr>
          <w:b/>
        </w:rPr>
        <w:t xml:space="preserve">Pub date: </w:t>
      </w:r>
      <w:r>
        <w:t>2026-06-30 08:05:16+00:00</w:t>
      </w:r>
      <w:r>
        <w:t xml:space="preserve">    </w:t>
      </w:r>
      <w:r>
        <w:rPr>
          <w:b/>
        </w:rPr>
        <w:t xml:space="preserve">DOI: </w:t>
      </w:r>
      <w:hyperlink r:id="rId674">
        <w:r>
          <w:rPr>
            <w:color w:val="1155CC"/>
            <w:u w:val="single"/>
          </w:rPr>
          <w:t>10.1002/adma.202523703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离子门控晶体管本质上表现出与双电层形成相关的离子运动控制的时间依赖性行为；然而，它们的实际实施受到对离子动力学控制不足以及与可扩展薄膜集成的兼容性差的限制。在这里，我们提出了碳纳米管（CNT）固体离子门控晶体管（sIGT），它允许离子动力学的广泛工程，同时保持与晶圆级薄膜加工完全兼容。可调节的离子电导是通过薄膜中的离子含量工程和厚度缩放到亚微米范围来实现的，使离子时间常数从微秒到毫秒。 CNT sIGT 通过优化的聚合物基质和柔性基板上的晶圆级制造，在低离子含量下表现出稳健的直流操作。通过电阻抗谱和小信号分析系统地研究了由离子电导控制的频率相关栅极调制，包括 -3 dB 截止频率和传输频率的比较。该分析提供了对离子电导和频率相关设备响应之间关系的直接洞察，在两端和三端设备配置中表现出一致的趋势。双层 CNT sIGT 与工程动态响应的单片三维集成被证明是一种用于神经形态计算的紧凑双时间尺度物理存储库，可以使用单个读数对时变输入进行分类</w:t>
      </w:r>
    </w:p>
    <w:p>
      <w:pPr>
        <w:spacing w:before="0" w:after="200" w:lineRule="auto" w:line="276"/>
      </w:pPr>
      <w:r>
        <w:rPr>
          <w:b/>
        </w:rPr>
        <w:t xml:space="preserve">Abstract (EN): </w:t>
      </w:r>
      <w:r>
        <w:t>Ion‐gated transistors inherently exhibit time‐dependent behavior governed by ionic motion associated with electric double‐layer formation; however, their practical implementation has been limited by insufficient control over ionic dynamics and poor compatibility with scalable thin‐film integration. Here, we present carbon nanotube (CNT) solid‐ion‐gated transistors (sIGTs) that allow the wide‐range engineering of ionic dynamics while remaining fully compatible with wafer‐scale thin‐film processing. Tunable ionic conductance is achieved by ionic content engineering in the film and thickness scaling into the sub‐micron regime, enabling ionic time constants from microseconds to milliseconds. CNT sIGTs demonstrate robust DC operation at low ionic content with an optimized polymer matrix and wafer‐scale fabrication on flexible substrates. Frequency‐dependent gate modulation governed by ionic conductance is systematically investigated through electrical impedance spectroscopy and small‐signal analysis, including a comparison of the −3 dB cutoff frequency and the transit frequency. This analysis provides direct insight into the relationship between ionic conductance and frequency‐dependent device response, exhibiting consistent trends across both two‐terminal and three‐terminal device configurations. Monolithic three‐dimensional integration of two‐tier CNT sIGTs with engineered dynamic responses is demonstrated as a compact dual‐timescale physical reservoir for neuromorphic computing that enables classification of time‐varying inputs using a single readout layer.</w:t>
      </w:r>
    </w:p>
    <w:p>
      <w:pPr>
        <w:spacing w:before="120" w:after="120"/>
      </w:pPr>
      <w:r>
        <w:rPr>
          <w:sz w:val="18"/>
        </w:rPr>
        <w:t>——————————————————————————————————————————————————————————————————————</w:t>
      </w:r>
    </w:p>
    <w:p>
      <w:pPr>
        <w:spacing w:before="160" w:after="40" w:line="240" w:lineRule="auto"/>
      </w:pPr>
      <w:r>
        <w:rPr>
          <w:b/>
        </w:rPr>
        <w:t xml:space="preserve">[279] </w:t>
      </w:r>
      <w:hyperlink r:id="rId675">
        <w:r>
          <w:rPr>
            <w:color w:val="1155CC"/>
            <w:u w:val="single"/>
          </w:rPr>
          <w:t>一类新型“超应变”螺杂环化合物：1-氮杂螺[3.3]庚烷衍生物的门户和生物学验证</w:t>
        </w:r>
      </w:hyperlink>
    </w:p>
    <w:p>
      <w:pPr>
        <w:spacing w:before="0" w:after="80"/>
      </w:pPr>
      <w:r>
        <w:rPr>
          <w:i/>
          <w:sz w:val="20"/>
        </w:rPr>
        <w:t>EN: A Novel Class of “Super‐Strained” Spiro Heterocycles: Gateway to 1‐Azaspiro[3.3]heptane Derivatives, and Biological Validation</w:t>
      </w:r>
    </w:p>
    <w:p>
      <w:pPr>
        <w:spacing w:before="0" w:after="120"/>
      </w:pPr>
      <w:r>
        <w:rPr>
          <w:b/>
        </w:rPr>
        <w:t xml:space="preserve">Source: </w:t>
      </w:r>
      <w:r>
        <w:t>Wiley: Angewandte Chemie International Edition: Table of Contents</w:t>
      </w:r>
      <w:r>
        <w:t xml:space="preserve">    </w:t>
      </w:r>
      <w:r>
        <w:rPr>
          <w:b/>
        </w:rPr>
        <w:t xml:space="preserve">Pub date: </w:t>
      </w:r>
      <w:r>
        <w:t>2026-06-30 08:06:07+00:00</w:t>
      </w:r>
      <w:r>
        <w:t xml:space="preserve">    </w:t>
      </w:r>
      <w:r>
        <w:rPr>
          <w:b/>
        </w:rPr>
        <w:t xml:space="preserve">DOI: </w:t>
      </w:r>
      <w:hyperlink r:id="rId676">
        <w:r>
          <w:rPr>
            <w:color w:val="1155CC"/>
            <w:u w:val="single"/>
          </w:rPr>
          <w:t>10.1002/anie.3488479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应变螺杂环由于其作为构象刚性非经典三维生物等排体的潜力而在药物化学中广受欢迎。最近，1-氮杂螺[3.3]庚烷已被验证为哌啶生物等排体，尽管可用于官能化或含杂原子衍生物的合成方法很少。我们通过环丁烷、氧杂环丁烷和氮杂环丁烷取代的锍盐与氮丙啶之间的 Johnson-Corey-Chaykovsky 反应获得螺环 1-氮杂双环[1.1.0]丁烷（一种新型的“超应变”螺环）来解决这一缺点。我们证明这种螺环是高度官能化的1-氮杂螺[3.3]庚烷衍生物的合适前体。此外，这种超应变螺环已在体外被验证为潜在的 sigma-1 受体激动剂，这是通过人工智能支持的目标捕捞方法识别的目标。</w:t>
      </w:r>
    </w:p>
    <w:p>
      <w:pPr>
        <w:spacing w:before="0" w:after="200" w:lineRule="auto" w:line="276"/>
      </w:pPr>
      <w:r>
        <w:rPr>
          <w:b/>
        </w:rPr>
        <w:t xml:space="preserve">Abstract (EN): </w:t>
      </w:r>
      <w:r>
        <w:t>Strained spiro heterocycles have gained popularity in medicinal chemistry due to their potential to act as conformationally rigid non‐classical three‐dimensional bioisosteres. Recently, 1‐azaspiro[3.3]heptane has been validated as a piperidine bioisostere, although synthetic methods available for functionalized or heteroatom‐containing derivatives are scarce. We address this shortcoming by accessing spirocyclic 1‐azabicyclo[1.1.0]butanes—a novel class of “super‐strained” spirocycles—through a Johnson‐Corey‐Chaykovsky reaction between cyclobutane‐, oxetane‐, and azetidine‐substituted sulfonium salts, and azirines. We demonstrate that such spirocycles are suitable precursors for highly functionalized 1‐azaspiro[3.3]heptane derivatives. In addition, such super‐strained spirocycles have been validated in vitro as potential sigma‐1 receptor agonists, a target identified through an artificial intelligence‐supported target fishing approach.</w:t>
      </w:r>
    </w:p>
    <w:p>
      <w:pPr>
        <w:spacing w:before="120" w:after="120"/>
      </w:pPr>
      <w:r>
        <w:rPr>
          <w:sz w:val="18"/>
        </w:rPr>
        <w:t>——————————————————————————————————————————————————————————————————————</w:t>
      </w:r>
    </w:p>
    <w:p>
      <w:pPr>
        <w:spacing w:before="160" w:after="40" w:line="240" w:lineRule="auto"/>
      </w:pPr>
      <w:r>
        <w:rPr>
          <w:b/>
        </w:rPr>
        <w:t xml:space="preserve">[280] </w:t>
      </w:r>
      <w:hyperlink r:id="rId677">
        <w:r>
          <w:rPr>
            <w:color w:val="1155CC"/>
            <w:u w:val="single"/>
          </w:rPr>
          <w:t>限域阳离子共价有机笼实现无氧化剂的 Hofmann−Löffler−Freytag/环化序列</w:t>
        </w:r>
      </w:hyperlink>
    </w:p>
    <w:p>
      <w:pPr>
        <w:spacing w:before="0" w:after="80"/>
      </w:pPr>
      <w:r>
        <w:rPr>
          <w:i/>
          <w:sz w:val="20"/>
        </w:rPr>
        <w:t>EN: Confined Cationic Covalent Organic Cages Enable Oxidant‐Free Hofmann−Löffler−Freytag/Cyclization Sequences</w:t>
      </w:r>
    </w:p>
    <w:p>
      <w:pPr>
        <w:spacing w:before="0" w:after="120"/>
      </w:pPr>
      <w:r>
        <w:rPr>
          <w:b/>
        </w:rPr>
        <w:t xml:space="preserve">Source: </w:t>
      </w:r>
      <w:r>
        <w:t>Wiley: Angewandte Chemie International Edition: Table of Contents</w:t>
      </w:r>
      <w:r>
        <w:t xml:space="preserve">    </w:t>
      </w:r>
      <w:r>
        <w:rPr>
          <w:b/>
        </w:rPr>
        <w:t xml:space="preserve">Pub date: </w:t>
      </w:r>
      <w:r>
        <w:t>2026-06-30 08:07:18+00:00</w:t>
      </w:r>
      <w:r>
        <w:t xml:space="preserve">    </w:t>
      </w:r>
      <w:r>
        <w:rPr>
          <w:b/>
        </w:rPr>
        <w:t xml:space="preserve">DOI: </w:t>
      </w:r>
      <w:hyperlink r:id="rId678">
        <w:r>
          <w:rPr>
            <w:color w:val="1155CC"/>
            <w:u w:val="single"/>
          </w:rPr>
          <w:t>10.1002/anie.2488797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开发能够以高位点选择性调节自由基级联过程的受限超分子环境仍然是催化领域的长期挑战。在此，我们报告了两种咪唑功能化的阳离子共价有机笼，具有不同的空腔结构，包括三角棱柱空腔（</w:t>
      </w:r>
      <w:r>
        <w:t xml:space="preserve"> </w:t>
      </w:r>
      <w:r>
        <w:t>笼子1</w:t>
      </w:r>
      <w:r>
        <w:t xml:space="preserve"> </w:t>
      </w:r>
      <w:r>
        <w:t>）和碗形空腔（</w:t>
      </w:r>
      <w:r>
        <w:t xml:space="preserve"> </w:t>
      </w:r>
      <w:r>
        <w:t>笼子2</w:t>
      </w:r>
      <w:r>
        <w:t xml:space="preserve"> </w:t>
      </w:r>
      <w:r>
        <w:t>），作为无氧化剂 Hofmann-Löffler-Freytag (HLF)/环化级联催化的受限平台。两个笼子都有效地介导了</w:t>
      </w:r>
      <w:r>
        <w:t xml:space="preserve"> </w:t>
      </w:r>
      <w:r>
        <w:t>氮</w:t>
      </w:r>
      <w:r>
        <w:t xml:space="preserve"> </w:t>
      </w:r>
      <w:r>
        <w:t>‐氯酰胺在温和条件下转化为吡咯烷衍生物，而</w:t>
      </w:r>
      <w:r>
        <w:t xml:space="preserve"> </w:t>
      </w:r>
      <w:r>
        <w:t>笼子1</w:t>
      </w:r>
      <w:r>
        <w:t xml:space="preserve"> </w:t>
      </w:r>
      <w:r>
        <w:t>相对于</w:t>
      </w:r>
      <w:r>
        <w:t xml:space="preserve"> </w:t>
      </w:r>
      <w:r>
        <w:t>笼子2</w:t>
      </w:r>
      <w:r>
        <w:t xml:space="preserve"> </w:t>
      </w:r>
      <w:r>
        <w:t>和单体类似物。机理研究表明，几何限制的阳离子空腔</w:t>
      </w:r>
      <w:r>
        <w:t xml:space="preserve"> </w:t>
      </w:r>
      <w:r>
        <w:t>笼子1</w:t>
      </w:r>
      <w:r>
        <w:t xml:space="preserve"> </w:t>
      </w:r>
      <w:r>
        <w:t>通过主客体相互作用促进底物预组织，通过静电和C-H·π相互作用稳定以氮为中心的自由基中间体，并通过降低相关的活化势垒促进关键的1,5-氢原子转移（1,5-HAT）过程。主客体结合研究和 DFT 计算揭示了结构-识别-反应性关系，其中底物锚定、自旋离域和空腔限制共同控制催化作用</w:t>
      </w:r>
    </w:p>
    <w:p>
      <w:pPr>
        <w:spacing w:before="0" w:after="200" w:lineRule="auto" w:line="276"/>
      </w:pPr>
      <w:r>
        <w:rPr>
          <w:b/>
        </w:rPr>
        <w:t xml:space="preserve">Abstract (EN): </w:t>
      </w:r>
      <w:r>
        <w:t>Developing confined supramolecular environments capable of regulating radical cascade processes with high site selectivity remains a longstanding challenge in catalysis. Herein, we report two imidazolium‐functionalized cationic covalent organic cages featuring distinct cavity architectures, including a triangular‐prismatic cavity (</w:t>
      </w:r>
      <w:r>
        <w:t xml:space="preserve"> </w:t>
      </w:r>
      <w:r>
        <w:t>cage 1</w:t>
      </w:r>
      <w:r>
        <w:t xml:space="preserve"> </w:t>
      </w:r>
      <w:r>
        <w:t>) and a bowl‐shaped cavity (</w:t>
      </w:r>
      <w:r>
        <w:t xml:space="preserve"> </w:t>
      </w:r>
      <w:r>
        <w:t>cage 2</w:t>
      </w:r>
      <w:r>
        <w:t xml:space="preserve"> </w:t>
      </w:r>
      <w:r>
        <w:t>), as confined platforms for oxidant‐free Hofmann–Löffler–Freytag (HLF)/cyclization cascade catalysis. Both cages efficiently mediate a one‐pot transformation of</w:t>
      </w:r>
      <w:r>
        <w:t xml:space="preserve"> </w:t>
      </w:r>
      <w:r>
        <w:t>N</w:t>
      </w:r>
      <w:r>
        <w:t xml:space="preserve"> </w:t>
      </w:r>
      <w:r>
        <w:t>‐chloroamides into pyrrolidine derivatives under mild conditions, whereas</w:t>
      </w:r>
      <w:r>
        <w:t xml:space="preserve"> </w:t>
      </w:r>
      <w:r>
        <w:t>cage 1</w:t>
      </w:r>
      <w:r>
        <w:t xml:space="preserve"> </w:t>
      </w:r>
      <w:r>
        <w:t>exhibits substantially enhanced activity and selectivity relative to</w:t>
      </w:r>
      <w:r>
        <w:t xml:space="preserve"> </w:t>
      </w:r>
      <w:r>
        <w:t>cage 2</w:t>
      </w:r>
      <w:r>
        <w:t xml:space="preserve"> </w:t>
      </w:r>
      <w:r>
        <w:t>and a monomeric analog. Mechanistic investigations suggest that the geometrically confined cationic cavity of</w:t>
      </w:r>
      <w:r>
        <w:t xml:space="preserve"> </w:t>
      </w:r>
      <w:r>
        <w:t>cage 1</w:t>
      </w:r>
      <w:r>
        <w:t xml:space="preserve"> </w:t>
      </w:r>
      <w:r>
        <w:t>promotes substrate preorganization through cooperative host–guest interactions, stabilizes nitrogen‐centered radical intermediates via electrostatic and C–H···π interactions, and facilitates the key 1,5‐hydrogen atom transfer (1,5‐HAT) process by lowering the associated activation barrier. Host–guest binding studies and DFT calculations, reveal a structure–recognition–reactivity relationship in which substrate anchoring, spin delocalization, and cavity confinement collectively govern catalytic efficiency. These findings demonstrate how confined cationic microenvironments can reconstruct radical cascade pathways and provide a general strategy for designing supramolecular catalysts for selective multistep transformations.</w:t>
      </w:r>
    </w:p>
    <w:p>
      <w:pPr>
        <w:spacing w:before="120" w:after="120"/>
      </w:pPr>
      <w:r>
        <w:rPr>
          <w:sz w:val="18"/>
        </w:rPr>
        <w:t>——————————————————————————————————————————————————————————————————————</w:t>
      </w:r>
    </w:p>
    <w:p>
      <w:pPr>
        <w:spacing w:before="160" w:after="40" w:line="240" w:lineRule="auto"/>
      </w:pPr>
      <w:r>
        <w:rPr>
          <w:b/>
        </w:rPr>
        <w:t xml:space="preserve">[281] </w:t>
      </w:r>
      <w:hyperlink r:id="rId679">
        <w:r>
          <w:rPr>
            <w:color w:val="1155CC"/>
            <w:u w:val="single"/>
          </w:rPr>
          <w:t>用于多模视觉传感的化学可编程视黄质 GaN p-n 二极管</w:t>
        </w:r>
      </w:hyperlink>
    </w:p>
    <w:p>
      <w:pPr>
        <w:spacing w:before="0" w:after="80"/>
      </w:pPr>
      <w:r>
        <w:rPr>
          <w:i/>
          <w:sz w:val="20"/>
        </w:rPr>
        <w:t>EN: A Chemically Programmable Retinomorphic GaN p–n Diode for Multimode Visual Sensing</w:t>
      </w:r>
    </w:p>
    <w:p>
      <w:pPr>
        <w:spacing w:before="0" w:after="120"/>
      </w:pPr>
      <w:r>
        <w:rPr>
          <w:b/>
        </w:rPr>
        <w:t xml:space="preserve">Source: </w:t>
      </w:r>
      <w:r>
        <w:t>Wiley: Advanced Materials: Table of Contents</w:t>
      </w:r>
      <w:r>
        <w:t xml:space="preserve">    </w:t>
      </w:r>
      <w:r>
        <w:rPr>
          <w:b/>
        </w:rPr>
        <w:t xml:space="preserve">Pub date: </w:t>
      </w:r>
      <w:r>
        <w:t>2026-06-30 08:08:36+00:00</w:t>
      </w:r>
      <w:r>
        <w:t xml:space="preserve">    </w:t>
      </w:r>
      <w:r>
        <w:rPr>
          <w:b/>
        </w:rPr>
        <w:t xml:space="preserve">DOI: </w:t>
      </w:r>
      <w:hyperlink r:id="rId680">
        <w:r>
          <w:rPr>
            <w:color w:val="1155CC"/>
            <w:u w:val="single"/>
          </w:rPr>
          <w:t>10.1002/adma.73892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现实世界的视觉场景包括快速波动的宽广照明条件、通过不同调制策略集成多种视觉动态的高要求视觉传感器。然而，大多数视觉传感器的可调谐性有限，主要通过外部物理刺激（例如电或光）进行调制，同时缺乏对生物现实视觉至关重要的化学可编程性。在这里，我们报告了一种化学可编程视黄质 p-n 二极管，它支持超紧凑器件平台中的尖峰响应和光适应以及化学可调性。受内部 p-n 结处的光电载流子分离与半导体/电解质界面处的电化学载流子消耗之间的相互作用的控制，视网膜成形二极管表现出具有化学可编程性的可切换响应模式。具体来说，该器件在闭路操作下在照明转换时产生尖峰，而变化的离子/分子种类可以实现稳态电流的双向调节，将仅动态传感转变为静态-动态融合传感。此外，在开路操作下，随着光照的增加，它会自发地从暗适应转变为明适应，而这两个过程都可以通过化学编程进行双向调节。利用这种适应性行为，我们进一步构建了一个概念验证的视觉运动通路，该通路表现出化学可编程、依赖于照明的驱动。总之，这项工作展示了化学可编程视网膜色素变性</w:t>
      </w:r>
    </w:p>
    <w:p>
      <w:pPr>
        <w:spacing w:before="0" w:after="200" w:lineRule="auto" w:line="276"/>
      </w:pPr>
      <w:r>
        <w:rPr>
          <w:b/>
        </w:rPr>
        <w:t xml:space="preserve">Abstract (EN): </w:t>
      </w:r>
      <w:r>
        <w:t>Real‐world visual scenes include wide illumination conditions with rapid fluctuations, demanding vision sensors that integrate multiple visual dynamics through diverse modulation strategies. However, most vision sensors suffer from limited tunability, mainly modulated via external physical stimuli (e.g., electric or light) while lacking chemical programmability critical for biorealistic vision. Here, we report a chemically programmable retinomorphic p–n diode that supports spiking response and light adaptation together with chemical tunability in an ultracompact device platform. Governed by the interplay between photoelectric carrier separation at the internal p–n junction and electrochemical carrier consumption at the semiconductor/electrolyte interface, the retinomorphic diode demonstrates switchable response modes with chemical programmability. Specifically, the device generates spikes upon illumination transitions under closed‐circuit operation, while varying ion/molecule species enables bidirectional tuning of steady‐state current, transforming dynamic‐only sensing into static–dynamic fused sensing. Moreover, it spontaneously shifts from scotopic to photopic adaptation with increasing illumination under open‐circuit operation, while both processes can be bidirectionally regulated through chemical programming. Leveraging this adaptive behavior, we further construct a proof‐of‐concept visual–motor pathway that exhibits chemically programmable, illumination‐dependent actuation. Together, this work demonstrates a chemically programmable retinomorphic platform combining physical and chemical modulation for bioinspired multimode visual sensing.</w:t>
      </w:r>
    </w:p>
    <w:p>
      <w:pPr>
        <w:spacing w:before="120" w:after="120"/>
      </w:pPr>
      <w:r>
        <w:rPr>
          <w:sz w:val="18"/>
        </w:rPr>
        <w:t>——————————————————————————————————————————————————————————————————————</w:t>
      </w:r>
    </w:p>
    <w:p>
      <w:pPr>
        <w:spacing w:before="160" w:after="40" w:line="240" w:lineRule="auto"/>
      </w:pPr>
      <w:r>
        <w:rPr>
          <w:b/>
        </w:rPr>
        <w:t xml:space="preserve">[282] </w:t>
      </w:r>
      <w:hyperlink r:id="rId681">
        <w:r>
          <w:rPr>
            <w:color w:val="1155CC"/>
            <w:u w:val="single"/>
          </w:rPr>
          <w:t>阐明界面：H2O2 电合成双电子 ORR 路径的原位光学洞察</w:t>
        </w:r>
      </w:hyperlink>
    </w:p>
    <w:p>
      <w:pPr>
        <w:spacing w:before="0" w:after="80"/>
      </w:pPr>
      <w:r>
        <w:rPr>
          <w:i/>
          <w:sz w:val="20"/>
        </w:rPr>
        <w:t>EN: Illuminating the Interface: In Situ Optical Insights Into Two‐Electron ORR Pathways for H2O2 Electrosynthesis</w:t>
      </w:r>
    </w:p>
    <w:p>
      <w:pPr>
        <w:spacing w:before="0" w:after="120"/>
      </w:pPr>
      <w:r>
        <w:rPr>
          <w:b/>
        </w:rPr>
        <w:t xml:space="preserve">Source: </w:t>
      </w:r>
      <w:r>
        <w:t>Wiley: Advanced Materials: Table of Contents</w:t>
      </w:r>
      <w:r>
        <w:t xml:space="preserve">    </w:t>
      </w:r>
      <w:r>
        <w:rPr>
          <w:b/>
        </w:rPr>
        <w:t xml:space="preserve">Pub date: </w:t>
      </w:r>
      <w:r>
        <w:t>2026-06-30 08:08:47+00:00</w:t>
      </w:r>
      <w:r>
        <w:t xml:space="preserve">    </w:t>
      </w:r>
      <w:r>
        <w:rPr>
          <w:b/>
        </w:rPr>
        <w:t xml:space="preserve">DOI: </w:t>
      </w:r>
      <w:hyperlink r:id="rId682">
        <w:r>
          <w:rPr>
            <w:color w:val="1155CC"/>
            <w:u w:val="single"/>
          </w:rPr>
          <w:t>10.1002/adma.73737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过氧化氢（H</w:t>
      </w:r>
      <w:r>
        <w:rPr>
          <w:vertAlign w:val="subscript"/>
        </w:rPr>
        <w:t>2</w:t>
      </w:r>
      <w:r>
        <w:t>氧</w:t>
      </w:r>
      <w:r>
        <w:rPr>
          <w:vertAlign w:val="subscript"/>
        </w:rPr>
        <w:t>2</w:t>
      </w:r>
      <w:r>
        <w:t>）是一种具有广泛应用的典型绿色氧化剂。为了追求可持续发展，H</w:t>
      </w:r>
      <w:r>
        <w:rPr>
          <w:vertAlign w:val="subscript"/>
        </w:rPr>
        <w:t>2</w:t>
      </w:r>
      <w:r>
        <w:t>氧</w:t>
      </w:r>
      <w:r>
        <w:rPr>
          <w:vertAlign w:val="subscript"/>
        </w:rPr>
        <w:t>2</w:t>
      </w:r>
      <w:r>
        <w:t>通过双电子氧还原反应进行电合成（2e</w:t>
      </w:r>
      <w:r>
        <w:t xml:space="preserve"> </w:t>
      </w:r>
      <w:r>
        <w:t>-</w:t>
      </w:r>
      <w:r>
        <w:t>ORR）在温和、绿色和分散的条件下已成为工业蒽醌工艺的有前途的替代方案。 H</w:t>
      </w:r>
      <w:r>
        <w:rPr>
          <w:vertAlign w:val="subscript"/>
        </w:rPr>
        <w:t>2</w:t>
      </w:r>
      <w:r>
        <w:t>氧</w:t>
      </w:r>
      <w:r>
        <w:rPr>
          <w:vertAlign w:val="subscript"/>
        </w:rPr>
        <w:t>2</w:t>
      </w:r>
      <w:r>
        <w:t>电合成是一种界面电化学过程，其中适当的表面活性位点对于实现高性能至关重要。实现可扩展的H</w:t>
      </w:r>
      <w:r>
        <w:rPr>
          <w:vertAlign w:val="subscript"/>
        </w:rPr>
        <w:t>2</w:t>
      </w:r>
      <w:r>
        <w:t>氧</w:t>
      </w:r>
      <w:r>
        <w:rPr>
          <w:vertAlign w:val="subscript"/>
        </w:rPr>
        <w:t>2</w:t>
      </w:r>
      <w:r>
        <w:t>通过2e生产</w:t>
      </w:r>
      <w:r>
        <w:t xml:space="preserve"> </w:t>
      </w:r>
      <w:r>
        <w:t>-</w:t>
      </w:r>
      <w:r>
        <w:t>ORR，原位光学表征对于阐明界面机制和反应原理至关重要，从而促进进一步的技术进步。本综述围绕空间分辨率的逐步增强和可获取的反应信息进行组织，系统地总结了 H 的原位光学表征方法。</w:t>
      </w:r>
      <w:r>
        <w:rPr>
          <w:vertAlign w:val="subscript"/>
        </w:rPr>
        <w:t>2</w:t>
      </w:r>
      <w:r>
        <w:t>氧</w:t>
      </w:r>
      <w:r>
        <w:rPr>
          <w:vertAlign w:val="subscript"/>
        </w:rPr>
        <w:t>2</w:t>
      </w:r>
      <w:r>
        <w:t>2e电合成</w:t>
      </w:r>
      <w:r>
        <w:t xml:space="preserve"> </w:t>
      </w:r>
      <w:r>
        <w:t>-</w:t>
      </w:r>
      <w:r>
        <w:t>ORR，跨越一维 (1D) 光谱、二维 (2D) 成像、三维 (3D)</w:t>
      </w:r>
    </w:p>
    <w:p>
      <w:pPr>
        <w:spacing w:before="0" w:after="200" w:lineRule="auto" w:line="276"/>
      </w:pPr>
      <w:r>
        <w:rPr>
          <w:b/>
        </w:rPr>
        <w:t xml:space="preserve">Abstract (EN): </w:t>
      </w:r>
      <w:r>
        <w:t>Hydrogen peroxide (H</w:t>
      </w:r>
      <w:r>
        <w:rPr>
          <w:vertAlign w:val="subscript"/>
        </w:rPr>
        <w:t>2</w:t>
      </w:r>
      <w:r>
        <w:t>O</w:t>
      </w:r>
      <w:r>
        <w:rPr>
          <w:vertAlign w:val="subscript"/>
        </w:rPr>
        <w:t>2</w:t>
      </w:r>
      <w:r>
        <w:t>) is a prototypical green oxidant with wide applications. In pursuit of sustainable development, H</w:t>
      </w:r>
      <w:r>
        <w:rPr>
          <w:vertAlign w:val="subscript"/>
        </w:rPr>
        <w:t>2</w:t>
      </w:r>
      <w:r>
        <w:t>O</w:t>
      </w:r>
      <w:r>
        <w:rPr>
          <w:vertAlign w:val="subscript"/>
        </w:rPr>
        <w:t>2</w:t>
      </w:r>
      <w:r>
        <w:t>electrosynthesis via the two‐electron oxygen reduction reaction (2e</w:t>
      </w:r>
      <w:r>
        <w:t xml:space="preserve"> </w:t>
      </w:r>
      <w:r>
        <w:t>−</w:t>
      </w:r>
      <w:r>
        <w:t>ORR) under mild, green, and decentralized conditions has emerged as a promising alternative to the industrial anthraquinone process. H</w:t>
      </w:r>
      <w:r>
        <w:rPr>
          <w:vertAlign w:val="subscript"/>
        </w:rPr>
        <w:t>2</w:t>
      </w:r>
      <w:r>
        <w:t>O</w:t>
      </w:r>
      <w:r>
        <w:rPr>
          <w:vertAlign w:val="subscript"/>
        </w:rPr>
        <w:t>2</w:t>
      </w:r>
      <w:r>
        <w:t>electrosynthesis is an interfacial electrochemical process in which appropriate surface active sites are critical for achieving high performance. To realize scalable H</w:t>
      </w:r>
      <w:r>
        <w:rPr>
          <w:vertAlign w:val="subscript"/>
        </w:rPr>
        <w:t>2</w:t>
      </w:r>
      <w:r>
        <w:t>O</w:t>
      </w:r>
      <w:r>
        <w:rPr>
          <w:vertAlign w:val="subscript"/>
        </w:rPr>
        <w:t>2</w:t>
      </w:r>
      <w:r>
        <w:t>production via 2e</w:t>
      </w:r>
      <w:r>
        <w:t xml:space="preserve"> </w:t>
      </w:r>
      <w:r>
        <w:t>−</w:t>
      </w:r>
      <w:r>
        <w:t>ORR, in situ optical characterization is crucial for elucidating interfacial mechanisms and reaction principles, thereby facilitating further technological advances. This review is organized around the progressive enhancement of spatial resolution and accessible reaction information, and systematically summarizes in situ optical characterization methods for H</w:t>
      </w:r>
      <w:r>
        <w:rPr>
          <w:vertAlign w:val="subscript"/>
        </w:rPr>
        <w:t>2</w:t>
      </w:r>
      <w:r>
        <w:t>O</w:t>
      </w:r>
      <w:r>
        <w:rPr>
          <w:vertAlign w:val="subscript"/>
        </w:rPr>
        <w:t>2</w:t>
      </w:r>
      <w:r>
        <w:t>electrosynthesis via 2e</w:t>
      </w:r>
      <w:r>
        <w:t xml:space="preserve"> </w:t>
      </w:r>
      <w:r>
        <w:t>−</w:t>
      </w:r>
      <w:r>
        <w:t>ORR, spanning one‐dimensional (1D) spectroscopy, two‐dimensional (2D) imaging, three‐dimensional (3D) reaction‐field imaging, and multimodal coupling that correlates optical, electrochemical, and structural information. It highlights the working principles, device configurations, and representative applications of these methods, and provides perspectives on future technological innovation and practical application of in situ optical characterization for advancing sustainable and economically viable H</w:t>
      </w:r>
      <w:r>
        <w:rPr>
          <w:vertAlign w:val="subscript"/>
        </w:rPr>
        <w:t>2</w:t>
      </w:r>
      <w:r>
        <w:t>O</w:t>
      </w:r>
      <w:r>
        <w:rPr>
          <w:vertAlign w:val="subscript"/>
        </w:rPr>
        <w:t>2</w:t>
      </w:r>
      <w:r>
        <w:t>electrosynthesis in support of green industry and carbon neutrality.</w:t>
      </w:r>
    </w:p>
    <w:p>
      <w:pPr>
        <w:spacing w:before="120" w:after="120"/>
      </w:pPr>
      <w:r>
        <w:rPr>
          <w:sz w:val="18"/>
        </w:rPr>
        <w:t>——————————————————————————————————————————————————————————————————————</w:t>
      </w:r>
    </w:p>
    <w:p>
      <w:pPr>
        <w:spacing w:before="160" w:after="40" w:line="240" w:lineRule="auto"/>
      </w:pPr>
      <w:r>
        <w:rPr>
          <w:b/>
        </w:rPr>
        <w:t xml:space="preserve">[283] </w:t>
      </w:r>
      <w:hyperlink r:id="rId683">
        <w:r>
          <w:rPr>
            <w:color w:val="1155CC"/>
            <w:u w:val="single"/>
          </w:rPr>
          <w:t>使用操作发光测温法测量甲烷氧化偶联过程中的局部放热效应</w:t>
        </w:r>
      </w:hyperlink>
    </w:p>
    <w:p>
      <w:pPr>
        <w:spacing w:before="0" w:after="80"/>
      </w:pPr>
      <w:r>
        <w:rPr>
          <w:i/>
          <w:sz w:val="20"/>
        </w:rPr>
        <w:t>EN: Measuring Local Exothermic Effects During the Oxidative Coupling of Methane Using Operando Luminescence Thermometry</w:t>
      </w:r>
    </w:p>
    <w:p>
      <w:pPr>
        <w:spacing w:before="0" w:after="120"/>
      </w:pPr>
      <w:r>
        <w:rPr>
          <w:b/>
        </w:rPr>
        <w:t xml:space="preserve">Source: </w:t>
      </w:r>
      <w:r>
        <w:t>Wiley: Angewandte Chemie International Edition: Table of Contents</w:t>
      </w:r>
      <w:r>
        <w:t xml:space="preserve">    </w:t>
      </w:r>
      <w:r>
        <w:rPr>
          <w:b/>
        </w:rPr>
        <w:t xml:space="preserve">Pub date: </w:t>
      </w:r>
      <w:r>
        <w:t>2026-06-30 08:09:25+00:00</w:t>
      </w:r>
      <w:r>
        <w:t xml:space="preserve">    </w:t>
      </w:r>
      <w:r>
        <w:rPr>
          <w:b/>
        </w:rPr>
        <w:t xml:space="preserve">DOI: </w:t>
      </w:r>
      <w:hyperlink r:id="rId684">
        <w:r>
          <w:rPr>
            <w:color w:val="1155CC"/>
            <w:u w:val="single"/>
          </w:rPr>
          <w:t>10.1002/anie.1717647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甲烷氧化偶联生成乙烯是一种非常有前景的甲烷增值工艺。然而，操作温度高、放热严重、高转化率下选择性差等问题阻碍了其工业化。局部催化剂温度的测量仍然很少，更不用说对确定实验参数的研究了。在这里，我们使用</w:t>
      </w:r>
      <w:r>
        <w:t xml:space="preserve"> </w:t>
      </w:r>
      <w:r>
        <w:t>操作</w:t>
      </w:r>
      <w:r>
        <w:t xml:space="preserve"> </w:t>
      </w:r>
      <w:r>
        <w:t>发光测温法 (LT) 用于测量 OCM 反应过程中的局部催化剂温度。该分析技术揭示了催化剂温度在惰性条件下比烘箱温度高出近 250°C。我们观察到局部催化剂温度对 OCM 过程产生的热量的依赖性，并且我们表明反应器中的传热和由此产生的催化剂温度受到实验条件和反应器/催化剂尺寸的强烈影响。这项工作展示了 LT 测量催化剂温度并更深入地了解高温催化过程及其热管理的机会，从而为进一步优化 OCM 等化学过程提供重要见解。</w:t>
      </w:r>
    </w:p>
    <w:p>
      <w:pPr>
        <w:spacing w:before="0" w:after="200" w:lineRule="auto" w:line="276"/>
      </w:pPr>
      <w:r>
        <w:rPr>
          <w:b/>
        </w:rPr>
        <w:t xml:space="preserve">Abstract (EN): </w:t>
      </w:r>
      <w:r>
        <w:t>Oxidative coupling of methane (OCM) into ethylene is a very promising process for the valorization of methane. However, the high operating temperatures, severe exothermicity, and poor selectivity at high conversion rates have hindered its industrialization. Measurements of local catalyst temperatures, let alone research into the determining experimental parameters, are still scarce. Here, we use</w:t>
      </w:r>
      <w:r>
        <w:t xml:space="preserve"> </w:t>
      </w:r>
      <w:r>
        <w:t>operando</w:t>
      </w:r>
      <w:r>
        <w:t xml:space="preserve"> </w:t>
      </w:r>
      <w:r>
        <w:t>luminescence thermometry (LT) to measure local catalyst temperatures during the OCM reaction. This analytical technique reveals catalyst temperatures exceeding the oven temperature under inert conditions by almost 250°C. We observe a dependence of the local catalyst temperature on the amount of heat generated by the OCM process, and we show that the heat transfer and resulting catalyst temperature in the reactor are strongly influenced by experimental conditions and reactor/catalyst dimensions. This work showcases the opportunities of LT to measure catalyst temperatures and get more insight into high‐temperature catalytic processes and their heat management, leading to crucial insights for the further optimization of chemical processes, such as OCM.</w:t>
      </w:r>
    </w:p>
    <w:p>
      <w:pPr>
        <w:spacing w:before="120" w:after="120"/>
      </w:pPr>
      <w:r>
        <w:rPr>
          <w:sz w:val="18"/>
        </w:rPr>
        <w:t>——————————————————————————————————————————————————————————————————————</w:t>
      </w:r>
    </w:p>
    <w:p>
      <w:pPr>
        <w:spacing w:before="160" w:after="40" w:line="240" w:lineRule="auto"/>
      </w:pPr>
      <w:r>
        <w:rPr>
          <w:b/>
        </w:rPr>
        <w:t xml:space="preserve">[284] </w:t>
      </w:r>
      <w:hyperlink r:id="rId685">
        <w:r>
          <w:rPr>
            <w:color w:val="1155CC"/>
            <w:u w:val="single"/>
          </w:rPr>
          <w:t>通过反向系间窜越和激子循环的协同控制实现 1.0 s 热激活延迟荧光</w:t>
        </w:r>
      </w:hyperlink>
    </w:p>
    <w:p>
      <w:pPr>
        <w:spacing w:before="0" w:after="80"/>
      </w:pPr>
      <w:r>
        <w:rPr>
          <w:i/>
          <w:sz w:val="20"/>
        </w:rPr>
        <w:t>EN: Achieving 1.0‐s Thermally Activated Delayed Fluorescence via Synergistic Control of Reverse Intersystem Crossing and Exciton Cycling</w:t>
      </w:r>
    </w:p>
    <w:p>
      <w:pPr>
        <w:spacing w:before="0" w:after="120"/>
      </w:pPr>
      <w:r>
        <w:rPr>
          <w:b/>
        </w:rPr>
        <w:t xml:space="preserve">Source: </w:t>
      </w:r>
      <w:r>
        <w:t>Wiley: Angewandte Chemie International Edition: Table of Contents</w:t>
      </w:r>
      <w:r>
        <w:t xml:space="preserve">    </w:t>
      </w:r>
      <w:r>
        <w:rPr>
          <w:b/>
        </w:rPr>
        <w:t xml:space="preserve">Pub date: </w:t>
      </w:r>
      <w:r>
        <w:t>2026-06-30 08:16:59+00:00</w:t>
      </w:r>
      <w:r>
        <w:t xml:space="preserve">    </w:t>
      </w:r>
      <w:r>
        <w:rPr>
          <w:b/>
        </w:rPr>
        <w:t xml:space="preserve">DOI: </w:t>
      </w:r>
      <w:hyperlink r:id="rId686">
        <w:r>
          <w:rPr>
            <w:color w:val="1155CC"/>
            <w:u w:val="single"/>
          </w:rPr>
          <w:t>10.1002/anie.3335355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持久热激活延迟荧光（p-TADF）从根本上受到反向系间窜越（rISC）和三重态激子衰变之间的动力学权衡的限制，包括磷光和非辐射过程，这从本质上限制了其寿命。</w:t>
      </w:r>
      <w:r>
        <w:t xml:space="preserve"> </w:t>
      </w:r>
      <w:r>
        <w:t>τ</w:t>
      </w:r>
      <w:r>
        <w:t xml:space="preserve"> </w:t>
      </w:r>
      <w:r>
        <w:t>DF</w:t>
      </w:r>
      <w:r>
        <w:t xml:space="preserve"> </w:t>
      </w:r>
      <w:r>
        <w:t>）。在这里，我们提出了一种协同策略，通过同时减慢 rISC 速率来克服这一限制（</w:t>
      </w:r>
      <w:r>
        <w:t xml:space="preserve"> </w:t>
      </w:r>
      <w:r>
        <w:t>k</w:t>
      </w:r>
      <w:r>
        <w:t xml:space="preserve"> </w:t>
      </w:r>
      <w:r>
        <w:t>重组ISC</w:t>
      </w:r>
      <w:r>
        <w:t xml:space="preserve"> </w:t>
      </w:r>
      <w:r>
        <w:t>）同时保持条件</w:t>
      </w:r>
      <w:r>
        <w:t xml:space="preserve"> </w:t>
      </w:r>
      <w:r>
        <w:t>k</w:t>
      </w:r>
      <w:r>
        <w:t xml:space="preserve"> </w:t>
      </w:r>
      <w:r>
        <w:t>重组ISC</w:t>
      </w:r>
      <w:r>
        <w:t xml:space="preserve"> </w:t>
      </w:r>
      <w:r>
        <w:t>≫</w:t>
      </w:r>
      <w:r>
        <w:t xml:space="preserve"> </w:t>
      </w:r>
      <w:r>
        <w:t>k</w:t>
      </w:r>
      <w:r>
        <w:t xml:space="preserve"> </w:t>
      </w:r>
      <w:r>
        <w:t>博士学位</w:t>
      </w:r>
      <w:r>
        <w:t xml:space="preserve"> </w:t>
      </w:r>
      <w:r>
        <w:t>+</w:t>
      </w:r>
      <w:r>
        <w:t xml:space="preserve"> </w:t>
      </w:r>
      <w:r>
        <w:t>k</w:t>
      </w:r>
      <w:r>
        <w:t xml:space="preserve"> </w:t>
      </w:r>
      <w:r>
        <w:t>号,T</w:t>
      </w:r>
      <w:r>
        <w:t xml:space="preserve"> </w:t>
      </w:r>
      <w:r>
        <w:t>并有意促进多个系间交叉（ISC）/rISC激子循环。该方法的有效性通过</w:t>
      </w:r>
      <w:r>
        <w:t xml:space="preserve"> </w:t>
      </w:r>
      <w:r>
        <w:t>哦</w:t>
      </w:r>
      <w:r>
        <w:t xml:space="preserve"> </w:t>
      </w:r>
      <w:r>
        <w:t>‐TFBCz，实现了前所未有的</w:t>
      </w:r>
      <w:r>
        <w:t xml:space="preserve"> </w:t>
      </w:r>
      <w:r>
        <w:t>τ</w:t>
      </w:r>
      <w:r>
        <w:t xml:space="preserve"> </w:t>
      </w:r>
      <w:r>
        <w:t>DF</w:t>
      </w:r>
      <w:r>
        <w:t xml:space="preserve"> </w:t>
      </w:r>
      <w:r>
        <w:t>即使在未退火的聚（甲基丙烯酸甲酯）中，尽管源自具有寿命（</w:t>
      </w:r>
      <w:r>
        <w:t xml:space="preserve"> </w:t>
      </w:r>
      <w:r>
        <w:t>τ</w:t>
      </w:r>
      <w:r>
        <w:t xml:space="preserve"> </w:t>
      </w:r>
      <w:r>
        <w:t>博士学位</w:t>
      </w:r>
      <w:r>
        <w:t xml:space="preserve"> </w:t>
      </w:r>
      <w:r>
        <w:t>）仅 1.92 秒。该系统在蓝光激发下表现出蓝绿色余辉和出色的热稳定性。定量光物理分析显示，该材料中每个激子平均有 2.1 个 ISC/rISC 循环，这是由 ISC 速率实现的（</w:t>
      </w:r>
      <w:r>
        <w:t xml:space="preserve"> </w:t>
      </w:r>
      <w:r>
        <w:t>k</w:t>
      </w:r>
      <w:r>
        <w:t xml:space="preserve"> </w:t>
      </w:r>
      <w:r>
        <w:t>国际标准委员会</w:t>
      </w:r>
    </w:p>
    <w:p>
      <w:pPr>
        <w:spacing w:before="0" w:after="200" w:lineRule="auto" w:line="276"/>
      </w:pPr>
      <w:r>
        <w:rPr>
          <w:b/>
        </w:rPr>
        <w:t xml:space="preserve">Abstract (EN): </w:t>
      </w:r>
      <w:r>
        <w:t>Persistent thermally activated delayed fluorescence (p‐TADF) is fundamentally constrained by the kinetic trade‐off between reverse intersystem crossing (rISC) and triplet exciton decay, including phosphorescence and non‐radiative processes, which intrinsically limits its lifetime (</w:t>
      </w:r>
      <w:r>
        <w:t xml:space="preserve"> </w:t>
      </w:r>
      <w:r>
        <w:t>τ</w:t>
      </w:r>
      <w:r>
        <w:t xml:space="preserve"> </w:t>
      </w:r>
      <w:r>
        <w:t>DF</w:t>
      </w:r>
      <w:r>
        <w:t xml:space="preserve"> </w:t>
      </w:r>
      <w:r>
        <w:t>). Here we present a synergistic strategy that overcomes this limitation by concurrently slowing the rISC rate (</w:t>
      </w:r>
      <w:r>
        <w:t xml:space="preserve"> </w:t>
      </w:r>
      <w:r>
        <w:t>k</w:t>
      </w:r>
      <w:r>
        <w:t xml:space="preserve"> </w:t>
      </w:r>
      <w:r>
        <w:t>rISC</w:t>
      </w:r>
      <w:r>
        <w:t xml:space="preserve"> </w:t>
      </w:r>
      <w:r>
        <w:t>) while preserving the condition</w:t>
      </w:r>
      <w:r>
        <w:t xml:space="preserve"> </w:t>
      </w:r>
      <w:r>
        <w:t>k</w:t>
      </w:r>
      <w:r>
        <w:t xml:space="preserve"> </w:t>
      </w:r>
      <w:r>
        <w:t>rISC</w:t>
      </w:r>
      <w:r>
        <w:t xml:space="preserve"> </w:t>
      </w:r>
      <w:r>
        <w:t>≫</w:t>
      </w:r>
      <w:r>
        <w:t xml:space="preserve"> </w:t>
      </w:r>
      <w:r>
        <w:t>k</w:t>
      </w:r>
      <w:r>
        <w:t xml:space="preserve"> </w:t>
      </w:r>
      <w:r>
        <w:t>Ph</w:t>
      </w:r>
      <w:r>
        <w:t xml:space="preserve"> </w:t>
      </w:r>
      <w:r>
        <w:t>+</w:t>
      </w:r>
      <w:r>
        <w:t xml:space="preserve"> </w:t>
      </w:r>
      <w:r>
        <w:t>k</w:t>
      </w:r>
      <w:r>
        <w:t xml:space="preserve"> </w:t>
      </w:r>
      <w:r>
        <w:t>nr,T</w:t>
      </w:r>
      <w:r>
        <w:t xml:space="preserve"> </w:t>
      </w:r>
      <w:r>
        <w:t>and deliberately promoting multiple intersystem crossing (ISC)/rISC exciton cycles. The efficacy of this approach is validated by</w:t>
      </w:r>
      <w:r>
        <w:t xml:space="preserve"> </w:t>
      </w:r>
      <w:r>
        <w:t>o</w:t>
      </w:r>
      <w:r>
        <w:t xml:space="preserve"> </w:t>
      </w:r>
      <w:r>
        <w:t>‐TFBCz, which achieves an unprecedented</w:t>
      </w:r>
      <w:r>
        <w:t xml:space="preserve"> </w:t>
      </w:r>
      <w:r>
        <w:t>τ</w:t>
      </w:r>
      <w:r>
        <w:t xml:space="preserve"> </w:t>
      </w:r>
      <w:r>
        <w:t>DF</w:t>
      </w:r>
      <w:r>
        <w:t xml:space="preserve"> </w:t>
      </w:r>
      <w:r>
        <w:t>of 1.00 s even in unannealed poly(methyl methacrylate), despite originating from a phosphorescence core with a lifetime (</w:t>
      </w:r>
      <w:r>
        <w:t xml:space="preserve"> </w:t>
      </w:r>
      <w:r>
        <w:t>τ</w:t>
      </w:r>
      <w:r>
        <w:t xml:space="preserve"> </w:t>
      </w:r>
      <w:r>
        <w:t>Ph</w:t>
      </w:r>
      <w:r>
        <w:t xml:space="preserve"> </w:t>
      </w:r>
      <w:r>
        <w:t>) of only 1.92 s. This system exhibits bluish‐green afterglow under blue‐light excitation and outstanding thermal stability. Quantitative photophysical analysis reveals an average of 2.1 ISC/rISC cycles per exciton in this material, enabled by an ISC rate (</w:t>
      </w:r>
      <w:r>
        <w:t xml:space="preserve"> </w:t>
      </w:r>
      <w:r>
        <w:t>k</w:t>
      </w:r>
      <w:r>
        <w:t xml:space="preserve"> </w:t>
      </w:r>
      <w:r>
        <w:t>ISC</w:t>
      </w:r>
      <w:r>
        <w:t xml:space="preserve"> </w:t>
      </w:r>
      <w:r>
        <w:t>) that dominates over fluorescence (</w:t>
      </w:r>
      <w:r>
        <w:t xml:space="preserve"> </w:t>
      </w:r>
      <w:r>
        <w:t>k</w:t>
      </w:r>
      <w:r>
        <w:t xml:space="preserve"> </w:t>
      </w:r>
      <w:r>
        <w:t>Fl</w:t>
      </w:r>
      <w:r>
        <w:t xml:space="preserve"> </w:t>
      </w:r>
      <w:r>
        <w:t>) and internal conversion (</w:t>
      </w:r>
      <w:r>
        <w:t xml:space="preserve"> </w:t>
      </w:r>
      <w:r>
        <w:t>k</w:t>
      </w:r>
      <w:r>
        <w:t xml:space="preserve"> </w:t>
      </w:r>
      <w:r>
        <w:t>IC</w:t>
      </w:r>
      <w:r>
        <w:t xml:space="preserve"> </w:t>
      </w:r>
      <w:r>
        <w:t>) rates (</w:t>
      </w:r>
      <w:r>
        <w:t xml:space="preserve"> </w:t>
      </w:r>
      <w:r>
        <w:t>k</w:t>
      </w:r>
      <w:r>
        <w:t xml:space="preserve"> </w:t>
      </w:r>
      <w:r>
        <w:t>ISC</w:t>
      </w:r>
      <w:r>
        <w:t xml:space="preserve"> </w:t>
      </w:r>
      <w:r>
        <w:t>&amp;gt;</w:t>
      </w:r>
      <w:r>
        <w:t xml:space="preserve"> </w:t>
      </w:r>
      <w:r>
        <w:t>k</w:t>
      </w:r>
      <w:r>
        <w:t xml:space="preserve"> </w:t>
      </w:r>
      <w:r>
        <w:t>Fl</w:t>
      </w:r>
      <w:r>
        <w:t xml:space="preserve"> </w:t>
      </w:r>
      <w:r>
        <w:t>+</w:t>
      </w:r>
      <w:r>
        <w:t xml:space="preserve"> </w:t>
      </w:r>
      <w:r>
        <w:t>k</w:t>
      </w:r>
      <w:r>
        <w:t xml:space="preserve"> </w:t>
      </w:r>
      <w:r>
        <w:t>IC</w:t>
      </w:r>
      <w:r>
        <w:t xml:space="preserve"> </w:t>
      </w:r>
      <w:r>
        <w:t>). These results establish a clear, generalizable blueprint for breaking the lifetime ceiling of pure organic p‐TADF materials.</w:t>
      </w:r>
    </w:p>
    <w:p>
      <w:pPr>
        <w:spacing w:before="120" w:after="120"/>
      </w:pPr>
      <w:r>
        <w:rPr>
          <w:sz w:val="18"/>
        </w:rPr>
        <w:t>——————————————————————————————————————————————————————————————————————</w:t>
      </w:r>
    </w:p>
    <w:p>
      <w:pPr>
        <w:spacing w:before="160" w:after="40" w:line="240" w:lineRule="auto"/>
      </w:pPr>
      <w:r>
        <w:rPr>
          <w:b/>
        </w:rPr>
        <w:t xml:space="preserve">[285] </w:t>
      </w:r>
      <w:hyperlink r:id="rId687">
        <w:r>
          <w:rPr>
            <w:color w:val="1155CC"/>
            <w:u w:val="single"/>
          </w:rPr>
          <w:t>偏压触发电导率弛豫 (BCR)：同时研究 MIEC 薄膜中氧反应的热力学、动力学和静电效应的独特工具</w:t>
        </w:r>
      </w:hyperlink>
    </w:p>
    <w:p>
      <w:pPr>
        <w:spacing w:before="0" w:after="80"/>
      </w:pPr>
      <w:r>
        <w:rPr>
          <w:i/>
          <w:sz w:val="20"/>
        </w:rPr>
        <w:t>EN: Bias‐Triggered Conductivity Relaxation (BCR): A Unique Tool to Simultaneously Investigate Thermodynamics, Kinetics, and Electrostatic Effects of Oxygen Reactions in MIEC Thin Films</w:t>
      </w:r>
    </w:p>
    <w:p>
      <w:pPr>
        <w:spacing w:before="0" w:after="120"/>
      </w:pPr>
      <w:r>
        <w:rPr>
          <w:b/>
        </w:rPr>
        <w:t xml:space="preserve">Source: </w:t>
      </w:r>
      <w:r>
        <w:t>Wiley: Advanced Materials: Table of Contents</w:t>
      </w:r>
      <w:r>
        <w:t xml:space="preserve">    </w:t>
      </w:r>
      <w:r>
        <w:rPr>
          <w:b/>
        </w:rPr>
        <w:t xml:space="preserve">Pub date: </w:t>
      </w:r>
      <w:r>
        <w:t>2026-06-30 08:24:46+00:00</w:t>
      </w:r>
      <w:r>
        <w:t xml:space="preserve">    </w:t>
      </w:r>
      <w:r>
        <w:rPr>
          <w:b/>
        </w:rPr>
        <w:t xml:space="preserve">DOI: </w:t>
      </w:r>
      <w:hyperlink r:id="rId688">
        <w:r>
          <w:rPr>
            <w:color w:val="1155CC"/>
            <w:u w:val="single"/>
          </w:rPr>
          <w:t>10.1002/adma.73869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混合离子电子转移（MIET）反应，例如氧化物表面的氧还原反应（ORR），对于多种技术高度相关的过程至关重要，必须发展基本的理解以提高性能并定制高效电极和催化剂。了解这种复杂的多步反应需要研究动力学过程、潜在的热力学性质，即离子和电子缺陷浓度以及静电表面效应。然而，传统技术很难在同一样本/测量中揭示完整的情况。在这里，我们通过引入偏置触发电导率弛豫（BCR）作为研究氧化物上的 MIET 反应的新工具来克服这一限制。它基于交替的面外库仑滴定/极化和面内电导率弛豫测量，同时提供电子、离子和极其丰富的表面动力学信息。这种电气和化学驱动力的创新组合可协同信息深度，提高时间分辨率、多功能性和速度，同时弥补了各个方法的弱点，同时保持成本效益和令人惊讶的简单性。此外，BCR 允许以独特的方式解开超电势引起的表面动力学静电修改。我们通过研究 (La, Sr)FeO 模型中的 ORR 来展示 BCR 在这项工作中的优势</w:t>
      </w:r>
      <w:r>
        <w:t xml:space="preserve"> </w:t>
      </w:r>
      <w:r>
        <w:t>3-δ</w:t>
      </w:r>
    </w:p>
    <w:p>
      <w:pPr>
        <w:spacing w:before="0" w:after="200" w:lineRule="auto" w:line="276"/>
      </w:pPr>
      <w:r>
        <w:rPr>
          <w:b/>
        </w:rPr>
        <w:t xml:space="preserve">Abstract (EN): </w:t>
      </w:r>
      <w:r>
        <w:t>Mixed ionic‐electronic transfer (MIET) reactions, such as the oxygen reduction reaction (ORR) at oxide surfaces, are of paramount importance to manifold technologically highly relevant processes, and fundamental understanding must be developed to improve performance and tailor highly efficient electrodes and catalysts. Understanding such complex multi‐step reactions requires the study of kinetic processes, underlying thermodynamic properties, i.e., ionic and electronic defect concentrations, and electrostatic surface effects. However, conventional techniques struggle to uncover the complete picture within the same sample/measurement. Here, we overcome this limitation by introducing bias‐triggered conductivity relaxation (BCR) as a novel tool to investigate MIET reactions on oxides. It is based on alternating out‐of‐plane coulometric titration/polarization and in‐plane electrical conductivity relaxation measurements, providing simultaneous electronic, ionic, and extraordinarily rich surface kinetics information. This innovative combination of electrical and chemical driving forces synergizes information depth, with enhanced time resolution, versatility, and speed, yet it lifts the weaknesses of the individual approaches, while remaining cost‐effective and surprisingly simple. Furthermore, BCR allows to disentangle overpotential induced electrostatic modifications of the surface kinetics in a unique manner. We showcase the advantages of BCR in this work by studying the ORR in model (La, Sr)FeO</w:t>
      </w:r>
      <w:r>
        <w:t xml:space="preserve"> </w:t>
      </w:r>
      <w:r>
        <w:t>3‐δ</w:t>
      </w:r>
      <w:r>
        <w:t xml:space="preserve"> </w:t>
      </w:r>
      <w:r>
        <w:t>thin film electrodes and reporting on their thermodynamic and kinetic properties.</w:t>
      </w:r>
    </w:p>
    <w:p>
      <w:pPr>
        <w:spacing w:before="120" w:after="120"/>
      </w:pPr>
      <w:r>
        <w:rPr>
          <w:sz w:val="18"/>
        </w:rPr>
        <w:t>——————————————————————————————————————————————————————————————————————</w:t>
      </w:r>
    </w:p>
    <w:p>
      <w:pPr>
        <w:spacing w:before="160" w:after="40" w:line="240" w:lineRule="auto"/>
      </w:pPr>
      <w:r>
        <w:rPr>
          <w:b/>
        </w:rPr>
        <w:t xml:space="preserve">[286] </w:t>
      </w:r>
      <w:hyperlink r:id="rId689">
        <w:r>
          <w:rPr>
            <w:color w:val="1155CC"/>
            <w:u w:val="single"/>
          </w:rPr>
          <w:t>用于溶酶体成像的深红色发射环笼复合物</w:t>
        </w:r>
      </w:hyperlink>
    </w:p>
    <w:p>
      <w:pPr>
        <w:spacing w:before="0" w:after="80"/>
      </w:pPr>
      <w:r>
        <w:rPr>
          <w:i/>
          <w:sz w:val="20"/>
        </w:rPr>
        <w:t>EN: A Deep‐Red Emissive Cage‐in‐Rings Complex for Lysosome Imaging</w:t>
      </w:r>
    </w:p>
    <w:p>
      <w:pPr>
        <w:spacing w:before="0" w:after="120"/>
      </w:pPr>
      <w:r>
        <w:rPr>
          <w:b/>
        </w:rPr>
        <w:t xml:space="preserve">Source: </w:t>
      </w:r>
      <w:r>
        <w:t>Wiley: Angewandte Chemie International Edition: Table of Contents</w:t>
      </w:r>
      <w:r>
        <w:t xml:space="preserve">    </w:t>
      </w:r>
      <w:r>
        <w:rPr>
          <w:b/>
        </w:rPr>
        <w:t xml:space="preserve">Pub date: </w:t>
      </w:r>
      <w:r>
        <w:t>2026-06-30 09:41:42+00:00</w:t>
      </w:r>
      <w:r>
        <w:t xml:space="preserve">    </w:t>
      </w:r>
      <w:r>
        <w:rPr>
          <w:b/>
        </w:rPr>
        <w:t xml:space="preserve">DOI: </w:t>
      </w:r>
      <w:hyperlink r:id="rId690">
        <w:r>
          <w:rPr>
            <w:color w:val="1155CC"/>
            <w:u w:val="single"/>
          </w:rPr>
          <w:t>10.1002/anie.7910152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成像技术是可视化生物过程和指导临床干预的基本平台。因此，开发有效的策略来构建生物相容性、长波长发射和本质选择性的生物探针一直是化学领域的中心目标。在这里，我们开发了一种逐步组装方案来构建一种奇异的笼中环生物成像探针，</w:t>
      </w:r>
      <w:r>
        <w:t xml:space="preserve"> </w:t>
      </w:r>
      <w:r>
        <w:t>TPBC笼</w:t>
      </w:r>
      <w:r>
        <w:t xml:space="preserve"> </w:t>
      </w:r>
      <w:r>
        <w:t>6+</w:t>
      </w:r>
      <w:r>
        <w:t xml:space="preserve"> </w:t>
      </w:r>
      <w:r>
        <w:t>⊂3CB[8]</w:t>
      </w:r>
      <w:r>
        <w:t xml:space="preserve"> </w:t>
      </w:r>
      <w:r>
        <w:t>，通过六阳离子笼的非共价缔合（TPBCage</w:t>
      </w:r>
      <w:r>
        <w:t xml:space="preserve"> </w:t>
      </w:r>
      <w:r>
        <w:t>6+</w:t>
      </w:r>
      <w:r>
        <w:t xml:space="preserve"> </w:t>
      </w:r>
      <w:r>
        <w:t>) 与 cucurbit[8]uril (CB[8])。该综合体采用了热力学有利的</w:t>
      </w:r>
      <w:r>
        <w:t xml:space="preserve"> </w:t>
      </w:r>
      <w:r>
        <w:t>C</w:t>
      </w:r>
      <w:r>
        <w:rPr>
          <w:vertAlign w:val="subscript"/>
        </w:rPr>
        <w:t>2</w:t>
      </w:r>
      <w:r>
        <w:t>‐对称构象而不是预期的</w:t>
      </w:r>
      <w:r>
        <w:t xml:space="preserve"> </w:t>
      </w:r>
      <w:r>
        <w:t>C</w:t>
      </w:r>
      <w:r>
        <w:rPr>
          <w:vertAlign w:val="subscript"/>
        </w:rPr>
        <w:t>3</w:t>
      </w:r>
      <w:r>
        <w:t>‐对称类似物。它保留了两个暴露的吡啶单元，为细胞有效摄取提供了结构基础，而其他四个吡啶单元被CB部分屏蔽[8]，与游离笼相比，在一定程度上减少了生物成像中的非特异性相互作用。 CB[8]的封装有效抑制了笼子的π-π堆积，提高了其水溶性。与此同时，CB[8] 封装缩小了笼的能隙，导致发射从 552 nm 红移至 652 nm，并提高了荧光量子产率。受益于增强的水溶性、良好的生物相容性</w:t>
      </w:r>
    </w:p>
    <w:p>
      <w:pPr>
        <w:spacing w:before="0" w:after="200" w:lineRule="auto" w:line="276"/>
      </w:pPr>
      <w:r>
        <w:rPr>
          <w:b/>
        </w:rPr>
        <w:t xml:space="preserve">Abstract (EN): </w:t>
      </w:r>
      <w:r>
        <w:t>Bioimaging technology is a fundamental platform for visualizing biological processes and guiding clinical interventions. Consequently, developing effective strategies for constructing biocompatible, long‐wavelength emissive, and intrinsically selective bioprobes has long been a central goal in chemistry. Herein, we develop a stepwise assembly protocol to construct an exotic cage‐in‐rings bioimaging probe,</w:t>
      </w:r>
      <w:r>
        <w:t xml:space="preserve"> </w:t>
      </w:r>
      <w:r>
        <w:t>TPBCage</w:t>
      </w:r>
      <w:r>
        <w:t xml:space="preserve"> </w:t>
      </w:r>
      <w:r>
        <w:t>6+</w:t>
      </w:r>
      <w:r>
        <w:t xml:space="preserve"> </w:t>
      </w:r>
      <w:r>
        <w:t>⊂3CB[8]</w:t>
      </w:r>
      <w:r>
        <w:t xml:space="preserve"> </w:t>
      </w:r>
      <w:r>
        <w:t>, through noncovalent association of a hexacationic cage (TPBCage</w:t>
      </w:r>
      <w:r>
        <w:t xml:space="preserve"> </w:t>
      </w:r>
      <w:r>
        <w:t>6+</w:t>
      </w:r>
      <w:r>
        <w:t xml:space="preserve"> </w:t>
      </w:r>
      <w:r>
        <w:t>) with cucurbit[8]uril (CB[8]). The complex adopts a thermodynamically favored</w:t>
      </w:r>
      <w:r>
        <w:t xml:space="preserve"> </w:t>
      </w:r>
      <w:r>
        <w:t>C</w:t>
      </w:r>
      <w:r>
        <w:rPr>
          <w:vertAlign w:val="subscript"/>
        </w:rPr>
        <w:t>2</w:t>
      </w:r>
      <w:r>
        <w:t>‐symmetrical conformation rather than the expected</w:t>
      </w:r>
      <w:r>
        <w:t xml:space="preserve"> </w:t>
      </w:r>
      <w:r>
        <w:t>C</w:t>
      </w:r>
      <w:r>
        <w:rPr>
          <w:vertAlign w:val="subscript"/>
        </w:rPr>
        <w:t>3</w:t>
      </w:r>
      <w:r>
        <w:t>‐symmetrical analogue. It preserves two exposed pyridinium units, providing a structural basis for efficient cellular uptake, while the other four pyridinium units are partially shielded by CB[8], reducing nonspecific interactions in bioimaging to some extent compared with the free cage. Encapsulation by CB[8] effectively suppresses π–π stacking of the cage, improving its aqueous solubility. Concomitantly, CB[8] encapsulation narrows the energy gap of the cage, resulting in a red shift in emission from 552 to 652 nm and an enhanced fluorescence quantum yield. Benefiting from enhanced water solubility, good biocompatibility, and deep‐red emission, the complex enables lysosome‐selective imaging in deep‐red region. This work establishes an alternative supramolecular strategy for subcellular‐selective imaging, in which cage‐in‐rings confinement enables control over excited‐state properties, enabling the development of intrinsically selective bioimaging probes.</w:t>
      </w:r>
    </w:p>
    <w:p>
      <w:pPr>
        <w:spacing w:before="120" w:after="120"/>
      </w:pPr>
      <w:r>
        <w:rPr>
          <w:sz w:val="18"/>
        </w:rPr>
        <w:t>——————————————————————————————————————————————————————————————————————</w:t>
      </w:r>
    </w:p>
    <w:p>
      <w:pPr>
        <w:spacing w:before="160" w:after="40" w:line="240" w:lineRule="auto"/>
      </w:pPr>
      <w:r>
        <w:rPr>
          <w:b/>
        </w:rPr>
        <w:t xml:space="preserve">[287] </w:t>
      </w:r>
      <w:hyperlink r:id="rId691">
        <w:r>
          <w:rPr>
            <w:color w:val="1155CC"/>
            <w:u w:val="single"/>
          </w:rPr>
          <w:t>锕系硫属化物和氧硫属化物纳米粒子的溶液合成</w:t>
        </w:r>
      </w:hyperlink>
    </w:p>
    <w:p>
      <w:pPr>
        <w:spacing w:before="0" w:after="80"/>
      </w:pPr>
      <w:r>
        <w:rPr>
          <w:i/>
          <w:sz w:val="20"/>
        </w:rPr>
        <w:t>EN: Solution Synthesis of Actinide Chalcogenide and Oxychalcogenide Nanoparticles</w:t>
      </w:r>
    </w:p>
    <w:p>
      <w:pPr>
        <w:spacing w:before="0" w:after="120"/>
      </w:pPr>
      <w:r>
        <w:rPr>
          <w:b/>
        </w:rPr>
        <w:t xml:space="preserve">Source: </w:t>
      </w:r>
      <w:r>
        <w:t>Wiley: Angewandte Chemie International Edition: Table of Contents</w:t>
      </w:r>
      <w:r>
        <w:t xml:space="preserve">    </w:t>
      </w:r>
      <w:r>
        <w:rPr>
          <w:b/>
        </w:rPr>
        <w:t xml:space="preserve">Pub date: </w:t>
      </w:r>
      <w:r>
        <w:t>2026-06-30 09:42:47+00:00</w:t>
      </w:r>
      <w:r>
        <w:t xml:space="preserve">    </w:t>
      </w:r>
      <w:r>
        <w:rPr>
          <w:b/>
        </w:rPr>
        <w:t xml:space="preserve">DOI: </w:t>
      </w:r>
      <w:hyperlink r:id="rId692">
        <w:r>
          <w:rPr>
            <w:color w:val="1155CC"/>
            <w:u w:val="single"/>
          </w:rPr>
          <w:t>10.1002/anie.6508645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我们报告了一系列的合成和表征：UOS、UOSe 和 β-US</w:t>
      </w:r>
      <w:r>
        <w:rPr>
          <w:vertAlign w:val="subscript"/>
        </w:rPr>
        <w:t>2</w:t>
      </w:r>
      <w:r>
        <w:t>，第一个使用胶体合成技术的含铀硫属元素纳米材料的例子。这些合成面临的挑战是铀的亲氧性，因为二氧化铀是难以避免的，并且是之前报道的唯一的锕系纳米材料。研究了所有试剂、金属、硫属元素源和溶剂，以了解溶液中的相形成。我们发现了一种合成后修饰，通常称为消化成熟，可以控制 β-US 的大小</w:t>
      </w:r>
      <w:r>
        <w:rPr>
          <w:vertAlign w:val="subscript"/>
        </w:rPr>
        <w:t>2</w:t>
      </w:r>
      <w:r>
        <w:t>纳米颗粒。使用粉末 X 射线衍射和 Rietveld 分析以及显微镜（透射电子显微镜）和磁化率测量来确认这些相。与之前报道的 UO 相比，硫族化合物纳米材料具有反铁磁性</w:t>
      </w:r>
      <w:r>
        <w:rPr>
          <w:vertAlign w:val="subscript"/>
        </w:rPr>
        <w:t>2</w:t>
      </w:r>
      <w:r>
        <w:t>纳米颗粒。在散装 β-US 中发现</w:t>
      </w:r>
      <w:r>
        <w:rPr>
          <w:vertAlign w:val="subscript"/>
        </w:rPr>
        <w:t>2</w:t>
      </w:r>
      <w:r>
        <w:t>，纳米粒子是顺磁性的，其力矩与局域 f 电子一致。</w:t>
      </w:r>
    </w:p>
    <w:p>
      <w:pPr>
        <w:spacing w:before="0" w:after="200" w:lineRule="auto" w:line="276"/>
      </w:pPr>
      <w:r>
        <w:rPr>
          <w:b/>
        </w:rPr>
        <w:t xml:space="preserve">Abstract (EN): </w:t>
      </w:r>
      <w:r>
        <w:t>We report the synthesis and characterization of a series: UOS, UOSe and β‐US</w:t>
      </w:r>
      <w:r>
        <w:rPr>
          <w:vertAlign w:val="subscript"/>
        </w:rPr>
        <w:t>2</w:t>
      </w:r>
      <w:r>
        <w:t>, the first examples of uranium‐chalcogen‐containing nanomaterials using colloidal synthetic techniques. The challenge to these syntheses is the oxophilicity of uranium, as uranium dioxide is difficult to avoid and the only actinide nanomaterial reported previously. All reagents, the metal, chalcogen source and solvent, were investigated to understand phase formation in solution. We found a post‐synthetic modification, commonly known as digestive ripening, that led to size control of the β‐US</w:t>
      </w:r>
      <w:r>
        <w:rPr>
          <w:vertAlign w:val="subscript"/>
        </w:rPr>
        <w:t>2</w:t>
      </w:r>
      <w:r>
        <w:t>nanoparticles. The phases were confirmed using powder x‐ray diffraction and Rietveld analysis, as well as microscopy ( transmission electron microscopy), and magnetic susceptibility measurements. The oxychalcogenide nanomaterials are antiferromagnetic, in contrast to previously reported UO</w:t>
      </w:r>
      <w:r>
        <w:rPr>
          <w:vertAlign w:val="subscript"/>
        </w:rPr>
        <w:t>2</w:t>
      </w:r>
      <w:r>
        <w:t>nanoparticles. As found in bulk β‐US</w:t>
      </w:r>
      <w:r>
        <w:rPr>
          <w:vertAlign w:val="subscript"/>
        </w:rPr>
        <w:t>2</w:t>
      </w:r>
      <w:r>
        <w:t>, the nanoparticles are paramagnetic, with a moment consistent with localized f electrons.</w:t>
      </w:r>
    </w:p>
    <w:p>
      <w:pPr>
        <w:spacing w:before="120" w:after="120"/>
      </w:pPr>
      <w:r>
        <w:rPr>
          <w:sz w:val="18"/>
        </w:rPr>
        <w:t>——————————————————————————————————————————————————————————————————————</w:t>
      </w:r>
    </w:p>
    <w:p>
      <w:pPr>
        <w:spacing w:before="160" w:after="40" w:line="240" w:lineRule="auto"/>
      </w:pPr>
      <w:r>
        <w:rPr>
          <w:b/>
        </w:rPr>
        <w:t xml:space="preserve">[288] </w:t>
      </w:r>
      <w:hyperlink r:id="rId693">
        <w:r>
          <w:rPr>
            <w:color w:val="1155CC"/>
            <w:u w:val="single"/>
          </w:rPr>
          <w:t>用于 C3F6/C3F8 分子筛分的金属有机框架中的电子结构定向孔隙工程</w:t>
        </w:r>
      </w:hyperlink>
    </w:p>
    <w:p>
      <w:pPr>
        <w:spacing w:before="0" w:after="80"/>
      </w:pPr>
      <w:r>
        <w:rPr>
          <w:i/>
          <w:sz w:val="20"/>
        </w:rPr>
        <w:t>EN: Electronic‐Structure‐Directed Pore Engineering in Metal–Organic Frameworks for Molecular Sieving of C3F6/C3F8</w:t>
      </w:r>
    </w:p>
    <w:p>
      <w:pPr>
        <w:spacing w:before="0" w:after="120"/>
      </w:pPr>
      <w:r>
        <w:rPr>
          <w:b/>
        </w:rPr>
        <w:t xml:space="preserve">Source: </w:t>
      </w:r>
      <w:r>
        <w:t>Wiley: Angewandte Chemie International Edition: Table of Contents</w:t>
      </w:r>
      <w:r>
        <w:t xml:space="preserve">    </w:t>
      </w:r>
      <w:r>
        <w:rPr>
          <w:b/>
        </w:rPr>
        <w:t xml:space="preserve">Pub date: </w:t>
      </w:r>
      <w:r>
        <w:t>2026-06-30 09:48:27+00:00</w:t>
      </w:r>
      <w:r>
        <w:t xml:space="preserve">    </w:t>
      </w:r>
      <w:r>
        <w:rPr>
          <w:b/>
        </w:rPr>
        <w:t xml:space="preserve">DOI: </w:t>
      </w:r>
      <w:hyperlink r:id="rId694">
        <w:r>
          <w:rPr>
            <w:color w:val="1155CC"/>
            <w:u w:val="single"/>
          </w:rPr>
          <w:t>10.1002/anie.1829910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六氟丙烯的痕量去除（C</w:t>
      </w:r>
      <w:r>
        <w:rPr>
          <w:vertAlign w:val="subscript"/>
        </w:rPr>
        <w:t>3</w:t>
      </w:r>
      <w:r>
        <w:t>F</w:t>
      </w:r>
      <w:r>
        <w:rPr>
          <w:vertAlign w:val="subscript"/>
        </w:rPr>
        <w:t>6</w:t>
      </w:r>
      <w:r>
        <w:t>）来自八氟丙烷（C</w:t>
      </w:r>
      <w:r>
        <w:rPr>
          <w:vertAlign w:val="subscript"/>
        </w:rPr>
        <w:t>3</w:t>
      </w:r>
      <w:r>
        <w:t>F</w:t>
      </w:r>
      <w:r>
        <w:rPr>
          <w:vertAlign w:val="subscript"/>
        </w:rPr>
        <w:t>8</w:t>
      </w:r>
      <w:r>
        <w:t>）对于生产高纯度氟化电子气体至关重要，但由于它们相似的分子尺寸，它仍然具有很高的挑战性。在这里，我们报告了一种电子驱动的 C 孔隙工程策略</w:t>
      </w:r>
      <w:r>
        <w:rPr>
          <w:vertAlign w:val="subscript"/>
        </w:rPr>
        <w:t>3</w:t>
      </w:r>
      <w:r>
        <w:t>F</w:t>
      </w:r>
      <w:r>
        <w:rPr>
          <w:vertAlign w:val="subscript"/>
        </w:rPr>
        <w:t>6</w:t>
      </w:r>
      <w:r>
        <w:t>/C</w:t>
      </w:r>
      <w:r>
        <w:rPr>
          <w:vertAlign w:val="subscript"/>
        </w:rPr>
        <w:t>3</w:t>
      </w:r>
      <w:r>
        <w:t>F</w:t>
      </w:r>
      <w:r>
        <w:rPr>
          <w:vertAlign w:val="subscript"/>
        </w:rPr>
        <w:t>8</w:t>
      </w:r>
      <w:r>
        <w:t>分离，其中 Jahn-Teller 活性 Cu</w:t>
      </w:r>
      <w:r>
        <w:t xml:space="preserve"> </w:t>
      </w:r>
      <w:r>
        <w:t>2+</w:t>
      </w:r>
      <w:r>
        <w:t xml:space="preserve"> </w:t>
      </w:r>
      <w:r>
        <w:t>指导从 ZnTPO（H</w:t>
      </w:r>
      <w:r>
        <w:rPr>
          <w:vertAlign w:val="subscript"/>
        </w:rPr>
        <w:t>3</w:t>
      </w:r>
      <w:r>
        <w:t>TPO = 三（4-羧基苯基）氧化膦）连接到 CuHTPO 的狭窄笼状孔网络中，从而将分离行为从共吸附转变为分子筛。因此，CuHTPO 可提供 &gt; 99.999% 的纯 C</w:t>
      </w:r>
      <w:r>
        <w:rPr>
          <w:vertAlign w:val="subscript"/>
        </w:rPr>
        <w:t>3</w:t>
      </w:r>
      <w:r>
        <w:t>F</w:t>
      </w:r>
      <w:r>
        <w:rPr>
          <w:vertAlign w:val="subscript"/>
        </w:rPr>
        <w:t>8</w:t>
      </w:r>
      <w:r>
        <w:t>生产率分别为 314.9 和 2819 L kg</w:t>
      </w:r>
      <w:r>
        <w:t xml:space="preserve"> </w:t>
      </w:r>
      <w:r>
        <w:t>−1</w:t>
      </w:r>
      <w:r>
        <w:t xml:space="preserve"> </w:t>
      </w:r>
      <w:r>
        <w:t>从 1/9 到 1/99 C</w:t>
      </w:r>
      <w:r>
        <w:rPr>
          <w:vertAlign w:val="subscript"/>
        </w:rPr>
        <w:t>3</w:t>
      </w:r>
      <w:r>
        <w:t>F</w:t>
      </w:r>
      <w:r>
        <w:rPr>
          <w:vertAlign w:val="subscript"/>
        </w:rPr>
        <w:t>6</w:t>
      </w:r>
      <w:r>
        <w:t>/C</w:t>
      </w:r>
      <w:r>
        <w:rPr>
          <w:vertAlign w:val="subscript"/>
        </w:rPr>
        <w:t>3</w:t>
      </w:r>
      <w:r>
        <w:t>F</w:t>
      </w:r>
      <w:r>
        <w:rPr>
          <w:vertAlign w:val="subscript"/>
        </w:rPr>
        <w:t>8</w:t>
      </w:r>
      <w:r>
        <w:t>分别为混合物。单粒子水平的光学成像直接可视化C的快速传输</w:t>
      </w:r>
    </w:p>
    <w:p>
      <w:pPr>
        <w:spacing w:before="0" w:after="200" w:lineRule="auto" w:line="276"/>
      </w:pPr>
      <w:r>
        <w:rPr>
          <w:b/>
        </w:rPr>
        <w:t xml:space="preserve">Abstract (EN): </w:t>
      </w:r>
      <w:r>
        <w:t>Trace removal of hexafluoropropylene (C</w:t>
      </w:r>
      <w:r>
        <w:rPr>
          <w:vertAlign w:val="subscript"/>
        </w:rPr>
        <w:t>3</w:t>
      </w:r>
      <w:r>
        <w:t>F</w:t>
      </w:r>
      <w:r>
        <w:rPr>
          <w:vertAlign w:val="subscript"/>
        </w:rPr>
        <w:t>6</w:t>
      </w:r>
      <w:r>
        <w:t>) from octafluoropropane (C</w:t>
      </w:r>
      <w:r>
        <w:rPr>
          <w:vertAlign w:val="subscript"/>
        </w:rPr>
        <w:t>3</w:t>
      </w:r>
      <w:r>
        <w:t>F</w:t>
      </w:r>
      <w:r>
        <w:rPr>
          <w:vertAlign w:val="subscript"/>
        </w:rPr>
        <w:t>8</w:t>
      </w:r>
      <w:r>
        <w:t>) is crucial for producing high‐purity fluorinated electronic gases, yet it remains highly challenging because of their similar molecular dimensions. Here, we report an electronically driven pore‐engineering strategy for C</w:t>
      </w:r>
      <w:r>
        <w:rPr>
          <w:vertAlign w:val="subscript"/>
        </w:rPr>
        <w:t>3</w:t>
      </w:r>
      <w:r>
        <w:t>F</w:t>
      </w:r>
      <w:r>
        <w:rPr>
          <w:vertAlign w:val="subscript"/>
        </w:rPr>
        <w:t>6</w:t>
      </w:r>
      <w:r>
        <w:t>/C</w:t>
      </w:r>
      <w:r>
        <w:rPr>
          <w:vertAlign w:val="subscript"/>
        </w:rPr>
        <w:t>3</w:t>
      </w:r>
      <w:r>
        <w:t>F</w:t>
      </w:r>
      <w:r>
        <w:rPr>
          <w:vertAlign w:val="subscript"/>
        </w:rPr>
        <w:t>8</w:t>
      </w:r>
      <w:r>
        <w:t>separation, in which Jahn–Teller‐active Cu</w:t>
      </w:r>
      <w:r>
        <w:t xml:space="preserve"> </w:t>
      </w:r>
      <w:r>
        <w:t>2+</w:t>
      </w:r>
      <w:r>
        <w:t xml:space="preserve"> </w:t>
      </w:r>
      <w:r>
        <w:t>directs framework reconstruction from the large‐aperture channels of ZnTPO (H</w:t>
      </w:r>
      <w:r>
        <w:rPr>
          <w:vertAlign w:val="subscript"/>
        </w:rPr>
        <w:t>3</w:t>
      </w:r>
      <w:r>
        <w:t>TPO = tris(4‐carboxyphenyl) phosphine oxide) to the narrow cage‐like pore network of CuHTPO, thereby switching the separation behavior from co‐adsorption to molecular sieving. Consequently, CuHTPO delivers &amp;gt; 99.999% pure C</w:t>
      </w:r>
      <w:r>
        <w:rPr>
          <w:vertAlign w:val="subscript"/>
        </w:rPr>
        <w:t>3</w:t>
      </w:r>
      <w:r>
        <w:t>F</w:t>
      </w:r>
      <w:r>
        <w:rPr>
          <w:vertAlign w:val="subscript"/>
        </w:rPr>
        <w:t>8</w:t>
      </w:r>
      <w:r>
        <w:t>with productivities of 314.9 and 2819 L kg</w:t>
      </w:r>
      <w:r>
        <w:t xml:space="preserve"> </w:t>
      </w:r>
      <w:r>
        <w:t>−1</w:t>
      </w:r>
      <w:r>
        <w:t xml:space="preserve"> </w:t>
      </w:r>
      <w:r>
        <w:t>from 1/9 and 1/99 C</w:t>
      </w:r>
      <w:r>
        <w:rPr>
          <w:vertAlign w:val="subscript"/>
        </w:rPr>
        <w:t>3</w:t>
      </w:r>
      <w:r>
        <w:t>F</w:t>
      </w:r>
      <w:r>
        <w:rPr>
          <w:vertAlign w:val="subscript"/>
        </w:rPr>
        <w:t>6</w:t>
      </w:r>
      <w:r>
        <w:t>/C</w:t>
      </w:r>
      <w:r>
        <w:rPr>
          <w:vertAlign w:val="subscript"/>
        </w:rPr>
        <w:t>3</w:t>
      </w:r>
      <w:r>
        <w:t>F</w:t>
      </w:r>
      <w:r>
        <w:rPr>
          <w:vertAlign w:val="subscript"/>
        </w:rPr>
        <w:t>8</w:t>
      </w:r>
      <w:r>
        <w:t>mixtures, respectively. Optical imaging at the single‐particle level directly visualizes the rapid transport of C</w:t>
      </w:r>
      <w:r>
        <w:rPr>
          <w:vertAlign w:val="subscript"/>
        </w:rPr>
        <w:t>3</w:t>
      </w:r>
      <w:r>
        <w:t>F</w:t>
      </w:r>
      <w:r>
        <w:rPr>
          <w:vertAlign w:val="subscript"/>
        </w:rPr>
        <w:t>6</w:t>
      </w:r>
      <w:r>
        <w:t>through the channels, while single‐crystal X‐ray diffraction, FTIR spectroscopy, and molecular simulations collectively elucidate the structural origin of the electronically regulated sieving behavior. Taken together, this work positions electronic‐structure‐directed pore reconstruction as a powerful material‐design strategy for programming confined pore spaces, enabling robust and recyclable molecular sieving of closely related gases.</w:t>
      </w:r>
    </w:p>
    <w:p>
      <w:pPr>
        <w:spacing w:before="120" w:after="120"/>
      </w:pPr>
      <w:r>
        <w:rPr>
          <w:sz w:val="18"/>
        </w:rPr>
        <w:t>——————————————————————————————————————————————————————————————————————</w:t>
      </w:r>
    </w:p>
    <w:p>
      <w:pPr>
        <w:spacing w:before="160" w:after="40" w:line="240" w:lineRule="auto"/>
      </w:pPr>
      <w:r>
        <w:rPr>
          <w:b/>
        </w:rPr>
        <w:t xml:space="preserve">[289] </w:t>
      </w:r>
      <w:hyperlink r:id="rId695">
        <w:r>
          <w:rPr>
            <w:color w:val="1155CC"/>
            <w:u w:val="single"/>
          </w:rPr>
          <w:t>机械联锁 Indigo 光电开关</w:t>
        </w:r>
      </w:hyperlink>
    </w:p>
    <w:p>
      <w:pPr>
        <w:spacing w:before="0" w:after="80"/>
      </w:pPr>
      <w:r>
        <w:rPr>
          <w:i/>
          <w:sz w:val="20"/>
        </w:rPr>
        <w:t>EN: Mechanically Interlocked Indigo Photoswitches</w:t>
      </w:r>
    </w:p>
    <w:p>
      <w:pPr>
        <w:spacing w:before="0" w:after="120"/>
      </w:pPr>
      <w:r>
        <w:rPr>
          <w:b/>
        </w:rPr>
        <w:t xml:space="preserve">Source: </w:t>
      </w:r>
      <w:r>
        <w:t>Wiley: Angewandte Chemie International Edition: Table of Contents</w:t>
      </w:r>
      <w:r>
        <w:t xml:space="preserve">    </w:t>
      </w:r>
      <w:r>
        <w:rPr>
          <w:b/>
        </w:rPr>
        <w:t xml:space="preserve">Pub date: </w:t>
      </w:r>
      <w:r>
        <w:t>2026-06-30 09:48:47+00:00</w:t>
      </w:r>
      <w:r>
        <w:t xml:space="preserve">    </w:t>
      </w:r>
      <w:r>
        <w:rPr>
          <w:b/>
        </w:rPr>
        <w:t xml:space="preserve">DOI: </w:t>
      </w:r>
      <w:hyperlink r:id="rId696">
        <w:r>
          <w:rPr>
            <w:color w:val="1155CC"/>
            <w:u w:val="single"/>
          </w:rPr>
          <w:t>10.1002/anie.4283917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电开关提供了在纳米尺度上远程精确控制物质的机会。对于许多材料和生物应用来说，具有长波长响应的光电开关是必不可少的。然而，很少有开关能够对红光/近红外光做出固有响应。先前的工作描述了利用分子间相互作用作为使光开关的激活波长红移并提高热半衰期的方法。然而，由于该策略固有的双分子性阻碍了其在稀释或复杂环境中的使用，这些系统的应用受到限制。在此，我们描述了使用拓扑约束的超分子相互作用来改善[2]-轮烷内靛蓝光开关的开关特性。这使得 730 nm 光的光开关成为可能，热半衰期增加了 100 倍，并且在持续照射下亚稳态的数量增加了一倍。这超过了之前使用超分子相互作用将热半衰期延长 10 倍以上的尝试。这种对这些分子光开关进行红移和微调的新颖策略对分子机器的设计和应用开关技术具有重要意义。我们预计，我们对此类分子设计的见解将开启机械互锁分子的新应用。</w:t>
      </w:r>
    </w:p>
    <w:p>
      <w:pPr>
        <w:spacing w:before="0" w:after="200" w:lineRule="auto" w:line="276"/>
      </w:pPr>
      <w:r>
        <w:rPr>
          <w:b/>
        </w:rPr>
        <w:t xml:space="preserve">Abstract (EN): </w:t>
      </w:r>
      <w:r>
        <w:t>Photoswitches provide the opportunity to remotely and precisely control matter on the nanoscopic scale. For many materials and biological applications, photoswitches with long wavelength response are essential; however, few switches offer inherent response to red/near infra‐red light. Previous works have described the use of intermolecular interactions as a method to redshift the activation wavelength of photoswitches and to improve thermal half‐life. However, these systems are limited in their application due to the inherent bimolecularity of this strategy preventing its use in dilute or complex environments. Herein, we describe the use of topologically constrained supramolecular interactions to improve the switching properties of an indigo photoswitch within a [2]‐rotaxane. This enabled photoswitching with 730 nm light, as well as a 100‐fold increase in thermal half‐life and double the population of the metastable state under constant irradiation. This surpasses previous attempts at using supramolecular interactions to increase the thermal half‐life by &amp;gt;10‐fold. This novel strategy towards the redshifting and fine‐tuning of these molecular photoswitches has implications for the design of molecular machines and applied switching technologies. We anticipate that our insights into the design of such molecules will unlock new applications for mechanically interlocked molecules.</w:t>
      </w:r>
    </w:p>
    <w:p>
      <w:pPr>
        <w:spacing w:before="120" w:after="120"/>
      </w:pPr>
      <w:r>
        <w:rPr>
          <w:sz w:val="18"/>
        </w:rPr>
        <w:t>——————————————————————————————————————————————————————————————————————</w:t>
      </w:r>
    </w:p>
    <w:p>
      <w:pPr>
        <w:spacing w:before="160" w:after="40" w:line="240" w:lineRule="auto"/>
      </w:pPr>
      <w:r>
        <w:rPr>
          <w:b/>
        </w:rPr>
        <w:t xml:space="preserve">[290] </w:t>
      </w:r>
      <w:hyperlink r:id="rId697">
        <w:r>
          <w:rPr>
            <w:color w:val="1155CC"/>
            <w:u w:val="single"/>
          </w:rPr>
          <w:t>硝基官能化芳基酰亚胺多金属氧酸盐中非线性光学响应的​​电化​​学开关</w:t>
        </w:r>
      </w:hyperlink>
    </w:p>
    <w:p>
      <w:pPr>
        <w:spacing w:before="0" w:after="80"/>
      </w:pPr>
      <w:r>
        <w:rPr>
          <w:i/>
          <w:sz w:val="20"/>
        </w:rPr>
        <w:t>EN: Electrochemical Switch‐On of Nonlinear Optical Response in a Nitro‐Functionalized Arylimido‐Polyoxometalate</w:t>
      </w:r>
    </w:p>
    <w:p>
      <w:pPr>
        <w:spacing w:before="0" w:after="120"/>
      </w:pPr>
      <w:r>
        <w:rPr>
          <w:b/>
        </w:rPr>
        <w:t xml:space="preserve">Source: </w:t>
      </w:r>
      <w:r>
        <w:t>Wiley: Angewandte Chemie International Edition: Table of Contents</w:t>
      </w:r>
      <w:r>
        <w:t xml:space="preserve">    </w:t>
      </w:r>
      <w:r>
        <w:rPr>
          <w:b/>
        </w:rPr>
        <w:t xml:space="preserve">Pub date: </w:t>
      </w:r>
      <w:r>
        <w:t>2026-06-30 09:55:04+00:00</w:t>
      </w:r>
      <w:r>
        <w:t xml:space="preserve">    </w:t>
      </w:r>
      <w:r>
        <w:rPr>
          <w:b/>
        </w:rPr>
        <w:t xml:space="preserve">DOI: </w:t>
      </w:r>
      <w:hyperlink r:id="rId698">
        <w:r>
          <w:rPr>
            <w:color w:val="1155CC"/>
            <w:u w:val="single"/>
          </w:rPr>
          <w:t>10.1002/anie.4949539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二阶非线性光学（NLO）响应的电化学开关（</w:t>
      </w:r>
      <w:r>
        <w:t xml:space="preserve"> </w:t>
      </w:r>
      <w:r>
        <w:t>β</w:t>
      </w:r>
      <w:r>
        <w:t xml:space="preserve"> </w:t>
      </w:r>
      <w:r>
        <w:t>）首次在基于多金属氧酸盐（POM）的发色团（POMophore）中得到证明。 POM-亚氨基芳基-NO 中 POM 的还原</w:t>
      </w:r>
      <w:r>
        <w:rPr>
          <w:vertAlign w:val="subscript"/>
        </w:rPr>
        <w:t>2</w:t>
      </w:r>
      <w:r>
        <w:t>导数可使散射倍频光的强度增加高达 15 倍的关/开切换，并达到最高的“开”状态</w:t>
      </w:r>
      <w:r>
        <w:t xml:space="preserve"> </w:t>
      </w:r>
      <w:r>
        <w:t>β</w:t>
      </w:r>
      <w:r>
        <w:t xml:space="preserve"> </w:t>
      </w:r>
      <w:r>
        <w:t>尚未报道氧化还原可循环 POMophore。计算和光谱研究表明，在氧化态下，方向相反的电荷转移 (CT) 转变为 POM 和 ─NO</w:t>
      </w:r>
      <w:r>
        <w:rPr>
          <w:vertAlign w:val="subscript"/>
        </w:rPr>
        <w:t>2</w:t>
      </w:r>
      <w:r>
        <w:t>导致净值较低</w:t>
      </w:r>
      <w:r>
        <w:t xml:space="preserve"> </w:t>
      </w:r>
      <w:r>
        <w:t>β</w:t>
      </w:r>
      <w:r>
        <w:t xml:space="preserve"> </w:t>
      </w:r>
      <w:r>
        <w:t>。还原后，POM 变成弱得多的 CT 受体，导致硝基 CT 产生更多的偶极亚氨基芳基，从而增强 NLO 响应。</w:t>
      </w:r>
    </w:p>
    <w:p>
      <w:pPr>
        <w:spacing w:before="0" w:after="200" w:lineRule="auto" w:line="276"/>
      </w:pPr>
      <w:r>
        <w:rPr>
          <w:b/>
        </w:rPr>
        <w:t xml:space="preserve">Abstract (EN): </w:t>
      </w:r>
      <w:r>
        <w:t>Electrochemical switch‐on of second‐order non‐linear optical (NLO) responses (</w:t>
      </w:r>
      <w:r>
        <w:t xml:space="preserve"> </w:t>
      </w:r>
      <w:r>
        <w:t>β</w:t>
      </w:r>
      <w:r>
        <w:t xml:space="preserve"> </w:t>
      </w:r>
      <w:r>
        <w:t>) has been demonstrated in a polyoxometalate (POM) based chromophore (POMophore) for the first time. Reduction of the POM in a POM‐imidoaryl‐NO</w:t>
      </w:r>
      <w:r>
        <w:rPr>
          <w:vertAlign w:val="subscript"/>
        </w:rPr>
        <w:t>2</w:t>
      </w:r>
      <w:r>
        <w:t>derivative invokes an up to 15‐fold off/on switchable increase in intensity of scattered frequency‐doubled light, and the highest “on” state</w:t>
      </w:r>
      <w:r>
        <w:t xml:space="preserve"> </w:t>
      </w:r>
      <w:r>
        <w:t>β</w:t>
      </w:r>
      <w:r>
        <w:t xml:space="preserve"> </w:t>
      </w:r>
      <w:r>
        <w:t>yet reported for a redox‐cyclable POMophore. Computational and spectroscopic studies show that in the oxidized state, directionally opposed charge transfer (CT) transitions to POM and ─NO</w:t>
      </w:r>
      <w:r>
        <w:rPr>
          <w:vertAlign w:val="subscript"/>
        </w:rPr>
        <w:t>2</w:t>
      </w:r>
      <w:r>
        <w:t>result in a low net</w:t>
      </w:r>
      <w:r>
        <w:t xml:space="preserve"> </w:t>
      </w:r>
      <w:r>
        <w:t>β</w:t>
      </w:r>
      <w:r>
        <w:t xml:space="preserve"> </w:t>
      </w:r>
      <w:r>
        <w:t>. Upon reduction, the POM becomes a much weaker CT acceptor, resulting in more dipolar imido‐aryl to nitro CT, and thus enhanced NLO response.</w:t>
      </w:r>
    </w:p>
    <w:p>
      <w:pPr>
        <w:spacing w:before="120" w:after="120"/>
      </w:pPr>
      <w:r>
        <w:rPr>
          <w:sz w:val="18"/>
        </w:rPr>
        <w:t>——————————————————————————————————————————————————————————————————————</w:t>
      </w:r>
    </w:p>
    <w:p>
      <w:pPr>
        <w:spacing w:before="160" w:after="40" w:line="240" w:lineRule="auto"/>
      </w:pPr>
      <w:r>
        <w:rPr>
          <w:b/>
        </w:rPr>
        <w:t xml:space="preserve">[291] </w:t>
      </w:r>
      <w:hyperlink r:id="rId699">
        <w:r>
          <w:rPr>
            <w:color w:val="1155CC"/>
            <w:u w:val="single"/>
          </w:rPr>
          <w:t>用于光驱动种间电子转移的生物-生物电子接口编程</w:t>
        </w:r>
      </w:hyperlink>
    </w:p>
    <w:p>
      <w:pPr>
        <w:spacing w:before="0" w:after="80"/>
      </w:pPr>
      <w:r>
        <w:rPr>
          <w:i/>
          <w:sz w:val="20"/>
        </w:rPr>
        <w:t>EN: Programming Bio–Bio Electronic Interfaces for Light‐Driven Interspecies Electron Transfer</w:t>
      </w:r>
    </w:p>
    <w:p>
      <w:pPr>
        <w:spacing w:before="0" w:after="120"/>
      </w:pPr>
      <w:r>
        <w:rPr>
          <w:b/>
        </w:rPr>
        <w:t xml:space="preserve">Source: </w:t>
      </w:r>
      <w:r>
        <w:t>Wiley: Angewandte Chemie International Edition: Table of Contents</w:t>
      </w:r>
      <w:r>
        <w:t xml:space="preserve">    </w:t>
      </w:r>
      <w:r>
        <w:rPr>
          <w:b/>
        </w:rPr>
        <w:t xml:space="preserve">Pub date: </w:t>
      </w:r>
      <w:r>
        <w:t>2026-06-30 09:55:10+00:00</w:t>
      </w:r>
      <w:r>
        <w:t xml:space="preserve">    </w:t>
      </w:r>
      <w:r>
        <w:rPr>
          <w:b/>
        </w:rPr>
        <w:t xml:space="preserve">DOI: </w:t>
      </w:r>
      <w:hyperlink r:id="rId700">
        <w:r>
          <w:rPr>
            <w:color w:val="1155CC"/>
            <w:u w:val="single"/>
          </w:rPr>
          <w:t>10.1002/anie.8664414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命系统通过连续、空间和能量结构的氧化还原网络组织电子流，而大多数合成光驱动生物电子平台依赖非生物材料产生电子并将电子注入细胞，限制了生命伙伴之间的选择性耦合。在这里，我们报告了可编程的活电子接口，可以在两种活微生物之间实现直接的、光驱动的种间电子转移（IET）。共形聚（3,4-乙撑二氧噻吩）网络集成到包膜中</w:t>
      </w:r>
      <w:r>
        <w:t xml:space="preserve"> </w:t>
      </w:r>
      <w:r>
        <w:t>细长聚球藻</w:t>
      </w:r>
      <w:r>
        <w:t xml:space="preserve"> </w:t>
      </w:r>
      <w:r>
        <w:t>拦截和传递光合电子通量，而超分子葫芦[7]uril主客体相互作用程序定义了细胞与细胞的组装</w:t>
      </w:r>
      <w:r>
        <w:t xml:space="preserve"> </w:t>
      </w:r>
      <w:r>
        <w:t>大肠杆菌</w:t>
      </w:r>
      <w:r>
        <w:t xml:space="preserve"> </w:t>
      </w:r>
      <w:r>
        <w:t>。嵌入界面内的氧化还原活性介体建立了跨越物种边界的能量匹配的电子转移途径。氧化还原电位匹配将中性红识别为最佳介体，能够选择性地将光合电子传递到</w:t>
      </w:r>
      <w:r>
        <w:t xml:space="preserve"> </w:t>
      </w:r>
      <w:r>
        <w:t>大肠杆菌</w:t>
      </w:r>
      <w:r>
        <w:t xml:space="preserve"> </w:t>
      </w:r>
      <w:r>
        <w:t>IET 效率为 83.7%，从而增强了光驱动的生物催化作用。这项工作建立了一种集成的生物-生物电子架构，将电子传导嵌入活的氧化还原网络中，定义了构建不同于传统非生物-生物混合系统的光动力微生物群落的范例。</w:t>
      </w:r>
    </w:p>
    <w:p>
      <w:pPr>
        <w:spacing w:before="0" w:after="200" w:lineRule="auto" w:line="276"/>
      </w:pPr>
      <w:r>
        <w:rPr>
          <w:b/>
        </w:rPr>
        <w:t xml:space="preserve">Abstract (EN): </w:t>
      </w:r>
      <w:r>
        <w:t>Living systems organize electron flow through continuous, spatially and energetically structured redox networks, whereas most synthetic light‐driven bioelectronic platforms rely on abiotic materials to generate and inject electrons into cells, limiting selective coupling between living partners. Here, we report programmable living electronic interfaces that enable direct, light‐driven interspecies electron transfer (IET) between two living microorganisms. A conformal poly(3,4‐ethylenedioxythiophene) network integrated into the envelope of</w:t>
      </w:r>
      <w:r>
        <w:t xml:space="preserve"> </w:t>
      </w:r>
      <w:r>
        <w:t>Synechococcus elongatus</w:t>
      </w:r>
      <w:r>
        <w:t xml:space="preserve"> </w:t>
      </w:r>
      <w:r>
        <w:t>intercepts and relays photosynthetic electron flux, while supramolecular cucurbit[7]uril host–guest interactions program defined cell–cell assembly with engineered</w:t>
      </w:r>
      <w:r>
        <w:t xml:space="preserve"> </w:t>
      </w:r>
      <w:r>
        <w:t>Escherichia coli</w:t>
      </w:r>
      <w:r>
        <w:t xml:space="preserve"> </w:t>
      </w:r>
      <w:r>
        <w:t>. Redox‐active mediators embedded within the interface establish energetically matched electron‐transfer pathways across species boundaries. Redox‐potential matching identifies neutral red as an optimal mediator, enabling selective delivery of photosynthetic electrons into</w:t>
      </w:r>
      <w:r>
        <w:t xml:space="preserve"> </w:t>
      </w:r>
      <w:r>
        <w:t>E. coli</w:t>
      </w:r>
      <w:r>
        <w:t xml:space="preserve"> </w:t>
      </w:r>
      <w:r>
        <w:t>with an IET efficiency of 83.7%, thereby enhancing light‐driven biocatalysis. This work establishes an integrated bio–bio electronic architecture that embeds electronic conduction within living redox networks, defining a paradigm for constructing light‐powered microbial consortia distinct from conventional abiotic–bio hybrid systems.</w:t>
      </w:r>
    </w:p>
    <w:p>
      <w:pPr>
        <w:spacing w:before="120" w:after="120"/>
      </w:pPr>
      <w:r>
        <w:rPr>
          <w:sz w:val="18"/>
        </w:rPr>
        <w:t>——————————————————————————————————————————————————————————————————————</w:t>
      </w:r>
    </w:p>
    <w:p>
      <w:pPr>
        <w:spacing w:before="160" w:after="40" w:line="240" w:lineRule="auto"/>
      </w:pPr>
      <w:r>
        <w:rPr>
          <w:b/>
        </w:rPr>
        <w:t xml:space="preserve">[292] </w:t>
      </w:r>
      <w:hyperlink r:id="rId701">
        <w:r>
          <w:rPr>
            <w:color w:val="1155CC"/>
            <w:u w:val="single"/>
          </w:rPr>
          <w:t>嵌入平带的独立长度尺度</w:t>
        </w:r>
      </w:hyperlink>
    </w:p>
    <w:p>
      <w:pPr>
        <w:spacing w:before="0" w:after="80"/>
      </w:pPr>
      <w:r>
        <w:rPr>
          <w:i/>
          <w:sz w:val="20"/>
        </w:rPr>
        <w:t>EN: Embedding Independent Length Scale of Flat Bands</w:t>
      </w:r>
    </w:p>
    <w:p>
      <w:pPr>
        <w:spacing w:before="0" w:after="120"/>
      </w:pPr>
      <w:r>
        <w:rPr>
          <w:b/>
        </w:rPr>
        <w:t xml:space="preserve">Source: </w:t>
      </w:r>
      <w:r>
        <w:t>Recent Articles in Phys. Rev. Lett.</w:t>
      </w:r>
      <w:r>
        <w:t xml:space="preserve">    </w:t>
      </w:r>
      <w:r>
        <w:rPr>
          <w:b/>
        </w:rPr>
        <w:t xml:space="preserve">Pub date: </w:t>
      </w:r>
      <w:r>
        <w:t>2026-06-30 10:00:00+00:00</w:t>
      </w:r>
      <w:r>
        <w:t xml:space="preserve">    </w:t>
      </w:r>
      <w:r>
        <w:rPr>
          <w:b/>
        </w:rPr>
        <w:t xml:space="preserve">DOI: </w:t>
      </w:r>
      <w:hyperlink r:id="rId702">
        <w:r>
          <w:rPr>
            <w:color w:val="1155CC"/>
            <w:u w:val="single"/>
          </w:rPr>
          <w:t>10.1103/tgtq-nrrt</w:t>
        </w:r>
      </w:hyperlink>
    </w:p>
    <w:p>
      <w:pPr>
        <w:spacing w:before="0" w:after="120"/>
      </w:pPr>
      <w:r>
        <w:rPr>
          <w:b/>
        </w:rPr>
        <w:t xml:space="preserve">Notes: </w:t>
      </w:r>
      <w:r>
        <w:t>abstract_source=rss_description</w:t>
      </w:r>
    </w:p>
    <w:p>
      <w:pPr>
        <w:spacing w:before="0" w:after="80" w:lineRule="auto" w:line="276"/>
      </w:pPr>
      <w:r>
        <w:rPr>
          <w:b/>
        </w:rPr>
        <w:t xml:space="preserve">摘要（ZH）: </w:t>
      </w:r>
      <w:r>
        <w:t>作者：Seokju Lee、Seung Hun Lee 和 Bohm-Jung Yang 在具有淬灭动能的平带系统中，大多数与能带色散相关的常规长度尺度变得无效。尽管仍然可以定义一些几何长度尺度，例如量子度量长度，但由于它们的嵌入依赖性，即依赖于……[Phys.莱特牧师。 137, 016401] 2026 年 6 月 30 日星期二发布</w:t>
      </w:r>
    </w:p>
    <w:p>
      <w:pPr>
        <w:spacing w:before="0" w:after="200" w:lineRule="auto" w:line="276"/>
      </w:pPr>
      <w:r>
        <w:rPr>
          <w:b/>
        </w:rPr>
        <w:t xml:space="preserve">Abstract (EN): </w:t>
      </w:r>
      <w:r>
        <w:t>Author(s): Seokju Lee, Seung Hun Lee, and Bohm-Jung YangIn flat-band systems with quenched kinetic energy, most of the conventional length scales related to the band dispersion become ineffectual. Although a few geometric length scales, such as the quantum metric length, can still be defined, because of their embedding dependence, i.e., the dependence on…[Phys. Rev. Lett. 137, 016401] Published Tue Jun 30, 2026</w:t>
      </w:r>
    </w:p>
    <w:p>
      <w:pPr>
        <w:spacing w:before="120" w:after="120"/>
      </w:pPr>
      <w:r>
        <w:rPr>
          <w:sz w:val="18"/>
        </w:rPr>
        <w:t>——————————————————————————————————————————————————————————————————————</w:t>
      </w:r>
    </w:p>
    <w:p>
      <w:pPr>
        <w:spacing w:before="160" w:after="40" w:line="240" w:lineRule="auto"/>
      </w:pPr>
      <w:r>
        <w:rPr>
          <w:b/>
        </w:rPr>
        <w:t xml:space="preserve">[293] </w:t>
      </w:r>
      <w:hyperlink r:id="rId703">
        <w:r>
          <w:rPr>
            <w:color w:val="1155CC"/>
            <w:u w:val="single"/>
          </w:rPr>
          <w:t>量子几何诱导的反常手性输运和中心对称中隐藏的对称性破缺 $2\mathrm{M}\text{−}{\mathrm{WS}}_{2}$</w:t>
        </w:r>
      </w:hyperlink>
    </w:p>
    <w:p>
      <w:pPr>
        <w:spacing w:before="0" w:after="80"/>
      </w:pPr>
      <w:r>
        <w:rPr>
          <w:i/>
          <w:sz w:val="20"/>
        </w:rPr>
        <w:t>EN: Quantum-Geometry-Induced Anomalous Chiral Transport and Hidden Symmetry Breaking in Centrosymmetric $2\mathrm{M}\text{−}{\mathrm{WS}}_{2}$</w:t>
      </w:r>
    </w:p>
    <w:p>
      <w:pPr>
        <w:spacing w:before="0" w:after="120"/>
      </w:pPr>
      <w:r>
        <w:rPr>
          <w:b/>
        </w:rPr>
        <w:t xml:space="preserve">Source: </w:t>
      </w:r>
      <w:r>
        <w:t>Recent Articles in Phys. Rev. Lett.</w:t>
      </w:r>
      <w:r>
        <w:t xml:space="preserve">    </w:t>
      </w:r>
      <w:r>
        <w:rPr>
          <w:b/>
        </w:rPr>
        <w:t xml:space="preserve">Pub date: </w:t>
      </w:r>
      <w:r>
        <w:t>2026-06-30 10:00:00+00:00</w:t>
      </w:r>
      <w:r>
        <w:t xml:space="preserve">    </w:t>
      </w:r>
      <w:r>
        <w:rPr>
          <w:b/>
        </w:rPr>
        <w:t xml:space="preserve">DOI: </w:t>
      </w:r>
      <w:hyperlink r:id="rId704">
        <w:r>
          <w:rPr>
            <w:color w:val="1155CC"/>
            <w:u w:val="single"/>
          </w:rPr>
          <w:t>10.1103/43cm-lhrk</w:t>
        </w:r>
      </w:hyperlink>
    </w:p>
    <w:p>
      <w:pPr>
        <w:spacing w:before="0" w:after="120"/>
      </w:pPr>
      <w:r>
        <w:rPr>
          <w:b/>
        </w:rPr>
        <w:t xml:space="preserve">Notes: </w:t>
      </w:r>
      <w:r>
        <w:t>abstract_source=rss_description</w:t>
      </w:r>
    </w:p>
    <w:p>
      <w:pPr>
        <w:spacing w:before="0" w:after="80" w:lineRule="auto" w:line="276"/>
      </w:pPr>
      <w:r>
        <w:rPr>
          <w:b/>
        </w:rPr>
        <w:t xml:space="preserve">摘要（ZH）: </w:t>
      </w:r>
      <w:r>
        <w:t>作者：崔航、刘少波、王尔庆、潘明祥、方玉强、马宁、刘文龙、陈迪、张宇、宋元军、郝婷婷、李建坤、崔健、冯雅、刘海文、黄富强、黄华清、X.-C.手性是自然界中广泛存在的一种涉及打破左右对称性的物质属性，对自然科学的各个领域产生了深远的影响。非线性响应，例如电子磁手性各向异性 (eMChA)，已被认为是该效应的敏感探针……[Phys.莱特牧师。 137, 016302] 2026 年 6 月 30 日星期二发布</w:t>
      </w:r>
    </w:p>
    <w:p>
      <w:pPr>
        <w:spacing w:before="0" w:after="200" w:lineRule="auto" w:line="276"/>
      </w:pPr>
      <w:r>
        <w:rPr>
          <w:b/>
        </w:rPr>
        <w:t xml:space="preserve">Abstract (EN): </w:t>
      </w:r>
      <w:r>
        <w:t>Author(s): Hang Cui, Shao-Bo Liu, Erqing Wang, Mingxiang Pan, Yuqiang Fang, Ning Ma, Wenlong Liu, Di Chen, Yu Zhang, Yuanjun Song, Tingting Hao, Jiankun Li, Jian Cui, Ya Feng, Haiwen Liu, Fuqiang Huang, Huaqing Huang, X.-C. Xie, and Jian-Hao ChenChirality, a widely existing material property in nature that involves breaking the left-right symmetry, has had profound influence on various fields of natural sciences. Nonlinear responses, such as electronic magnetochiral anisotropy (eMChA), have been recognized as sensitive probes for the effect…[Phys. Rev. Lett. 137, 016302] Published Tue Jun 30, 2026</w:t>
      </w:r>
    </w:p>
    <w:p>
      <w:pPr>
        <w:spacing w:before="120" w:after="120"/>
      </w:pPr>
      <w:r>
        <w:rPr>
          <w:sz w:val="18"/>
        </w:rPr>
        <w:t>——————————————————————————————————————————————————————————————————————</w:t>
      </w:r>
    </w:p>
    <w:p>
      <w:pPr>
        <w:spacing w:before="160" w:after="40" w:line="240" w:lineRule="auto"/>
      </w:pPr>
      <w:r>
        <w:rPr>
          <w:b/>
        </w:rPr>
        <w:t xml:space="preserve">[294] </w:t>
      </w:r>
      <w:hyperlink r:id="rId705">
        <w:r>
          <w:rPr>
            <w:color w:val="1155CC"/>
            <w:u w:val="single"/>
          </w:rPr>
          <w:t>声子晶体中耗散增强拓扑谷输运的实现</w:t>
        </w:r>
      </w:hyperlink>
    </w:p>
    <w:p>
      <w:pPr>
        <w:spacing w:before="0" w:after="80"/>
      </w:pPr>
      <w:r>
        <w:rPr>
          <w:i/>
          <w:sz w:val="20"/>
        </w:rPr>
        <w:t>EN: Realization of Dissipation-Enhanced Topological Valley Transport in Phononic Crystal</w:t>
      </w:r>
    </w:p>
    <w:p>
      <w:pPr>
        <w:spacing w:before="0" w:after="120"/>
      </w:pPr>
      <w:r>
        <w:rPr>
          <w:b/>
        </w:rPr>
        <w:t xml:space="preserve">Source: </w:t>
      </w:r>
      <w:r>
        <w:t>Recent Articles in Phys. Rev. Lett.</w:t>
      </w:r>
      <w:r>
        <w:t xml:space="preserve">    </w:t>
      </w:r>
      <w:r>
        <w:rPr>
          <w:b/>
        </w:rPr>
        <w:t xml:space="preserve">Pub date: </w:t>
      </w:r>
      <w:r>
        <w:t>2026-06-30 10:00:00+00:00</w:t>
      </w:r>
      <w:r>
        <w:t xml:space="preserve">    </w:t>
      </w:r>
      <w:r>
        <w:rPr>
          <w:b/>
        </w:rPr>
        <w:t xml:space="preserve">DOI: </w:t>
      </w:r>
      <w:hyperlink r:id="rId706">
        <w:r>
          <w:rPr>
            <w:color w:val="1155CC"/>
            <w:u w:val="single"/>
          </w:rPr>
          <w:t>10.1103/pjlr-6t6w</w:t>
        </w:r>
      </w:hyperlink>
    </w:p>
    <w:p>
      <w:pPr>
        <w:spacing w:before="0" w:after="120"/>
      </w:pPr>
      <w:r>
        <w:rPr>
          <w:b/>
        </w:rPr>
        <w:t xml:space="preserve">Notes: </w:t>
      </w:r>
      <w:r>
        <w:t>abstract_source=rss_description</w:t>
      </w:r>
    </w:p>
    <w:p>
      <w:pPr>
        <w:spacing w:before="0" w:after="80" w:lineRule="auto" w:line="276"/>
      </w:pPr>
      <w:r>
        <w:rPr>
          <w:b/>
        </w:rPr>
        <w:t xml:space="preserve">摘要（ZH）: </w:t>
      </w:r>
      <w:r>
        <w:t>作者：何高、郭嘉敏、苏银杰、顾忠明、薛浩然和朱杰 耗散源自材料的内在吸收或泄漏到环境中，通常被认为对波传输有害。在这里，我们通过实验证明了一种违反直觉的现象，即通过在声子晶体中故意引入耗散来增强传输。 Th…[物理。莱特牧师。 137, 016301] 2026 年 6 月 30 日星期二发布</w:t>
      </w:r>
    </w:p>
    <w:p>
      <w:pPr>
        <w:spacing w:before="0" w:after="200" w:lineRule="auto" w:line="276"/>
      </w:pPr>
      <w:r>
        <w:rPr>
          <w:b/>
        </w:rPr>
        <w:t xml:space="preserve">Abstract (EN): </w:t>
      </w:r>
      <w:r>
        <w:t>Author(s): He Gao, Jiamin Guo, Yinjie Su, Zhongming Gu, Haoran Xue, and Jie ZhuDissipation, originating from intrinsic material absorption or leakage to the environment, is usually considered detrimental to wave transport. Here, we experimentally demonstrate a counterintuitive phenomenon where transport is enhanced by deliberately introduced dissipation in phononic crystal. Th…[Phys. Rev. Lett. 137, 016301] Published Tue Jun 30, 2026</w:t>
      </w:r>
    </w:p>
    <w:p>
      <w:pPr>
        <w:spacing w:before="120" w:after="120"/>
      </w:pPr>
      <w:r>
        <w:rPr>
          <w:sz w:val="18"/>
        </w:rPr>
        <w:t>——————————————————————————————————————————————————————————————————————</w:t>
      </w:r>
    </w:p>
    <w:p>
      <w:pPr>
        <w:spacing w:before="160" w:after="40" w:line="240" w:lineRule="auto"/>
      </w:pPr>
      <w:r>
        <w:rPr>
          <w:b/>
        </w:rPr>
        <w:t xml:space="preserve">[295] </w:t>
      </w:r>
      <w:hyperlink r:id="rId707">
        <w:r>
          <w:rPr>
            <w:color w:val="1155CC"/>
            <w:u w:val="single"/>
          </w:rPr>
          <w:t>用于可扩展原子量子处理器的单光子级神经网络辅助贝叶斯量子位读出</w:t>
        </w:r>
      </w:hyperlink>
    </w:p>
    <w:p>
      <w:pPr>
        <w:spacing w:before="0" w:after="80"/>
      </w:pPr>
      <w:r>
        <w:rPr>
          <w:i/>
          <w:sz w:val="20"/>
        </w:rPr>
        <w:t>EN: Neural-Network-Assisted Bayesian Qubit Readout at the Single-Photon Level for Scalable Atomic Quantum Processors</w:t>
      </w:r>
    </w:p>
    <w:p>
      <w:pPr>
        <w:spacing w:before="0" w:after="120"/>
      </w:pPr>
      <w:r>
        <w:rPr>
          <w:b/>
        </w:rPr>
        <w:t xml:space="preserve">Source: </w:t>
      </w:r>
      <w:r>
        <w:t>Recent Articles in Phys. Rev. Lett.</w:t>
      </w:r>
      <w:r>
        <w:t xml:space="preserve">    </w:t>
      </w:r>
      <w:r>
        <w:rPr>
          <w:b/>
        </w:rPr>
        <w:t xml:space="preserve">Pub date: </w:t>
      </w:r>
      <w:r>
        <w:t>2026-06-30 10:00:00+00:00</w:t>
      </w:r>
      <w:r>
        <w:t xml:space="preserve">    </w:t>
      </w:r>
      <w:r>
        <w:rPr>
          <w:b/>
        </w:rPr>
        <w:t xml:space="preserve">DOI: </w:t>
      </w:r>
      <w:hyperlink r:id="rId708">
        <w:r>
          <w:rPr>
            <w:color w:val="1155CC"/>
            <w:u w:val="single"/>
          </w:rPr>
          <w:t>10.1103/y222-kfxl</w:t>
        </w:r>
      </w:hyperlink>
    </w:p>
    <w:p>
      <w:pPr>
        <w:spacing w:before="0" w:after="120"/>
      </w:pPr>
      <w:r>
        <w:rPr>
          <w:b/>
        </w:rPr>
        <w:t xml:space="preserve">Notes: </w:t>
      </w:r>
      <w:r>
        <w:t>abstract_source=rss_description</w:t>
      </w:r>
    </w:p>
    <w:p>
      <w:pPr>
        <w:spacing w:before="0" w:after="80" w:lineRule="auto" w:line="276"/>
      </w:pPr>
      <w:r>
        <w:rPr>
          <w:b/>
        </w:rPr>
        <w:t xml:space="preserve">摘要（ZH）: </w:t>
      </w:r>
      <w:r>
        <w:t>作者：Yaoting Zhou、Weisen Wang、Zhuangzhuang Tian、Bin Huang、Huan Cheng Chen、Donghao Li、Zhongxiao Xu、Li Chen 和 Heng Shen 用最少的资源读出量子态对于可扩展的量子信息处理至关重要。作为领先的平台，中性原子阵列依赖于荧光读数，需要短曝光方案来减轻加热和原子损失。然而，单次拍摄中出现了一个根本性的挑战……[物理。莱特牧师。 137, 013601] 2026 年 6 月 30 日星期二发布</w:t>
      </w:r>
    </w:p>
    <w:p>
      <w:pPr>
        <w:spacing w:before="0" w:after="200" w:lineRule="auto" w:line="276"/>
      </w:pPr>
      <w:r>
        <w:rPr>
          <w:b/>
        </w:rPr>
        <w:t xml:space="preserve">Abstract (EN): </w:t>
      </w:r>
      <w:r>
        <w:t>Author(s): Yaoting Zhou, Weisen Wang, Zhuangzhuang Tian, Bin Huang, Huancheng Chen, Donghao Li, Zhongxiao Xu, Li Chen, and Heng ShenQuantum state readout with minimal resources is crucial for scalable quantum information processing. As a leading platform, neutral atom arrays rely on fluorescence readout, requiring short-exposure schemes to mitigate heating and atom loss. However, a fundamental challenge arises in the single-phot…[Phys. Rev. Lett. 137, 013601] Published Tue Jun 30, 2026</w:t>
      </w:r>
    </w:p>
    <w:p>
      <w:pPr>
        <w:spacing w:before="120" w:after="120"/>
      </w:pPr>
      <w:r>
        <w:rPr>
          <w:sz w:val="18"/>
        </w:rPr>
        <w:t>——————————————————————————————————————————————————————————————————————</w:t>
      </w:r>
    </w:p>
    <w:p>
      <w:pPr>
        <w:spacing w:before="160" w:after="40" w:line="240" w:lineRule="auto"/>
      </w:pPr>
      <w:r>
        <w:rPr>
          <w:b/>
        </w:rPr>
        <w:t xml:space="preserve">[296] </w:t>
      </w:r>
      <w:hyperlink r:id="rId709">
        <w:r>
          <w:rPr>
            <w:color w:val="1155CC"/>
            <w:u w:val="single"/>
          </w:rPr>
          <w:t>真实神经元网络的扩展平均场理论</w:t>
        </w:r>
      </w:hyperlink>
    </w:p>
    <w:p>
      <w:pPr>
        <w:spacing w:before="0" w:after="80"/>
      </w:pPr>
      <w:r>
        <w:rPr>
          <w:i/>
          <w:sz w:val="20"/>
        </w:rPr>
        <w:t>EN: Extended Mean-Field Theories for Networks of Real Neurons</w:t>
      </w:r>
    </w:p>
    <w:p>
      <w:pPr>
        <w:spacing w:before="0" w:after="120"/>
      </w:pPr>
      <w:r>
        <w:rPr>
          <w:b/>
        </w:rPr>
        <w:t xml:space="preserve">Source: </w:t>
      </w:r>
      <w:r>
        <w:t>Recent Articles in Phys. Rev. Lett.</w:t>
      </w:r>
      <w:r>
        <w:t xml:space="preserve">    </w:t>
      </w:r>
      <w:r>
        <w:rPr>
          <w:b/>
        </w:rPr>
        <w:t xml:space="preserve">Pub date: </w:t>
      </w:r>
      <w:r>
        <w:t>2026-06-30 10:00:00+00:00</w:t>
      </w:r>
      <w:r>
        <w:t xml:space="preserve">    </w:t>
      </w:r>
      <w:r>
        <w:rPr>
          <w:b/>
        </w:rPr>
        <w:t xml:space="preserve">DOI: </w:t>
      </w:r>
      <w:hyperlink r:id="rId710">
        <w:r>
          <w:rPr>
            <w:color w:val="1155CC"/>
            <w:u w:val="single"/>
          </w:rPr>
          <w:t>10.1103/nr71-phqw</w:t>
        </w:r>
      </w:hyperlink>
    </w:p>
    <w:p>
      <w:pPr>
        <w:spacing w:before="0" w:after="120"/>
      </w:pPr>
      <w:r>
        <w:rPr>
          <w:b/>
        </w:rPr>
        <w:t xml:space="preserve">Notes: </w:t>
      </w:r>
      <w:r>
        <w:t>abstract_source=rss_description</w:t>
      </w:r>
    </w:p>
    <w:p>
      <w:pPr>
        <w:spacing w:before="0" w:after="80" w:lineRule="auto" w:line="276"/>
      </w:pPr>
      <w:r>
        <w:rPr>
          <w:b/>
        </w:rPr>
        <w:t xml:space="preserve">摘要（ZH）: </w:t>
      </w:r>
      <w:r>
        <w:t>作者：Luca Di Carlo、Francesca Mignacco、Christopher W. Lynn 和 William Bialek 平均场理论的扩展版本准确地捕获了生物神经元网络中的活动模式。莱特牧师。 137, 018401] 2026 年 6 月 30 日星期二发布</w:t>
      </w:r>
    </w:p>
    <w:p>
      <w:pPr>
        <w:spacing w:before="0" w:after="200" w:lineRule="auto" w:line="276"/>
      </w:pPr>
      <w:r>
        <w:rPr>
          <w:b/>
        </w:rPr>
        <w:t xml:space="preserve">Abstract (EN): </w:t>
      </w:r>
      <w:r>
        <w:t>Author(s): Luca Di Carlo, Francesca Mignacco, Christopher W. Lynn, and William BialekAn extended version of mean-field theory accurately captures activity patterns seen in networks of biological neurons.[Phys. Rev. Lett. 137, 018401] Published Tue Jun 30, 2026</w:t>
      </w:r>
    </w:p>
    <w:p>
      <w:pPr>
        <w:spacing w:before="120" w:after="120"/>
      </w:pPr>
      <w:r>
        <w:rPr>
          <w:sz w:val="18"/>
        </w:rPr>
        <w:t>——————————————————————————————————————————————————————————————————————</w:t>
      </w:r>
    </w:p>
    <w:p>
      <w:pPr>
        <w:spacing w:before="160" w:after="40" w:line="240" w:lineRule="auto"/>
      </w:pPr>
      <w:r>
        <w:rPr>
          <w:b/>
        </w:rPr>
        <w:t xml:space="preserve">[297] </w:t>
      </w:r>
      <w:hyperlink r:id="rId711">
        <w:r>
          <w:rPr>
            <w:color w:val="1155CC"/>
            <w:u w:val="single"/>
          </w:rPr>
          <w:t>扭曲双双层石墨烯中门可调谐平带的直接可视化</w:t>
        </w:r>
      </w:hyperlink>
    </w:p>
    <w:p>
      <w:pPr>
        <w:spacing w:before="0" w:after="80"/>
      </w:pPr>
      <w:r>
        <w:rPr>
          <w:i/>
          <w:sz w:val="20"/>
        </w:rPr>
        <w:t>EN: Direct Visualization of Gate-Tunable Flat Bands in Twisted Double Bilayer Graphene</w:t>
      </w:r>
    </w:p>
    <w:p>
      <w:pPr>
        <w:spacing w:before="0" w:after="120"/>
      </w:pPr>
      <w:r>
        <w:rPr>
          <w:b/>
        </w:rPr>
        <w:t xml:space="preserve">Source: </w:t>
      </w:r>
      <w:r>
        <w:t>Recent Articles in Phys. Rev. Lett.</w:t>
      </w:r>
      <w:r>
        <w:t xml:space="preserve">    </w:t>
      </w:r>
      <w:r>
        <w:rPr>
          <w:b/>
        </w:rPr>
        <w:t xml:space="preserve">Pub date: </w:t>
      </w:r>
      <w:r>
        <w:t>2026-06-30 10:00:00+00:00</w:t>
      </w:r>
      <w:r>
        <w:t xml:space="preserve">    </w:t>
      </w:r>
      <w:r>
        <w:rPr>
          <w:b/>
        </w:rPr>
        <w:t xml:space="preserve">DOI: </w:t>
      </w:r>
      <w:hyperlink r:id="rId712">
        <w:r>
          <w:rPr>
            <w:color w:val="1155CC"/>
            <w:u w:val="single"/>
          </w:rPr>
          <w:t>10.1103/3vg5-vkzy</w:t>
        </w:r>
      </w:hyperlink>
    </w:p>
    <w:p>
      <w:pPr>
        <w:spacing w:before="0" w:after="120"/>
      </w:pPr>
      <w:r>
        <w:rPr>
          <w:b/>
        </w:rPr>
        <w:t xml:space="preserve">Notes: </w:t>
      </w:r>
      <w:r>
        <w:t>abstract_source=rss_description</w:t>
      </w:r>
    </w:p>
    <w:p>
      <w:pPr>
        <w:spacing w:before="0" w:after="80" w:lineRule="auto" w:line="276"/>
      </w:pPr>
      <w:r>
        <w:rPr>
          <w:b/>
        </w:rPr>
        <w:t xml:space="preserve">摘要（ZH）: </w:t>
      </w:r>
      <w:r>
        <w:t>作者：Souvik Sasmal、Ryan Muzzio、Ahmed Khalifa、Paulina Majchrzak、Alfred J. H. Jones、I-Hsuan Kao、Kenji Watanabe、Takashi Taniguchi、Simranjeet Singh、Eli Rotenberg、Aaron Bostwick、Chris Jozwiak、Søren Ulstrup、Shubhayu Chatterjee 和 Jyoti Katoch 云纹的演变使用微聚焦角分辨光电子能谱可以直接可视化不同载流子密度和位移场下的微带。莱特牧师。 137, 016402] 2026 年 6 月 30 日星期二发布</w:t>
      </w:r>
    </w:p>
    <w:p>
      <w:pPr>
        <w:spacing w:before="0" w:after="200" w:lineRule="auto" w:line="276"/>
      </w:pPr>
      <w:r>
        <w:rPr>
          <w:b/>
        </w:rPr>
        <w:t xml:space="preserve">Abstract (EN): </w:t>
      </w:r>
      <w:r>
        <w:t>Author(s): Souvik Sasmal, Ryan Muzzio, Ahmed Khalifa, Paulina Majchrzak, Alfred J. H. Jones, I-Hsuan Kao, Kenji Watanabe, Takashi Taniguchi, Simranjeet Singh, Eli Rotenberg, Aaron Bostwick, Chris Jozwiak, Søren Ulstrup, Shubhayu Chatterjee, and Jyoti KatochThe evolution of moiré minibands under varying carrier density and displacement field may be directly visualized using microfocused angle-resolved photoemission spectroscopy.[Phys. Rev. Lett. 137, 016402] Published Tue Jun 30, 2026</w:t>
      </w:r>
    </w:p>
    <w:p>
      <w:pPr>
        <w:spacing w:before="120" w:after="120"/>
      </w:pPr>
      <w:r>
        <w:rPr>
          <w:sz w:val="18"/>
        </w:rPr>
        <w:t>——————————————————————————————————————————————————————————————————————</w:t>
      </w:r>
    </w:p>
    <w:p>
      <w:pPr>
        <w:spacing w:before="160" w:after="40" w:line="240" w:lineRule="auto"/>
      </w:pPr>
      <w:r>
        <w:rPr>
          <w:b/>
        </w:rPr>
        <w:t xml:space="preserve">[298] </w:t>
      </w:r>
      <w:hyperlink r:id="rId713">
        <w:r>
          <w:rPr>
            <w:color w:val="1155CC"/>
            <w:u w:val="single"/>
          </w:rPr>
          <w:t>Andreev 反射探测交变磁体 CrSb 中动量相关的自旋极化</w:t>
        </w:r>
      </w:hyperlink>
    </w:p>
    <w:p>
      <w:pPr>
        <w:spacing w:before="0" w:after="80"/>
      </w:pPr>
      <w:r>
        <w:rPr>
          <w:i/>
          <w:sz w:val="20"/>
        </w:rPr>
        <w:t>EN: Andreev Reflection to Probe Momentum-Dependent Spin Polarization in Altermagnet CrSb</w:t>
      </w:r>
    </w:p>
    <w:p>
      <w:pPr>
        <w:spacing w:before="0" w:after="120"/>
      </w:pPr>
      <w:r>
        <w:rPr>
          <w:b/>
        </w:rPr>
        <w:t xml:space="preserve">Source: </w:t>
      </w:r>
      <w:r>
        <w:t>Recent Articles in Phys. Rev. Lett.</w:t>
      </w:r>
      <w:r>
        <w:t xml:space="preserve">    </w:t>
      </w:r>
      <w:r>
        <w:rPr>
          <w:b/>
        </w:rPr>
        <w:t xml:space="preserve">Pub date: </w:t>
      </w:r>
      <w:r>
        <w:t>2026-06-30 10:00:00+00:00</w:t>
      </w:r>
      <w:r>
        <w:t xml:space="preserve">    </w:t>
      </w:r>
      <w:r>
        <w:rPr>
          <w:b/>
        </w:rPr>
        <w:t xml:space="preserve">DOI: </w:t>
      </w:r>
      <w:hyperlink r:id="rId714">
        <w:r>
          <w:rPr>
            <w:color w:val="1155CC"/>
            <w:u w:val="single"/>
          </w:rPr>
          <w:t>10.1103/42m7-p7l3</w:t>
        </w:r>
      </w:hyperlink>
    </w:p>
    <w:p>
      <w:pPr>
        <w:spacing w:before="0" w:after="120"/>
      </w:pPr>
      <w:r>
        <w:rPr>
          <w:b/>
        </w:rPr>
        <w:t xml:space="preserve">Notes: </w:t>
      </w:r>
      <w:r>
        <w:t>abstract_source=rss_description</w:t>
      </w:r>
    </w:p>
    <w:p>
      <w:pPr>
        <w:spacing w:before="0" w:after="80" w:lineRule="auto" w:line="276"/>
      </w:pPr>
      <w:r>
        <w:rPr>
          <w:b/>
        </w:rPr>
        <w:t xml:space="preserve">摘要（ZH）: </w:t>
      </w:r>
      <w:r>
        <w:t>作者：张彦、罗一轩、杨岳、李子龙、邱伟龙、胡伦辉、徐远峰、郭彦峰、曹超和陆新近来，交变磁性材料已成为下一代自旋电子应用的有希望的候选材料，其特点是依赖于 $\mathbf{k}$ 的自旋分裂能带结构和同时的零净磁化强度。其中，交流磁候选CrSb吸引了相当多的关注……[Phys.莱特牧师。 137, 016701] 2026 年 6 月 30 日星期二发布</w:t>
      </w:r>
    </w:p>
    <w:p>
      <w:pPr>
        <w:spacing w:before="0" w:after="200" w:lineRule="auto" w:line="276"/>
      </w:pPr>
      <w:r>
        <w:rPr>
          <w:b/>
        </w:rPr>
        <w:t xml:space="preserve">Abstract (EN): </w:t>
      </w:r>
      <w:r>
        <w:t>Author(s): Yan Zhang, Yixuan Luo, Yue Yang, Zilong Li, Weilong Qiu, Lunhui Hu, Yuanfeng Xu, Yanfeng Guo, Chao Cao, and Xin LuAltermagnetic materials have recently emerged as promising candidates for next-generation spintronic applications, characterized by the $\mathbf{k}$-dependent spin-splitted band structure and a simultaneous zero-net-magnetization. Among them, altermagnetic candidate CrSb has attracted considerable a…[Phys. Rev. Lett. 137, 016701] Published Tue Jun 30, 2026</w:t>
      </w:r>
    </w:p>
    <w:p>
      <w:pPr>
        <w:spacing w:before="120" w:after="120"/>
      </w:pPr>
      <w:r>
        <w:rPr>
          <w:sz w:val="18"/>
        </w:rPr>
        <w:t>——————————————————————————————————————————————————————————————————————</w:t>
      </w:r>
    </w:p>
    <w:p>
      <w:pPr>
        <w:spacing w:before="160" w:after="40" w:line="240" w:lineRule="auto"/>
      </w:pPr>
      <w:r>
        <w:rPr>
          <w:b/>
        </w:rPr>
        <w:t xml:space="preserve">[299] </w:t>
      </w:r>
      <w:hyperlink r:id="rId715">
        <w:r>
          <w:rPr>
            <w:color w:val="1155CC"/>
            <w:u w:val="single"/>
          </w:rPr>
          <w:t>二维轨道交变磁力</w:t>
        </w:r>
      </w:hyperlink>
    </w:p>
    <w:p>
      <w:pPr>
        <w:spacing w:before="0" w:after="80"/>
      </w:pPr>
      <w:r>
        <w:rPr>
          <w:i/>
          <w:sz w:val="20"/>
        </w:rPr>
        <w:t>EN: Orbital Altermagnetism in Two Dimensions</w:t>
      </w:r>
    </w:p>
    <w:p>
      <w:pPr>
        <w:spacing w:before="0" w:after="120"/>
      </w:pPr>
      <w:r>
        <w:rPr>
          <w:b/>
        </w:rPr>
        <w:t xml:space="preserve">Source: </w:t>
      </w:r>
      <w:r>
        <w:t>Recent Articles in Phys. Rev. Lett.</w:t>
      </w:r>
      <w:r>
        <w:t xml:space="preserve">    </w:t>
      </w:r>
      <w:r>
        <w:rPr>
          <w:b/>
        </w:rPr>
        <w:t xml:space="preserve">Pub date: </w:t>
      </w:r>
      <w:r>
        <w:t>2026-06-30 10:00:00+00:00</w:t>
      </w:r>
      <w:r>
        <w:t xml:space="preserve">    </w:t>
      </w:r>
      <w:r>
        <w:rPr>
          <w:b/>
        </w:rPr>
        <w:t xml:space="preserve">DOI: </w:t>
      </w:r>
      <w:hyperlink r:id="rId716">
        <w:r>
          <w:rPr>
            <w:color w:val="1155CC"/>
            <w:u w:val="single"/>
          </w:rPr>
          <w:t>10.1103/l8fc-dp36</w:t>
        </w:r>
      </w:hyperlink>
    </w:p>
    <w:p>
      <w:pPr>
        <w:spacing w:before="0" w:after="120"/>
      </w:pPr>
      <w:r>
        <w:rPr>
          <w:b/>
        </w:rPr>
        <w:t xml:space="preserve">Notes: </w:t>
      </w:r>
      <w:r>
        <w:t>abstract_source=rss_description</w:t>
      </w:r>
    </w:p>
    <w:p>
      <w:pPr>
        <w:spacing w:before="0" w:after="80" w:lineRule="auto" w:line="276"/>
      </w:pPr>
      <w:r>
        <w:rPr>
          <w:b/>
        </w:rPr>
        <w:t xml:space="preserve">摘要（ZH）: </w:t>
      </w:r>
      <w:r>
        <w:t>作者：潘明祥、刘峰、黄华清我们介绍了轨道交磁的概念，这是一种纯轨道自由度的对称保护磁序。它的特点是真实空间中有序的反平行轨道磁矩，但动量相关的轨道带分裂，类似于自旋交变磁力。使用米...[物理。莱特牧师。 137, 016702] 2026 年 6 月 30 日星期二发布</w:t>
      </w:r>
    </w:p>
    <w:p>
      <w:pPr>
        <w:spacing w:before="0" w:after="200" w:lineRule="auto" w:line="276"/>
      </w:pPr>
      <w:r>
        <w:rPr>
          <w:b/>
        </w:rPr>
        <w:t xml:space="preserve">Abstract (EN): </w:t>
      </w:r>
      <w:r>
        <w:t>Author(s): Mingxiang Pan, Feng Liu, and Huaqing HuangWe introduce the concept of orbital altermagnetism, a symmetry-protected magnetic order of pure orbital degrees of freedom. It is characterized with ordered antiparallel orbital magnetic moments in real space but momentum-dependent orbital band splittings, analogous to spin altermagnetism. Using a m…[Phys. Rev. Lett. 137, 016702] Published Tue Jun 30, 2026</w:t>
      </w:r>
    </w:p>
    <w:p>
      <w:pPr>
        <w:spacing w:before="120" w:after="120"/>
      </w:pPr>
      <w:r>
        <w:rPr>
          <w:sz w:val="18"/>
        </w:rPr>
        <w:t>——————————————————————————————————————————————————————————————————————</w:t>
      </w:r>
    </w:p>
    <w:p>
      <w:pPr>
        <w:spacing w:before="160" w:after="40" w:line="240" w:lineRule="auto"/>
      </w:pPr>
      <w:r>
        <w:rPr>
          <w:b/>
        </w:rPr>
        <w:t xml:space="preserve">[300] </w:t>
      </w:r>
      <w:hyperlink r:id="rId717">
        <w:r>
          <w:rPr>
            <w:color w:val="1155CC"/>
            <w:u w:val="single"/>
          </w:rPr>
          <w:t>NANOG 组装成自限性老化胶束，驱动溶胶-凝胶转变并调节 DNA 动力学</w:t>
        </w:r>
      </w:hyperlink>
    </w:p>
    <w:p>
      <w:pPr>
        <w:spacing w:before="0" w:after="80"/>
      </w:pPr>
      <w:r>
        <w:rPr>
          <w:i/>
          <w:sz w:val="20"/>
        </w:rPr>
        <w:t>EN: NANOG Assembles into Self-Limiting Aging Micelles That Drive a Sol-Gel Transition and Modulate DNA Dynamics</w:t>
      </w:r>
    </w:p>
    <w:p>
      <w:pPr>
        <w:spacing w:before="0" w:after="120"/>
      </w:pPr>
      <w:r>
        <w:rPr>
          <w:b/>
        </w:rPr>
        <w:t xml:space="preserve">Source: </w:t>
      </w:r>
      <w:r>
        <w:t>Recent Articles in Phys. Rev. Lett.</w:t>
      </w:r>
      <w:r>
        <w:t xml:space="preserve">    </w:t>
      </w:r>
      <w:r>
        <w:rPr>
          <w:b/>
        </w:rPr>
        <w:t xml:space="preserve">Pub date: </w:t>
      </w:r>
      <w:r>
        <w:t>2026-06-30 10:00:00+00:00</w:t>
      </w:r>
      <w:r>
        <w:t xml:space="preserve">    </w:t>
      </w:r>
      <w:r>
        <w:rPr>
          <w:b/>
        </w:rPr>
        <w:t xml:space="preserve">DOI: </w:t>
      </w:r>
      <w:hyperlink r:id="rId718">
        <w:r>
          <w:rPr>
            <w:color w:val="1155CC"/>
            <w:u w:val="single"/>
          </w:rPr>
          <w:t>10.1103/sj9b-dcwd</w:t>
        </w:r>
      </w:hyperlink>
    </w:p>
    <w:p>
      <w:pPr>
        <w:spacing w:before="0" w:after="120"/>
      </w:pPr>
      <w:r>
        <w:rPr>
          <w:b/>
        </w:rPr>
        <w:t xml:space="preserve">Notes: </w:t>
      </w:r>
      <w:r>
        <w:t>abstract_source=rss_description</w:t>
      </w:r>
    </w:p>
    <w:p>
      <w:pPr>
        <w:spacing w:before="0" w:after="80" w:lineRule="auto" w:line="276"/>
      </w:pPr>
      <w:r>
        <w:rPr>
          <w:b/>
        </w:rPr>
        <w:t xml:space="preserve">摘要（ZH）: </w:t>
      </w:r>
      <w:r>
        <w:t>作者：Amandine Hong-Minh、Yair Augusto Gutiérrez Fosado、Abbie Guild、Nicholas Mullin、Laura Spagnolo、Ian Chambers 和 Davide Michieletto 蛋白质和核酸形成具有复杂流变特性的非牛顿液体，这些特性有助于它们在体内的功能。在这里，我们研究了转录因子 NANOG 的流变学，NANOG 是维持胚胎干细胞多能性的关键蛋白。我们发现，在高浓度下，……[物理。莱特牧师。 137, 018402] 2026 年 6 月 30 日星期二发布</w:t>
      </w:r>
    </w:p>
    <w:p>
      <w:pPr>
        <w:spacing w:before="0" w:after="200" w:lineRule="auto" w:line="276"/>
      </w:pPr>
      <w:r>
        <w:rPr>
          <w:b/>
        </w:rPr>
        <w:t xml:space="preserve">Abstract (EN): </w:t>
      </w:r>
      <w:r>
        <w:t>Author(s): Amandine Hong-Minh, Yair Augusto Gutiérrez Fosado, Abbie Guild, Nicholas Mullin, Laura Spagnolo, Ian Chambers, and Davide MichielettoProteins and nucleic acids form non-Newtonian liquids with complex rheological properties that contribute to their function in vivo. Here, we investigate the rheology of the transcription factor NANOG, a key protein to maintain embryonic stem cell pluripotency. We find that, at high concentrations, …[Phys. Rev. Lett. 137, 018402] Published Tue Jun 30, 2026</w:t>
      </w:r>
    </w:p>
    <w:p>
      <w:pPr>
        <w:spacing w:before="120" w:after="120"/>
      </w:pPr>
      <w:r>
        <w:rPr>
          <w:sz w:val="18"/>
        </w:rPr>
        <w:t>——————————————————————————————————————————————————————————————————————</w:t>
      </w:r>
    </w:p>
    <w:p>
      <w:pPr>
        <w:spacing w:before="160" w:after="40" w:line="240" w:lineRule="auto"/>
      </w:pPr>
      <w:r>
        <w:rPr>
          <w:b/>
        </w:rPr>
        <w:t xml:space="preserve">[301] </w:t>
      </w:r>
      <w:hyperlink r:id="rId719">
        <w:r>
          <w:rPr>
            <w:color w:val="1155CC"/>
            <w:u w:val="single"/>
          </w:rPr>
          <w:t>$\mathrm{Δ}l=1$八极变形核中单粒子轨道的耦合</w:t>
        </w:r>
      </w:hyperlink>
    </w:p>
    <w:p>
      <w:pPr>
        <w:spacing w:before="0" w:after="80"/>
      </w:pPr>
      <w:r>
        <w:rPr>
          <w:i/>
          <w:sz w:val="20"/>
        </w:rPr>
        <w:t>EN: $\mathrm{Δ}l=1$ coupling of single-particle orbitals in octupole deformed nuclei</w:t>
      </w:r>
    </w:p>
    <w:p>
      <w:pPr>
        <w:spacing w:before="0" w:after="120"/>
      </w:pPr>
      <w:r>
        <w:rPr>
          <w:b/>
        </w:rPr>
        <w:t xml:space="preserve">Source: </w:t>
      </w:r>
      <w:r>
        <w:t>Recent Articles in Phys. Rev. C</w:t>
      </w:r>
      <w:r>
        <w:t xml:space="preserve">    </w:t>
      </w:r>
      <w:r>
        <w:rPr>
          <w:b/>
        </w:rPr>
        <w:t xml:space="preserve">Pub date: </w:t>
      </w:r>
      <w:r>
        <w:t>2026-06-30 10:00:00+00:00</w:t>
      </w:r>
      <w:r>
        <w:t xml:space="preserve">    </w:t>
      </w:r>
      <w:r>
        <w:rPr>
          <w:b/>
        </w:rPr>
        <w:t xml:space="preserve">DOI: </w:t>
      </w:r>
      <w:hyperlink r:id="rId720">
        <w:r>
          <w:rPr>
            <w:color w:val="1155CC"/>
            <w:u w:val="single"/>
          </w:rPr>
          <w:t>10.1103/dn3v-9jv3</w:t>
        </w:r>
      </w:hyperlink>
    </w:p>
    <w:p>
      <w:pPr>
        <w:spacing w:before="0" w:after="120"/>
      </w:pPr>
      <w:r>
        <w:rPr>
          <w:b/>
        </w:rPr>
        <w:t xml:space="preserve">Notes: </w:t>
      </w:r>
      <w:r>
        <w:t>abstract_source=rss_description</w:t>
      </w:r>
    </w:p>
    <w:p>
      <w:pPr>
        <w:spacing w:before="0" w:after="80" w:lineRule="auto" w:line="276"/>
      </w:pPr>
      <w:r>
        <w:rPr>
          <w:b/>
        </w:rPr>
        <w:t xml:space="preserve">摘要（ZH）: </w:t>
      </w:r>
      <w:r>
        <w:t>作者：王旭东、齐斌、王守宇和刘晨传统上，原子核中的八极变形被归因于相反宇称单粒子轨道之间的强 $\mathrm{Δ}l=3$ 耦合。在这项工作中，我们证明了经常被忽视的 $\mathrm{Δ}l=1$ 模式也发挥着重要作用。在八极魔法附近采用轨道……[物理。 Rev. C 113, 064323] 2026 年 6 月 30 日星期二发布</w:t>
      </w:r>
    </w:p>
    <w:p>
      <w:pPr>
        <w:spacing w:before="0" w:after="200" w:lineRule="auto" w:line="276"/>
      </w:pPr>
      <w:r>
        <w:rPr>
          <w:b/>
        </w:rPr>
        <w:t xml:space="preserve">Abstract (EN): </w:t>
      </w:r>
      <w:r>
        <w:t>Author(s): Xudong Wang, Bin Qi, Shouyu Wang, and Chen LiuConventionally, octupole deformation in nuclei has been attributed to strong $\mathrm{Δ}l=3$ couplings between opposite-parity single-particle orbitals. In this work, we demonstrate that the often-overlooked $\mathrm{Δ}l=1$ mode also plays an important role. Taking orbitals near the octupole magic n…[Phys. Rev. C 113, 064323] Published Tue Jun 30, 2026</w:t>
      </w:r>
    </w:p>
    <w:p>
      <w:pPr>
        <w:spacing w:before="120" w:after="120"/>
      </w:pPr>
      <w:r>
        <w:rPr>
          <w:sz w:val="18"/>
        </w:rPr>
        <w:t>——————————————————————————————————————————————————————————————————————</w:t>
      </w:r>
    </w:p>
    <w:p>
      <w:pPr>
        <w:spacing w:before="160" w:after="40" w:line="240" w:lineRule="auto"/>
      </w:pPr>
      <w:r>
        <w:rPr>
          <w:b/>
        </w:rPr>
        <w:t xml:space="preserve">[302] </w:t>
      </w:r>
      <w:hyperlink r:id="rId721">
        <w:r>
          <w:rPr>
            <w:color w:val="1155CC"/>
            <w:u w:val="single"/>
          </w:rPr>
          <w:t>第一个星系紫外光度函数对暗物质质子散射的限制</w:t>
        </w:r>
      </w:hyperlink>
    </w:p>
    <w:p>
      <w:pPr>
        <w:spacing w:before="0" w:after="80"/>
      </w:pPr>
      <w:r>
        <w:rPr>
          <w:i/>
          <w:sz w:val="20"/>
        </w:rPr>
        <w:t>EN: First Galaxy Ultraviolet Luminosity Function Limits on Dark Matter–Proton Scattering</w:t>
      </w:r>
    </w:p>
    <w:p>
      <w:pPr>
        <w:spacing w:before="0" w:after="120"/>
      </w:pPr>
      <w:r>
        <w:rPr>
          <w:b/>
        </w:rPr>
        <w:t xml:space="preserve">Source: </w:t>
      </w:r>
      <w:r>
        <w:t>Recent Articles in Phys. Rev. Lett.</w:t>
      </w:r>
      <w:r>
        <w:t xml:space="preserve">    </w:t>
      </w:r>
      <w:r>
        <w:rPr>
          <w:b/>
        </w:rPr>
        <w:t xml:space="preserve">Pub date: </w:t>
      </w:r>
      <w:r>
        <w:t>2026-06-30 10:00:00+00:00</w:t>
      </w:r>
      <w:r>
        <w:t xml:space="preserve">    </w:t>
      </w:r>
      <w:r>
        <w:rPr>
          <w:b/>
        </w:rPr>
        <w:t xml:space="preserve">DOI: </w:t>
      </w:r>
      <w:hyperlink r:id="rId722">
        <w:r>
          <w:rPr>
            <w:color w:val="1155CC"/>
            <w:u w:val="single"/>
          </w:rPr>
          <w:t>10.1103/crcq-spv4</w:t>
        </w:r>
      </w:hyperlink>
    </w:p>
    <w:p>
      <w:pPr>
        <w:spacing w:before="0" w:after="120"/>
      </w:pPr>
      <w:r>
        <w:rPr>
          <w:b/>
        </w:rPr>
        <w:t xml:space="preserve">Notes: </w:t>
      </w:r>
      <w:r>
        <w:t>abstract_source=rss_description</w:t>
      </w:r>
    </w:p>
    <w:p>
      <w:pPr>
        <w:spacing w:before="0" w:after="80" w:lineRule="auto" w:line="276"/>
      </w:pPr>
      <w:r>
        <w:rPr>
          <w:b/>
        </w:rPr>
        <w:t xml:space="preserve">摘要（ZH）: </w:t>
      </w:r>
      <w:r>
        <w:t>作者：Hovav Lazare、Ely D. Kovetz、Kimberly K. Boddy 和 Julian B. Muñoz 暗物质 (DM) 和质子之间的散射会导致小尺度波动受到抑制，这对各种宇宙学可观测结果都有影响。在这封信中，我们寻找 DM 质子散射的证据，其相互作用截面 $σ={σ}_{0}(v/c{)}^{n}$ 对于 $n=0$、2 和 4，对应…[Phys.莱特牧师。 137, 011001] 2026 年 6 月 30 日星期二发布</w:t>
      </w:r>
    </w:p>
    <w:p>
      <w:pPr>
        <w:spacing w:before="0" w:after="200" w:lineRule="auto" w:line="276"/>
      </w:pPr>
      <w:r>
        <w:rPr>
          <w:b/>
        </w:rPr>
        <w:t xml:space="preserve">Abstract (EN): </w:t>
      </w:r>
      <w:r>
        <w:t>Author(s): Hovav Lazare, Ely D. Kovetz, Kimberly K. Boddy, and Julian B. MuñozScattering between dark matter (DM) and protons leads to suppressed small-scale fluctuations, with implications for a variety of cosmological observables. In this Letter, we search for evidence of DM-proton scattering with an interaction cross section $σ={σ}_{0}(v/c{)}^{n}$ for $n=0$, 2 and 4, corre…[Phys. Rev. Lett. 137, 011001] Published Tue Jun 30, 2026</w:t>
      </w:r>
    </w:p>
    <w:p>
      <w:pPr>
        <w:spacing w:before="120" w:after="120"/>
      </w:pPr>
      <w:r>
        <w:rPr>
          <w:sz w:val="18"/>
        </w:rPr>
        <w:t>——————————————————————————————————————————————————————————————————————</w:t>
      </w:r>
    </w:p>
    <w:p>
      <w:pPr>
        <w:spacing w:before="160" w:after="40" w:line="240" w:lineRule="auto"/>
      </w:pPr>
      <w:r>
        <w:rPr>
          <w:b/>
        </w:rPr>
        <w:t xml:space="preserve">[303] </w:t>
      </w:r>
      <w:hyperlink r:id="rId723">
        <w:r>
          <w:rPr>
            <w:color w:val="1155CC"/>
            <w:u w:val="single"/>
          </w:rPr>
          <w:t>重子的黑暗秘密：利用 JWST 阐明暗物质与重子的相互作用</w:t>
        </w:r>
      </w:hyperlink>
    </w:p>
    <w:p>
      <w:pPr>
        <w:spacing w:before="0" w:after="80"/>
      </w:pPr>
      <w:r>
        <w:rPr>
          <w:i/>
          <w:sz w:val="20"/>
        </w:rPr>
        <w:t>EN: Dark Secrets of Baryons: Illuminating Dark Matter–Baryon Interactions with JWST</w:t>
      </w:r>
    </w:p>
    <w:p>
      <w:pPr>
        <w:spacing w:before="0" w:after="120"/>
      </w:pPr>
      <w:r>
        <w:rPr>
          <w:b/>
        </w:rPr>
        <w:t xml:space="preserve">Source: </w:t>
      </w:r>
      <w:r>
        <w:t>Recent Articles in Phys. Rev. Lett.</w:t>
      </w:r>
      <w:r>
        <w:t xml:space="preserve">    </w:t>
      </w:r>
      <w:r>
        <w:rPr>
          <w:b/>
        </w:rPr>
        <w:t xml:space="preserve">Pub date: </w:t>
      </w:r>
      <w:r>
        <w:t>2026-06-30 10:00:00+00:00</w:t>
      </w:r>
      <w:r>
        <w:t xml:space="preserve">    </w:t>
      </w:r>
      <w:r>
        <w:rPr>
          <w:b/>
        </w:rPr>
        <w:t xml:space="preserve">DOI: </w:t>
      </w:r>
      <w:hyperlink r:id="rId724">
        <w:r>
          <w:rPr>
            <w:color w:val="1155CC"/>
            <w:u w:val="single"/>
          </w:rPr>
          <w:t>10.1103/44nx-sgk4</w:t>
        </w:r>
      </w:hyperlink>
    </w:p>
    <w:p>
      <w:pPr>
        <w:spacing w:before="0" w:after="120"/>
      </w:pPr>
      <w:r>
        <w:rPr>
          <w:b/>
        </w:rPr>
        <w:t xml:space="preserve">Notes: </w:t>
      </w:r>
      <w:r>
        <w:t>abstract_source=rss_description</w:t>
      </w:r>
    </w:p>
    <w:p>
      <w:pPr>
        <w:spacing w:before="0" w:after="80" w:lineRule="auto" w:line="276"/>
      </w:pPr>
      <w:r>
        <w:rPr>
          <w:b/>
        </w:rPr>
        <w:t xml:space="preserve">摘要（ZH）: </w:t>
      </w:r>
      <w:r>
        <w:t>作者：Souradeep Das、Ranjini Mondol、Abhijeet Singh 和 Ranjan Laha 詹姆斯·韦伯太空望远镜 (JWST) 发现了高红移 ($z≈10–14$) 的明亮星系，以及各种延伸至更高红移 ($z≈15–30$) 的候选星系。人们提出了许多天体物理学和标准模型之外的物理场景来解释这些观察结果。我们邀请......[物理。莱特牧师。 137, 011002] 2026 年 6 月 30 日星期二发布</w:t>
      </w:r>
    </w:p>
    <w:p>
      <w:pPr>
        <w:spacing w:before="0" w:after="200" w:lineRule="auto" w:line="276"/>
      </w:pPr>
      <w:r>
        <w:rPr>
          <w:b/>
        </w:rPr>
        <w:t xml:space="preserve">Abstract (EN): </w:t>
      </w:r>
      <w:r>
        <w:t>Author(s): Souradeep Das, Ranjini Mondol, Abhijeet Singh, and Ranjan LahaThe James Webb Space Telescope (JWST) has discovered bright galaxies at high redshifts ($z≈10–14$) and various galaxy candidates extending to even higher redshifts ($z≈15–30$). Many astrophysical and beyond the Standard Model physics scenarios have been proposed to explain these observations. We inv…[Phys. Rev. Lett. 137, 011002] Published Tue Jun 30, 2026</w:t>
      </w:r>
    </w:p>
    <w:p>
      <w:pPr>
        <w:spacing w:before="120" w:after="120"/>
      </w:pPr>
      <w:r>
        <w:rPr>
          <w:sz w:val="18"/>
        </w:rPr>
        <w:t>——————————————————————————————————————————————————————————————————————</w:t>
      </w:r>
    </w:p>
    <w:p>
      <w:pPr>
        <w:spacing w:before="160" w:after="40" w:line="240" w:lineRule="auto"/>
      </w:pPr>
      <w:r>
        <w:rPr>
          <w:b/>
        </w:rPr>
        <w:t xml:space="preserve">[304] </w:t>
      </w:r>
      <w:hyperlink r:id="rId725">
        <w:r>
          <w:rPr>
            <w:color w:val="1155CC"/>
            <w:u w:val="single"/>
          </w:rPr>
          <w:t>D波量子退火器运动方程声子法特征值问题的求解</w:t>
        </w:r>
      </w:hyperlink>
    </w:p>
    <w:p>
      <w:pPr>
        <w:spacing w:before="0" w:after="80"/>
      </w:pPr>
      <w:r>
        <w:rPr>
          <w:i/>
          <w:sz w:val="20"/>
        </w:rPr>
        <w:t>EN: Solution of the equation-of-motion phonon method eigenvalue problems on the D-wave quantum annealer</w:t>
      </w:r>
    </w:p>
    <w:p>
      <w:pPr>
        <w:spacing w:before="0" w:after="120"/>
      </w:pPr>
      <w:r>
        <w:rPr>
          <w:b/>
        </w:rPr>
        <w:t xml:space="preserve">Source: </w:t>
      </w:r>
      <w:r>
        <w:t>Recent Articles in Phys. Rev. C</w:t>
      </w:r>
      <w:r>
        <w:t xml:space="preserve">    </w:t>
      </w:r>
      <w:r>
        <w:rPr>
          <w:b/>
        </w:rPr>
        <w:t xml:space="preserve">Pub date: </w:t>
      </w:r>
      <w:r>
        <w:t>2026-06-30 10:00:00+00:00</w:t>
      </w:r>
      <w:r>
        <w:t xml:space="preserve">    </w:t>
      </w:r>
      <w:r>
        <w:rPr>
          <w:b/>
        </w:rPr>
        <w:t xml:space="preserve">DOI: </w:t>
      </w:r>
      <w:hyperlink r:id="rId726">
        <w:r>
          <w:rPr>
            <w:color w:val="1155CC"/>
            <w:u w:val="single"/>
          </w:rPr>
          <w:t>10.1103/h6pm-chbl</w:t>
        </w:r>
      </w:hyperlink>
    </w:p>
    <w:p>
      <w:pPr>
        <w:spacing w:before="0" w:after="120"/>
      </w:pPr>
      <w:r>
        <w:rPr>
          <w:b/>
        </w:rPr>
        <w:t xml:space="preserve">Notes: </w:t>
      </w:r>
      <w:r>
        <w:t>abstract_source=rss_description</w:t>
      </w:r>
    </w:p>
    <w:p>
      <w:pPr>
        <w:spacing w:before="0" w:after="80" w:lineRule="auto" w:line="276"/>
      </w:pPr>
      <w:r>
        <w:rPr>
          <w:b/>
        </w:rPr>
        <w:t xml:space="preserve">摘要（ZH）: </w:t>
      </w:r>
      <w:r>
        <w:t>作者：C. De Lucia、A. Martone、F. A. D'Aniello、A. Mastroianni、G. Nunziata、G. De Gregorio、R. Folprecht、F. Knapp、N. Lo Iudice 和 P. Veselý 大规模特征值问题的解决在核多体理论中至关重要，其中哈密顿矩阵通常达到极大的维度。量子计算为解决此类棘手问题开辟了新的视角。尽管量子相位估计算法提供了，但原则上……[Phys。 Rev. C 113, 064325] 于 2026 年 6 月 30 日星期二发布</w:t>
      </w:r>
    </w:p>
    <w:p>
      <w:pPr>
        <w:spacing w:before="0" w:after="200" w:lineRule="auto" w:line="276"/>
      </w:pPr>
      <w:r>
        <w:rPr>
          <w:b/>
        </w:rPr>
        <w:t xml:space="preserve">Abstract (EN): </w:t>
      </w:r>
      <w:r>
        <w:t>Author(s): C. De Lucia, A. Martone, F. A. D'Aniello, A. Mastroianni, G. Nunziata, G. De Gregorio, R. Folprecht, F. Knapp, N. Lo Iudice, and P. VeselýThe solution of large-scale eigenvalue problems is crucial in nuclear many-body theory, where Hamiltonian matrices often reach extremely large dimensions. Quantum computing opens new perspectives for addressing such demanding problems. Although the quantum phase estimation algorithm offers, in princ…[Phys. Rev. C 113, 064325] Published Tue Jun 30, 2026</w:t>
      </w:r>
    </w:p>
    <w:p>
      <w:pPr>
        <w:spacing w:before="120" w:after="120"/>
      </w:pPr>
      <w:r>
        <w:rPr>
          <w:sz w:val="18"/>
        </w:rPr>
        <w:t>——————————————————————————————————————————————————————————————————————</w:t>
      </w:r>
    </w:p>
    <w:p>
      <w:pPr>
        <w:spacing w:before="160" w:after="40" w:line="240" w:lineRule="auto"/>
      </w:pPr>
      <w:r>
        <w:rPr>
          <w:b/>
        </w:rPr>
        <w:t xml:space="preserve">[305] </w:t>
      </w:r>
      <w:hyperlink r:id="rId727">
        <w:r>
          <w:rPr>
            <w:color w:val="1155CC"/>
            <w:u w:val="single"/>
          </w:rPr>
          <w:t>Ho 和 Er 同位素中的多价空间和核心激发带终止</w:t>
        </w:r>
      </w:hyperlink>
    </w:p>
    <w:p>
      <w:pPr>
        <w:spacing w:before="0" w:after="80"/>
      </w:pPr>
      <w:r>
        <w:rPr>
          <w:i/>
          <w:sz w:val="20"/>
        </w:rPr>
        <w:t>EN: Multiple valence-space and core-excited band terminations in Ho and Er isotopes</w:t>
      </w:r>
    </w:p>
    <w:p>
      <w:pPr>
        <w:spacing w:before="0" w:after="120"/>
      </w:pPr>
      <w:r>
        <w:rPr>
          <w:b/>
        </w:rPr>
        <w:t xml:space="preserve">Source: </w:t>
      </w:r>
      <w:r>
        <w:t>Recent Articles in Phys. Rev. C</w:t>
      </w:r>
      <w:r>
        <w:t xml:space="preserve">    </w:t>
      </w:r>
      <w:r>
        <w:rPr>
          <w:b/>
        </w:rPr>
        <w:t xml:space="preserve">Pub date: </w:t>
      </w:r>
      <w:r>
        <w:t>2026-06-30 10:00:00+00:00</w:t>
      </w:r>
      <w:r>
        <w:t xml:space="preserve">    </w:t>
      </w:r>
      <w:r>
        <w:rPr>
          <w:b/>
        </w:rPr>
        <w:t xml:space="preserve">DOI: </w:t>
      </w:r>
      <w:hyperlink r:id="rId728">
        <w:r>
          <w:rPr>
            <w:color w:val="1155CC"/>
            <w:u w:val="single"/>
          </w:rPr>
          <w:t>10.1103/393p-ghvk</w:t>
        </w:r>
      </w:hyperlink>
    </w:p>
    <w:p>
      <w:pPr>
        <w:spacing w:before="0" w:after="120"/>
      </w:pPr>
      <w:r>
        <w:rPr>
          <w:b/>
        </w:rPr>
        <w:t xml:space="preserve">Notes: </w:t>
      </w:r>
      <w:r>
        <w:t>abstract_source=rss_description</w:t>
      </w:r>
    </w:p>
    <w:p>
      <w:pPr>
        <w:spacing w:before="0" w:after="80" w:lineRule="auto" w:line="276"/>
      </w:pPr>
      <w:r>
        <w:rPr>
          <w:b/>
        </w:rPr>
        <w:t xml:space="preserve">摘要（ZH）: </w:t>
      </w:r>
      <w:r>
        <w:t>作者：E. S. Paul 等人。钬 ($Z=67$) 和铒 ($Z=68$) 同位素的高自旋结构出现在质量 160 附近，在该区域中，集体和单粒子激发模式在原子核中实验可达到的最高自旋下产生角动量。 ……[物理的水平方案。 Rev. C 113, 064322] 2026 年 6 月 30 日星期二发布</w:t>
      </w:r>
    </w:p>
    <w:p>
      <w:pPr>
        <w:spacing w:before="0" w:after="200" w:lineRule="auto" w:line="276"/>
      </w:pPr>
      <w:r>
        <w:rPr>
          <w:b/>
        </w:rPr>
        <w:t xml:space="preserve">Abstract (EN): </w:t>
      </w:r>
      <w:r>
        <w:t>Author(s): E. S. Paul et al.High-spin structures of holmium ($Z=67$) and erbium ($Z=68$) isotopes are presented near mass 160, a region where collective and single-particle modes of excitation compete in the generation of angular momentum at the highest experimentally attainable spins in atomic nuclei. The level schemes of the…[Phys. Rev. C 113, 064322] Published Tue Jun 30, 2026</w:t>
      </w:r>
    </w:p>
    <w:p>
      <w:pPr>
        <w:spacing w:before="120" w:after="120"/>
      </w:pPr>
      <w:r>
        <w:rPr>
          <w:sz w:val="18"/>
        </w:rPr>
        <w:t>——————————————————————————————————————————————————————————————————————</w:t>
      </w:r>
    </w:p>
    <w:p>
      <w:pPr>
        <w:spacing w:before="160" w:after="40" w:line="240" w:lineRule="auto"/>
      </w:pPr>
      <w:r>
        <w:rPr>
          <w:b/>
        </w:rPr>
        <w:t xml:space="preserve">[306] </w:t>
      </w:r>
      <w:hyperlink r:id="rId729">
        <w:r>
          <w:rPr>
            <w:color w:val="1155CC"/>
            <w:u w:val="single"/>
          </w:rPr>
          <w:t>勘误表：高能中子发射和短程核子-核子相关性 [Phys.修订版 C 112, 034614 (2025)]</w:t>
        </w:r>
      </w:hyperlink>
    </w:p>
    <w:p>
      <w:pPr>
        <w:spacing w:before="0" w:after="80"/>
      </w:pPr>
      <w:r>
        <w:rPr>
          <w:i/>
          <w:sz w:val="20"/>
        </w:rPr>
        <w:t>EN: Erratum: High-energy neutron emission and short-range nucleon-nucleon correlations [Phys. Rev. C 112, 034614 (2025)]</w:t>
      </w:r>
    </w:p>
    <w:p>
      <w:pPr>
        <w:spacing w:before="0" w:after="120"/>
      </w:pPr>
      <w:r>
        <w:rPr>
          <w:b/>
        </w:rPr>
        <w:t xml:space="preserve">Source: </w:t>
      </w:r>
      <w:r>
        <w:t>Recent Articles in Phys. Rev. C</w:t>
      </w:r>
      <w:r>
        <w:t xml:space="preserve">    </w:t>
      </w:r>
      <w:r>
        <w:rPr>
          <w:b/>
        </w:rPr>
        <w:t xml:space="preserve">Pub date: </w:t>
      </w:r>
      <w:r>
        <w:t>2026-06-30 10:00:00+00:00</w:t>
      </w:r>
      <w:r>
        <w:t xml:space="preserve">    </w:t>
      </w:r>
      <w:r>
        <w:rPr>
          <w:b/>
        </w:rPr>
        <w:t xml:space="preserve">DOI: </w:t>
      </w:r>
      <w:hyperlink r:id="rId730">
        <w:r>
          <w:rPr>
            <w:color w:val="1155CC"/>
            <w:u w:val="single"/>
          </w:rPr>
          <w:t>10.1103/dbtn-ydmp</w:t>
        </w:r>
      </w:hyperlink>
    </w:p>
    <w:p>
      <w:pPr>
        <w:spacing w:before="0" w:after="120"/>
      </w:pPr>
      <w:r>
        <w:rPr>
          <w:b/>
        </w:rPr>
        <w:t xml:space="preserve">Notes: </w:t>
      </w:r>
      <w:r>
        <w:t>abstract_source=rss_description</w:t>
      </w:r>
    </w:p>
    <w:p>
      <w:pPr>
        <w:spacing w:before="0" w:after="80" w:lineRule="auto" w:line="276"/>
      </w:pPr>
      <w:r>
        <w:rPr>
          <w:b/>
        </w:rPr>
        <w:t xml:space="preserve">摘要（ZH）: </w:t>
      </w:r>
      <w:r>
        <w:t>作者：R. Wada、Q. Hu、G. Y. Tian、X. Q. Liu、W. P. Lin、J. H. Tan 和 H. Cheng[Phys. Rev. C 113, 069903] 2026 年 6 月 30 日星期二发布</w:t>
      </w:r>
    </w:p>
    <w:p>
      <w:pPr>
        <w:spacing w:before="0" w:after="200" w:lineRule="auto" w:line="276"/>
      </w:pPr>
      <w:r>
        <w:rPr>
          <w:b/>
        </w:rPr>
        <w:t xml:space="preserve">Abstract (EN): </w:t>
      </w:r>
      <w:r>
        <w:t>Author(s): R. Wada, Q. Hu, G. Y. Tian, X. Q. Liu, W. P. Lin, J. H. Tan, and H. Zheng[Phys. Rev. C 113, 069903] Published Tue Jun 30, 2026</w:t>
      </w:r>
    </w:p>
    <w:p>
      <w:pPr>
        <w:spacing w:before="120" w:after="120"/>
      </w:pPr>
      <w:r>
        <w:rPr>
          <w:sz w:val="18"/>
        </w:rPr>
        <w:t>——————————————————————————————————————————————————————————————————————</w:t>
      </w:r>
    </w:p>
    <w:p>
      <w:pPr>
        <w:spacing w:before="160" w:after="40" w:line="240" w:lineRule="auto"/>
      </w:pPr>
      <w:r>
        <w:rPr>
          <w:b/>
        </w:rPr>
        <w:t xml:space="preserve">[307] </w:t>
      </w:r>
      <w:hyperlink r:id="rId731">
        <w:r>
          <w:rPr>
            <w:color w:val="1155CC"/>
            <w:u w:val="single"/>
          </w:rPr>
          <w:t>通过 $γ$ 衰变探测侏儒偶极子共振的结构</w:t>
        </w:r>
      </w:hyperlink>
    </w:p>
    <w:p>
      <w:pPr>
        <w:spacing w:before="0" w:after="80"/>
      </w:pPr>
      <w:r>
        <w:rPr>
          <w:i/>
          <w:sz w:val="20"/>
        </w:rPr>
        <w:t>EN: Probing the structure of the pygmy dipole resonance with its $γ$ decay</w:t>
      </w:r>
    </w:p>
    <w:p>
      <w:pPr>
        <w:spacing w:before="0" w:after="120"/>
      </w:pPr>
      <w:r>
        <w:rPr>
          <w:b/>
        </w:rPr>
        <w:t xml:space="preserve">Source: </w:t>
      </w:r>
      <w:r>
        <w:t>Recent Articles in Phys. Rev. C</w:t>
      </w:r>
      <w:r>
        <w:t xml:space="preserve">    </w:t>
      </w:r>
      <w:r>
        <w:rPr>
          <w:b/>
        </w:rPr>
        <w:t xml:space="preserve">Pub date: </w:t>
      </w:r>
      <w:r>
        <w:t>2026-06-30 10:00:00+00:00</w:t>
      </w:r>
      <w:r>
        <w:t xml:space="preserve">    </w:t>
      </w:r>
      <w:r>
        <w:rPr>
          <w:b/>
        </w:rPr>
        <w:t xml:space="preserve">DOI: </w:t>
      </w:r>
      <w:hyperlink r:id="rId732">
        <w:r>
          <w:rPr>
            <w:color w:val="1155CC"/>
            <w:u w:val="single"/>
          </w:rPr>
          <w:t>10.1103/m8b9-lbw3</w:t>
        </w:r>
      </w:hyperlink>
    </w:p>
    <w:p>
      <w:pPr>
        <w:spacing w:before="0" w:after="120"/>
      </w:pPr>
      <w:r>
        <w:rPr>
          <w:b/>
        </w:rPr>
        <w:t xml:space="preserve">Notes: </w:t>
      </w:r>
      <w:r>
        <w:t>abstract_source=rss_description</w:t>
      </w:r>
    </w:p>
    <w:p>
      <w:pPr>
        <w:spacing w:before="0" w:after="80" w:lineRule="auto" w:line="276"/>
      </w:pPr>
      <w:r>
        <w:rPr>
          <w:b/>
        </w:rPr>
        <w:t xml:space="preserve">摘要（ZH）: </w:t>
      </w:r>
      <w:r>
        <w:t>作者：W.-L. Lv（吕万里），Y.-F。 Niu (牛一斐) 和 G. Coló同位旋性质和侏儒偶极子共振 (PDR) 的集体性是核结构研究中长期存在的悬而未决的问题。为了回答这些问题，使用 Skyrme 粒子 v…[Phys. Rev. C 113, 064324] 2026 年 6 月 30 日星期二发布</w:t>
      </w:r>
    </w:p>
    <w:p>
      <w:pPr>
        <w:spacing w:before="0" w:after="200" w:lineRule="auto" w:line="276"/>
      </w:pPr>
      <w:r>
        <w:rPr>
          <w:b/>
        </w:rPr>
        <w:t xml:space="preserve">Abstract (EN): </w:t>
      </w:r>
      <w:r>
        <w:t>Author(s): W.-L. Lv (吕万里), Y.-F. Niu (牛一斐), and G. ColóThe isospin properties and the collectivity of the pygmy dipole resonance (PDR) are longstanding open questions in nuclear structure studies. To answer these questions, the $γ$ decay of PDR states in $^{208}\mathrm{Pb}$ to the low-lying ${2}_{1}^{+}$ state is investigated using the Skyrme particle-v…[Phys. Rev. C 113, 064324] Published Tue Jun 30, 2026</w:t>
      </w:r>
    </w:p>
    <w:p>
      <w:pPr>
        <w:spacing w:before="120" w:after="120"/>
      </w:pPr>
      <w:r>
        <w:rPr>
          <w:sz w:val="18"/>
        </w:rPr>
        <w:t>——————————————————————————————————————————————————————————————————————</w:t>
      </w:r>
    </w:p>
    <w:p>
      <w:pPr>
        <w:spacing w:before="160" w:after="40" w:line="240" w:lineRule="auto"/>
      </w:pPr>
      <w:r>
        <w:rPr>
          <w:b/>
        </w:rPr>
        <w:t xml:space="preserve">[308] </w:t>
      </w:r>
      <w:hyperlink r:id="rId733">
        <w:r>
          <w:rPr>
            <w:color w:val="1155CC"/>
            <w:u w:val="single"/>
          </w:rPr>
          <w:t>复合液体大理石模板毫米胶囊，具有可调节的刚性、孔隙率和热可重构性，适用于 3D 细胞培养</w:t>
        </w:r>
      </w:hyperlink>
    </w:p>
    <w:p>
      <w:pPr>
        <w:spacing w:before="0" w:after="80"/>
      </w:pPr>
      <w:r>
        <w:rPr>
          <w:i/>
          <w:sz w:val="20"/>
        </w:rPr>
        <w:t>EN: Composite Liquid Marble Templated Millimetric Capsule With Tunable Rigidity, Porosity, and Thermal Reconfigurability Toward 3D Cell Culture</w:t>
      </w:r>
    </w:p>
    <w:p>
      <w:pPr>
        <w:spacing w:before="0" w:after="120"/>
      </w:pPr>
      <w:r>
        <w:rPr>
          <w:b/>
        </w:rPr>
        <w:t xml:space="preserve">Source: </w:t>
      </w:r>
      <w:r>
        <w:t>Wiley: Advanced Materials: Table of Contents</w:t>
      </w:r>
      <w:r>
        <w:t xml:space="preserve">    </w:t>
      </w:r>
      <w:r>
        <w:rPr>
          <w:b/>
        </w:rPr>
        <w:t xml:space="preserve">Pub date: </w:t>
      </w:r>
      <w:r>
        <w:t>2026-06-30 11:09:29+00:00</w:t>
      </w:r>
      <w:r>
        <w:t xml:space="preserve">    </w:t>
      </w:r>
      <w:r>
        <w:rPr>
          <w:b/>
        </w:rPr>
        <w:t xml:space="preserve">DOI: </w:t>
      </w:r>
      <w:hyperlink r:id="rId734">
        <w:r>
          <w:rPr>
            <w:color w:val="1155CC"/>
            <w:u w:val="single"/>
          </w:rPr>
          <w:t>10.1002/adma.73815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医学研究对动物模型的广泛依赖促进了先进体外系统的开发，这些系统可以重现生理复杂性，同时最大限度地减少动物的使用。大细胞球体可以模仿天然组织结构；然而，超过毫米尺寸的球体的可扩展制造仍然具有挑战性。在这里，我们引入了毫米级的刚性多孔胶囊（RPC），这是一种机械坚固但具有高渗透性的平台，可施加外部几何限制以实现细胞间聚集和三维增殖。 RPC 是通过热处理 LM 制成的，该 LM 由超疏水颗粒的二元混合物组成：可熔性聚丙烯酸十八酯 (PODAc) 微粒和不可熔性牛血清白蛋白 (BSA) 纳米颗粒。 PODAc 的选择性熔化导致最初脆弱的多孔 LM 壳转变为刚性的大孔结构（孔径为微米级）。通过调节二元混合物成分，可以精确调节壳的刚度和孔隙率，以平衡机械稳定性与有效的养分运输。由此产生的 RPC 保留了高度球形的几何形状，并支持 3D 细胞培养至少 14 天，从而能够形成毫米级的可行的无支架球体。该 RPC 为高级组织建模和药物筛选建立了生理相关系统。</w:t>
      </w:r>
    </w:p>
    <w:p>
      <w:pPr>
        <w:spacing w:before="0" w:after="200" w:lineRule="auto" w:line="276"/>
      </w:pPr>
      <w:r>
        <w:rPr>
          <w:b/>
        </w:rPr>
        <w:t xml:space="preserve">Abstract (EN): </w:t>
      </w:r>
      <w:r>
        <w:t>The extensive reliance on animal models in biomedical research motivates the development of advanced in vitro systems that recapitulate physiological complexity while minimizing animal use. Large cellular spheroids can mimic native tissue architecture; however, scalable fabrication of spheroids exceeding millimeter dimensions remains challenging. Here, we introduce a rigid porous capsule (RPC) in millimeter scale, a mechanically robust yet highly permeable platform that imposes external geometric confinement to enable cell–cell aggregation and three‐dimensional proliferation. The RPC is fabricated by thermally processing LMs composed of a binary mixture of superhydrophobic particles: meltable poly(octadecyl acrylate) (PODAc) microparticles and non‐meltable bovine serum albumin (BSA) nanoparticles. Selective melting of PODAc induces a transformation of the initially fragile, porous LM shell into a rigid and macroporous architecture (pore size in µm scale). By modulating the binary mixture composition, the shell stiffness and porosity are precisely tuned to balance mechanical stability with efficient nutrient transport. The resulting RPCs retain a highly spherical geometry and support 3D cell culture for at least 14 days, enabling the formation of viable, scaffold‐free spheroids on a millimetric scale. This RPC establishes a physiologically relevant system for advanced tissue modeling and drug screening.</w:t>
      </w:r>
    </w:p>
    <w:p>
      <w:pPr>
        <w:spacing w:before="120" w:after="120"/>
      </w:pPr>
      <w:r>
        <w:rPr>
          <w:sz w:val="18"/>
        </w:rPr>
        <w:t>——————————————————————————————————————————————————————————————————————</w:t>
      </w:r>
    </w:p>
    <w:p>
      <w:pPr>
        <w:spacing w:before="160" w:after="40" w:line="240" w:lineRule="auto"/>
      </w:pPr>
      <w:r>
        <w:rPr>
          <w:b/>
        </w:rPr>
        <w:t xml:space="preserve">[309] </w:t>
      </w:r>
      <w:hyperlink r:id="rId735">
        <w:r>
          <w:rPr>
            <w:color w:val="1155CC"/>
            <w:u w:val="single"/>
          </w:rPr>
          <w:t>用于治疗性细菌杂交系统的亲水稳定核苷基氢键有机框架（N-HOF）</w:t>
        </w:r>
      </w:hyperlink>
    </w:p>
    <w:p>
      <w:pPr>
        <w:spacing w:before="0" w:after="80"/>
      </w:pPr>
      <w:r>
        <w:rPr>
          <w:i/>
          <w:sz w:val="20"/>
        </w:rPr>
        <w:t>EN: Hydrophilic‐Stable Nucleoside‐Based Hydrogen‐Bonded Organic Frameworks (N‐HOF) for Therapeutic Bacterial Hybrid Systems</w:t>
      </w:r>
    </w:p>
    <w:p>
      <w:pPr>
        <w:spacing w:before="0" w:after="120"/>
      </w:pPr>
      <w:r>
        <w:rPr>
          <w:b/>
        </w:rPr>
        <w:t xml:space="preserve">Source: </w:t>
      </w:r>
      <w:r>
        <w:t>Wiley: Advanced Materials: Table of Contents</w:t>
      </w:r>
      <w:r>
        <w:t xml:space="preserve">    </w:t>
      </w:r>
      <w:r>
        <w:rPr>
          <w:b/>
        </w:rPr>
        <w:t xml:space="preserve">Pub date: </w:t>
      </w:r>
      <w:r>
        <w:t>2026-06-30 11:11:07+00:00</w:t>
      </w:r>
      <w:r>
        <w:t xml:space="preserve">    </w:t>
      </w:r>
      <w:r>
        <w:rPr>
          <w:b/>
        </w:rPr>
        <w:t xml:space="preserve">DOI: </w:t>
      </w:r>
      <w:hyperlink r:id="rId736">
        <w:r>
          <w:rPr>
            <w:color w:val="1155CC"/>
            <w:u w:val="single"/>
          </w:rPr>
          <w:t>10.1002/adma.73854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氢键有机框架（HOF）由于其无金属的生物相容性和可回收性而成为生物医学应用的有前途的材料。值得注意的是，大多数 HOF 是在有机溶剂中合成和使用的，限制了它们的生物医学转化。尽管水是一种生物相容的替代品，但它会竞争氢键并破坏结构单元之间的相互作用，使得稳定的水性 HOF 的构建具有挑战性。受 DNA 碱基配对结构的启发，第一个基于核苷的 HOF（N-HOF-1）是使用多氢键策略开发的。该框架完全在水中合成，只需将 2-氨基-2'-氟-2'-脱氧腺苷 (2FA) 和氰尿酸 (CA) 混合即可实现分级生产，同时在生理条件下保持稳定性。微晶电子衍射 (MicroED) 和单晶 X 射线衍射 (SCXRD) 研究揭示了 N-HOF-1 通道内 M 形水簇的限制，模拟 DNA 水合并保留 HOF 结构。值得注意的是，N-HOF-1 的多孔和带正电的特性使其能够与细菌相互作用，形成细菌-纳米颗粒生物杂化系统。该系统利用核苷结构单元的固有生物活性，增强工程细菌在牙周组织中的定植、牙周组织再生和淋巴瘤治疗。这些发现强调了核苷作为亲水稳定 HOF 的多功能构建模块的潜力，为亲水稳定 HOF 提供了新的可能性。</w:t>
      </w:r>
    </w:p>
    <w:p>
      <w:pPr>
        <w:spacing w:before="0" w:after="200" w:lineRule="auto" w:line="276"/>
      </w:pPr>
      <w:r>
        <w:rPr>
          <w:b/>
        </w:rPr>
        <w:t xml:space="preserve">Abstract (EN): </w:t>
      </w:r>
      <w:r>
        <w:t>Hydrogen‐bonded organic frameworks (HOFs) have emerged as promising materials for biomedical applications owing to their metal‐free biocompatibility and recyclability. Notably, most HOFs are synthesized and utilized in organic solvents, limiting their biomedical translation. Although water is a biologically compatible alternative, it competes for hydrogen bonding and disrupts interactions between building blocks, making the construction of stable aqueous HOFs challenging. Inspired by the DNA base pairing structure, the first nucleoside‐based HOF (N‐HOF‐1) was developed using a multi‐hydrogen bonding strategy. This framework is synthesized entirely in water by simply mixing 2‐amino‐2'‐fluoro‐2'‐deoxyadenosine (2FA) and cyanuric acid (CA), enabling grade production while maintaining stability under physiological conditions. Microcrystal electron diffraction (MicroED) and single‐crystal X‐ray diffraction (SCXRD) studies revealed the confinement of M‐shaped water clusters within the channels of N‐HOF‐1, mimicking DNA hydration and preserving the HOF architecture. Notably, the porous and positively charged properties of N‐HOF‐1 enable interaction with bacteria to form the bacteria–nanoparticle biohybrid systems. Leveraging the intrinsic bioactivity of nucleoside building blocks, this system enhances engineered bacterial colonization in the periodontium, periodontal tissue regeneration, and lymphoma therapy. These findings highlighted the potential of nucleosides as versatile building blocks for hydrophilically stable HOFs, offering new possibilities for their biomedical applications.</w:t>
      </w:r>
    </w:p>
    <w:p>
      <w:pPr>
        <w:spacing w:before="120" w:after="120"/>
      </w:pPr>
      <w:r>
        <w:rPr>
          <w:sz w:val="18"/>
        </w:rPr>
        <w:t>——————————————————————————————————————————————————————————————————————</w:t>
      </w:r>
    </w:p>
    <w:p>
      <w:pPr>
        <w:spacing w:before="160" w:after="40" w:line="240" w:lineRule="auto"/>
      </w:pPr>
      <w:r>
        <w:rPr>
          <w:b/>
        </w:rPr>
        <w:t xml:space="preserve">[310] </w:t>
      </w:r>
      <w:hyperlink r:id="rId737">
        <w:r>
          <w:rPr>
            <w:color w:val="1155CC"/>
            <w:u w:val="single"/>
          </w:rPr>
          <w:t>用于高效氯电合成的镧系桥双原子催化剂</w:t>
        </w:r>
      </w:hyperlink>
    </w:p>
    <w:p>
      <w:pPr>
        <w:spacing w:before="0" w:after="80"/>
      </w:pPr>
      <w:r>
        <w:rPr>
          <w:i/>
          <w:sz w:val="20"/>
        </w:rPr>
        <w:t>EN: Lanthanide‐Bridged Dual‐Atom Catalysts for Efficient Chlorine Electrosynthesis</w:t>
      </w:r>
    </w:p>
    <w:p>
      <w:pPr>
        <w:spacing w:before="0" w:after="120"/>
      </w:pPr>
      <w:r>
        <w:rPr>
          <w:b/>
        </w:rPr>
        <w:t xml:space="preserve">Source: </w:t>
      </w:r>
      <w:r>
        <w:t>Wiley: Advanced Materials: Table of Contents</w:t>
      </w:r>
      <w:r>
        <w:t xml:space="preserve">    </w:t>
      </w:r>
      <w:r>
        <w:rPr>
          <w:b/>
        </w:rPr>
        <w:t xml:space="preserve">Pub date: </w:t>
      </w:r>
      <w:r>
        <w:t>2026-06-30 11:11:12+00:00</w:t>
      </w:r>
      <w:r>
        <w:t xml:space="preserve">    </w:t>
      </w:r>
      <w:r>
        <w:rPr>
          <w:b/>
        </w:rPr>
        <w:t xml:space="preserve">DOI: </w:t>
      </w:r>
      <w:hyperlink r:id="rId738">
        <w:r>
          <w:rPr>
            <w:color w:val="1155CC"/>
            <w:u w:val="single"/>
          </w:rPr>
          <w:t>10.1002/adma.73881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电催化析氯反应（CER）是氯碱工业和水处理的核心，但其实际部署仍然受到高能源需求和选择性不足的限制。在这里，我们报告了一种使用郁金香形共价有机骨架（Tu-COF）前体构建异核Ru-Ln双原子催化剂（Ln = La、Ce、Pr）的“榫卯”策略。 Tu-COF 的预组织微孔可用作原子级纳米反应器，能够精确限制和配对 Ru 和镧系元素原子。其中，Ru‐Ce 具有出色的 CER 性能，达到 150 mA cm</w:t>
      </w:r>
      <w:r>
        <w:t xml:space="preserve"> </w:t>
      </w:r>
      <w:r>
        <w:t>−2</w:t>
      </w:r>
      <w:r>
        <w:t xml:space="preserve"> </w:t>
      </w:r>
      <w:r>
        <w:t>相对于 RHE，电压为 1.45 V，Cl 的法拉第效率接近 100%</w:t>
      </w:r>
      <w:r>
        <w:rPr>
          <w:vertAlign w:val="subscript"/>
        </w:rPr>
        <w:t>2</w:t>
      </w:r>
      <w:r>
        <w:t>流动池中的进化和超过 500 小时的稳定性。机理研究确定了原位形成的 RuCeCl-N</w:t>
      </w:r>
      <w:r>
        <w:rPr>
          <w:vertAlign w:val="subscript"/>
        </w:rPr>
        <w:t>6</w:t>
      </w:r>
      <w:r>
        <w:t>主题作为活性位点。密度泛函理论计算表明，相邻的 Ce 调节 Ru 中心的 d 带结构和电荷分布，增强 RuCe-N 上的初始 Cl 吸附</w:t>
      </w:r>
      <w:r>
        <w:rPr>
          <w:vertAlign w:val="subscript"/>
        </w:rPr>
        <w:t>6</w:t>
      </w:r>
      <w:r>
        <w:t>同时优化 RuCeCl-N 上的后续 Cl 吸附</w:t>
      </w:r>
      <w:r>
        <w:rPr>
          <w:vertAlign w:val="subscript"/>
        </w:rPr>
        <w:t>6</w:t>
      </w:r>
      <w:r>
        <w:t>。这降低了 Cl-Cl 耦合的自由能垒并抑制竞争性 OOH</w:t>
      </w:r>
      <w:r>
        <w:t xml:space="preserve"> </w:t>
      </w:r>
      <w:r>
        <w:t>*</w:t>
      </w:r>
      <w:r>
        <w:t xml:space="preserve"> </w:t>
      </w:r>
      <w:r>
        <w:t>形成，从而加速 CER 动力学并从本质上提高活性和选择性。这项工作为异核 DAC c 提供了一种可推广的策略</w:t>
      </w:r>
    </w:p>
    <w:p>
      <w:pPr>
        <w:spacing w:before="0" w:after="200" w:lineRule="auto" w:line="276"/>
      </w:pPr>
      <w:r>
        <w:rPr>
          <w:b/>
        </w:rPr>
        <w:t xml:space="preserve">Abstract (EN): </w:t>
      </w:r>
      <w:r>
        <w:t>The electrocatalytic chlorine evolution reaction (CER) is central to chlor‐alkali industries and water treatment, yet its practical deployment is still constrained by high energy demands and insufficient selectivity. Here, we report a “mortise‐and‐tenon” strategy using a tulip‐shaped covalent organic framework (Tu‐COF) precursor to construct heteronuclear Ru‐Ln dual‐atom catalysts (Ln = La, Ce, Pr). The pre‐organized micropores of Tu‐COF serve as atomic‐scale nanoreactors, enabling precise confinement and pairing of Ru and lanthanide atoms. Among them, Ru‐Ce delivers outstanding CER performance, achieving 150 mA cm</w:t>
      </w:r>
      <w:r>
        <w:t xml:space="preserve"> </w:t>
      </w:r>
      <w:r>
        <w:t>−2</w:t>
      </w:r>
      <w:r>
        <w:t xml:space="preserve"> </w:t>
      </w:r>
      <w:r>
        <w:t>at 1.45 V versus RHE with nearly 100% Faradaic efficiency for Cl</w:t>
      </w:r>
      <w:r>
        <w:rPr>
          <w:vertAlign w:val="subscript"/>
        </w:rPr>
        <w:t>2</w:t>
      </w:r>
      <w:r>
        <w:t>evolution and over 500 h stability in a flow cell. Mechanistic studies identify the in situ formed RuCeCl‐N</w:t>
      </w:r>
      <w:r>
        <w:rPr>
          <w:vertAlign w:val="subscript"/>
        </w:rPr>
        <w:t>6</w:t>
      </w:r>
      <w:r>
        <w:t>motif as the active site. Density functional theory calculations reveal that adjacent Ce modulates the Ru center's d‐band structure and charge distribution, enhancing initial Cl adsorption on RuCe‐N</w:t>
      </w:r>
      <w:r>
        <w:rPr>
          <w:vertAlign w:val="subscript"/>
        </w:rPr>
        <w:t>6</w:t>
      </w:r>
      <w:r>
        <w:t>while optimizing subsequent Cl adsorption on RuCeCl‐N</w:t>
      </w:r>
      <w:r>
        <w:rPr>
          <w:vertAlign w:val="subscript"/>
        </w:rPr>
        <w:t>6</w:t>
      </w:r>
      <w:r>
        <w:t>. This lowers the free‐energy barrier for Cl–Cl coupling and suppresses competing OOH</w:t>
      </w:r>
      <w:r>
        <w:t xml:space="preserve"> </w:t>
      </w:r>
      <w:r>
        <w:t>*</w:t>
      </w:r>
      <w:r>
        <w:t xml:space="preserve"> </w:t>
      </w:r>
      <w:r>
        <w:t>formation, thereby accelerating CER kinetics and intrinsically improving activity and selectivity. This work offers a generalizable strategy for heteronuclear DAC construction and highlights lanthanide‐mediated electronic engineering as a powerful approach to electrocatalyst design.</w:t>
      </w:r>
    </w:p>
    <w:p>
      <w:pPr>
        <w:spacing w:before="120" w:after="120"/>
      </w:pPr>
      <w:r>
        <w:rPr>
          <w:sz w:val="18"/>
        </w:rPr>
        <w:t>——————————————————————————————————————————————————————————————————————</w:t>
      </w:r>
    </w:p>
    <w:p>
      <w:pPr>
        <w:spacing w:before="160" w:after="40" w:line="240" w:lineRule="auto"/>
      </w:pPr>
      <w:r>
        <w:rPr>
          <w:b/>
        </w:rPr>
        <w:t xml:space="preserve">[311] </w:t>
      </w:r>
      <w:hyperlink r:id="rId739">
        <w:r>
          <w:rPr>
            <w:color w:val="1155CC"/>
            <w:u w:val="single"/>
          </w:rPr>
          <w:t>通过中间相的受控酰胺化加速 CsPbI3 的形成</w:t>
        </w:r>
      </w:hyperlink>
    </w:p>
    <w:p>
      <w:pPr>
        <w:spacing w:before="0" w:after="80"/>
      </w:pPr>
      <w:r>
        <w:rPr>
          <w:i/>
          <w:sz w:val="20"/>
        </w:rPr>
        <w:t>EN: Accelerated Formation of CsPbI3 through Controlled Amidation of Intermediate Phases</w:t>
      </w:r>
    </w:p>
    <w:p>
      <w:pPr>
        <w:spacing w:before="0" w:after="120"/>
      </w:pPr>
      <w:r>
        <w:rPr>
          <w:b/>
        </w:rPr>
        <w:t xml:space="preserve">Source: </w:t>
      </w:r>
      <w:r>
        <w:t>Wiley: Advanced Energy Materials: Table of Contents</w:t>
      </w:r>
      <w:r>
        <w:t xml:space="preserve">    </w:t>
      </w:r>
      <w:r>
        <w:rPr>
          <w:b/>
        </w:rPr>
        <w:t xml:space="preserve">Pub date: </w:t>
      </w:r>
      <w:r>
        <w:t>2026-06-30 12:21:11+00:00</w:t>
      </w:r>
      <w:r>
        <w:t xml:space="preserve">    </w:t>
      </w:r>
      <w:r>
        <w:rPr>
          <w:b/>
        </w:rPr>
        <w:t xml:space="preserve">DOI: </w:t>
      </w:r>
      <w:hyperlink r:id="rId740">
        <w:r>
          <w:rPr>
            <w:color w:val="1155CC"/>
            <w:u w:val="single"/>
          </w:rPr>
          <w:t>10.1002/aenm.71174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全无机金属卤化物钙钛矿CsPbI</w:t>
      </w:r>
      <w:r>
        <w:rPr>
          <w:vertAlign w:val="subscript"/>
        </w:rPr>
        <w:t>3</w:t>
      </w:r>
      <w:r>
        <w:t>由于其热稳定性和适合串联应用的带隙，是一种很有前途的光伏吸收剂。最常见的沉积 CsPbI 的方法</w:t>
      </w:r>
      <w:r>
        <w:rPr>
          <w:vertAlign w:val="subscript"/>
        </w:rPr>
        <w:t>3</w:t>
      </w:r>
      <w:r>
        <w:t>从溶液中提取基于使用二甲基碘化铵 (DMAI)；然而，在结晶过程中去除 DMAI 具有挑战性，因为它会引入残留物，从而导致更高的缺陷密度并引发降解。在这里，我们介绍了一种基于 2,2,2-三氟乙基三氟乙酸酯 (TFTF) 的反应引导结晶策略，该策略在退火过程中与 DMAI 发生快速酯胺酰胺化反应。通过将 DMAI 转化为高挥发性产物，TFTF 反应可平稳、无添加剂残留地过渡到 γ-CsPbI</w:t>
      </w:r>
      <w:r>
        <w:rPr>
          <w:vertAlign w:val="subscript"/>
        </w:rPr>
        <w:t>3</w:t>
      </w:r>
      <w:r>
        <w:t>并生产出缺陷密度低的无针孔薄膜。使用这种策略制造的器件可提供开路电压（V</w:t>
      </w:r>
      <w:r>
        <w:t xml:space="preserve"> </w:t>
      </w:r>
      <w:r>
        <w:t>奥克</w:t>
      </w:r>
      <w:r>
        <w:t xml:space="preserve"> </w:t>
      </w:r>
      <w:r>
        <w:t>）为 1.20 V，冠军效率为 20.8%，并且运行稳定性显着提高。这种中间管理方法提供了一种实用的、化学定义的途径来指导 CsPbI</w:t>
      </w:r>
      <w:r>
        <w:rPr>
          <w:vertAlign w:val="subscript"/>
        </w:rPr>
        <w:t>3</w:t>
      </w:r>
      <w:r>
        <w:t>结晶和推进高性能无机碘化物钙钛矿光伏发电。</w:t>
      </w:r>
    </w:p>
    <w:p>
      <w:pPr>
        <w:spacing w:before="0" w:after="200" w:lineRule="auto" w:line="276"/>
      </w:pPr>
      <w:r>
        <w:rPr>
          <w:b/>
        </w:rPr>
        <w:t xml:space="preserve">Abstract (EN): </w:t>
      </w:r>
      <w:r>
        <w:t>The all‐inorganic metal halide perovskite CsPbI</w:t>
      </w:r>
      <w:r>
        <w:rPr>
          <w:vertAlign w:val="subscript"/>
        </w:rPr>
        <w:t>3</w:t>
      </w:r>
      <w:r>
        <w:t>is a promising photovoltaic absorber owing to its thermal stability and suitable bandgap for tandem applications. The most common approach to depositing CsPbI</w:t>
      </w:r>
      <w:r>
        <w:rPr>
          <w:vertAlign w:val="subscript"/>
        </w:rPr>
        <w:t>3</w:t>
      </w:r>
      <w:r>
        <w:t>from solution is based on the use of dimethylammonium iodide (DMAI); however, removing DMAI during crystallization is challenging, as it introduces residues that can lead to higher defect densities and trigger degradation. Here, we introduce a reaction‐guided crystallization strategy based on 2,2,2‐trifluoroethyl trifluoroacetate (TFTF), which undergoes a rapid ester‐amine amidation reaction with DMAI during annealing. By converting DMAI into highly volatile products, the TFTF reaction drives a smooth, additive residue‐free transition to γ‐CsPbI</w:t>
      </w:r>
      <w:r>
        <w:rPr>
          <w:vertAlign w:val="subscript"/>
        </w:rPr>
        <w:t>3</w:t>
      </w:r>
      <w:r>
        <w:t>and produces pinhole‐free films with low defect densities. Devices fabricated using this strategy deliver an open‐circuit voltage (V</w:t>
      </w:r>
      <w:r>
        <w:t xml:space="preserve"> </w:t>
      </w:r>
      <w:r>
        <w:t>OC</w:t>
      </w:r>
      <w:r>
        <w:t xml:space="preserve"> </w:t>
      </w:r>
      <w:r>
        <w:t>) of 1.20 V and a champion efficiency of 20.8%, along with markedly improved operational stability. This intermediate‐management approach provides a practical, chemically defined pathway for directing CsPbI</w:t>
      </w:r>
      <w:r>
        <w:rPr>
          <w:vertAlign w:val="subscript"/>
        </w:rPr>
        <w:t>3</w:t>
      </w:r>
      <w:r>
        <w:t>crystallization and advancing high‐performance inorganic iodide perovskite photovoltaics.</w:t>
      </w:r>
    </w:p>
    <w:p>
      <w:pPr>
        <w:spacing w:before="120" w:after="120"/>
      </w:pPr>
      <w:r>
        <w:rPr>
          <w:sz w:val="18"/>
        </w:rPr>
        <w:t>——————————————————————————————————————————————————————————————————————</w:t>
      </w:r>
    </w:p>
    <w:p>
      <w:pPr>
        <w:spacing w:before="160" w:after="40" w:line="240" w:lineRule="auto"/>
      </w:pPr>
      <w:r>
        <w:rPr>
          <w:b/>
        </w:rPr>
        <w:t xml:space="preserve">[312] </w:t>
      </w:r>
      <w:hyperlink r:id="rId741">
        <w:r>
          <w:rPr>
            <w:color w:val="1155CC"/>
            <w:u w:val="single"/>
          </w:rPr>
          <w:t>仿生人工生物能细胞器：设计原理、纳米制造和治疗性转化</w:t>
        </w:r>
      </w:hyperlink>
    </w:p>
    <w:p>
      <w:pPr>
        <w:spacing w:before="0" w:after="80"/>
      </w:pPr>
      <w:r>
        <w:rPr>
          <w:i/>
          <w:sz w:val="20"/>
        </w:rPr>
        <w:t>EN: Bioinspired Artificial Bioenergetic Organelles: Design Principles, Nanofabrication and Therapeutic Translation</w:t>
      </w:r>
    </w:p>
    <w:p>
      <w:pPr>
        <w:spacing w:before="0" w:after="120"/>
      </w:pPr>
      <w:r>
        <w:rPr>
          <w:b/>
        </w:rPr>
        <w:t xml:space="preserve">Source: </w:t>
      </w:r>
      <w:r>
        <w:t>Wiley: Advanced Materials: Table of Contents</w:t>
      </w:r>
      <w:r>
        <w:t xml:space="preserve">    </w:t>
      </w:r>
      <w:r>
        <w:rPr>
          <w:b/>
        </w:rPr>
        <w:t xml:space="preserve">Pub date: </w:t>
      </w:r>
      <w:r>
        <w:t>2026-06-30 15:16:22+00:00</w:t>
      </w:r>
      <w:r>
        <w:t xml:space="preserve">    </w:t>
      </w:r>
      <w:r>
        <w:rPr>
          <w:b/>
        </w:rPr>
        <w:t xml:space="preserve">DOI: </w:t>
      </w:r>
      <w:hyperlink r:id="rId742">
        <w:r>
          <w:rPr>
            <w:color w:val="1155CC"/>
            <w:u w:val="single"/>
          </w:rPr>
          <w:t>10.1002/adma.73889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细胞能量代谢的破坏已成为多种人类疾病的主要原因。虽然传统的治疗策略可以缓解症状，但它们通常针对下游疾病表现，并且往往无法解决促进疾病进展的潜在能量失调。由线粒体和类囊体改造而成的生物能量细胞器代表了一种通过恢复细胞能量稳态的变革性方法。它们作为自主代谢模块发挥作用，原位产生 ATP、还原当量和氧气，同时调节氧化还原平衡、氧张力和免疫代谢信号以恢复细胞稳态。最近的临床前证据强调了它们的治疗多功能性，包括缓解肿瘤缺氧、恢复心肌和神经元组织的生物能功能、减少炎症损伤以及使免疫细胞代谢正常化。与主要用作递送载体的纳米载体不同，这些生物能细胞器通过将代谢恢复与多靶点治疗作用相结合，积极重塑病理微环境。这篇综述概述了人工生物能细胞器的设计原则、机制基础和疾病特异性应用，同时还解决了关键的转化挑战，例如靶向递送、免疫相容性、功能寿命、生物安全性的关键考虑因素以及这些构建体的长期代谢命运。定位于交汇处</w:t>
      </w:r>
    </w:p>
    <w:p>
      <w:pPr>
        <w:spacing w:before="0" w:after="200" w:lineRule="auto" w:line="276"/>
      </w:pPr>
      <w:r>
        <w:rPr>
          <w:b/>
        </w:rPr>
        <w:t xml:space="preserve">Abstract (EN): </w:t>
      </w:r>
      <w:r>
        <w:t>Disruptions in cellular energy metabolism have emerged as central contributors to a broad spectrum of human diseases. While conventional therapeutic strategies can alleviate symptoms, they typically target downstream disease manifestations and often fail to address the underlying energetic dysregulation fueling disease progression. Bioenergetic organelles‐engineered from mitochondria and thylakoids‐represent a transformative approach by restoring cellular energy homeostasis. Functioning as autonomous metabolic modules, they generate ATP, reductive equivalents, and oxygen in situ, while concurrently modulating redox balance, oxygen tension, and immune‐metabolic signaling to restore cellular homeostasis. Recent preclinical evidence highlights their therapeutic versatility, including alleviating tumor hypoxia, restoring bioenergetic function in myocardial and neuronal tissues, reducing inflammatory damage, and normalizing immune cell metabolism. Unlike nanocarriers that primarily serve as delivery vehicles, these bioenergetic organelles actively remodel pathological microenvironments by integrating metabolic restoration with multi‐targeted therapeutic actions. This review outlines the design principles, mechanistic basis, and disease‐specific applications of artificial bioenergetic organelles, while also addressing key translational challenges such as targeted delivery, immunocompatibility, functional longevity, critical considerations regarding biological safety, and the long‐term metabolic fate of these constructs. Positioned at the convergence of bioenergetics, nanotherapeutics, and synthetic biology, these biomimetic systems offer a flexible platform for redefining disease intervention through precise metabolic regulation.</w:t>
      </w:r>
    </w:p>
    <w:p>
      <w:pPr>
        <w:spacing w:before="120" w:after="120"/>
      </w:pPr>
      <w:r>
        <w:rPr>
          <w:sz w:val="18"/>
        </w:rPr>
        <w:t>——————————————————————————————————————————————————————————————————————</w:t>
      </w:r>
    </w:p>
    <w:p>
      <w:pPr>
        <w:spacing w:before="160" w:after="40" w:line="240" w:lineRule="auto"/>
      </w:pPr>
      <w:r>
        <w:rPr>
          <w:b/>
        </w:rPr>
        <w:t xml:space="preserve">[313] </w:t>
      </w:r>
      <w:hyperlink r:id="rId743">
        <w:r>
          <w:rPr>
            <w:color w:val="1155CC"/>
            <w:u w:val="single"/>
          </w:rPr>
          <w:t>发光分子晶体中的相互作用层次和多晶型结构-性质动力学</w:t>
        </w:r>
      </w:hyperlink>
    </w:p>
    <w:p>
      <w:pPr>
        <w:spacing w:before="0" w:after="80"/>
      </w:pPr>
      <w:r>
        <w:rPr>
          <w:i/>
          <w:sz w:val="20"/>
        </w:rPr>
        <w:t>EN: Interaction Hierarchy and Polymorphic Structure–Property Dynamics in Luminescent Molecular Crystals</w:t>
      </w:r>
    </w:p>
    <w:p>
      <w:pPr>
        <w:spacing w:before="0" w:after="120"/>
      </w:pPr>
      <w:r>
        <w:rPr>
          <w:b/>
        </w:rPr>
        <w:t xml:space="preserve">Source: </w:t>
      </w:r>
      <w:r>
        <w:t>Wiley: Angewandte Chemie International Edition: Table of Contents</w:t>
      </w:r>
      <w:r>
        <w:t xml:space="preserve">    </w:t>
      </w:r>
      <w:r>
        <w:rPr>
          <w:b/>
        </w:rPr>
        <w:t xml:space="preserve">Pub date: </w:t>
      </w:r>
      <w:r>
        <w:t>2026-06-30 17:09:55+00:00</w:t>
      </w:r>
      <w:r>
        <w:t xml:space="preserve">    </w:t>
      </w:r>
      <w:r>
        <w:rPr>
          <w:b/>
        </w:rPr>
        <w:t xml:space="preserve">DOI: </w:t>
      </w:r>
      <w:hyperlink r:id="rId744">
        <w:r>
          <w:rPr>
            <w:color w:val="1155CC"/>
            <w:u w:val="single"/>
          </w:rPr>
          <w:t>10.1002/anie.8807652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态相变提供了一个强大的平台，可以将微妙的分子水平相互作用转化为宏观的功能反应；然而，能够对这种转变进行可预测控制的合理设计策略仍然有限。在此，我们报告了与发光分子晶体中竞争性分子间相互作用相关的多态结构-性质转换行为。氰基-</w:t>
      </w:r>
      <w:r>
        <w:t>β</w:t>
      </w:r>
      <w:r>
        <w:t xml:space="preserve"> </w:t>
      </w:r>
      <w:r>
        <w:t>带有溴和甲氧基侧链的取代二苯乙烯基苯衍生物被设计成结合具有不同相互作用特征的竞争性同型和异型非共价相互作用。单晶分析表明，色散、偶极-偶极和静电主导相互作用的层次顺序的细微差别产生了具有不同分子取向和光致发光特性的多晶型晶体结构。热和机械刺激诱导不同的相变：不可逆的热诱导的单晶到单晶的转变和通过无定形中间体的伪可逆机械化学途径，两者都直接可视化为明显的发射颜色变化。通过结构分析、光物理测量和晶体框架计算的结合，阐明了对多晶型物形成的动力学和热力学控制。这项研究表明，多功能分子侧链能够获得不同的相互作用景观，从而允许多个分子</w:t>
      </w:r>
    </w:p>
    <w:p>
      <w:pPr>
        <w:spacing w:before="0" w:after="200" w:lineRule="auto" w:line="276"/>
      </w:pPr>
      <w:r>
        <w:rPr>
          <w:b/>
        </w:rPr>
        <w:t xml:space="preserve">Abstract (EN): </w:t>
      </w:r>
      <w:r>
        <w:t>Solid‐state phase transitions provide a powerful platform for translating subtle molecular‐level interactions into macroscopic functional responses; however, rational design strategies that enable predictable control over such transitions remain limited. Herein, we report polymorphic structure–property switching behaviors associated with competing intermolecular interactions in luminescent molecular crystals. Cyano‐</w:t>
      </w:r>
      <w:r>
        <w:t xml:space="preserve"> </w:t>
      </w:r>
      <w:r>
        <w:t>β</w:t>
      </w:r>
      <w:r>
        <w:t xml:space="preserve"> </w:t>
      </w:r>
      <w:r>
        <w:t>‐substituted distyrylbenzene derivatives bearing bromo and methoxy side chains were designed to incorporate competing homotypic and heterotypic noncovalent interactions with distinct interaction characteristics. Single‐crystal analyses reveal that subtle differences in the hierarchical ordering of dispersion‐, dipole–dipole‐, and electrostatically dominated interactions give rise to polymorphic crystal structures with distinct molecular orientations and photoluminescence properties. Thermal and mechanical stimuli induce distinct phase transitions: an irreversible thermally induced single‐crystal‐to‐single‐crystal transition and a pseudo‐reversible mechanochemical pathway via an amorphous intermediate, both directly visualized as pronounced emission color changes. Kinetic and thermodynamic controls over polymorph formation are elucidated through a combination of structural analysis, photophysical measurements, and crystal framework calculations. This study suggests that multifunctional molecular side chains enable access to diverse interaction landscapes, allowing multiple structure–property switching pathways to be encoded within a single molecular framework. The presented framework provides a qualitative perspective for interpreting dynamic structural behaviors in molecular crystals.</w:t>
      </w:r>
    </w:p>
    <w:p>
      <w:pPr>
        <w:spacing w:before="120" w:after="120"/>
      </w:pPr>
      <w:r>
        <w:rPr>
          <w:sz w:val="18"/>
        </w:rPr>
        <w:t>——————————————————————————————————————————————————————————————————————</w:t>
      </w:r>
    </w:p>
    <w:p>
      <w:pPr>
        <w:spacing w:before="160" w:after="40" w:line="240" w:lineRule="auto"/>
      </w:pPr>
      <w:r>
        <w:rPr>
          <w:b/>
        </w:rPr>
        <w:t xml:space="preserve">[314] </w:t>
      </w:r>
      <w:hyperlink r:id="rId745">
        <w:r>
          <w:rPr>
            <w:color w:val="1155CC"/>
            <w:u w:val="single"/>
          </w:rPr>
          <w:t>利用解离化学转化进行路径控制的最小结构单元的相分离</w:t>
        </w:r>
      </w:hyperlink>
    </w:p>
    <w:p>
      <w:pPr>
        <w:spacing w:before="0" w:after="80"/>
      </w:pPr>
      <w:r>
        <w:rPr>
          <w:i/>
          <w:sz w:val="20"/>
        </w:rPr>
        <w:t>EN: Pathway Controlled Phase Separation of Minimal Building Blocks Utilizing a Dissociative Chemical Transformation</w:t>
      </w:r>
    </w:p>
    <w:p>
      <w:pPr>
        <w:spacing w:before="0" w:after="120"/>
      </w:pPr>
      <w:r>
        <w:rPr>
          <w:b/>
        </w:rPr>
        <w:t xml:space="preserve">Source: </w:t>
      </w:r>
      <w:r>
        <w:t>Wiley: Angewandte Chemie International Edition: Table of Contents</w:t>
      </w:r>
      <w:r>
        <w:t xml:space="preserve">    </w:t>
      </w:r>
      <w:r>
        <w:rPr>
          <w:b/>
        </w:rPr>
        <w:t xml:space="preserve">Pub date: </w:t>
      </w:r>
      <w:r>
        <w:t>2026-06-30 17:11:11+00:00</w:t>
      </w:r>
      <w:r>
        <w:t xml:space="preserve">    </w:t>
      </w:r>
      <w:r>
        <w:rPr>
          <w:b/>
        </w:rPr>
        <w:t xml:space="preserve">DOI: </w:t>
      </w:r>
      <w:hyperlink r:id="rId746">
        <w:r>
          <w:rPr>
            <w:color w:val="1155CC"/>
            <w:u w:val="single"/>
          </w:rPr>
          <w:t>10.1002/anie.1914460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学利用亚稳态为大型运动大分子的构建提供动力，并实现非平衡相分离。正交且不相关的放能反应的能量转换驱动逆热力学转变，其充当放能反应的催化剂。在此，我们表明，当该过程与其热力学激活的前体的放能降解相结合时，热力学稳定的结构单元可以发生相分离。热力学稳定的产品本身无法接触液滴。化学转变对于实现路径控制的相分离至关重要，从而催化化学转变。活化的前体经历β-消除反应，产生芳香族底物和三甲基铵阳离子，为相分离的液滴提供时间稳定性。对于不能进行 β-消除反应的前体，未观察到液滴形成。生成的液滴可以吸收不同的客体分子，并且在卟啉存在的情况下观察到它们从液滴到类原始组织结构的转变。重要的是，动力学访问的亚稳态液滴被证明可以增强天然过氧化物酶辅助因子血红素的催化潜力，并加速水解酶-过氧化物酶级联反应。</w:t>
      </w:r>
    </w:p>
    <w:p>
      <w:pPr>
        <w:spacing w:before="0" w:after="200" w:lineRule="auto" w:line="276"/>
      </w:pPr>
      <w:r>
        <w:rPr>
          <w:b/>
        </w:rPr>
        <w:t xml:space="preserve">Abstract (EN): </w:t>
      </w:r>
      <w:r>
        <w:t>Metastable states are utilized by biology to power the construction of large and motile macromolecules and also to realize out‐of‐equilibrium phase separation. Energy transduction from orthogonal and unrelated exergonic reactions drives the contra‐thermodynamic transformation, which acts as the catalyst for the exergonic reaction. Herein, we show that thermodynamically stable building blocks can undergo phase separation when the process is coupled with an exergonic degradation of their thermodynamically activated precursor. The thermodynamically stable products alone are incapable of accessing the droplets. The chemical transformation is critical to achieve pathway‐controlled phase separation, which catalyzes the chemical transformation. The activated precursor undergoes a β‐elimination reaction to produce an aromatic substrate along with trimethylammonium cations, which provide temporal stabilization to the phase‐separated droplets. Droplet formation is not observed with precursors incapable of undergoing the β‐elimination reaction. The generated droplets can imbibe diverse guest molecules, and their transition from droplets to proto‐tissue‐like structures is observed in the presence of porphyrin. Importantly, the kinetically accessed metastable liquid droplets are shown to augment the catalytic potential of hemin, cofactor of natural peroxidase, and accelerate the hydrolase‐peroxidase cascade reaction.</w:t>
      </w:r>
    </w:p>
    <w:p>
      <w:pPr>
        <w:spacing w:before="120" w:after="120"/>
      </w:pPr>
      <w:r>
        <w:rPr>
          <w:sz w:val="18"/>
        </w:rPr>
        <w:t>——————————————————————————————————————————————————————————————————————</w:t>
      </w:r>
    </w:p>
    <w:p>
      <w:pPr>
        <w:spacing w:before="160" w:after="40" w:line="240" w:lineRule="auto"/>
      </w:pPr>
      <w:r>
        <w:rPr>
          <w:b/>
        </w:rPr>
        <w:t xml:space="preserve">[315] </w:t>
      </w:r>
      <w:hyperlink r:id="rId747">
        <w:r>
          <w:rPr>
            <w:color w:val="1155CC"/>
            <w:u w:val="single"/>
          </w:rPr>
          <w:t>看到看不见的东西：中村荣一谈化学、生命和中国的新篇章</w:t>
        </w:r>
      </w:hyperlink>
    </w:p>
    <w:p>
      <w:pPr>
        <w:spacing w:before="0" w:after="80"/>
      </w:pPr>
      <w:r>
        <w:rPr>
          <w:i/>
          <w:sz w:val="20"/>
        </w:rPr>
        <w:t>EN: Seeing the Unseen: Eiichi Nakamura on Chemistry, Life, and a New Chapter in China</w:t>
      </w:r>
    </w:p>
    <w:p>
      <w:pPr>
        <w:spacing w:before="0" w:after="120"/>
      </w:pPr>
      <w:r>
        <w:rPr>
          <w:b/>
        </w:rPr>
        <w:t xml:space="preserve">Source: </w:t>
      </w:r>
      <w:r>
        <w:t>National Science Review Advance Access</w:t>
      </w:r>
      <w:r>
        <w:t xml:space="preserve">    </w:t>
      </w:r>
      <w:r>
        <w:rPr>
          <w:b/>
        </w:rPr>
        <w:t xml:space="preserve">Pub date: </w:t>
      </w:r>
      <w:r>
        <w:t>2026-07-01 00:00:00+00:00</w:t>
      </w:r>
      <w:r>
        <w:t xml:space="preserve">    </w:t>
      </w:r>
      <w:r>
        <w:rPr>
          <w:b/>
        </w:rPr>
        <w:t xml:space="preserve">DOI: </w:t>
      </w:r>
      <w:hyperlink r:id="rId748">
        <w:r>
          <w:rPr>
            <w:color w:val="1155CC"/>
            <w:u w:val="single"/>
          </w:rPr>
          <w:t>10.1093/nsr/nwag400</w:t>
        </w:r>
      </w:hyperlink>
    </w:p>
    <w:p>
      <w:pPr>
        <w:spacing w:before="0" w:after="120"/>
      </w:pPr>
      <w:r>
        <w:rPr>
          <w:b/>
        </w:rPr>
        <w:t xml:space="preserve">Notes: </w:t>
      </w:r>
      <w:r>
        <w:t>abstract_source=crossref</w:t>
      </w:r>
    </w:p>
    <w:p>
      <w:pPr>
        <w:spacing w:before="0" w:after="80" w:lineRule="auto" w:line="276"/>
      </w:pPr>
      <w:r>
        <w:rPr>
          <w:b/>
        </w:rPr>
        <w:t xml:space="preserve">摘要（ZH）: </w:t>
      </w:r>
      <w:r>
        <w:t>中村教授在化学研究方面的经验、成就和愿景，也许更重要的是他的人生哲学。</w:t>
      </w:r>
    </w:p>
    <w:p>
      <w:pPr>
        <w:spacing w:before="0" w:after="200" w:lineRule="auto" w:line="276"/>
      </w:pPr>
      <w:r>
        <w:rPr>
          <w:b/>
        </w:rPr>
        <w:t xml:space="preserve">Abstract (EN): </w:t>
      </w:r>
      <w:r>
        <w:t>Prof. Nakamura's experiences, achievements, and visions in chemical researchâ€”and, perhaps more importantly, his life philosophy.</w:t>
      </w:r>
    </w:p>
    <w:p>
      <w:pPr>
        <w:spacing w:before="120" w:after="120"/>
      </w:pPr>
      <w:r>
        <w:rPr>
          <w:sz w:val="18"/>
        </w:rPr>
        <w:t>——————————————————————————————————————————————————————————————————————</w:t>
      </w:r>
    </w:p>
    <w:p>
      <w:pPr>
        <w:spacing w:before="160" w:after="40" w:line="240" w:lineRule="auto"/>
      </w:pPr>
      <w:r>
        <w:rPr>
          <w:b/>
        </w:rPr>
        <w:t xml:space="preserve">[316] </w:t>
      </w:r>
      <w:hyperlink r:id="rId749">
        <w:r>
          <w:rPr>
            <w:color w:val="1155CC"/>
            <w:u w:val="single"/>
          </w:rPr>
          <w:t>神秘的蛋白质在细菌和昆虫之间建立了有益的伙伴关系</w:t>
        </w:r>
      </w:hyperlink>
    </w:p>
    <w:p>
      <w:pPr>
        <w:spacing w:before="0" w:after="80"/>
      </w:pPr>
      <w:r>
        <w:rPr>
          <w:i/>
          <w:sz w:val="20"/>
        </w:rPr>
        <w:t>EN: Mysterious protein sets up a beneficial partnership between bacteria and insects</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750">
        <w:r>
          <w:rPr>
            <w:color w:val="1155CC"/>
            <w:u w:val="single"/>
          </w:rPr>
          <w:t>10.1038/d41586-026-02007-4</w:t>
        </w:r>
      </w:hyperlink>
    </w:p>
    <w:p>
      <w:pPr>
        <w:spacing w:before="0" w:after="120"/>
      </w:pPr>
      <w:r>
        <w:rPr>
          <w:b/>
        </w:rPr>
        <w:t xml:space="preserve">Notes: </w:t>
      </w:r>
      <w:r>
        <w:t>abstract_source=nature_html</w:t>
      </w:r>
    </w:p>
    <w:p>
      <w:pPr>
        <w:spacing w:before="0" w:after="80" w:lineRule="auto" w:line="276"/>
      </w:pPr>
      <w:r>
        <w:rPr>
          <w:b/>
        </w:rPr>
        <w:t xml:space="preserve">摘要（ZH）: </w:t>
      </w:r>
      <w:r>
        <w:t>生活在蚜虫细胞中的 Buchnera 细菌会分泌一种名为 SyeA 的蛋白质，该蛋白质对于定殖至关重要。 SyeA 与致病细菌分泌的蛋白质的结构相似性表明 Buchnera 和蚜虫之间的有益共生关系具有致病起源。共生细菌通过分泌与病原体所使用的蛋白质类似的蛋白质来定殖蚜虫宿主。</w:t>
      </w:r>
    </w:p>
    <w:p>
      <w:pPr>
        <w:spacing w:before="0" w:after="200" w:lineRule="auto" w:line="276"/>
      </w:pPr>
      <w:r>
        <w:rPr>
          <w:b/>
        </w:rPr>
        <w:t xml:space="preserve">Abstract (EN): </w:t>
      </w:r>
      <w:r>
        <w:t>Buchnera bacteria that live in the cells of insects known as aphids secrete a protein called SyeA, which is crucial for colonization. The structural similarity of SyeA to proteins secreted by disease-causing bacteria indicates that the beneficial symbiotic relationship between Buchnera and aphids had pathogenic origins. Symbiotic bacteria colonize aphid hosts by secreting a protein similar to some used by pathogens.</w:t>
      </w:r>
    </w:p>
    <w:p>
      <w:pPr>
        <w:spacing w:before="120" w:after="120"/>
      </w:pPr>
      <w:r>
        <w:rPr>
          <w:sz w:val="18"/>
        </w:rPr>
        <w:t>——————————————————————————————————————————————————————————————————————</w:t>
      </w:r>
    </w:p>
    <w:p>
      <w:pPr>
        <w:spacing w:before="160" w:after="40" w:line="240" w:lineRule="auto"/>
      </w:pPr>
      <w:r>
        <w:rPr>
          <w:b/>
        </w:rPr>
        <w:t xml:space="preserve">[317] </w:t>
      </w:r>
      <w:hyperlink r:id="rId751">
        <w:r>
          <w:rPr>
            <w:color w:val="1155CC"/>
            <w:u w:val="single"/>
          </w:rPr>
          <w:t>N4-乙酰胞苷提高合成 mRNA 翻译产量和保真度</w:t>
        </w:r>
      </w:hyperlink>
    </w:p>
    <w:p>
      <w:pPr>
        <w:spacing w:before="0" w:after="80"/>
      </w:pPr>
      <w:r>
        <w:rPr>
          <w:i/>
          <w:sz w:val="20"/>
        </w:rPr>
        <w:t>EN: N4-Acetylcytidine enhances synthetic mRNA translation yield and fidelity</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752">
        <w:r>
          <w:rPr>
            <w:color w:val="1155CC"/>
            <w:u w:val="single"/>
          </w:rPr>
          <w:t>10.1038/s41586-026-10729-8</w:t>
        </w:r>
      </w:hyperlink>
    </w:p>
    <w:p>
      <w:pPr>
        <w:spacing w:before="0" w:after="120"/>
      </w:pPr>
      <w:r>
        <w:rPr>
          <w:b/>
        </w:rPr>
        <w:t xml:space="preserve">Notes: </w:t>
      </w:r>
      <w:r>
        <w:t>abstract_source=nature_html</w:t>
      </w:r>
    </w:p>
    <w:p>
      <w:pPr>
        <w:spacing w:before="0" w:after="80" w:lineRule="auto" w:line="276"/>
      </w:pPr>
      <w:r>
        <w:rPr>
          <w:b/>
        </w:rPr>
        <w:t xml:space="preserve">摘要（ZH）: </w:t>
      </w:r>
      <w:r>
        <w:t>合成 mRNA 疗法为治疗多种疾病（包括癌症和传染病）提供了一个多功能平台。为了递送到细胞中，这些 mRNA 被封装在脂质纳米颗粒中，并且通常掺入修饰的核糖核苷酸以提高稳定性、增强翻译并减轻免疫识别1。 N1-甲基假尿苷 (m1Ψ) 因其在促进翻译和降低免疫原性方面的有效性而成为合成 mRNA 的行业标准2。然而，最近的研究表明 m1Ψ 会损害翻译保真度，导致过早终止和核糖体移码等错误3,4,5。在这里，我们揭示了 N4-乙酰胞苷 (ac4C) 作为 m1Ψ 功能上不同的替代品。在培养的细胞系、原代人单核细胞衍生的树突状细胞和小鼠肝脏中，ac4C 与 m1Ψ 一样有效地抑制炎症反应，同时提高蛋白质产量。翻译的单分子成像显示，ac4C 修饰和 m1Ψ 修饰的转录本的每个 mRNA 的核糖体密度大致相似。然而，m1Ψ 修饰的 mRNA 的翻译延伸速度比 ac4C 慢近两倍，这导致蛋白质产量减少和核糖体碰撞增加，从而通过质量控制途径和 +1 移码的参与进一步限制蛋白质生产。这些发现强调了背景在设计治疗性 mRNA 中的重要性，并将翻译延伸率定位为修饰核糖核苷酸功效的关键决定因素。</w:t>
      </w:r>
    </w:p>
    <w:p>
      <w:pPr>
        <w:spacing w:before="0" w:after="200" w:lineRule="auto" w:line="276"/>
      </w:pPr>
      <w:r>
        <w:rPr>
          <w:b/>
        </w:rPr>
        <w:t xml:space="preserve">Abstract (EN): </w:t>
      </w:r>
      <w:r>
        <w:t>Synthetic mRNA therapeutics offer a versatile platform for treating diverse conditions, including cancer and infectious diseases. For delivery into cells, these mRNAs are encapsulated in lipid nanoparticles and commonly incorporate modified ribonucleotides to improve stability, enhance translation and mitigate immune recognition1. N1-Methylpseudouridine (m1Ψ) has become the industry standard for synthetic mRNAs owing to its effectiveness in promoting translation and reducing immunogenicity2. However, recent studies have shown that m1Ψ can compromise translational fidelity, leading to errors such as premature termination and ribosomal frameshifting3,4,5. Here we reveal N4-acetylcytidine (ac4C) as a functionally distinct alternative to m1Ψ. Across cultured cell lines, primary human monocyte-derived dendritic cells and mouse liver, ac4C suppressed inflammatory responses as effectively as m1Ψ while driving higher protein yields. Single-molecule imaging of translation revealed broadly similar ribosome densities per mRNA for ac4C-modified and m1Ψ-modified transcripts. However, translation elongation with m1Ψ-modified mRNA was nearly twofold slower than with ac4C, which resulted in reduced protein output and increased ribosome collisions that further limited protein production through the engagement of quality-control pathways and +1 frameshifting. These findings underscore the importance of context in designing therapeutic mRNAs and position the translation elongation rate as a key determinant of the efficacy of modified ribonucleotides.</w:t>
      </w:r>
    </w:p>
    <w:p>
      <w:pPr>
        <w:spacing w:before="120" w:after="120"/>
      </w:pPr>
      <w:r>
        <w:rPr>
          <w:sz w:val="18"/>
        </w:rPr>
        <w:t>——————————————————————————————————————————————————————————————————————</w:t>
      </w:r>
    </w:p>
    <w:p>
      <w:pPr>
        <w:spacing w:before="160" w:after="40" w:line="240" w:lineRule="auto"/>
      </w:pPr>
      <w:r>
        <w:rPr>
          <w:b/>
        </w:rPr>
        <w:t xml:space="preserve">[318] </w:t>
      </w:r>
      <w:hyperlink r:id="rId753">
        <w:r>
          <w:rPr>
            <w:color w:val="1155CC"/>
            <w:u w:val="single"/>
          </w:rPr>
          <w:t>中度火山喷发和极端野火使平流层湿润</w:t>
        </w:r>
      </w:hyperlink>
    </w:p>
    <w:p>
      <w:pPr>
        <w:spacing w:before="0" w:after="80"/>
      </w:pPr>
      <w:r>
        <w:rPr>
          <w:i/>
          <w:sz w:val="20"/>
        </w:rPr>
        <w:t>EN: Moderate volcanic eruptions and extreme wildfires humidify the stratosphere</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754">
        <w:r>
          <w:rPr>
            <w:color w:val="1155CC"/>
            <w:u w:val="single"/>
          </w:rPr>
          <w:t>10.1038/s41586-026-10731-0</w:t>
        </w:r>
      </w:hyperlink>
    </w:p>
    <w:p>
      <w:pPr>
        <w:spacing w:before="0" w:after="120"/>
      </w:pPr>
      <w:r>
        <w:rPr>
          <w:b/>
        </w:rPr>
        <w:t xml:space="preserve">Notes: </w:t>
      </w:r>
      <w:r>
        <w:t>abstract_source=nature_html</w:t>
      </w:r>
    </w:p>
    <w:p>
      <w:pPr>
        <w:spacing w:before="0" w:after="80" w:lineRule="auto" w:line="276"/>
      </w:pPr>
      <w:r>
        <w:rPr>
          <w:b/>
        </w:rPr>
        <w:t xml:space="preserve">摘要（ZH）: </w:t>
      </w:r>
      <w:r>
        <w:t>平流层水蒸气 (SWV) 是一种重要的温室气体，影响全球气候和平流层臭氧化学1,2,3,4。其丰度受到自然气候变化的强烈调节1,5,6,7,8。长期以来，人们一直预计火山喷发会通过对流层顶变暖来使平流层湿润9,10，但一直缺乏观测证实。在此，我们提供了观测证据，表明自 2005 年以来的中度火山喷发和极端野火系统性地增加了 SWV。两者都是通过气溶胶引起的对流层顶变暖而产生的。然而，极端野火揭示了一条额外的自升通道，可以将水蒸气输送到平流层。卫星观测和气候模型模拟的补充分析显示，83 hPa 的 SWV 增强了约 0.1 ppmv，2005 年至 2021 年期间积累了 76-2.03 亿吨水蒸气。这一贡献解释了这一时期观察到的 SWV 趋势的 36 ± 7%，与全球表面温度上升的趋势相当。由地表温度趋势、中度火山喷发和极端野火事件引起的 SWV 变化共同有效地抵消了 2000 年左右观察到的 SWV 突然下降 10%。因此，中度火山喷发和极端野火引起的间歇性气溶胶扰动成为以前被忽视的 SWV 变化的驱动因素。未来对平流层成分、辐射强迫和臭氧恢复的预测应该考虑到这些气溶胶介导的过程，特别是在全球变暖的极端火灾加剧的情况下。</w:t>
      </w:r>
    </w:p>
    <w:p>
      <w:pPr>
        <w:spacing w:before="0" w:after="200" w:lineRule="auto" w:line="276"/>
      </w:pPr>
      <w:r>
        <w:rPr>
          <w:b/>
        </w:rPr>
        <w:t xml:space="preserve">Abstract (EN): </w:t>
      </w:r>
      <w:r>
        <w:t>Stratospheric water vapour (SWV) is a key greenhouse gas that influences both global climate and stratospheric ozone chemistry1,2,3,4. Its abundance is strongly modulated by natural climate variability1,5,6,7,8. Volcanic eruptions have long been expected to humidify the stratosphere via tropopause warming9,10, but observational confirmation has been lacking. Here we provide observational evidence that moderate volcanic eruptions and extreme wildfires since 2005 have systematically increased SWV. Both contribute through aerosol-induced tropopause warming; however, extreme wildfires reveal an additional self-lofting pathway that transports water vapour into the stratosphere. Complementary analysis of satellite observations and climate model simulations reveals an SWV enhancement of about 0.1 ppmv at 83 hPa, accumulating 76–203 million tons of water vapour during 2005–2021. This contribution explains 36 ± 7% of the observed SWV trend over this period, comparable to that from the global surface temperature increase. SWV changes induced by the surface temperature trend, moderate volcanic eruptions and extreme wildfire events have together effectively offset the sudden 10% SWV decrease observed around 2000. Episodic aerosol perturbations from moderate volcanic eruptions and extreme wildfires therefore emerge as a previously overlooked driver of SWV variability. Future projections of stratospheric composition, radiative forcing and ozone recovery should account for these aerosol-mediated processes, especially as extreme fires intensify in a warming world.</w:t>
      </w:r>
    </w:p>
    <w:p>
      <w:pPr>
        <w:spacing w:before="120" w:after="120"/>
      </w:pPr>
      <w:r>
        <w:rPr>
          <w:sz w:val="18"/>
        </w:rPr>
        <w:t>——————————————————————————————————————————————————————————————————————</w:t>
      </w:r>
    </w:p>
    <w:p>
      <w:pPr>
        <w:spacing w:before="160" w:after="40" w:line="240" w:lineRule="auto"/>
      </w:pPr>
      <w:r>
        <w:rPr>
          <w:b/>
        </w:rPr>
        <w:t xml:space="preserve">[319] </w:t>
      </w:r>
      <w:hyperlink r:id="rId755">
        <w:r>
          <w:rPr>
            <w:color w:val="1155CC"/>
            <w:u w:val="single"/>
          </w:rPr>
          <w:t>二维材料的量子隧道和漏电流</w:t>
        </w:r>
      </w:hyperlink>
    </w:p>
    <w:p>
      <w:pPr>
        <w:spacing w:before="0" w:after="80"/>
      </w:pPr>
      <w:r>
        <w:rPr>
          <w:i/>
          <w:sz w:val="20"/>
        </w:rPr>
        <w:t>EN: Quantum tunnelling and leakage current across two-dimensional materials</w:t>
      </w:r>
    </w:p>
    <w:p>
      <w:pPr>
        <w:spacing w:before="0" w:after="120"/>
      </w:pPr>
      <w:r>
        <w:rPr>
          <w:b/>
        </w:rPr>
        <w:t xml:space="preserve">Source: </w:t>
      </w:r>
      <w:r>
        <w:t>Nature Materials</w:t>
      </w:r>
      <w:r>
        <w:t xml:space="preserve">    </w:t>
      </w:r>
      <w:r>
        <w:rPr>
          <w:b/>
        </w:rPr>
        <w:t xml:space="preserve">Pub date: </w:t>
      </w:r>
      <w:r>
        <w:t>2026-07-01 00:00:00+00:00</w:t>
      </w:r>
      <w:r>
        <w:t xml:space="preserve">    </w:t>
      </w:r>
      <w:r>
        <w:rPr>
          <w:b/>
        </w:rPr>
        <w:t xml:space="preserve">DOI: </w:t>
      </w:r>
      <w:hyperlink r:id="rId756">
        <w:r>
          <w:rPr>
            <w:color w:val="1155CC"/>
            <w:u w:val="single"/>
          </w:rPr>
          <w:t>10.1038/s41563-026-02650-2</w:t>
        </w:r>
      </w:hyperlink>
    </w:p>
    <w:p>
      <w:pPr>
        <w:spacing w:before="0" w:after="120"/>
      </w:pPr>
      <w:r>
        <w:rPr>
          <w:b/>
        </w:rPr>
        <w:t xml:space="preserve">Notes: </w:t>
      </w:r>
      <w:r>
        <w:t>abstract_source=nature_html</w:t>
      </w:r>
    </w:p>
    <w:p>
      <w:pPr>
        <w:spacing w:before="0" w:after="80" w:lineRule="auto" w:line="276"/>
      </w:pPr>
      <w:r>
        <w:rPr>
          <w:b/>
        </w:rPr>
        <w:t xml:space="preserve">摘要（ZH）: </w:t>
      </w:r>
      <w:r>
        <w:t>漏电流是一种物理现象，严重影响各种应用的主流电子器件和异质结构的运行和可靠性。二维材料正在被集成到超大规模电子设备的结构中，但它们的漏电流仍不清楚。在这里，我们分析了不同厚度的六方氮化硼（hBN）、二硫化钼和二硫化钨的漏电流，并与工业质量的 SiO2/n++Si 样品进行比较。在纳米尺度和器件水平上对样品进行分析，并通过计算机辅助设计和密度泛函理论技术辅助的计算建模来补充实验数据。首先，我们证明了施加电场时底部电极的表面粗糙度会显着改变漏电流。其次，我们证明在多层二维材料中，能带隙和原子缺陷密度是决定漏电流的关键因素；然而，在单层二维材料中，漏电流主要由样品厚度决定，即电极到电极的距离。因此，尽管六方氮化硼的带隙比单层六方氮化硼的带隙大近三倍，但由于其厚度降低了约 50%，单层六方氮化硼的漏电流仍高于单层二硫化钼和二硫化钨的漏电流。第三，我们在不同厚度的 hBN 和 SiO2 薄膜之间建立了等效关系（就漏电流而言），可以使用</w:t>
      </w:r>
    </w:p>
    <w:p>
      <w:pPr>
        <w:spacing w:before="0" w:after="200" w:lineRule="auto" w:line="276"/>
      </w:pPr>
      <w:r>
        <w:rPr>
          <w:b/>
        </w:rPr>
        <w:t xml:space="preserve">Abstract (EN): </w:t>
      </w:r>
      <w:r>
        <w:t>Leakage current is a physical phenomenon that critically affects the operation and reliability of mainstream electronic devices and heterostructures for diverse applications. Two-dimensional materials are being integrated into the structure of ultrascaled electronic devices, but the leakage current across them is still not well understood. Here we analyse the leakage current across hexagonal boron nitride (hBN), molybdenum disulfide and tungsten disulfide of different thicknesses, and compare it with industrial-quality SiO2/n++Si samples. The samples are analysed at the nanoscale and at the device level, and the experimental data are complemented with computational modelling assisted by technology computer-aided design and density functional theory. First, we demonstrate that the surface roughness of the bottom electrode dramatically alters the leakage current when an electric field is applied. Second, we show that in multilayer two-dimensional materials, the energy bandgap and density of atomic defects are key factors that determine the leakage current; however, in monolayer two-dimensional materials, the leakage current is mainly determined by sample thickness, understood as the electrode-to-electrode distance. Consequently, leakage current across monolayer hBN is higher than that across monolayer molybdenum disulfide and tungsten disulfide despite hBN having a bandgap nearly three times larger, due to its approximately 50% lower thickness. Third, we establish an equivalence (in terms of leakage current) between hBN and SiO2 films of different thicknesses, which can be used to predict the performance and reliability of two-dimensional-material-based nano-electronic devices, such as transistors and memristors.</w:t>
      </w:r>
    </w:p>
    <w:p>
      <w:pPr>
        <w:spacing w:before="120" w:after="120"/>
      </w:pPr>
      <w:r>
        <w:rPr>
          <w:sz w:val="18"/>
        </w:rPr>
        <w:t>——————————————————————————————————————————————————————————————————————</w:t>
      </w:r>
    </w:p>
    <w:p>
      <w:pPr>
        <w:spacing w:before="160" w:after="40" w:line="240" w:lineRule="auto"/>
      </w:pPr>
      <w:r>
        <w:rPr>
          <w:b/>
        </w:rPr>
        <w:t xml:space="preserve">[320] </w:t>
      </w:r>
      <w:hyperlink r:id="rId757">
        <w:r>
          <w:rPr>
            <w:color w:val="1155CC"/>
            <w:u w:val="single"/>
          </w:rPr>
          <w:t>卤化物位点取代间隔物为气相沉积发光二极管产生准二维钙钛矿</w:t>
        </w:r>
      </w:hyperlink>
    </w:p>
    <w:p>
      <w:pPr>
        <w:spacing w:before="0" w:after="80"/>
      </w:pPr>
      <w:r>
        <w:rPr>
          <w:i/>
          <w:sz w:val="20"/>
        </w:rPr>
        <w:t>EN: Halide-site-substituting spacer creates quasi-two-dimensional perovskites for vapour-deposited light-emitting diodes</w:t>
      </w:r>
    </w:p>
    <w:p>
      <w:pPr>
        <w:spacing w:before="0" w:after="120"/>
      </w:pPr>
      <w:r>
        <w:rPr>
          <w:b/>
        </w:rPr>
        <w:t xml:space="preserve">Source: </w:t>
      </w:r>
      <w:r>
        <w:t>Nature Nanotechnology</w:t>
      </w:r>
      <w:r>
        <w:t xml:space="preserve">    </w:t>
      </w:r>
      <w:r>
        <w:rPr>
          <w:b/>
        </w:rPr>
        <w:t xml:space="preserve">Pub date: </w:t>
      </w:r>
      <w:r>
        <w:t>2026-07-01 00:00:00+00:00</w:t>
      </w:r>
      <w:r>
        <w:t xml:space="preserve">    </w:t>
      </w:r>
      <w:r>
        <w:rPr>
          <w:b/>
        </w:rPr>
        <w:t xml:space="preserve">DOI: </w:t>
      </w:r>
      <w:hyperlink r:id="rId758">
        <w:r>
          <w:rPr>
            <w:color w:val="1155CC"/>
            <w:u w:val="single"/>
          </w:rPr>
          <w:t>10.1038/s41565-026-02208-y</w:t>
        </w:r>
      </w:hyperlink>
    </w:p>
    <w:p>
      <w:pPr>
        <w:spacing w:before="0" w:after="120"/>
      </w:pPr>
      <w:r>
        <w:rPr>
          <w:b/>
        </w:rPr>
        <w:t xml:space="preserve">Notes: </w:t>
      </w:r>
      <w:r>
        <w:t>abstract_source=nature_html</w:t>
      </w:r>
    </w:p>
    <w:p>
      <w:pPr>
        <w:spacing w:before="0" w:after="80" w:lineRule="auto" w:line="276"/>
      </w:pPr>
      <w:r>
        <w:rPr>
          <w:b/>
        </w:rPr>
        <w:t xml:space="preserve">摘要（ZH）: </w:t>
      </w:r>
      <w:r>
        <w:t>气相沉积为钙钛矿发光二极管提供了一种可扩展且工业兼容的途径，但由于动力学驱动的结晶会产生混合维相和纳米级异质性，因此该过程仍然具有挑战性。特别是，缺乏热力学控制会导致纳米结构相无序、能源格局扩大和装置效率有限。在这里，我们报告了 X 型准二维钙钛矿 (CsPbBr3)n−1Cs2PbBr2X2 的热力学引导气相合成，具有受控的纳米级相分布和界面相干性。通过引入在原位沉积过程中与 Pb2+ 共价结合的卤化物位点取代有机间隔分子，我们实现了高相纯度的准二维相的选择性结晶。 LiF 和间隔分子的自组装异质支架充当纳米级生长模板，促进空间均匀成核并最大限度地减少相分离。多模态结构和光谱分析揭示了尺寸和空间均匀的薄膜，具有高光致发光量子产率（&gt; 85％）和降低的陷阱密度，从而实现有效的激子限制和窄发射。所得钙钛矿发光二极管的外量子效率为 21.9%，电致发光线宽为 78.5 meV，工作稳定性超过 1,500 分钟，并具有可扩展的像素阵列。这些结果为高效气相沉积钙钛矿光电器件提供了一条可扩展的途径。</w:t>
      </w:r>
    </w:p>
    <w:p>
      <w:pPr>
        <w:spacing w:before="0" w:after="200" w:lineRule="auto" w:line="276"/>
      </w:pPr>
      <w:r>
        <w:rPr>
          <w:b/>
        </w:rPr>
        <w:t xml:space="preserve">Abstract (EN): </w:t>
      </w:r>
      <w:r>
        <w:t>Vapour deposition offers a scalable and industry-compatible route for perovskite light-emitting diodes, yet the process remains challenging owing to kinetically driven crystallization that produces mixed-dimensional phases and nanoscale heterogeneity. In particular, the lack of thermodynamic control leads to phase-disordered nanostructures, broadened energy landscapes and limited device efficiency. Here we report a thermodynamically guided vapour-phase synthesis of X-type quasi-two-dimensional perovskites, (CsPbBr3)n−1Cs2PbBr2X2, with controlled nanoscale phase distribution and interfacial coherence. By introducing a halide-site-substituting organic spacer molecule that covalently binds to Pb2+ during in situ deposition, we achieve selective crystallization of quasi-two-dimensional phases with high phase purity. A self-assembled hetero-scaffold of LiF and spacer molecule acts as a nanoscale growth template, promoting spatially uniform nucleation and minimizing phase segregation. Multimodal structural and spectroscopic analyses reveal dimensionally and spatially homogeneous films with high photoluminescence quantum yield (&gt;85%) and reduced trap densities, enabling efficient exciton confinement and narrow emission. The resulting perovskite light-emitting diodes achieve an external quantum efficiency of 21.9%, an electroluminescence linewidth of 78.5 meV and operational stability exceeding 1,500 min, with scalable pixel arrays demonstrated. These results provide a scalable route to high-efficiency vapour-deposited perovskite optoelectronics.</w:t>
      </w:r>
    </w:p>
    <w:p>
      <w:pPr>
        <w:spacing w:before="120" w:after="120"/>
      </w:pPr>
      <w:r>
        <w:rPr>
          <w:sz w:val="18"/>
        </w:rPr>
        <w:t>——————————————————————————————————————————————————————————————————————</w:t>
      </w:r>
    </w:p>
    <w:p>
      <w:pPr>
        <w:spacing w:before="160" w:after="40" w:line="240" w:lineRule="auto"/>
      </w:pPr>
      <w:r>
        <w:rPr>
          <w:b/>
        </w:rPr>
        <w:t xml:space="preserve">[321] </w:t>
      </w:r>
      <w:hyperlink r:id="rId759">
        <w:r>
          <w:rPr>
            <w:color w:val="1155CC"/>
            <w:u w:val="single"/>
          </w:rPr>
          <w:t>塑造量子技术的未来</w:t>
        </w:r>
      </w:hyperlink>
    </w:p>
    <w:p>
      <w:pPr>
        <w:spacing w:before="0" w:after="80"/>
      </w:pPr>
      <w:r>
        <w:rPr>
          <w:i/>
          <w:sz w:val="20"/>
        </w:rPr>
        <w:t>EN: Shaping the future of quantum technology</w:t>
      </w:r>
    </w:p>
    <w:p>
      <w:pPr>
        <w:spacing w:before="0" w:after="120"/>
      </w:pPr>
      <w:r>
        <w:rPr>
          <w:b/>
        </w:rPr>
        <w:t xml:space="preserve">Source: </w:t>
      </w:r>
      <w:r>
        <w:t>Nature Materials</w:t>
      </w:r>
      <w:r>
        <w:t xml:space="preserve">    </w:t>
      </w:r>
      <w:r>
        <w:rPr>
          <w:b/>
        </w:rPr>
        <w:t xml:space="preserve">Pub date: </w:t>
      </w:r>
      <w:r>
        <w:t>2026-07-01 00:00:00+00:00</w:t>
      </w:r>
      <w:r>
        <w:t xml:space="preserve">    </w:t>
      </w:r>
      <w:r>
        <w:rPr>
          <w:b/>
        </w:rPr>
        <w:t xml:space="preserve">DOI: </w:t>
      </w:r>
      <w:hyperlink r:id="rId760">
        <w:r>
          <w:rPr>
            <w:color w:val="1155CC"/>
            <w:u w:val="single"/>
          </w:rPr>
          <w:t>10.1038/s41563-026-02645-z</w:t>
        </w:r>
      </w:hyperlink>
    </w:p>
    <w:p>
      <w:pPr>
        <w:spacing w:before="0" w:after="120"/>
      </w:pPr>
      <w:r>
        <w:rPr>
          <w:b/>
        </w:rPr>
        <w:t xml:space="preserve">Notes: </w:t>
      </w:r>
      <w:r>
        <w:t>abstract_source=nature_html</w:t>
      </w:r>
    </w:p>
    <w:p>
      <w:pPr>
        <w:spacing w:before="0" w:after="80" w:lineRule="auto" w:line="276"/>
      </w:pPr>
      <w:r>
        <w:rPr>
          <w:b/>
        </w:rPr>
        <w:t xml:space="preserve">摘要（ZH）: </w:t>
      </w:r>
      <w:r>
        <w:t>阿迈勒·卡斯里讨论了从量子科学到量子技术的转变，警告结构性分歧的风险，并强调需要立即采取行动，以确保这些技术带来共同繁荣。</w:t>
      </w:r>
    </w:p>
    <w:p>
      <w:pPr>
        <w:spacing w:before="0" w:after="200" w:lineRule="auto" w:line="276"/>
      </w:pPr>
      <w:r>
        <w:rPr>
          <w:b/>
        </w:rPr>
        <w:t xml:space="preserve">Abstract (EN): </w:t>
      </w:r>
      <w:r>
        <w:t>Amal Kasry discusses the shift from quantum science to quantum technology, warning of the risk of a structural divide and emphasizing the need to act now to ensure that these technologies deliver shared prosperity.</w:t>
      </w:r>
    </w:p>
    <w:p>
      <w:pPr>
        <w:spacing w:before="120" w:after="120"/>
      </w:pPr>
      <w:r>
        <w:rPr>
          <w:sz w:val="18"/>
        </w:rPr>
        <w:t>——————————————————————————————————————————————————————————————————————</w:t>
      </w:r>
    </w:p>
    <w:p>
      <w:pPr>
        <w:spacing w:before="160" w:after="40" w:line="240" w:lineRule="auto"/>
      </w:pPr>
      <w:r>
        <w:rPr>
          <w:b/>
        </w:rPr>
        <w:t xml:space="preserve">[322] </w:t>
      </w:r>
      <w:hyperlink r:id="rId761">
        <w:r>
          <w:rPr>
            <w:color w:val="1155CC"/>
            <w:u w:val="single"/>
          </w:rPr>
          <w:t>设备中的无缝生物界面</w:t>
        </w:r>
      </w:hyperlink>
    </w:p>
    <w:p>
      <w:pPr>
        <w:spacing w:before="0" w:after="80"/>
      </w:pPr>
      <w:r>
        <w:rPr>
          <w:i/>
          <w:sz w:val="20"/>
        </w:rPr>
        <w:t>EN: Seamless biointerfaces in devices</w:t>
      </w:r>
    </w:p>
    <w:p>
      <w:pPr>
        <w:spacing w:before="0" w:after="120"/>
      </w:pPr>
      <w:r>
        <w:rPr>
          <w:b/>
        </w:rPr>
        <w:t xml:space="preserve">Source: </w:t>
      </w:r>
      <w:r>
        <w:t>Nature Materials</w:t>
      </w:r>
      <w:r>
        <w:t xml:space="preserve">    </w:t>
      </w:r>
      <w:r>
        <w:rPr>
          <w:b/>
        </w:rPr>
        <w:t xml:space="preserve">Pub date: </w:t>
      </w:r>
      <w:r>
        <w:t>2026-07-01 00:00:00+00:00</w:t>
      </w:r>
      <w:r>
        <w:t xml:space="preserve">    </w:t>
      </w:r>
      <w:r>
        <w:rPr>
          <w:b/>
        </w:rPr>
        <w:t xml:space="preserve">DOI: </w:t>
      </w:r>
      <w:hyperlink r:id="rId762">
        <w:r>
          <w:rPr>
            <w:color w:val="1155CC"/>
            <w:u w:val="single"/>
          </w:rPr>
          <w:t>10.1038/s41563-026-02652-0</w:t>
        </w:r>
      </w:hyperlink>
    </w:p>
    <w:p>
      <w:pPr>
        <w:spacing w:before="0" w:after="120"/>
      </w:pPr>
      <w:r>
        <w:rPr>
          <w:b/>
        </w:rPr>
        <w:t xml:space="preserve">Notes: </w:t>
      </w:r>
      <w:r>
        <w:t>abstract_source=nature_html</w:t>
      </w:r>
    </w:p>
    <w:p>
      <w:pPr>
        <w:spacing w:before="0" w:after="80" w:lineRule="auto" w:line="276"/>
      </w:pPr>
      <w:r>
        <w:rPr>
          <w:b/>
        </w:rPr>
        <w:t xml:space="preserve">摘要（ZH）: </w:t>
      </w:r>
      <w:r>
        <w:t>通过应变不敏感弹性电子器件和水凝胶粘合剂的组装实现无缝湿组织粘合剂生物电子学，可实现闭环治疗调节。</w:t>
      </w:r>
    </w:p>
    <w:p>
      <w:pPr>
        <w:spacing w:before="0" w:after="200" w:lineRule="auto" w:line="276"/>
      </w:pPr>
      <w:r>
        <w:rPr>
          <w:b/>
        </w:rPr>
        <w:t xml:space="preserve">Abstract (EN): </w:t>
      </w:r>
      <w:r>
        <w:t>Seamless wet-tissue adhesive bioelectronics, realized by the assembly of strain-insensitive elastomeric electronics and a hydrogel adhesive, allow closed-loop therapeutic modulation.</w:t>
      </w:r>
    </w:p>
    <w:p>
      <w:pPr>
        <w:spacing w:before="120" w:after="120"/>
      </w:pPr>
      <w:r>
        <w:rPr>
          <w:sz w:val="18"/>
        </w:rPr>
        <w:t>——————————————————————————————————————————————————————————————————————</w:t>
      </w:r>
    </w:p>
    <w:p>
      <w:pPr>
        <w:spacing w:before="160" w:after="40" w:line="240" w:lineRule="auto"/>
      </w:pPr>
      <w:r>
        <w:rPr>
          <w:b/>
        </w:rPr>
        <w:t xml:space="preserve">[323] </w:t>
      </w:r>
      <w:hyperlink r:id="rId763">
        <w:r>
          <w:rPr>
            <w:color w:val="1155CC"/>
            <w:u w:val="single"/>
          </w:rPr>
          <w:t>层状锰氧化物的结晶度依赖性转变：对自然界锰氧化物矿物多样性的影响</w:t>
        </w:r>
      </w:hyperlink>
    </w:p>
    <w:p>
      <w:pPr>
        <w:spacing w:before="0" w:after="80"/>
      </w:pPr>
      <w:r>
        <w:rPr>
          <w:i/>
          <w:sz w:val="20"/>
        </w:rPr>
        <w:t>EN: Crystallinity-dependent transformation of layered manganese oxides: implications for the mineral diversity of manganese oxides in nature</w:t>
      </w:r>
    </w:p>
    <w:p>
      <w:pPr>
        <w:spacing w:before="0" w:after="120"/>
      </w:pPr>
      <w:r>
        <w:rPr>
          <w:b/>
        </w:rPr>
        <w:t xml:space="preserve">Source: </w:t>
      </w:r>
      <w:r>
        <w:t>National Science Review Advance Access</w:t>
      </w:r>
      <w:r>
        <w:t xml:space="preserve">    </w:t>
      </w:r>
      <w:r>
        <w:rPr>
          <w:b/>
        </w:rPr>
        <w:t xml:space="preserve">Pub date: </w:t>
      </w:r>
      <w:r>
        <w:t>2026-07-01 00:00:00+00:00</w:t>
      </w:r>
      <w:r>
        <w:t xml:space="preserve">    </w:t>
      </w:r>
      <w:r>
        <w:rPr>
          <w:b/>
        </w:rPr>
        <w:t xml:space="preserve">DOI: </w:t>
      </w:r>
      <w:hyperlink r:id="rId764">
        <w:r>
          <w:rPr>
            <w:color w:val="1155CC"/>
            <w:u w:val="single"/>
          </w:rPr>
          <w:t>10.1093/nsr/nwag392</w:t>
        </w:r>
      </w:hyperlink>
    </w:p>
    <w:p>
      <w:pPr>
        <w:spacing w:before="0" w:after="120"/>
      </w:pPr>
      <w:r>
        <w:rPr>
          <w:b/>
        </w:rPr>
        <w:t xml:space="preserve">Notes: </w:t>
      </w:r>
      <w:r>
        <w:t>abstract_source=rss_oup</w:t>
      </w:r>
    </w:p>
    <w:p>
      <w:pPr>
        <w:spacing w:before="0" w:after="80" w:lineRule="auto" w:line="276"/>
      </w:pPr>
      <w:r>
        <w:rPr>
          <w:b/>
        </w:rPr>
        <w:t xml:space="preserve">摘要（ZH）: </w:t>
      </w:r>
      <w:r>
        <w:t>锰 (Mn) 氧化物对于微量金属和营养物质的循环至关重要。已在各种生物地球化学环境中鉴定出 30 多种具有独特晶体结构的氧化锰矿物，但对其形成的机制知之甚少。通过在相同的溶液条件下孵育不同粒径和结晶度的三层状锰氧化物，我们观察到不同隧道状锰氧化物的形成。纳米级矿物特性，特别是空位密度和表面能，调节 Mn(II) 的吸附几何形状以及随后的电子转移和结构重排。这些发现表明，与结晶度相关的矿物结构特性对于锰氧化物的转化至关重要，但之前并未得到充分重视。我们的研究为理解氧化锰矿物的自然多样性提供了机制基础，表明它们可能源自生物层状氧化锰的转化，这些氧化锰经历了矿物结晶度和当地环境条件的动态变化。</w:t>
      </w:r>
    </w:p>
    <w:p>
      <w:pPr>
        <w:spacing w:before="0" w:after="200" w:lineRule="auto" w:line="276"/>
      </w:pPr>
      <w:r>
        <w:rPr>
          <w:b/>
        </w:rPr>
        <w:t xml:space="preserve">Abstract (EN): </w:t>
      </w:r>
      <w:r>
        <w:t>Manganese (Mn) oxides are crucial for the cycling of trace metals and nutrients. Over 30 types of Mn oxide minerals with distinct crystal structures have been identified across a variety of biogeochemical settings, yet the mechanisms underlying their formation are poorly understood. By incubating three layered Mn oxides of varying particle size and crystallinity under identical solution conditions, we observed the formation of distinct tunneled Mn oxides. The nanoscale mineral property, particularly vacancy density and surface energy, modulates the adsorption geometry of Mn(II) and subsequent electron transfer and structural rearrangement. These findings indicate that mineral structural properties associated with crystallinity are critical and previously underappreciated for the transformation of Mn oxides. Our study provides a mechanistic basis for understanding the natural diversity of Mn oxide minerals, suggesting that they likely derive from the transformation of biogenic layered Mn oxides that experienced dynamic variations in mineral crystallinity and local environmental conditions.</w:t>
      </w:r>
    </w:p>
    <w:p>
      <w:pPr>
        <w:spacing w:before="120" w:after="120"/>
      </w:pPr>
      <w:r>
        <w:rPr>
          <w:sz w:val="18"/>
        </w:rPr>
        <w:t>——————————————————————————————————————————————————————————————————————</w:t>
      </w:r>
    </w:p>
    <w:p>
      <w:pPr>
        <w:spacing w:before="160" w:after="40" w:line="240" w:lineRule="auto"/>
      </w:pPr>
      <w:r>
        <w:rPr>
          <w:b/>
        </w:rPr>
        <w:t xml:space="preserve">[324] </w:t>
      </w:r>
      <w:hyperlink r:id="rId765">
        <w:r>
          <w:rPr>
            <w:color w:val="1155CC"/>
            <w:u w:val="single"/>
          </w:rPr>
          <w:t>白矮星大气中的气溶胶和碳氢化合物</w:t>
        </w:r>
      </w:hyperlink>
    </w:p>
    <w:p>
      <w:pPr>
        <w:spacing w:before="0" w:after="80"/>
      </w:pPr>
      <w:r>
        <w:rPr>
          <w:i/>
          <w:sz w:val="20"/>
        </w:rPr>
        <w:t>EN: Aerosols and hydrocarbons in the atmosphere of a white dwarf planet</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766">
        <w:r>
          <w:rPr>
            <w:color w:val="1155CC"/>
            <w:u w:val="single"/>
          </w:rPr>
          <w:t>10.1038/s41586-026-10514-7</w:t>
        </w:r>
      </w:hyperlink>
    </w:p>
    <w:p>
      <w:pPr>
        <w:spacing w:before="0" w:after="120"/>
      </w:pPr>
      <w:r>
        <w:rPr>
          <w:b/>
        </w:rPr>
        <w:t xml:space="preserve">Notes: </w:t>
      </w:r>
      <w:r>
        <w:t>abstract_source=nature_html</w:t>
      </w:r>
    </w:p>
    <w:p>
      <w:pPr>
        <w:spacing w:before="0" w:after="80" w:lineRule="auto" w:line="276"/>
      </w:pPr>
      <w:r>
        <w:rPr>
          <w:b/>
        </w:rPr>
        <w:t xml:space="preserve">摘要（ZH）: </w:t>
      </w:r>
      <w:r>
        <w:t>大多数恒星，包括我们的太阳，有一天都会演化成红巨星，随后演化成白矮星。最近已确定了几颗围绕白矮星 1、2、3、4 运行的候选行星，这表明行星可以完好无损地度过恒星后主序阶段。人们对后主序行星的大气成分知之甚少，迄今为止，经过大气探测的最进化的凌日行星绕着亚巨星运行5,6。在此，我们报告了对白矮星 WD 1856 b 的大气探测，这是通过詹姆斯·韦伯太空望远镜 (JWST) 近红外光谱仪 (NIRSpec) 棱镜的透射光谱实现的。我们的 0.5–5.0 μm 光谱揭示了碳氢化合物（比值比为 167:1–5,377:1，其中 CH4 优先为 17:1–30:1）、气溶胶（2 × 105:1–2 × 106:1）和行星夜面热发射（2 × 1063:1–2 × 1073:1）的存在。我们的光谱分析将 WD 1856 b 的质量限制在 4.3–10.9 MJ，发现其大气层富含碳（CH4 丰度约为 7%），有效温度超过预期的行星平衡温度（390–412 K 与 160 K）。根据冷却模型，这些结果表明WD 1856 b经历了与迁移相关的再加热事件3.0-5.5 Gyr进入白矮星阶段，这与主序后潮汐演化到当今0.02-au圆形轨道一致。我们的研究结果为了解围绕质量与太阳相似的恒星运行的巨行星的最终命运提供了一个窗口。</w:t>
      </w:r>
    </w:p>
    <w:p>
      <w:pPr>
        <w:spacing w:before="0" w:after="200" w:lineRule="auto" w:line="276"/>
      </w:pPr>
      <w:r>
        <w:rPr>
          <w:b/>
        </w:rPr>
        <w:t xml:space="preserve">Abstract (EN): </w:t>
      </w:r>
      <w:r>
        <w:t>Most stars, including our Sun, will one day evolve into red giants and, subsequently, white dwarfs. Several planet candidates have recently been identified orbiting white dwarfs1,2,3,4, demonstrating that planets can survive the stellar post-main-sequence stage intact. Little is known about the atmospheric composition of post-main-sequence planets, with the most evolved transiting planets with atmospheric detections so far orbiting subgiants5,6. Here we report an atmospheric detection for the white dwarf planet WD 1856 b, achieved through transmission spectroscopy with the James Webb Space Telescope (JWST) Near-Infrared Spectrograph (NIRSpec) PRISM. Our 0.5–5.0-μm spectrum reveals the presence of hydrocarbons (odds ratio of 167:1–5,377:1, with CH4 preferred at 17:1–30:1), aerosols (2 × 105:1–2 × 106:1) and thermal emission from the planetary nightside (2 × 1063:1–2 × 1073:1). Our spectral analysis constrains the mass of WD 1856 b to 4.3–10.9 MJ, finds a carbon-enriched atmosphere (with a CH4 abundance of approximately 7%) and an effective temperature exceeding the expected planetary equilibrium temperature (390–412 K versus 160 K). On the basis of cooling models, these results indicate that WD 1856 b underwent a migration-related reheating event 3.0–5.5 Gyr into the white dwarf phase, consistent with post-main-sequence tidal evolution to the present-day 0.02-au circular orbit. Our results provide a window into the ultimate fate of giant planets orbiting stars with masses similar to our Sun.</w:t>
      </w:r>
    </w:p>
    <w:p>
      <w:pPr>
        <w:spacing w:before="120" w:after="120"/>
      </w:pPr>
      <w:r>
        <w:rPr>
          <w:sz w:val="18"/>
        </w:rPr>
        <w:t>——————————————————————————————————————————————————————————————————————</w:t>
      </w:r>
    </w:p>
    <w:p>
      <w:pPr>
        <w:spacing w:before="160" w:after="40" w:line="240" w:lineRule="auto"/>
      </w:pPr>
      <w:r>
        <w:rPr>
          <w:b/>
        </w:rPr>
        <w:t xml:space="preserve">[325] </w:t>
      </w:r>
      <w:hyperlink r:id="rId767">
        <w:r>
          <w:rPr>
            <w:color w:val="1155CC"/>
            <w:u w:val="single"/>
          </w:rPr>
          <w:t>由微小石墨烯三角形制成的纳米金刚石</w:t>
        </w:r>
      </w:hyperlink>
    </w:p>
    <w:p>
      <w:pPr>
        <w:spacing w:before="0" w:after="80"/>
      </w:pPr>
      <w:r>
        <w:rPr>
          <w:i/>
          <w:sz w:val="20"/>
        </w:rPr>
        <w:t>EN: Nanodiamonds made from tiny graphene triangles</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768">
        <w:r>
          <w:rPr>
            <w:color w:val="1155CC"/>
            <w:u w:val="single"/>
          </w:rPr>
          <w:t>10.1038/d41586-026-02001-w</w:t>
        </w:r>
      </w:hyperlink>
    </w:p>
    <w:p>
      <w:pPr>
        <w:spacing w:before="0" w:after="120"/>
      </w:pPr>
      <w:r>
        <w:rPr>
          <w:b/>
        </w:rPr>
        <w:t xml:space="preserve">Notes: </w:t>
      </w:r>
      <w:r>
        <w:t>abstract_source=nature_html</w:t>
      </w:r>
    </w:p>
    <w:p>
      <w:pPr>
        <w:spacing w:before="0" w:after="80" w:lineRule="auto" w:line="276"/>
      </w:pPr>
      <w:r>
        <w:rPr>
          <w:b/>
        </w:rPr>
        <w:t xml:space="preserve">摘要（ZH）: </w:t>
      </w:r>
      <w:r>
        <w:t>纳米金刚石可以容纳原子大小的光发射器，用于量子传感和成像，但制造小型、结晶和均匀的纳米金刚石一直很困难。制造尺寸仅为 3-4 纳米的纳米金刚石的一步工艺使用边缘带有氢原子的平面碳“纳米石墨烯”分子，并且可以适用于生成荧光纳米金刚石。可以制造毫克级的具有 3 至 4 纳米窄尺寸分布的分子纳米金刚石。</w:t>
      </w:r>
    </w:p>
    <w:p>
      <w:pPr>
        <w:spacing w:before="0" w:after="200" w:lineRule="auto" w:line="276"/>
      </w:pPr>
      <w:r>
        <w:rPr>
          <w:b/>
        </w:rPr>
        <w:t xml:space="preserve">Abstract (EN): </w:t>
      </w:r>
      <w:r>
        <w:t>Nanodiamonds can host atom-sized light emitters for quantum sensing and imaging, but making nanodiamonds that are small, crystalline and uniform has been difficult. A single-step process for making nanodiamonds only 3–4 nanometres in size uses planar carbon ‘nanographene’ molecules with hydrogen atoms on the edges, and can be adapted to generate fluorescent nanodiamonds. Molecular nanodiamonds with a narrow size distribution of 3 to 4 nanometres can be made on the milligram scale.</w:t>
      </w:r>
    </w:p>
    <w:p>
      <w:pPr>
        <w:spacing w:before="120" w:after="120"/>
      </w:pPr>
      <w:r>
        <w:rPr>
          <w:sz w:val="18"/>
        </w:rPr>
        <w:t>——————————————————————————————————————————————————————————————————————</w:t>
      </w:r>
    </w:p>
    <w:p>
      <w:pPr>
        <w:spacing w:before="160" w:after="40" w:line="240" w:lineRule="auto"/>
      </w:pPr>
      <w:r>
        <w:rPr>
          <w:b/>
        </w:rPr>
        <w:t xml:space="preserve">[326] </w:t>
      </w:r>
      <w:hyperlink r:id="rId769">
        <w:r>
          <w:rPr>
            <w:color w:val="1155CC"/>
            <w:u w:val="single"/>
          </w:rPr>
          <w:t>关于科学信任的复杂真相</w:t>
        </w:r>
      </w:hyperlink>
    </w:p>
    <w:p>
      <w:pPr>
        <w:spacing w:before="0" w:after="80"/>
      </w:pPr>
      <w:r>
        <w:rPr>
          <w:i/>
          <w:sz w:val="20"/>
        </w:rPr>
        <w:t>EN: The complex truth about trust in science</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770">
        <w:r>
          <w:rPr>
            <w:color w:val="1155CC"/>
            <w:u w:val="single"/>
          </w:rPr>
          <w:t>10.1038/d41586-026-01974-y</w:t>
        </w:r>
      </w:hyperlink>
    </w:p>
    <w:p>
      <w:pPr>
        <w:spacing w:before="0" w:after="120"/>
      </w:pPr>
      <w:r>
        <w:rPr>
          <w:b/>
        </w:rPr>
        <w:t xml:space="preserve">Notes: </w:t>
      </w:r>
      <w:r>
        <w:t>abstract_source=nature_html</w:t>
      </w:r>
    </w:p>
    <w:p>
      <w:pPr>
        <w:spacing w:before="0" w:after="80" w:lineRule="auto" w:line="276"/>
      </w:pPr>
      <w:r>
        <w:rPr>
          <w:b/>
        </w:rPr>
        <w:t xml:space="preserve">摘要（ZH）: </w:t>
      </w:r>
      <w:r>
        <w:t>对科学的信心并未崩溃，但科学家们有紧迫的问题需要解决。对科学的信心并未崩溃，但科学家们有紧迫的问题需要解决。</w:t>
      </w:r>
    </w:p>
    <w:p>
      <w:pPr>
        <w:spacing w:before="0" w:after="200" w:lineRule="auto" w:line="276"/>
      </w:pPr>
      <w:r>
        <w:rPr>
          <w:b/>
        </w:rPr>
        <w:t xml:space="preserve">Abstract (EN): </w:t>
      </w:r>
      <w:r>
        <w:t>Confidence in science has not collapsed, but scientists have urgent problems to address. Confidence in science has not collapsed, but scientists have urgent problems to address.</w:t>
      </w:r>
    </w:p>
    <w:p>
      <w:pPr>
        <w:spacing w:before="120" w:after="120"/>
      </w:pPr>
      <w:r>
        <w:rPr>
          <w:sz w:val="18"/>
        </w:rPr>
        <w:t>——————————————————————————————————————————————————————————————————————</w:t>
      </w:r>
    </w:p>
    <w:p>
      <w:pPr>
        <w:spacing w:before="160" w:after="40" w:line="240" w:lineRule="auto"/>
      </w:pPr>
      <w:r>
        <w:rPr>
          <w:b/>
        </w:rPr>
        <w:t xml:space="preserve">[327] </w:t>
      </w:r>
      <w:hyperlink r:id="rId771">
        <w:r>
          <w:rPr>
            <w:color w:val="1155CC"/>
            <w:u w:val="single"/>
          </w:rPr>
          <w:t>随着晶体管变得越来越小，电极也必须不断缩小</w:t>
        </w:r>
      </w:hyperlink>
    </w:p>
    <w:p>
      <w:pPr>
        <w:spacing w:before="0" w:after="80"/>
      </w:pPr>
      <w:r>
        <w:rPr>
          <w:i/>
          <w:sz w:val="20"/>
        </w:rPr>
        <w:t>EN: As transistors get smaller, electrodes must keep shrinking too</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772">
        <w:r>
          <w:rPr>
            <w:color w:val="1155CC"/>
            <w:u w:val="single"/>
          </w:rPr>
          <w:t>10.1038/d41586-026-01807-y</w:t>
        </w:r>
      </w:hyperlink>
    </w:p>
    <w:p>
      <w:pPr>
        <w:spacing w:before="0" w:after="120"/>
      </w:pPr>
      <w:r>
        <w:rPr>
          <w:b/>
        </w:rPr>
        <w:t xml:space="preserve">Notes: </w:t>
      </w:r>
      <w:r>
        <w:t>abstract_source=nature_html</w:t>
      </w:r>
    </w:p>
    <w:p>
      <w:pPr>
        <w:spacing w:before="0" w:after="80" w:lineRule="auto" w:line="276"/>
      </w:pPr>
      <w:r>
        <w:rPr>
          <w:b/>
        </w:rPr>
        <w:t xml:space="preserve">摘要（ZH）: </w:t>
      </w:r>
      <w:r>
        <w:t>直接成像表明，电流流入原子薄晶体管的触点长度可以缩小到仅几纳米。直接成像表明，电流流入原子薄晶体管的触点长度可以缩小到仅几纳米。</w:t>
      </w:r>
    </w:p>
    <w:p>
      <w:pPr>
        <w:spacing w:before="0" w:after="200" w:lineRule="auto" w:line="276"/>
      </w:pPr>
      <w:r>
        <w:rPr>
          <w:b/>
        </w:rPr>
        <w:t xml:space="preserve">Abstract (EN): </w:t>
      </w:r>
      <w:r>
        <w:t>Direct imaging shows that the contacts through which current flows into atomically thin transistors can be scaled down to just a few nanometres in length. Direct imaging shows that the contacts through which current flows into atomically thin transistors can be scaled down to just a few nanometres in length.</w:t>
      </w:r>
    </w:p>
    <w:p>
      <w:pPr>
        <w:spacing w:before="120" w:after="120"/>
      </w:pPr>
      <w:r>
        <w:rPr>
          <w:sz w:val="18"/>
        </w:rPr>
        <w:t>——————————————————————————————————————————————————————————————————————</w:t>
      </w:r>
    </w:p>
    <w:p>
      <w:pPr>
        <w:spacing w:before="160" w:after="40" w:line="240" w:lineRule="auto"/>
      </w:pPr>
      <w:r>
        <w:rPr>
          <w:b/>
        </w:rPr>
        <w:t xml:space="preserve">[328] </w:t>
      </w:r>
      <w:hyperlink r:id="rId773">
        <w:r>
          <w:rPr>
            <w:color w:val="1155CC"/>
            <w:u w:val="single"/>
          </w:rPr>
          <w:t>将公众置于科学和政策核心的六种方法</w:t>
        </w:r>
      </w:hyperlink>
    </w:p>
    <w:p>
      <w:pPr>
        <w:spacing w:before="0" w:after="80"/>
      </w:pPr>
      <w:r>
        <w:rPr>
          <w:i/>
          <w:sz w:val="20"/>
        </w:rPr>
        <w:t>EN: Six ways to put the public at the heart of science and policy</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774">
        <w:r>
          <w:rPr>
            <w:color w:val="1155CC"/>
            <w:u w:val="single"/>
          </w:rPr>
          <w:t>10.1038/d41586-026-01981-z</w:t>
        </w:r>
      </w:hyperlink>
    </w:p>
    <w:p>
      <w:pPr>
        <w:spacing w:before="0" w:after="120"/>
      </w:pPr>
      <w:r>
        <w:rPr>
          <w:b/>
        </w:rPr>
        <w:t xml:space="preserve">Notes: </w:t>
      </w:r>
      <w:r>
        <w:t>abstract_source=nature_html</w:t>
      </w:r>
    </w:p>
    <w:p>
      <w:pPr>
        <w:spacing w:before="0" w:after="80" w:lineRule="auto" w:line="276"/>
      </w:pPr>
      <w:r>
        <w:rPr>
          <w:b/>
        </w:rPr>
        <w:t xml:space="preserve">摘要（ZH）: </w:t>
      </w:r>
      <w:r>
        <w:t>全球范围内对精英机构的信任正在减弱。将公众参与纳入研究和政府建议中可以扭转局势。全球范围内对精英机构的信任正在减弱。将公众参与纳入研究和政府建议中可以扭转局势。</w:t>
      </w:r>
    </w:p>
    <w:p>
      <w:pPr>
        <w:spacing w:before="0" w:after="200" w:lineRule="auto" w:line="276"/>
      </w:pPr>
      <w:r>
        <w:rPr>
          <w:b/>
        </w:rPr>
        <w:t xml:space="preserve">Abstract (EN): </w:t>
      </w:r>
      <w:r>
        <w:t>Trust in elite institutions is on the wane globally. Building public participation into research and government advice can turn the tide. Trust in elite institutions is on the wane globally. Building public participation into research and government advice can turn the tide.</w:t>
      </w:r>
    </w:p>
    <w:p>
      <w:pPr>
        <w:spacing w:before="120" w:after="120"/>
      </w:pPr>
      <w:r>
        <w:rPr>
          <w:sz w:val="18"/>
        </w:rPr>
        <w:t>——————————————————————————————————————————————————————————————————————</w:t>
      </w:r>
    </w:p>
    <w:p>
      <w:pPr>
        <w:spacing w:before="160" w:after="40" w:line="240" w:lineRule="auto"/>
      </w:pPr>
      <w:r>
        <w:rPr>
          <w:b/>
        </w:rPr>
        <w:t xml:space="preserve">[329] </w:t>
      </w:r>
      <w:hyperlink r:id="rId775">
        <w:r>
          <w:rPr>
            <w:color w:val="1155CC"/>
            <w:u w:val="single"/>
          </w:rPr>
          <w:t>用于听觉恢复的人工神经形态接口</w:t>
        </w:r>
      </w:hyperlink>
    </w:p>
    <w:p>
      <w:pPr>
        <w:spacing w:before="0" w:after="80"/>
      </w:pPr>
      <w:r>
        <w:rPr>
          <w:i/>
          <w:sz w:val="20"/>
        </w:rPr>
        <w:t>EN: An artificial neuromorphic interface for auditory restoration</w:t>
      </w:r>
    </w:p>
    <w:p>
      <w:pPr>
        <w:spacing w:before="0" w:after="120"/>
      </w:pPr>
      <w:r>
        <w:rPr>
          <w:b/>
        </w:rPr>
        <w:t xml:space="preserve">Source: </w:t>
      </w:r>
      <w:r>
        <w:t>Nature Materials</w:t>
      </w:r>
      <w:r>
        <w:t xml:space="preserve">    </w:t>
      </w:r>
      <w:r>
        <w:rPr>
          <w:b/>
        </w:rPr>
        <w:t xml:space="preserve">Pub date: </w:t>
      </w:r>
      <w:r>
        <w:t>2026-07-01 00:00:00+00:00</w:t>
      </w:r>
      <w:r>
        <w:t xml:space="preserve">    </w:t>
      </w:r>
      <w:r>
        <w:rPr>
          <w:b/>
        </w:rPr>
        <w:t xml:space="preserve">DOI: </w:t>
      </w:r>
      <w:hyperlink r:id="rId776">
        <w:r>
          <w:rPr>
            <w:color w:val="1155CC"/>
            <w:u w:val="single"/>
          </w:rPr>
          <w:t>10.1038/s41563-026-02656-w</w:t>
        </w:r>
      </w:hyperlink>
    </w:p>
    <w:p>
      <w:pPr>
        <w:spacing w:before="0" w:after="120"/>
      </w:pPr>
      <w:r>
        <w:rPr>
          <w:b/>
        </w:rPr>
        <w:t xml:space="preserve">Notes: </w:t>
      </w:r>
      <w:r>
        <w:t>abstract_source=nature_html</w:t>
      </w:r>
    </w:p>
    <w:p>
      <w:pPr>
        <w:spacing w:before="0" w:after="80" w:lineRule="auto" w:line="276"/>
      </w:pPr>
      <w:r>
        <w:rPr>
          <w:b/>
        </w:rPr>
        <w:t xml:space="preserve">摘要（ZH）: </w:t>
      </w:r>
      <w:r>
        <w:t>感音神经性听力损失影响全球约 3% 的人口，但缺乏可行的解决方案。我们提出了一种能够与哺乳动物传入神经杂交以重建听觉通路的神经形态接口。自供电声学装置充当听觉感受器，而星形可重构人工神经电路则通过侧抑制逻辑实现注意力集中。通过利用 WO3 纳米线进行动态可逆质子插入和提取，突触单元提供动态信息和广泛的顺序声音处理。使用 8 × 8 突触晶体管阵列实现三维声音定位，通过矩阵矢量乘法和突触电流分析实现空间映射和微分。人工听觉神经回路精确区分同音异义词，形成闭环神经回路，帮助听力障碍的兔子恢复听觉功能，实现按照人声打字、踢球等动作。这项工作提供了对神经修复、替代和生物控制系统的见解。</w:t>
      </w:r>
    </w:p>
    <w:p>
      <w:pPr>
        <w:spacing w:before="0" w:after="200" w:lineRule="auto" w:line="276"/>
      </w:pPr>
      <w:r>
        <w:rPr>
          <w:b/>
        </w:rPr>
        <w:t xml:space="preserve">Abstract (EN): </w:t>
      </w:r>
      <w:r>
        <w:t>Sensorineural hearing loss affects ∼3% of the global population yet lacks feasible solutions. We present a neuromorphic interface capable of hybridizing with mammalian afferent nerves to reconstruct the auditory pathway. A self-powered acoustic device serves as the auditory receptor, while a star-shaped reconfigurable artificial neural circuit enables attention concentration via lateral inhibition logic. By leveraging WO3 nanowires for dynamic reversible proton insertion and extraction, synaptic units provide dynamic information and broad-range sequential sound processing. Three-dimensional sound localization was achieved using an 8 × 8 synaptic transistor array, enabling spatial mapping and differentiation via matrix-vector multiplication and synaptic current analysis. The artificial auditory neural circuit precisely differentiates homophones, forms a closed-loop neural circuit, and aids rabbits with hearing impairment to regain auditory function, enabling actions such as typing according to human speech and kicking a ball. This work provides insights into neural repair, replacement and biocybernetic systems.</w:t>
      </w:r>
    </w:p>
    <w:p>
      <w:pPr>
        <w:spacing w:before="120" w:after="120"/>
      </w:pPr>
      <w:r>
        <w:rPr>
          <w:sz w:val="18"/>
        </w:rPr>
        <w:t>——————————————————————————————————————————————————————————————————————</w:t>
      </w:r>
    </w:p>
    <w:p>
      <w:pPr>
        <w:spacing w:before="160" w:after="40" w:line="240" w:lineRule="auto"/>
      </w:pPr>
      <w:r>
        <w:rPr>
          <w:b/>
        </w:rPr>
        <w:t xml:space="preserve">[330] </w:t>
      </w:r>
      <w:hyperlink r:id="rId777">
        <w:r>
          <w:rPr>
            <w:color w:val="1155CC"/>
            <w:u w:val="single"/>
          </w:rPr>
          <w:t>造纸厂癌症研究的引用次数是真实论文的两倍</w:t>
        </w:r>
      </w:hyperlink>
    </w:p>
    <w:p>
      <w:pPr>
        <w:spacing w:before="0" w:after="80"/>
      </w:pPr>
      <w:r>
        <w:rPr>
          <w:i/>
          <w:sz w:val="20"/>
        </w:rPr>
        <w:t>EN: Paper mill cancer studies get double the number of citations as genuine papers</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778">
        <w:r>
          <w:rPr>
            <w:color w:val="1155CC"/>
            <w:u w:val="single"/>
          </w:rPr>
          <w:t>10.1038/d41586-026-01908-8</w:t>
        </w:r>
      </w:hyperlink>
    </w:p>
    <w:p>
      <w:pPr>
        <w:spacing w:before="0" w:after="120"/>
      </w:pPr>
      <w:r>
        <w:rPr>
          <w:b/>
        </w:rPr>
        <w:t xml:space="preserve">Notes: </w:t>
      </w:r>
      <w:r>
        <w:t>abstract_source=nature_html</w:t>
      </w:r>
    </w:p>
    <w:p>
      <w:pPr>
        <w:spacing w:before="0" w:after="80" w:lineRule="auto" w:line="276"/>
      </w:pPr>
      <w:r>
        <w:rPr>
          <w:b/>
        </w:rPr>
        <w:t xml:space="preserve">摘要（ZH）: </w:t>
      </w:r>
      <w:r>
        <w:t>潜在的欺诈性论文经常互相引用，并可能夸大其发表期刊的影响因子。潜在的欺诈性论文经常互相引用，并可能夸大其发表期刊的影响因子。</w:t>
      </w:r>
    </w:p>
    <w:p>
      <w:pPr>
        <w:spacing w:before="0" w:after="200" w:lineRule="auto" w:line="276"/>
      </w:pPr>
      <w:r>
        <w:rPr>
          <w:b/>
        </w:rPr>
        <w:t xml:space="preserve">Abstract (EN): </w:t>
      </w:r>
      <w:r>
        <w:t>Potentially fraudulent papers often cite each other and could be inflating the impact factor of journals in which they are published. Potentially fraudulent papers often cite each other and could be inflating the impact factor of journals in which they are published.</w:t>
      </w:r>
    </w:p>
    <w:p>
      <w:pPr>
        <w:spacing w:before="120" w:after="120"/>
      </w:pPr>
      <w:r>
        <w:rPr>
          <w:sz w:val="18"/>
        </w:rPr>
        <w:t>——————————————————————————————————————————————————————————————————————</w:t>
      </w:r>
    </w:p>
    <w:p>
      <w:pPr>
        <w:spacing w:before="160" w:after="40" w:line="240" w:lineRule="auto"/>
      </w:pPr>
      <w:r>
        <w:rPr>
          <w:b/>
        </w:rPr>
        <w:t xml:space="preserve">[331] </w:t>
      </w:r>
      <w:hyperlink r:id="rId779">
        <w:r>
          <w:rPr>
            <w:color w:val="1155CC"/>
            <w:u w:val="single"/>
          </w:rPr>
          <w:t>植物膜改变周围的脂质以在热应激下保持坚固</w:t>
        </w:r>
      </w:hyperlink>
    </w:p>
    <w:p>
      <w:pPr>
        <w:spacing w:before="0" w:after="80"/>
      </w:pPr>
      <w:r>
        <w:rPr>
          <w:i/>
          <w:sz w:val="20"/>
        </w:rPr>
        <w:t>EN: Plant membranes shuffle lipids around to stay firm under heat stress</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780">
        <w:r>
          <w:rPr>
            <w:color w:val="1155CC"/>
            <w:u w:val="single"/>
          </w:rPr>
          <w:t>10.1038/d41586-026-01809-w</w:t>
        </w:r>
      </w:hyperlink>
    </w:p>
    <w:p>
      <w:pPr>
        <w:spacing w:before="0" w:after="120"/>
      </w:pPr>
      <w:r>
        <w:rPr>
          <w:b/>
        </w:rPr>
        <w:t xml:space="preserve">Notes: </w:t>
      </w:r>
      <w:r>
        <w:t>abstract_source=nature_html</w:t>
      </w:r>
    </w:p>
    <w:p>
      <w:pPr>
        <w:spacing w:before="0" w:after="80" w:lineRule="auto" w:line="276"/>
      </w:pPr>
      <w:r>
        <w:rPr>
          <w:b/>
        </w:rPr>
        <w:t xml:space="preserve">摘要（ZH）: </w:t>
      </w:r>
      <w:r>
        <w:t>高温使细胞膜变得脆弱且渗漏。水稻植物通过调节膜脂含量迅速抵消这种影响，使它们能够抵抗热浪。高温使细胞膜变得脆弱且渗漏。水稻植物通过调节膜脂含量迅速抵消这种影响，使它们能够抵抗热浪。</w:t>
      </w:r>
    </w:p>
    <w:p>
      <w:pPr>
        <w:spacing w:before="0" w:after="200" w:lineRule="auto" w:line="276"/>
      </w:pPr>
      <w:r>
        <w:rPr>
          <w:b/>
        </w:rPr>
        <w:t xml:space="preserve">Abstract (EN): </w:t>
      </w:r>
      <w:r>
        <w:t>High temperatures make cell membranes weak and leaky. Rice plants rapidly counteract this effect by adjusting membrane lipid content, enabling them to resist heatwaves. High temperatures make cell membranes weak and leaky. Rice plants rapidly counteract this effect by adjusting membrane lipid content, enabling them to resist heatwaves.</w:t>
      </w:r>
    </w:p>
    <w:p>
      <w:pPr>
        <w:spacing w:before="120" w:after="120"/>
      </w:pPr>
      <w:r>
        <w:rPr>
          <w:sz w:val="18"/>
        </w:rPr>
        <w:t>——————————————————————————————————————————————————————————————————————</w:t>
      </w:r>
    </w:p>
    <w:p>
      <w:pPr>
        <w:spacing w:before="160" w:after="40" w:line="240" w:lineRule="auto"/>
      </w:pPr>
      <w:r>
        <w:rPr>
          <w:b/>
        </w:rPr>
        <w:t xml:space="preserve">[332] </w:t>
      </w:r>
      <w:hyperlink r:id="rId781">
        <w:r>
          <w:rPr>
            <w:color w:val="1155CC"/>
            <w:u w:val="single"/>
          </w:rPr>
          <w:t>RS-232 和其他形式的悲伤</w:t>
        </w:r>
      </w:hyperlink>
    </w:p>
    <w:p>
      <w:pPr>
        <w:spacing w:before="0" w:after="80"/>
      </w:pPr>
      <w:r>
        <w:rPr>
          <w:i/>
          <w:sz w:val="20"/>
        </w:rPr>
        <w:t>EN: RS-232 and other forms of grief</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782">
        <w:r>
          <w:rPr>
            <w:color w:val="1155CC"/>
            <w:u w:val="single"/>
          </w:rPr>
          <w:t>10.1038/d41586-026-01936-4</w:t>
        </w:r>
      </w:hyperlink>
    </w:p>
    <w:p>
      <w:pPr>
        <w:spacing w:before="0" w:after="120"/>
      </w:pPr>
      <w:r>
        <w:rPr>
          <w:b/>
        </w:rPr>
        <w:t xml:space="preserve">Notes: </w:t>
      </w:r>
      <w:r>
        <w:t>abstract_source=nature_html</w:t>
      </w:r>
    </w:p>
    <w:p>
      <w:pPr>
        <w:spacing w:before="0" w:after="80" w:lineRule="auto" w:line="276"/>
      </w:pPr>
      <w:r>
        <w:rPr>
          <w:b/>
        </w:rPr>
        <w:t xml:space="preserve">摘要（ZH）: </w:t>
      </w:r>
      <w:r>
        <w:t>与另一种生活的联系。与另一种生活的联系。</w:t>
      </w:r>
    </w:p>
    <w:p>
      <w:pPr>
        <w:spacing w:before="0" w:after="200" w:lineRule="auto" w:line="276"/>
      </w:pPr>
      <w:r>
        <w:rPr>
          <w:b/>
        </w:rPr>
        <w:t xml:space="preserve">Abstract (EN): </w:t>
      </w:r>
      <w:r>
        <w:t>A connection to another life. A connection to another life.</w:t>
      </w:r>
    </w:p>
    <w:p>
      <w:pPr>
        <w:spacing w:before="120" w:after="120"/>
      </w:pPr>
      <w:r>
        <w:rPr>
          <w:sz w:val="18"/>
        </w:rPr>
        <w:t>——————————————————————————————————————————————————————————————————————</w:t>
      </w:r>
    </w:p>
    <w:p>
      <w:pPr>
        <w:spacing w:before="160" w:after="40" w:line="240" w:lineRule="auto"/>
      </w:pPr>
      <w:r>
        <w:rPr>
          <w:b/>
        </w:rPr>
        <w:t xml:space="preserve">[333] </w:t>
      </w:r>
      <w:hyperlink r:id="rId783">
        <w:r>
          <w:rPr>
            <w:color w:val="1155CC"/>
            <w:u w:val="single"/>
          </w:rPr>
          <w:t>肝脏脂肪控制晚期结直肠癌的结果</w:t>
        </w:r>
      </w:hyperlink>
    </w:p>
    <w:p>
      <w:pPr>
        <w:spacing w:before="0" w:after="80"/>
      </w:pPr>
      <w:r>
        <w:rPr>
          <w:i/>
          <w:sz w:val="20"/>
        </w:rPr>
        <w:t>EN: Liver fat steers the outcome of advanced colorectal cancer</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784">
        <w:r>
          <w:rPr>
            <w:color w:val="1155CC"/>
            <w:u w:val="single"/>
          </w:rPr>
          <w:t>10.1038/d41586-026-01747-7</w:t>
        </w:r>
      </w:hyperlink>
    </w:p>
    <w:p>
      <w:pPr>
        <w:spacing w:before="0" w:after="120"/>
      </w:pPr>
      <w:r>
        <w:rPr>
          <w:b/>
        </w:rPr>
        <w:t xml:space="preserve">Notes: </w:t>
      </w:r>
      <w:r>
        <w:t>abstract_source=nature_html</w:t>
      </w:r>
    </w:p>
    <w:p>
      <w:pPr>
        <w:spacing w:before="0" w:after="80" w:lineRule="auto" w:line="276"/>
      </w:pPr>
      <w:r>
        <w:rPr>
          <w:b/>
        </w:rPr>
        <w:t xml:space="preserve">摘要（ZH）: </w:t>
      </w:r>
      <w:r>
        <w:t>大约 50% 的结直肠癌患者的肿瘤细胞扩散到远处器官。这些转移瘤生长到肝组织的能力决定了预后。研究表明，肝脏脂肪会促进一种预后不良的肝转移，这表明个体特异性特征可以为风险分层和治疗提供信息。患有脂肪肝疾病的个体患结直肠癌侵袭性继发性肿瘤的风险较高。</w:t>
      </w:r>
    </w:p>
    <w:p>
      <w:pPr>
        <w:spacing w:before="0" w:after="200" w:lineRule="auto" w:line="276"/>
      </w:pPr>
      <w:r>
        <w:rPr>
          <w:b/>
        </w:rPr>
        <w:t xml:space="preserve">Abstract (EN): </w:t>
      </w:r>
      <w:r>
        <w:t>In about 50% of people with colorectal cancer, tumour cells spread to distant organs. The ability of these metastases to grow into the liver tissue shapes prognosis. It emerges that liver fat promotes a form of liver metastasis with a poor prognosis, suggesting that individual-specific traits can inform risk stratification and treatment. Individuals with fatty-liver diseases have a heightened risk of aggressive secondary tumours in colorectal cancer.</w:t>
      </w:r>
    </w:p>
    <w:p>
      <w:pPr>
        <w:spacing w:before="120" w:after="120"/>
      </w:pPr>
      <w:r>
        <w:rPr>
          <w:sz w:val="18"/>
        </w:rPr>
        <w:t>——————————————————————————————————————————————————————————————————————</w:t>
      </w:r>
    </w:p>
    <w:p>
      <w:pPr>
        <w:spacing w:before="160" w:after="40" w:line="240" w:lineRule="auto"/>
      </w:pPr>
      <w:r>
        <w:rPr>
          <w:b/>
        </w:rPr>
        <w:t xml:space="preserve">[334] </w:t>
      </w:r>
      <w:hyperlink r:id="rId785">
        <w:r>
          <w:rPr>
            <w:color w:val="1155CC"/>
            <w:u w:val="single"/>
          </w:rPr>
          <w:t>食物网的复杂性是生物多样性对生态系统功能影响的基础</w:t>
        </w:r>
      </w:hyperlink>
    </w:p>
    <w:p>
      <w:pPr>
        <w:spacing w:before="0" w:after="80"/>
      </w:pPr>
      <w:r>
        <w:rPr>
          <w:i/>
          <w:sz w:val="20"/>
        </w:rPr>
        <w:t>EN: Food web complexity underlies biodiversity effects on ecosystem functioning</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786">
        <w:r>
          <w:rPr>
            <w:color w:val="1155CC"/>
            <w:u w:val="single"/>
          </w:rPr>
          <w:t>10.1038/s41586-026-10710-5</w:t>
        </w:r>
      </w:hyperlink>
    </w:p>
    <w:p>
      <w:pPr>
        <w:spacing w:before="0" w:after="120"/>
      </w:pPr>
      <w:r>
        <w:rPr>
          <w:b/>
        </w:rPr>
        <w:t xml:space="preserve">Notes: </w:t>
      </w:r>
      <w:r>
        <w:t>abstract_source=nature_html</w:t>
      </w:r>
    </w:p>
    <w:p>
      <w:pPr>
        <w:spacing w:before="0" w:after="80" w:lineRule="auto" w:line="276"/>
      </w:pPr>
      <w:r>
        <w:rPr>
          <w:b/>
        </w:rPr>
        <w:t xml:space="preserve">摘要（ZH）: </w:t>
      </w:r>
      <w:r>
        <w:t>生物多样性变化引起了人们对生态系统提供的功能和服务的广泛关注1,2,3。尽管有大量证据表明生物多样性对单一营养级内的生态系统功能产生积极影响4,5，但这种生物多样性效应如何随多营养食物网结构变化的问题仍未解决6，尽管大多数生态系统包含两到六个营养级7。我们通过在来自海洋、湖泊、溪流和土壤生态系统的 318 个高度解析、复杂的食物网中量化能量通量作为两个主要生态系统功能（初级消费和捕食）的代理，研究食物网复杂性如何调节自然界中的生物多样性-生态系统功能关系。生态系统功能随着所有营养级和生态系统的类群丰富度的增加而不断增强，这是由于更大的垂直多样性（即最大营养级9）和分类学上更多样化的食物网中捕食者的营养互补性而产生的。此外，捕食者营养互补性10,11增加了所有淡水生态系统类型的捕食通量。这些发现强调了捕食者12,13对关键生态系统功能（例如，生物控制和维持生物多样性和生态系统稳定性）造成的营养降级的威胁，这些功能通常最容易受到人为干扰14,15。我们的研究表明，生物多样性变化的后果与生命网络紧密相连，强调需要保护生物多样性与生态系统功能关系背后的营养复杂性</w:t>
      </w:r>
    </w:p>
    <w:p>
      <w:pPr>
        <w:spacing w:before="0" w:after="200" w:lineRule="auto" w:line="276"/>
      </w:pPr>
      <w:r>
        <w:rPr>
          <w:b/>
        </w:rPr>
        <w:t xml:space="preserve">Abstract (EN): </w:t>
      </w:r>
      <w:r>
        <w:t>Biodiversity change has elicited widespread concern over the consequences for functions and services provided by ecosystems1,2,3. Despite extensive evidence for a positive effect of biodiversity on ecosystem functioning within a single trophic level4,5, how this biodiversity effect varies with multi-trophic food web structure remains unresolved6 even though most ecosystems contain two to six trophic levels7. We investigate how food web complexity modulates biodiversity–ecosystem functioning relationships in nature by quantifying energy fluxes as proxies for two principal ecosystem functions8—primary consumption and predation—in 318 highly resolved, complex food webs from marine, lake, stream and soil ecosystems. Ecosystem functioning increased consistently with taxon richness across all trophic levels and ecosystems, which arose from greater vertical diversity (that is, maximum trophic level9) and trophic complementarity of predators in more taxonomically diverse food webs. Furthermore, predator trophic complementarity10,11 increased predation fluxes in all freshwater ecosystem types. These findings highlight the threat of trophic downgrading to critical ecosystem functions (for example, biological control and maintenance of biodiversity and ecosystem stability) provided by predators12,13, which are typically most vulnerable to anthropogenic disturbances14,15. Our study demonstrates that the consequences of biodiversity change are deeply entangled within the web of life, emphasizing the need to conserve the trophic complexity underlying biodiversity–ecosystem function relationships.</w:t>
      </w:r>
    </w:p>
    <w:p>
      <w:pPr>
        <w:spacing w:before="120" w:after="120"/>
      </w:pPr>
      <w:r>
        <w:rPr>
          <w:sz w:val="18"/>
        </w:rPr>
        <w:t>——————————————————————————————————————————————————————————————————————</w:t>
      </w:r>
    </w:p>
    <w:p>
      <w:pPr>
        <w:spacing w:before="160" w:after="40" w:line="240" w:lineRule="auto"/>
      </w:pPr>
      <w:r>
        <w:rPr>
          <w:b/>
        </w:rPr>
        <w:t xml:space="preserve">[335] </w:t>
      </w:r>
      <w:hyperlink r:id="rId787">
        <w:r>
          <w:rPr>
            <w:color w:val="1155CC"/>
            <w:u w:val="single"/>
          </w:rPr>
          <w:t>期刊主编表示，为什么向同行评审员付费是有效的</w:t>
        </w:r>
      </w:hyperlink>
    </w:p>
    <w:p>
      <w:pPr>
        <w:spacing w:before="0" w:after="80"/>
      </w:pPr>
      <w:r>
        <w:rPr>
          <w:i/>
          <w:sz w:val="20"/>
        </w:rPr>
        <w:t>EN: Why paying peer reviewers works, according to a journal’s editor-in-chief</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788">
        <w:r>
          <w:rPr>
            <w:color w:val="1155CC"/>
            <w:u w:val="single"/>
          </w:rPr>
          <w:t>10.1038/d41586-026-01973-z</w:t>
        </w:r>
      </w:hyperlink>
    </w:p>
    <w:p>
      <w:pPr>
        <w:spacing w:before="0" w:after="120"/>
      </w:pPr>
      <w:r>
        <w:rPr>
          <w:b/>
        </w:rPr>
        <w:t xml:space="preserve">Notes: </w:t>
      </w:r>
      <w:r>
        <w:t>abstract_source=nature_html</w:t>
      </w:r>
    </w:p>
    <w:p>
      <w:pPr>
        <w:spacing w:before="0" w:after="80" w:lineRule="auto" w:line="276"/>
      </w:pPr>
      <w:r>
        <w:rPr>
          <w:b/>
        </w:rPr>
        <w:t xml:space="preserve">摘要（ZH）: </w:t>
      </w:r>
      <w:r>
        <w:t>一家向同行评审员付费的生物学期刊发现，这种方法将首次编辑决策的时间缩短了 85%，并保持了高质量的评审。一家向同行评审员付费的生物学期刊发现，这种方法将首次编辑决策的时间缩短了 85%，并保持了高质量的评审。</w:t>
      </w:r>
    </w:p>
    <w:p>
      <w:pPr>
        <w:spacing w:before="0" w:after="200" w:lineRule="auto" w:line="276"/>
      </w:pPr>
      <w:r>
        <w:rPr>
          <w:b/>
        </w:rPr>
        <w:t xml:space="preserve">Abstract (EN): </w:t>
      </w:r>
      <w:r>
        <w:t>A biology journal that paid peer reviewers found that the approach cut the time to a first editorial decision by 85% and maintained high-quality reviews. A biology journal that paid peer reviewers found that the approach cut the time to a first editorial decision by 85% and maintained high-quality reviews.</w:t>
      </w:r>
    </w:p>
    <w:p>
      <w:pPr>
        <w:spacing w:before="120" w:after="120"/>
      </w:pPr>
      <w:r>
        <w:rPr>
          <w:sz w:val="18"/>
        </w:rPr>
        <w:t>——————————————————————————————————————————————————————————————————————</w:t>
      </w:r>
    </w:p>
    <w:p>
      <w:pPr>
        <w:spacing w:before="160" w:after="40" w:line="240" w:lineRule="auto"/>
      </w:pPr>
      <w:r>
        <w:rPr>
          <w:b/>
        </w:rPr>
        <w:t xml:space="preserve">[336] </w:t>
      </w:r>
      <w:hyperlink r:id="rId789">
        <w:r>
          <w:rPr>
            <w:color w:val="1155CC"/>
            <w:u w:val="single"/>
          </w:rPr>
          <w:t>监听产生语音的人脑细胞</w:t>
        </w:r>
      </w:hyperlink>
    </w:p>
    <w:p>
      <w:pPr>
        <w:spacing w:before="0" w:after="80"/>
      </w:pPr>
      <w:r>
        <w:rPr>
          <w:i/>
          <w:sz w:val="20"/>
        </w:rPr>
        <w:t>EN: Listening in on the human brain cells that produce speech</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790">
        <w:r>
          <w:rPr>
            <w:color w:val="1155CC"/>
            <w:u w:val="single"/>
          </w:rPr>
          <w:t>10.1038/d41586-026-02004-7</w:t>
        </w:r>
      </w:hyperlink>
    </w:p>
    <w:p>
      <w:pPr>
        <w:spacing w:before="0" w:after="120"/>
      </w:pPr>
      <w:r>
        <w:rPr>
          <w:b/>
        </w:rPr>
        <w:t xml:space="preserve">Notes: </w:t>
      </w:r>
      <w:r>
        <w:t>abstract_source=nature_html</w:t>
      </w:r>
    </w:p>
    <w:p>
      <w:pPr>
        <w:spacing w:before="0" w:after="80" w:lineRule="auto" w:line="276"/>
      </w:pPr>
      <w:r>
        <w:rPr>
          <w:b/>
        </w:rPr>
        <w:t xml:space="preserve">摘要（ZH）: </w:t>
      </w:r>
      <w:r>
        <w:t>通过将单个神经元的记录与人工智能技术相结合，已经确定了可以使人类生成语言的特定脑细胞。这些细胞广泛分布在人脑中，对意义和语法的特定方面进行编码，并反映单词如何组装成短语和句子。单个神经元的活动编码词义、语法或高阶句子结构。</w:t>
      </w:r>
    </w:p>
    <w:p>
      <w:pPr>
        <w:spacing w:before="0" w:after="200" w:lineRule="auto" w:line="276"/>
      </w:pPr>
      <w:r>
        <w:rPr>
          <w:b/>
        </w:rPr>
        <w:t xml:space="preserve">Abstract (EN): </w:t>
      </w:r>
      <w:r>
        <w:t>By combining recordings from single neurons with artificial-intelligence techniques, specific brain cells have been identified that could enable humans to generate language. These cells, which are distributed broadly across the human brain, encode specific aspects of meaning and grammar and reflect how words are assembled into phrases and sentences. The activity of individual neurons encodes word meaning, grammar or higher-order sentence structure.</w:t>
      </w:r>
    </w:p>
    <w:p>
      <w:pPr>
        <w:spacing w:before="120" w:after="120"/>
      </w:pPr>
      <w:r>
        <w:rPr>
          <w:sz w:val="18"/>
        </w:rPr>
        <w:t>——————————————————————————————————————————————————————————————————————</w:t>
      </w:r>
    </w:p>
    <w:p>
      <w:pPr>
        <w:spacing w:before="160" w:after="40" w:line="240" w:lineRule="auto"/>
      </w:pPr>
      <w:r>
        <w:rPr>
          <w:b/>
        </w:rPr>
        <w:t xml:space="preserve">[337] </w:t>
      </w:r>
      <w:hyperlink r:id="rId791">
        <w:r>
          <w:rPr>
            <w:color w:val="1155CC"/>
            <w:u w:val="single"/>
          </w:rPr>
          <w:t>人们不再相信科学了吗？数据讲述了一个令人惊讶的故事</w:t>
        </w:r>
      </w:hyperlink>
    </w:p>
    <w:p>
      <w:pPr>
        <w:spacing w:before="0" w:after="80"/>
      </w:pPr>
      <w:r>
        <w:rPr>
          <w:i/>
          <w:sz w:val="20"/>
        </w:rPr>
        <w:t>EN: Have people stopped trusting science? The data tell a surprising story</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792">
        <w:r>
          <w:rPr>
            <w:color w:val="1155CC"/>
            <w:u w:val="single"/>
          </w:rPr>
          <w:t>10.1038/d41586-026-01977-9</w:t>
        </w:r>
      </w:hyperlink>
    </w:p>
    <w:p>
      <w:pPr>
        <w:spacing w:before="0" w:after="120"/>
      </w:pPr>
      <w:r>
        <w:rPr>
          <w:b/>
        </w:rPr>
        <w:t xml:space="preserve">Notes: </w:t>
      </w:r>
      <w:r>
        <w:t>abstract_source=nature_html</w:t>
      </w:r>
    </w:p>
    <w:p>
      <w:pPr>
        <w:spacing w:before="0" w:after="80" w:lineRule="auto" w:line="276"/>
      </w:pPr>
      <w:r>
        <w:rPr>
          <w:b/>
        </w:rPr>
        <w:t xml:space="preserve">摘要（ZH）: </w:t>
      </w:r>
      <w:r>
        <w:t>有人说存在全球信任危机，但研究揭示了真正的问题所在。有人说存在全球信任危机，但研究揭示了真正的问题所在。</w:t>
      </w:r>
    </w:p>
    <w:p>
      <w:pPr>
        <w:spacing w:before="0" w:after="200" w:lineRule="auto" w:line="276"/>
      </w:pPr>
      <w:r>
        <w:rPr>
          <w:b/>
        </w:rPr>
        <w:t xml:space="preserve">Abstract (EN): </w:t>
      </w:r>
      <w:r>
        <w:t>Some say there’s a global crisis of trust — but research reveals where the real problems lie. Some say there’s a global crisis of trust — but research reveals where the real problems lie.</w:t>
      </w:r>
    </w:p>
    <w:p>
      <w:pPr>
        <w:spacing w:before="120" w:after="120"/>
      </w:pPr>
      <w:r>
        <w:rPr>
          <w:sz w:val="18"/>
        </w:rPr>
        <w:t>——————————————————————————————————————————————————————————————————————</w:t>
      </w:r>
    </w:p>
    <w:p>
      <w:pPr>
        <w:spacing w:before="160" w:after="40" w:line="240" w:lineRule="auto"/>
      </w:pPr>
      <w:r>
        <w:rPr>
          <w:b/>
        </w:rPr>
        <w:t xml:space="preserve">[338] </w:t>
      </w:r>
      <w:hyperlink r:id="rId793">
        <w:r>
          <w:rPr>
            <w:color w:val="1155CC"/>
            <w:u w:val="single"/>
          </w:rPr>
          <w:t>具有表面图案抗原的鼻内 DNA 纳米载体疫苗可增强针对呼吸道合胞病毒的功效</w:t>
        </w:r>
      </w:hyperlink>
    </w:p>
    <w:p>
      <w:pPr>
        <w:spacing w:before="0" w:after="80"/>
      </w:pPr>
      <w:r>
        <w:rPr>
          <w:i/>
          <w:sz w:val="20"/>
        </w:rPr>
        <w:t>EN: Intranasal DNA nanocarrier vaccines with surface-patterned antigens enhance efficacy against respiratory syncytial virus</w:t>
      </w:r>
    </w:p>
    <w:p>
      <w:pPr>
        <w:spacing w:before="0" w:after="120"/>
      </w:pPr>
      <w:r>
        <w:rPr>
          <w:b/>
        </w:rPr>
        <w:t xml:space="preserve">Source: </w:t>
      </w:r>
      <w:r>
        <w:t>Nature Materials</w:t>
      </w:r>
      <w:r>
        <w:t xml:space="preserve">    </w:t>
      </w:r>
      <w:r>
        <w:rPr>
          <w:b/>
        </w:rPr>
        <w:t xml:space="preserve">Pub date: </w:t>
      </w:r>
      <w:r>
        <w:t>2026-07-01 00:00:00+00:00</w:t>
      </w:r>
      <w:r>
        <w:t xml:space="preserve">    </w:t>
      </w:r>
      <w:r>
        <w:rPr>
          <w:b/>
        </w:rPr>
        <w:t xml:space="preserve">DOI: </w:t>
      </w:r>
      <w:hyperlink r:id="rId794">
        <w:r>
          <w:rPr>
            <w:color w:val="1155CC"/>
            <w:u w:val="single"/>
          </w:rPr>
          <w:t>10.1038/s41563-026-02661-z</w:t>
        </w:r>
      </w:hyperlink>
    </w:p>
    <w:p>
      <w:pPr>
        <w:spacing w:before="0" w:after="120"/>
      </w:pPr>
      <w:r>
        <w:rPr>
          <w:b/>
        </w:rPr>
        <w:t xml:space="preserve">Notes: </w:t>
      </w:r>
      <w:r>
        <w:t>abstract_source=nature_html</w:t>
      </w:r>
    </w:p>
    <w:p>
      <w:pPr>
        <w:spacing w:before="0" w:after="80" w:lineRule="auto" w:line="276"/>
      </w:pPr>
      <w:r>
        <w:rPr>
          <w:b/>
        </w:rPr>
        <w:t xml:space="preserve">摘要（ZH）: </w:t>
      </w:r>
      <w:r>
        <w:t>尽管可注射呼吸道合胞病毒 (RSV) pre-F 疫苗已在临床上建立，但有效的鼻内替代疫苗仍然难以捉摸。几何和表面抗原展示特性对于呼吸道 B 细胞激活至关重要，但缺乏系统优化的策略。在这里，我们报告了一个具有受控尺寸和尺寸的 DNA 纳米载体库，旨在系统评估几何特性对鼻内保留的影响。利用对DNA纳米载体和抗原功能化的精确控制，我们组织了DNA纳米载体上前F单体的表面抗原模式，以最大限度地激活B细胞。优化的基于 DNA 纳米载体的疫苗在小鼠体内引发的体液免疫与临床批准的 RSV 三聚体 mRNA 疫苗诱导的体液免疫相当，但具有更高的持久性。虽然肌内 mRNA 疫苗未能诱导有效的呼吸道粘膜免疫，但鼻内 DNA 纳米载体疫苗实现了强大的局部和全身免疫激活，提供了针对 RSV 感染的有效保护。这种鼻内 RSV 疫苗的合理设计可能是测试和推进针对一系列传染性呼吸道疾病的有效鼻内疫苗的通用策略。</w:t>
      </w:r>
    </w:p>
    <w:p>
      <w:pPr>
        <w:spacing w:before="0" w:after="200" w:lineRule="auto" w:line="276"/>
      </w:pPr>
      <w:r>
        <w:rPr>
          <w:b/>
        </w:rPr>
        <w:t xml:space="preserve">Abstract (EN): </w:t>
      </w:r>
      <w:r>
        <w:t>Although injectable respiratory syncytial virus (RSV) pre-F vaccines are clinically established, effective intranasal alternatives remain elusive. Geometric and surface antigen display properties are critical for respiratory B cell activation, yet lack strategies for systematic optimization. Here we report a library of DNA nanocarriers with controlled dimensions and sizes, aiming to systemically evaluate the influence of geometric properties on intranasal retention. Taking advantage of the precise control on DNA nanocarriers and antigen functionalization, we organized the surface antigen patterns of pre-F monomers on DNA nanocarriers to maximize B cell activation. The optimized DNA nanocarrier-based vaccine elicited humoral immunity in mice comparable to that induced by the clinically approved trimeric mRNA vaccine against RSV, but with greater durability. While intramuscular mRNA vaccines failed to induce effective respiratory mucosal immunity, the intranasal DNA nanocarrier-based vaccine achieved robust local and systemic immune activation, conferring potent protection against RSV infection. This rational design of intranasal RSV vaccines may be a general strategy for testing and advancing potent intranasal vaccines for a range of infectious respiratory diseases.</w:t>
      </w:r>
    </w:p>
    <w:p>
      <w:pPr>
        <w:spacing w:before="120" w:after="120"/>
      </w:pPr>
      <w:r>
        <w:rPr>
          <w:sz w:val="18"/>
        </w:rPr>
        <w:t>——————————————————————————————————————————————————————————————————————</w:t>
      </w:r>
    </w:p>
    <w:p>
      <w:pPr>
        <w:spacing w:before="160" w:after="40" w:line="240" w:lineRule="auto"/>
      </w:pPr>
      <w:r>
        <w:rPr>
          <w:b/>
        </w:rPr>
        <w:t xml:space="preserve">[339] </w:t>
      </w:r>
      <w:hyperlink r:id="rId795">
        <w:r>
          <w:rPr>
            <w:color w:val="1155CC"/>
            <w:u w:val="single"/>
          </w:rPr>
          <w:t>异构多氢键可实现蓝色钙钛矿 LED</w:t>
        </w:r>
      </w:hyperlink>
    </w:p>
    <w:p>
      <w:pPr>
        <w:spacing w:before="0" w:after="80"/>
      </w:pPr>
      <w:r>
        <w:rPr>
          <w:i/>
          <w:sz w:val="20"/>
        </w:rPr>
        <w:t>EN: Isomeric multi-hydrogen-bonding enables blue perovskite LEDs</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796">
        <w:r>
          <w:rPr>
            <w:color w:val="1155CC"/>
            <w:u w:val="single"/>
          </w:rPr>
          <w:t>10.1038/s41586-026-10723-0</w:t>
        </w:r>
      </w:hyperlink>
    </w:p>
    <w:p>
      <w:pPr>
        <w:spacing w:before="0" w:after="120"/>
      </w:pPr>
      <w:r>
        <w:rPr>
          <w:b/>
        </w:rPr>
        <w:t xml:space="preserve">Notes: </w:t>
      </w:r>
      <w:r>
        <w:t>abstract_source=nature_html</w:t>
      </w:r>
    </w:p>
    <w:p>
      <w:pPr>
        <w:spacing w:before="0" w:after="80" w:lineRule="auto" w:line="276"/>
      </w:pPr>
      <w:r>
        <w:rPr>
          <w:b/>
        </w:rPr>
        <w:t xml:space="preserve">摘要（ZH）: </w:t>
      </w:r>
      <w:r>
        <w:t>尽管钙钛矿发光二极管 (PeLED) 取得了巨大进步，但蓝色 PeLED 的电致发光性能远远落后，限制了 PeLED 技术在鲜艳的全彩显示器中的广泛应用1,2,3,4,5。蓝色发射体更宽的带隙需要相应电致发光器件更高的工作电压，加剧了具有离子性质的钙钛矿的八面体不稳定性6,7。在这里，我们通过使用异构分子构建钙钛矿内和界面处形成的氢键网络，报道了具有饱和蓝光发射的高效稳定的 PeLED。空穴传输层和发射极之间的O-苄基羟胺盐酸盐（OBCl）作为氢键供体，与钙钛矿无机骨架结合，增强了钙钛矿结构稳定性，并降低了由于大偶极矩而导致的空穴能垒。添加到钙钛矿中的异构 N-苄基羟胺盐酸盐 (NBCl) 提供了与 OB+ 和钙钛矿形成氢键的受体和供体位点。异构分子氢键增强了OB+界面分子诱导的钙钛矿薄膜的择优取向，提高了载流子迁移率，进一步增强了材料稳定性。结果，我们证明了蓝色 PeLED 在 463 nm 处的外部量子效率为 16.8%，在 468 nm 处的外部量子效率为 22.0%，并且器件稳定性显着提高，代表了纯蓝色和深蓝色 PeLED 中最先进的性能。</w:t>
      </w:r>
    </w:p>
    <w:p>
      <w:pPr>
        <w:spacing w:before="0" w:after="200" w:lineRule="auto" w:line="276"/>
      </w:pPr>
      <w:r>
        <w:rPr>
          <w:b/>
        </w:rPr>
        <w:t xml:space="preserve">Abstract (EN): </w:t>
      </w:r>
      <w:r>
        <w:t>Despite huge progress accomplished in perovskite light-emitting diodes (PeLEDs), the electroluminescence performance of blue PeLEDs lags far behind, constraining the widespread application of PeLED technology for vibrant full-colour displays1,2,3,4,5. The wider bandgaps of blue emitters require higher working voltages of corresponding electroluminescent devices, intensifying the octahedral instability of perovskites with ionic nature6,7. Here we report efficient and stable PeLEDs with saturated blue emissions by constructing hydrogen-bonding networks formed within perovskite and at the interface using isomeric molecules. The O-benzylhydroxylamine hydrochloride (OBCl) between the hole transport layer and the emitter acts as hydrogen-bonding donor, binding to the perovskite inorganic framework, which enhances the perovskite structural stability and decreases the hole energy barrier due to the large dipole moment. The isomeric N-benzylhydroxylamine hydrochloride (NBCl) added into the perovskite provides acceptor and donor sites for forming hydrogen bonding with the OB+ and the perovskite. The isomeric molecular hydrogen bonding reinforces the preferential orientation of perovskite films induced by OB+ interfacial molecules, improving the carrier mobility and further enhancing material stability. We demonstrate, as a result, blue PeLEDs with external quantum efficiencies of 16.8% at 463 nm and 22.0% at 468 nm, as well as significantly improved device stability, representing state-of-the-art performance among pure- and deep-blue PeLEDs.</w:t>
      </w:r>
    </w:p>
    <w:p>
      <w:pPr>
        <w:spacing w:before="120" w:after="120"/>
      </w:pPr>
      <w:r>
        <w:rPr>
          <w:sz w:val="18"/>
        </w:rPr>
        <w:t>——————————————————————————————————————————————————————————————————————</w:t>
      </w:r>
    </w:p>
    <w:p>
      <w:pPr>
        <w:spacing w:before="160" w:after="40" w:line="240" w:lineRule="auto"/>
      </w:pPr>
      <w:r>
        <w:rPr>
          <w:b/>
        </w:rPr>
        <w:t xml:space="preserve">[340] </w:t>
      </w:r>
      <w:hyperlink r:id="rId797">
        <w:r>
          <w:rPr>
            <w:color w:val="1155CC"/>
            <w:u w:val="single"/>
          </w:rPr>
          <w:t>光学类似物中受激霍金辐射的逆反应</w:t>
        </w:r>
      </w:hyperlink>
    </w:p>
    <w:p>
      <w:pPr>
        <w:spacing w:before="0" w:after="80"/>
      </w:pPr>
      <w:r>
        <w:rPr>
          <w:i/>
          <w:sz w:val="20"/>
        </w:rPr>
        <w:t>EN: Backreaction of stimulated Hawking radiation in an optical analogue</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798">
        <w:r>
          <w:rPr>
            <w:color w:val="1155CC"/>
            <w:u w:val="single"/>
          </w:rPr>
          <w:t>10.1038/s41586-026-10720-3</w:t>
        </w:r>
      </w:hyperlink>
    </w:p>
    <w:p>
      <w:pPr>
        <w:spacing w:before="0" w:after="120"/>
      </w:pPr>
      <w:r>
        <w:rPr>
          <w:b/>
        </w:rPr>
        <w:t xml:space="preserve">Notes: </w:t>
      </w:r>
      <w:r>
        <w:t>abstract_source=nature_html</w:t>
      </w:r>
    </w:p>
    <w:p>
      <w:pPr>
        <w:spacing w:before="0" w:after="80" w:lineRule="auto" w:line="276"/>
      </w:pPr>
      <w:r>
        <w:rPr>
          <w:b/>
        </w:rPr>
        <w:t xml:space="preserve">摘要（ZH）: </w:t>
      </w:r>
      <w:r>
        <w:t>霍金辐射 1（黑洞视界处量子粒子的发射 2）将引力与量子力学和热力学联系起来 3,4,5。但霍金辐射从未在天文学中被观测到，仅在实验室类似物中被观测到6,7,8,9，并且在太空中观测到它的可能性非常小9。霍金辐射的能量必定来自黑洞周围的引力场2，但场量子如何产生霍金量子一直未知。在这里，我们报告了在事件视界的光纤模拟中产生霍金辐射的过程的实验和理论证据10,11。与重力2一样，人们相信霍金辐射来自一个复杂的级联过程12；在这里，我们从理论上确定了一个简单、直接的过程，并通过实验观察了该过程如何反应回到现场。我们的研究结果表明，其他实验室类似物 6,7,8,13,14,15,16,17 以及引力场也可能存在同样直接的过程，从而揭示黑洞如何辐射。</w:t>
      </w:r>
    </w:p>
    <w:p>
      <w:pPr>
        <w:spacing w:before="0" w:after="200" w:lineRule="auto" w:line="276"/>
      </w:pPr>
      <w:r>
        <w:rPr>
          <w:b/>
        </w:rPr>
        <w:t xml:space="preserve">Abstract (EN): </w:t>
      </w:r>
      <w:r>
        <w:t>Hawking radiation1—the emission of quantum particles at the event horizon of a black hole2—connects gravity with quantum mechanics and thermodynamics3,4,5. But Hawking radiation has never been observed in astronomy, only in laboratory analogues6,7,8,9, and the chances of ever observing it in space are astronomically small9. The energy of Hawking radiation must come from the gravitational field around the black hole2, but how field quanta generate Hawking quanta has been unknown. Here we report on experimental and theoretical evidence for the process that generates Hawking radiation in a fibre-optical analogue of the event horizon10,11. There, as in gravity2, it has been believed that Hawking radiation comes from a complicated, cascaded process12; here we have identified theoretically a simple, direct process and observed experimentally how this process reacts back onto the field. Our findings suggest an equally direct process for other laboratory analogues6,7,8,13,14,15,16,17 and perhaps also for gravitational fields, shedding light on how black holes might radiate.</w:t>
      </w:r>
    </w:p>
    <w:p>
      <w:pPr>
        <w:spacing w:before="120" w:after="120"/>
      </w:pPr>
      <w:r>
        <w:rPr>
          <w:sz w:val="18"/>
        </w:rPr>
        <w:t>——————————————————————————————————————————————————————————————————————</w:t>
      </w:r>
    </w:p>
    <w:p>
      <w:pPr>
        <w:spacing w:before="160" w:after="40" w:line="240" w:lineRule="auto"/>
      </w:pPr>
      <w:r>
        <w:rPr>
          <w:b/>
        </w:rPr>
        <w:t xml:space="preserve">[341] </w:t>
      </w:r>
      <w:hyperlink r:id="rId799">
        <w:r>
          <w:rPr>
            <w:color w:val="1155CC"/>
            <w:u w:val="single"/>
          </w:rPr>
          <w:t>脂质封端晶体管使心脏测试更接近床边</w:t>
        </w:r>
      </w:hyperlink>
    </w:p>
    <w:p>
      <w:pPr>
        <w:spacing w:before="0" w:after="80"/>
      </w:pPr>
      <w:r>
        <w:rPr>
          <w:i/>
          <w:sz w:val="20"/>
        </w:rPr>
        <w:t>EN: Lipid-capped transistors bring cardiac testing closer to the bedside</w:t>
      </w:r>
    </w:p>
    <w:p>
      <w:pPr>
        <w:spacing w:before="0" w:after="120"/>
      </w:pPr>
      <w:r>
        <w:rPr>
          <w:b/>
        </w:rPr>
        <w:t xml:space="preserve">Source: </w:t>
      </w:r>
      <w:r>
        <w:t>National Science Review Advance Access</w:t>
      </w:r>
      <w:r>
        <w:t xml:space="preserve">    </w:t>
      </w:r>
      <w:r>
        <w:rPr>
          <w:b/>
        </w:rPr>
        <w:t xml:space="preserve">Pub date: </w:t>
      </w:r>
      <w:r>
        <w:t>2026-07-01 00:00:00+00:00</w:t>
      </w:r>
      <w:r>
        <w:t xml:space="preserve">    </w:t>
      </w:r>
      <w:r>
        <w:rPr>
          <w:b/>
        </w:rPr>
        <w:t xml:space="preserve">DOI: </w:t>
      </w:r>
      <w:hyperlink r:id="rId800">
        <w:r>
          <w:rPr>
            <w:color w:val="1155CC"/>
            <w:u w:val="single"/>
          </w:rPr>
          <w:t>10.1093/nsr/nwag403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[342] </w:t>
      </w:r>
      <w:hyperlink r:id="rId801">
        <w:r>
          <w:rPr>
            <w:color w:val="1155CC"/>
            <w:u w:val="single"/>
          </w:rPr>
          <w:t>用于连续可见光光催化的退火N-杂环卡宾衍生的有机氧化还原系统</w:t>
        </w:r>
      </w:hyperlink>
    </w:p>
    <w:p>
      <w:pPr>
        <w:spacing w:before="0" w:after="80"/>
      </w:pPr>
      <w:r>
        <w:rPr>
          <w:i/>
          <w:sz w:val="20"/>
        </w:rPr>
        <w:t>EN: Annelated N-heterocyclic carbene-derived organic redox system for consecutive visible-light photocatalysis</w:t>
      </w:r>
    </w:p>
    <w:p>
      <w:pPr>
        <w:spacing w:before="0" w:after="120"/>
      </w:pPr>
      <w:r>
        <w:rPr>
          <w:b/>
        </w:rPr>
        <w:t xml:space="preserve">Source: </w:t>
      </w:r>
      <w:r>
        <w:t>National Science Review Advance Access</w:t>
      </w:r>
      <w:r>
        <w:t xml:space="preserve">    </w:t>
      </w:r>
      <w:r>
        <w:rPr>
          <w:b/>
        </w:rPr>
        <w:t xml:space="preserve">Pub date: </w:t>
      </w:r>
      <w:r>
        <w:t>2026-07-01 00:00:00+00:00</w:t>
      </w:r>
      <w:r>
        <w:t xml:space="preserve">    </w:t>
      </w:r>
      <w:r>
        <w:rPr>
          <w:b/>
        </w:rPr>
        <w:t xml:space="preserve">DOI: </w:t>
      </w:r>
      <w:hyperlink r:id="rId802">
        <w:r>
          <w:rPr>
            <w:color w:val="1155CC"/>
            <w:u w:val="single"/>
          </w:rPr>
          <w:t>10.1093/nsr/nwag408</w:t>
        </w:r>
      </w:hyperlink>
    </w:p>
    <w:p>
      <w:pPr>
        <w:spacing w:before="0" w:after="120"/>
      </w:pPr>
      <w:r>
        <w:rPr>
          <w:b/>
        </w:rPr>
        <w:t xml:space="preserve">Notes: </w:t>
      </w:r>
      <w:r>
        <w:t>abstract_source=rss_oup</w:t>
      </w:r>
    </w:p>
    <w:p>
      <w:pPr>
        <w:spacing w:before="0" w:after="80" w:lineRule="auto" w:line="276"/>
      </w:pPr>
      <w:r>
        <w:rPr>
          <w:b/>
        </w:rPr>
        <w:t xml:space="preserve">摘要（ZH）: </w:t>
      </w:r>
      <w:r>
        <w:t>电子转移是自然和人工系统中普遍存在的基本过程。有机氧化还原系统的构建是探索这一机制的理想平台。不同电子结构之间的相互转换赋予它们独特的光电特性，使其在光催化、有机电池和电致变色材料等领域具有广阔的应用前景。在此，我们提出了一种源自双（亚氨基）苊负载的N-杂环卡宾的有机氧化还原体系，该体系表现出两个可逆且分离良好的氧化还原过程。不同的氧化态可以被分离并充分表征，包括通过 X 射线衍射。此外，自由基阳离子在可见光区域表现出强吸收，并且很容易通过光诱导产生，满足连续光诱导电子转移的先决条件。因此，它可以作为光催化剂用于还原芳基卤化物。该策略扩展了有机氧化还原系统的多样性，并为光催化剂的开发提供了一种新方法。</w:t>
      </w:r>
    </w:p>
    <w:p>
      <w:pPr>
        <w:spacing w:before="0" w:after="200" w:lineRule="auto" w:line="276"/>
      </w:pPr>
      <w:r>
        <w:rPr>
          <w:b/>
        </w:rPr>
        <w:t xml:space="preserve">Abstract (EN): </w:t>
      </w:r>
      <w:r>
        <w:t>Electron transfer is a fundamental process ubiquitous in both natural and artificial systems. The construction of organic redox systems serves as an ideal platform to explore this mechanism. The interconversion between different electronic structures endows them with unique photoelectric properties, enabling their promising applications in fields such as photocatalysis, organic batteries, and electrochromic materials. Herein, we present an organic redox system derived from bis(imino)acenaphthene-supported N-heterocyclic carbene, which exhibits two reversible and well-separated redox processes. The different oxidation states could be isolated and fully characterized including by X-ray diffraction. Moreover, the radical cation exhibits strong absorption in the visible light region and can be easily generated through photoinduction, fulfilling the prerequisites for consecutive photoinduced electron transfer. Therefore, it can function as a photocatalyst in the reduction of aryl halides. This strategy expands the variety of organic redox systems and provides a novel approach to the development of photocatalysts.</w:t>
      </w:r>
    </w:p>
    <w:p>
      <w:pPr>
        <w:spacing w:before="120" w:after="120"/>
      </w:pPr>
      <w:r>
        <w:rPr>
          <w:sz w:val="18"/>
        </w:rPr>
        <w:t>——————————————————————————————————————————————————————————————————————</w:t>
      </w:r>
    </w:p>
    <w:p>
      <w:pPr>
        <w:spacing w:before="160" w:after="40" w:line="240" w:lineRule="auto"/>
      </w:pPr>
      <w:r>
        <w:rPr>
          <w:b/>
        </w:rPr>
        <w:t xml:space="preserve">[343] </w:t>
      </w:r>
      <w:hyperlink r:id="rId803">
        <w:r>
          <w:rPr>
            <w:color w:val="1155CC"/>
            <w:u w:val="single"/>
          </w:rPr>
          <w:t>触觉物理人机交互：步行辅助的连续耦合范例</w:t>
        </w:r>
      </w:hyperlink>
    </w:p>
    <w:p>
      <w:pPr>
        <w:spacing w:before="0" w:after="80"/>
      </w:pPr>
      <w:r>
        <w:rPr>
          <w:i/>
          <w:sz w:val="20"/>
        </w:rPr>
        <w:t>EN: Tactile Physical Human-Robot Interaction: A Continuous Coupling Paradigm for Walking Assistance</w:t>
      </w:r>
    </w:p>
    <w:p>
      <w:pPr>
        <w:spacing w:before="0" w:after="120"/>
      </w:pPr>
      <w:r>
        <w:rPr>
          <w:b/>
        </w:rPr>
        <w:t xml:space="preserve">Source: </w:t>
      </w:r>
      <w:r>
        <w:t>National Science Review Advance Access</w:t>
      </w:r>
      <w:r>
        <w:t xml:space="preserve">    </w:t>
      </w:r>
      <w:r>
        <w:rPr>
          <w:b/>
        </w:rPr>
        <w:t xml:space="preserve">Pub date: </w:t>
      </w:r>
      <w:r>
        <w:t>2026-07-01 00:00:00+00:00</w:t>
      </w:r>
      <w:r>
        <w:t xml:space="preserve">    </w:t>
      </w:r>
      <w:r>
        <w:rPr>
          <w:b/>
        </w:rPr>
        <w:t xml:space="preserve">DOI: </w:t>
      </w:r>
      <w:hyperlink r:id="rId804">
        <w:r>
          <w:rPr>
            <w:color w:val="1155CC"/>
            <w:u w:val="single"/>
          </w:rPr>
          <w:t>10.1093/nsr/nwag402</w:t>
        </w:r>
      </w:hyperlink>
    </w:p>
    <w:p>
      <w:pPr>
        <w:spacing w:before="0" w:after="120"/>
      </w:pPr>
      <w:r>
        <w:rPr>
          <w:b/>
        </w:rPr>
        <w:t xml:space="preserve">Notes: </w:t>
      </w:r>
      <w:r>
        <w:t>abstract_source=rss_oup</w:t>
      </w:r>
    </w:p>
    <w:p>
      <w:pPr>
        <w:spacing w:before="0" w:after="80" w:lineRule="auto" w:line="276"/>
      </w:pPr>
      <w:r>
        <w:rPr>
          <w:b/>
        </w:rPr>
        <w:t xml:space="preserve">摘要（ZH）: </w:t>
      </w:r>
      <w:r>
        <w:t>人机交互要求机器人在没有明确命令的情况下响应意图并支持平衡。在步行辅助中，大多数系统依赖于离散接口或远端传感，限制了它们进行连续物理交互和调节全身动态的能力。在这里，我们表明，人体躯干的大面积触觉耦合提供了一个物理接地通道，通过该通道意图对齐和稳定性支持在本质上是统一的。通过在具有机械意义的区域（腰部和腋下）实现安全交互，机器人直接参与调节耦合的人机动力学，而不是对检测到的事件做出反应。在步行支持机器人上使用以触觉为中心的控制框架，我们证明了运动稳定性、减少的肌肉力量和减轻平衡损失是通过连续的触觉交互自然产生的，无需明确的命令或独立的安全机制。这些结果表明，躯干级触觉耦合为实现更安全、更协作的物理人机交互提供了一条原则性途径。</w:t>
      </w:r>
    </w:p>
    <w:p>
      <w:pPr>
        <w:spacing w:before="0" w:after="200" w:lineRule="auto" w:line="276"/>
      </w:pPr>
      <w:r>
        <w:rPr>
          <w:b/>
        </w:rPr>
        <w:t xml:space="preserve">Abstract (EN): </w:t>
      </w:r>
      <w:r>
        <w:t>Physical human-robot interaction requires robots to respond to intent and support balance without explicit commands. In walking assistance, most systems rely on discrete interfaces or distal sensing, limiting their ability to engage continuous physical interaction and regulate whole-body dynamics. Here, we show that large-area tactile coupling at the human torso provides a physically grounded channel through which intention alignment and stability support are intrinsically unified. By enabling safe interaction at mechanically meaningful regions-waist and underarms-the robot directly participates in regulating coupled human-robot dynamics rather than reacting to detected events. Using a tactile-centered control framework on a walking support robot, we demonstrate that locomotion stability, reduced muscular effort, and balance loss mitigation emerge naturally from continuous tactile interaction, without explicit commands or independent safety mechanisms. These results suggest torso-level tactile coupling offers a principled pathway toward safer, more cooperative physical human-robot interaction.</w:t>
      </w:r>
    </w:p>
    <w:p>
      <w:pPr>
        <w:spacing w:before="120" w:after="120"/>
      </w:pPr>
      <w:r>
        <w:rPr>
          <w:sz w:val="18"/>
        </w:rPr>
        <w:t>——————————————————————————————————————————————————————————————————————</w:t>
      </w:r>
    </w:p>
    <w:p>
      <w:pPr>
        <w:spacing w:before="160" w:after="40" w:line="240" w:lineRule="auto"/>
      </w:pPr>
      <w:r>
        <w:rPr>
          <w:b/>
        </w:rPr>
        <w:t xml:space="preserve">[344] </w:t>
      </w:r>
      <w:hyperlink r:id="rId805">
        <w:r>
          <w:rPr>
            <w:color w:val="1155CC"/>
            <w:u w:val="single"/>
          </w:rPr>
          <w:t>每日简报：对科学的信任到底发生了什么</w:t>
        </w:r>
      </w:hyperlink>
    </w:p>
    <w:p>
      <w:pPr>
        <w:spacing w:before="0" w:after="80"/>
      </w:pPr>
      <w:r>
        <w:rPr>
          <w:i/>
          <w:sz w:val="20"/>
        </w:rPr>
        <w:t>EN: Daily briefing: What’s really happening with trust in science</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806">
        <w:r>
          <w:rPr>
            <w:color w:val="1155CC"/>
            <w:u w:val="single"/>
          </w:rPr>
          <w:t>10.1038/d41586-026-02084-5</w:t>
        </w:r>
      </w:hyperlink>
    </w:p>
    <w:p>
      <w:pPr>
        <w:spacing w:before="0" w:after="120"/>
      </w:pPr>
      <w:r>
        <w:rPr>
          <w:b/>
        </w:rPr>
        <w:t xml:space="preserve">Notes: </w:t>
      </w:r>
      <w:r>
        <w:t>abstract_source=nature_html</w:t>
      </w:r>
    </w:p>
    <w:p>
      <w:pPr>
        <w:spacing w:before="0" w:after="80" w:lineRule="auto" w:line="276"/>
      </w:pPr>
      <w:r>
        <w:rPr>
          <w:b/>
        </w:rPr>
        <w:t xml:space="preserve">摘要（ZH）: </w:t>
      </w:r>
      <w:r>
        <w:t>有证据表明，公众对科学的信任度仍然很高。此外，维拉鲁宾天文台正在比以往更广泛地扫描天空，并且向同行评审员付费似乎加快了这一过程。有证据表明，公众对科学的信任度仍然很高。此外，维拉鲁宾天文台正在比以往更广泛地扫描天空，并且向同行评审员付费似乎加快了这一过程。</w:t>
      </w:r>
    </w:p>
    <w:p>
      <w:pPr>
        <w:spacing w:before="0" w:after="200" w:lineRule="auto" w:line="276"/>
      </w:pPr>
      <w:r>
        <w:rPr>
          <w:b/>
        </w:rPr>
        <w:t xml:space="preserve">Abstract (EN): </w:t>
      </w:r>
      <w:r>
        <w:t>Evidence shows that public trust in science is still high. Plus, the Vera Rubin Observatory is scanning the skies more widely than ever and paying peer reviewers seems to speed up the process. Evidence shows that public trust in science is still high. Plus, the Vera Rubin Observatory is scanning the skies more widely than ever and paying peer reviewers seems to speed up the process.</w:t>
      </w:r>
    </w:p>
    <w:p>
      <w:pPr>
        <w:spacing w:before="120" w:after="120"/>
      </w:pPr>
      <w:r>
        <w:rPr>
          <w:sz w:val="18"/>
        </w:rPr>
        <w:t>——————————————————————————————————————————————————————————————————————</w:t>
      </w:r>
    </w:p>
    <w:p>
      <w:pPr>
        <w:spacing w:before="160" w:after="40" w:line="240" w:lineRule="auto"/>
      </w:pPr>
      <w:r>
        <w:rPr>
          <w:b/>
        </w:rPr>
        <w:t xml:space="preserve">[345] </w:t>
      </w:r>
      <w:hyperlink r:id="rId807">
        <w:r>
          <w:rPr>
            <w:color w:val="1155CC"/>
            <w:u w:val="single"/>
          </w:rPr>
          <w:t>英国癌症研究中心斥资 600 万英镑押注曼彻斯特</w:t>
        </w:r>
      </w:hyperlink>
    </w:p>
    <w:p>
      <w:pPr>
        <w:spacing w:before="0" w:after="80"/>
      </w:pPr>
      <w:r>
        <w:rPr>
          <w:i/>
          <w:sz w:val="20"/>
        </w:rPr>
        <w:t>EN: Cancer Research UK bets on Manchester with £6-million funding boost</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808">
        <w:r>
          <w:rPr>
            <w:color w:val="1155CC"/>
            <w:u w:val="single"/>
          </w:rPr>
          <w:t>10.1038/d41586-026-02019-0</w:t>
        </w:r>
      </w:hyperlink>
    </w:p>
    <w:p>
      <w:pPr>
        <w:spacing w:before="0" w:after="120"/>
      </w:pPr>
      <w:r>
        <w:rPr>
          <w:b/>
        </w:rPr>
        <w:t xml:space="preserve">Notes: </w:t>
      </w:r>
      <w:r>
        <w:t>abstract_source=nature_html</w:t>
      </w:r>
    </w:p>
    <w:p>
      <w:pPr>
        <w:spacing w:before="0" w:after="80" w:lineRule="auto" w:line="276"/>
      </w:pPr>
      <w:r>
        <w:rPr>
          <w:b/>
        </w:rPr>
        <w:t xml:space="preserve">摘要（ZH）: </w:t>
      </w:r>
      <w:r>
        <w:t>这项投资提供了一个“特殊机会”，使英国曼彻斯特癌症研究所成为新兴肿瘤治疗领域的世界领导者。这项投资提供了一个“特殊机会”，使英国曼彻斯特癌症研究所成为新兴肿瘤治疗领域的世界领导者。</w:t>
      </w:r>
    </w:p>
    <w:p>
      <w:pPr>
        <w:spacing w:before="0" w:after="200" w:lineRule="auto" w:line="276"/>
      </w:pPr>
      <w:r>
        <w:rPr>
          <w:b/>
        </w:rPr>
        <w:t xml:space="preserve">Abstract (EN): </w:t>
      </w:r>
      <w:r>
        <w:t>The investment provides a ‘special opportunity’ to establish the Cancer Research UK Manchester Institute as a world leader in emerging oncology therapies. The investment provides a ‘special opportunity’ to establish the Cancer Research UK Manchester Institute as a world leader in emerging oncology therapies.</w:t>
      </w:r>
    </w:p>
    <w:p>
      <w:pPr>
        <w:spacing w:before="120" w:after="120"/>
      </w:pPr>
      <w:r>
        <w:rPr>
          <w:sz w:val="18"/>
        </w:rPr>
        <w:t>——————————————————————————————————————————————————————————————————————</w:t>
      </w:r>
    </w:p>
    <w:p>
      <w:pPr>
        <w:spacing w:before="160" w:after="40" w:line="240" w:lineRule="auto"/>
      </w:pPr>
      <w:r>
        <w:rPr>
          <w:b/>
        </w:rPr>
        <w:t xml:space="preserve">[346] </w:t>
      </w:r>
      <w:hyperlink r:id="rId809">
        <w:r>
          <w:rPr>
            <w:color w:val="1155CC"/>
            <w:u w:val="single"/>
          </w:rPr>
          <w:t>TROP2 靶向揭示了结直肠癌中治疗驱动的细胞状态动态</w:t>
        </w:r>
      </w:hyperlink>
    </w:p>
    <w:p>
      <w:pPr>
        <w:spacing w:before="0" w:after="80"/>
      </w:pPr>
      <w:r>
        <w:rPr>
          <w:i/>
          <w:sz w:val="20"/>
        </w:rPr>
        <w:t>EN: TROP2 targeting reveals therapy-driven cell state dynamics in colorectal cancer</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810">
        <w:r>
          <w:rPr>
            <w:color w:val="1155CC"/>
            <w:u w:val="single"/>
          </w:rPr>
          <w:t>10.1038/s41586-026-10705-2</w:t>
        </w:r>
      </w:hyperlink>
    </w:p>
    <w:p>
      <w:pPr>
        <w:spacing w:before="0" w:after="120"/>
      </w:pPr>
      <w:r>
        <w:rPr>
          <w:b/>
        </w:rPr>
        <w:t xml:space="preserve">Notes: </w:t>
      </w:r>
      <w:r>
        <w:t>abstract_source=nature_html</w:t>
      </w:r>
    </w:p>
    <w:p>
      <w:pPr>
        <w:spacing w:before="0" w:after="80" w:lineRule="auto" w:line="276"/>
      </w:pPr>
      <w:r>
        <w:rPr>
          <w:b/>
        </w:rPr>
        <w:t xml:space="preserve">摘要（ZH）: </w:t>
      </w:r>
      <w:r>
        <w:t>转移仍然是癌症相关死亡的主要原因，并且是由明显的肿瘤细胞可塑性驱动的1。在这里，我们将跨膜糖蛋白滋养层细胞表面抗原 2 (TROP2) 确定为预后不良结直肠癌 (CRC) 的标志物，与 WNT 低、胎儿样肿瘤细胞状态相关，而肿瘤细胞状态与转移和治疗耐药性相关。功能分析表明 TROP2+ 细胞表现出背景依赖性干细胞样能力和启动转移生长的能力。鉴于这些有害的肿瘤状态集中在细胞表面抗原 TROP2 上，我们利用临床相关的 TROP2 抗体-药物偶联物探索了针对该细胞群的治疗靶向。 Time-resolved analyses reveal therapy-associated dynamics in tumour cell state composition between WNThi LGR5+ states and WNTlowTROP2+ fetal-like states.传统化疗促进 TROP2 表达细胞的诱导，而 TROP2 抗体药物偶联物选择性地靶向这些群体并重塑肿瘤细胞状态景观。利用这种可塑性，联合化疗和 TROP2 靶向可增强患者衍生模型的抗肿瘤功效。总之，我们的研究结果确定 TROP2 是 CRC 的治疗脆弱性，并强调了靶向肿瘤细胞状态以提高治疗效果和克服晚期疾病耐药性的重要性。</w:t>
      </w:r>
    </w:p>
    <w:p>
      <w:pPr>
        <w:spacing w:before="0" w:after="200" w:lineRule="auto" w:line="276"/>
      </w:pPr>
      <w:r>
        <w:rPr>
          <w:b/>
        </w:rPr>
        <w:t xml:space="preserve">Abstract (EN): </w:t>
      </w:r>
      <w:r>
        <w:t>Metastasis remains the leading cause of cancer-related mortality and is driven by pronounced tumour cell plasticity1. Here we identify the transmembrane glycoprotein trophoblast cell-surface antigen 2 (TROP2) as a marker of poor-prognosis colorectal cancer (CRC) associated with WNTlow, fetal-like tumour cell states that are linked to metastasis and therapy resistance. Functional analyses demonstrate that TROP2+ cells exhibit context-dependent stem-like capacity and the ability to initiate metastatic outgrowth. Given that these detrimental tumour states converge on the cell-surface antigen TROP2, we explored therapeutic targeting of this cell population using clinically relevant TROP2-directed antibody–drug conjugates. Time-resolved analyses reveal therapy-associated dynamics in tumour cell state composition between WNThi LGR5+ states and WNTlowTROP2+ fetal-like states. Conventional chemotherapy promotes the induction of TROP2-expressing cells, whereas TROP2 antibody–drug conjugates selectively target these populations and remodel the tumour cell state landscape. Exploiting this plasticity, combined chemotherapy and TROP2 targeting enhances anti-tumour efficacy in patient-derived models. Together, our findings identify TROP2 as a therapeutic vulnerability of CRC and highlight the importance of targeting tumour cell states to improve therapeutic efficacy and overcome resistance in advanced disease.</w:t>
      </w:r>
    </w:p>
    <w:p>
      <w:pPr>
        <w:spacing w:before="120" w:after="120"/>
      </w:pPr>
      <w:r>
        <w:rPr>
          <w:sz w:val="18"/>
        </w:rPr>
        <w:t>——————————————————————————————————————————————————————————————————————</w:t>
      </w:r>
    </w:p>
    <w:p>
      <w:pPr>
        <w:spacing w:before="160" w:after="40" w:line="240" w:lineRule="auto"/>
      </w:pPr>
      <w:r>
        <w:rPr>
          <w:b/>
        </w:rPr>
        <w:t xml:space="preserve">[347] </w:t>
      </w:r>
      <w:hyperlink r:id="rId811">
        <w:r>
          <w:rPr>
            <w:color w:val="1155CC"/>
            <w:u w:val="single"/>
          </w:rPr>
          <w:t>热触发磷脂翻转稳定质膜流动性</w:t>
        </w:r>
      </w:hyperlink>
    </w:p>
    <w:p>
      <w:pPr>
        <w:spacing w:before="0" w:after="80"/>
      </w:pPr>
      <w:r>
        <w:rPr>
          <w:i/>
          <w:sz w:val="20"/>
        </w:rPr>
        <w:t>EN: Heat-triggered phospholipid flipping stabilizes plasma membrane fluidity</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812">
        <w:r>
          <w:rPr>
            <w:color w:val="1155CC"/>
            <w:u w:val="single"/>
          </w:rPr>
          <w:t>10.1038/s41586-026-10726-x</w:t>
        </w:r>
      </w:hyperlink>
    </w:p>
    <w:p>
      <w:pPr>
        <w:spacing w:before="0" w:after="120"/>
      </w:pPr>
      <w:r>
        <w:rPr>
          <w:b/>
        </w:rPr>
        <w:t xml:space="preserve">Notes: </w:t>
      </w:r>
      <w:r>
        <w:t>abstract_source=nature_html</w:t>
      </w:r>
    </w:p>
    <w:p>
      <w:pPr>
        <w:spacing w:before="0" w:after="80" w:lineRule="auto" w:line="276"/>
      </w:pPr>
      <w:r>
        <w:rPr>
          <w:b/>
        </w:rPr>
        <w:t xml:space="preserve">摘要（ZH）: </w:t>
      </w:r>
      <w:r>
        <w:t>细胞必须快速抵消热应激引起的质膜超流化，以防止膜损伤1,2，但细胞如何实现这种早期保护仍然未知。在这里，我们表明，在水稻（Oryza sativa）中，P4-ATP酶 OsALA5 及其 β-亚基 OsALIS2 介导饱和磷脂酰胆碱的热响应翻转，从而快速稳定质膜流动性。使用小叶解析脂质组学和补充转运测定，我们证明热暴露会诱导 OsALA5 转运活性发生微小时间尺度的变化，从而导致细胞质质膜小叶中饱和磷脂酰胆碱的选择性富集。这种 OsALA5 介导的饱和磷脂酰胆碱翻转可防止热应激时质膜超流化，从而减轻离子泄漏和细胞死亡。我们对拟南芥和酵母中 OsALA5 直系同源物的分析支持质膜定位的磷脂酰胆碱转运 P4-ATP 酶子集中快速热相关反应的功能保守。我们发现了 OsALA5 的一种罕见单倍型，它在多年、多地点的田间试验中具有耐热性和产量稳定性。因此，除了识别这种 P4-ATP 酶介导的饱和磷脂酰胆碱翻转以响应热应激并提供遗传资源以促进耐热作物的育种之外，我们的研究还揭示了细胞如何在比先前已知的转录依赖性脂质重塑反应更早的阶段抵消热应激驱动的质膜超流化。</w:t>
      </w:r>
    </w:p>
    <w:p>
      <w:pPr>
        <w:spacing w:before="0" w:after="200" w:lineRule="auto" w:line="276"/>
      </w:pPr>
      <w:r>
        <w:rPr>
          <w:b/>
        </w:rPr>
        <w:t xml:space="preserve">Abstract (EN): </w:t>
      </w:r>
      <w:r>
        <w:t>Cells must rapidly counteract heat stress-induced hyperfluidization of the plasma membrane to prevent membrane damage1,2, yet how cells achieve such early protection remains unknown. Here we show that in rice (Oryza sativa), the P4-ATPase OsALA5, together with its β-subunit OsALIS2, mediates a heat-responsive flipping of saturated phosphatidylcholines that rapidly stabilizes plasma membrane fluidity. Using leaflet-resolved lipidomics and complementary transport assays, we demonstrate that heat exposure induces a minute-timescale shift in OsALA5 transport activity that leads to selective enrichment of saturated phosphatidylcholines in the cytoplasmic plasma membrane leaflet. This OsALA5-mediated saturated phosphatidylcholine flipping prevents plasma membrane hyperfluidization upon heat stress, thus mitigating ion leakage and cell death. Our analyses of OsALA5 orthologues in Arabidopsis thaliana and yeast support functional conservation of a rapid heat-associated response within a subset of plasma membrane-localized, phosphatidylcholine-transporting P4-ATPases. We identified a rare haplotype of OsALA5 that confers both heat tolerance and yield stability in multi-year, multi-location field trials. Thus, beyond identifying this P4-ATPase-mediated flipping of saturated phosphatidylcholines in response to heat stress and providing genetic resources to advance breeding of heat-tolerant crops, our study reveals how cells counteract heat stress-driven plasma membrane hyperfluidization at an earlier stage than the previously known transcription-dependent lipid remodelling response.</w:t>
      </w:r>
    </w:p>
    <w:p>
      <w:pPr>
        <w:spacing w:before="120" w:after="120"/>
      </w:pPr>
      <w:r>
        <w:rPr>
          <w:sz w:val="18"/>
        </w:rPr>
        <w:t>——————————————————————————————————————————————————————————————————————</w:t>
      </w:r>
    </w:p>
    <w:p>
      <w:pPr>
        <w:spacing w:before="160" w:after="40" w:line="240" w:lineRule="auto"/>
      </w:pPr>
      <w:r>
        <w:rPr>
          <w:b/>
        </w:rPr>
        <w:t xml:space="preserve">[348] </w:t>
      </w:r>
      <w:hyperlink r:id="rId813">
        <w:r>
          <w:rPr>
            <w:color w:val="1155CC"/>
            <w:u w:val="single"/>
          </w:rPr>
          <w:t>GPNMB CAR-T 细胞对胶质母细胞瘤的肿瘤-骨髓双重靶向</w:t>
        </w:r>
      </w:hyperlink>
    </w:p>
    <w:p>
      <w:pPr>
        <w:spacing w:before="0" w:after="80"/>
      </w:pPr>
      <w:r>
        <w:rPr>
          <w:i/>
          <w:sz w:val="20"/>
        </w:rPr>
        <w:t>EN: Dual tumour–myeloid targeting of glioblastoma with GPNMB CAR-T cells</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814">
        <w:r>
          <w:rPr>
            <w:color w:val="1155CC"/>
            <w:u w:val="single"/>
          </w:rPr>
          <w:t>10.1038/s41586-026-10641-1</w:t>
        </w:r>
      </w:hyperlink>
    </w:p>
    <w:p>
      <w:pPr>
        <w:spacing w:before="0" w:after="120"/>
      </w:pPr>
      <w:r>
        <w:rPr>
          <w:b/>
        </w:rPr>
        <w:t xml:space="preserve">Notes: </w:t>
      </w:r>
      <w:r>
        <w:t>abstract_source=nature_html</w:t>
      </w:r>
    </w:p>
    <w:p>
      <w:pPr>
        <w:spacing w:before="0" w:after="80" w:lineRule="auto" w:line="276"/>
      </w:pPr>
      <w:r>
        <w:rPr>
          <w:b/>
        </w:rPr>
        <w:t xml:space="preserve">摘要（ZH）: </w:t>
      </w:r>
      <w:r>
        <w:t>胶质母细胞瘤是一种致命的脑肿瘤，目前的多模式治疗很少能防止复发1。治疗失败的原因是广泛的肿瘤内细胞异质性2，其微环境以维持肿瘤生长和免疫抑制的肿瘤相关巨噬细胞为主3。尽管针对胶质母细胞瘤的嵌合抗原受体 (CAR)-T 细胞疗法正在开发中，但持续的反应已被不均匀的抗原表达、抗原丢失和与肿瘤靶向设计不直接相关的微环境障碍所破坏。这些限制激发了新的策略，将这种疾病作为一个耦合的肿瘤免疫系统而不是单一的恶性隔室来解决。在这里，我们使用多组学靶标发现平台将 GPNMB 鉴定为胶质母细胞瘤中的双室抗原。抗 GPNMB CAR-T 细胞显示出有效的抗肿瘤活性，通过同时消除 GPNMB+ 肿瘤和免疫抑制性骨髓细胞群，在原位患者来源的异种移植物和同基因神经胶质瘤模型中实现长期疾病控制。通过破坏肿瘤控制和微环境重编程，这些发现为异源、富含骨髓的实体癌的抗原选择和靶向提供了新策略。</w:t>
      </w:r>
    </w:p>
    <w:p>
      <w:pPr>
        <w:spacing w:before="0" w:after="200" w:lineRule="auto" w:line="276"/>
      </w:pPr>
      <w:r>
        <w:rPr>
          <w:b/>
        </w:rPr>
        <w:t xml:space="preserve">Abstract (EN): </w:t>
      </w:r>
      <w:r>
        <w:t>Glioblastoma is a lethal brain tumour for which current multimodal treatment rarely prevents recurrence1. Therapeutic failure is driven by extensive intratumoural cellular heterogeneity2 with a microenvironment dominated by tumour-associated macrophages that sustain tumour growth and immunosuppression3. Although chimeric antigen receptor (CAR)-T cell therapies are being developed for glioblastoma, sustained response has been undermined by non-uniform antigen expression, antigen loss and microenvironmental barriers that are not directly engaged by tumour-targeting designs4. These limitations motivate new strategies that address the disease as a coupled tumour–immune system rather than a single malignant compartment. Here we use a multi-omic target discovery platform to identify GPNMB as a dual-compartment antigen in glioblastoma. Anti-GPNMB CAR-T cells showed potent anti-tumour activity, with long-term disease control in orthotopic patient-derived xenografts and syngeneic glioma models through concomitant depletion of GPNMB+ tumour and immunosuppressive myeloid populations. By collapsing tumour control and microenvironmental reprogramming, these findings provide a new strategy for antigen selection and targeting in heterogenous, myeloid-rich solid cancers.</w:t>
      </w:r>
    </w:p>
    <w:p>
      <w:pPr>
        <w:spacing w:before="120" w:after="120"/>
      </w:pPr>
      <w:r>
        <w:rPr>
          <w:sz w:val="18"/>
        </w:rPr>
        <w:t>——————————————————————————————————————————————————————————————————————</w:t>
      </w:r>
    </w:p>
    <w:p>
      <w:pPr>
        <w:spacing w:before="160" w:after="40" w:line="240" w:lineRule="auto"/>
      </w:pPr>
      <w:r>
        <w:rPr>
          <w:b/>
        </w:rPr>
        <w:t xml:space="preserve">[349] </w:t>
      </w:r>
      <w:hyperlink r:id="rId815">
        <w:r>
          <w:rPr>
            <w:color w:val="1155CC"/>
            <w:u w:val="single"/>
          </w:rPr>
          <w:t>将单细胞转录组与小鼠视觉皮层中的投影组连接</w:t>
        </w:r>
      </w:hyperlink>
    </w:p>
    <w:p>
      <w:pPr>
        <w:spacing w:before="0" w:after="80"/>
      </w:pPr>
      <w:r>
        <w:rPr>
          <w:i/>
          <w:sz w:val="20"/>
        </w:rPr>
        <w:t>EN: Connecting single-cell transcriptomes to projectomes in the mouse visual cortex</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816">
        <w:r>
          <w:rPr>
            <w:color w:val="1155CC"/>
            <w:u w:val="single"/>
          </w:rPr>
          <w:t>10.1038/s41586-026-10424-8</w:t>
        </w:r>
      </w:hyperlink>
    </w:p>
    <w:p>
      <w:pPr>
        <w:spacing w:before="0" w:after="120"/>
      </w:pPr>
      <w:r>
        <w:rPr>
          <w:b/>
        </w:rPr>
        <w:t xml:space="preserve">Notes: </w:t>
      </w:r>
      <w:r>
        <w:t>abstract_source=nature_html</w:t>
      </w:r>
    </w:p>
    <w:p>
      <w:pPr>
        <w:spacing w:before="0" w:after="80" w:lineRule="auto" w:line="276"/>
      </w:pPr>
      <w:r>
        <w:rPr>
          <w:b/>
        </w:rPr>
        <w:t xml:space="preserve">摘要（ZH）: </w:t>
      </w:r>
      <w:r>
        <w:t>哺乳动物的大脑由具有不同功能的多种神经元类型组成。最近的单细胞 RNA 测序方法已经形成了转录组定义的细胞类型的全脑分类学。 Patch-seq 实验通过将转录组图谱与局部形态学和电生理学特性联系起来，增强了这些细胞类型的描述2,3,4,5,6,7。然而，将转录组特性与长程轴突投射联系起来仍然是一个尚未解决的重大挑战。为了解决这个问题，我们从小鼠视觉皮层收集了两个数据集，其中包括：(1) 1,528 个兴奋性 Patch-seq 神经元，从每个细胞收集局部形态学、电生理学和转录组数据，以及 (2) 341 个兴奋性全神经元形态。根据 Patch-seq 数据，我们定义了 17 种形态电转录组类型，并构建了一个多步分类器，将细胞类型分配与整个神经元形态整合起来，并询问跨模态关系。我们发现形态电转录组类型内部和之间的转录组变异与形态和电生理表型相对应。此外，这些基因表达模式以及细胞的解剖位置可用于预测单个神经元的投射目标。我们观察到第 5 层端脑内和端脑外神经元的新型多模态细胞类型特征，并为它们的轴突回路（包括半球间端脑内投射）提供了新的线索。通过这种方法，我们建立了一个全面、综合的皮质、前</w:t>
      </w:r>
    </w:p>
    <w:p>
      <w:pPr>
        <w:spacing w:before="0" w:after="200" w:lineRule="auto" w:line="276"/>
      </w:pPr>
      <w:r>
        <w:rPr>
          <w:b/>
        </w:rPr>
        <w:t xml:space="preserve">Abstract (EN): </w:t>
      </w:r>
      <w:r>
        <w:t>The mammalian brain consists of diverse neuron types with various functions. Recent single-cell RNA sequencing approaches have led to a whole-brain taxonomy of transcriptomically defined cell types1. Patch-seq experiments augment these cell-type descriptions by linking transcriptomic profiles with local morphological and electrophysiological properties2,3,4,5,6,7. However, linking transcriptomic identities to long-range axonal projections remains a major unresolved challenge. Here, to address this, we collected two datasets from the mouse visual cortex consisting of: (1) 1,528 excitatory Patch-seq neurons, with local morphological, electrophysiological and transcriptomic data collected from each cell, and (2) 341 excitatory, whole-neuron morphologies. From the Patch-seq data, we defined 17 morphoelectric–transcriptomic types and built a multistep classifier to integrate cell-type assignments with whole-neuron morphology and interrogate cross-modality relationships. We find that transcriptomic variation within and across morphoelectric–transcriptomic types corresponds with morphological and electrophysiological phenotypes. In addition, these gene expression patterns, along with the anatomical location of the cell, can be used to predict projection targets of individual neurons. We observed novel multimodal cell-type signatures for layer 5 intratelencephalic and extratelencephalic neurons and shed new light on their axonal circuitry, including interhemispheric intratelencephalic projections. With this approach, we establish a comprehensive, integrated taxonomy of cortical, excitatory neuron types, and create a system for high-dimensional cell-type classification that can be extended to the whole brain and potentially across species.</w:t>
      </w:r>
    </w:p>
    <w:p>
      <w:pPr>
        <w:spacing w:before="120" w:after="120"/>
      </w:pPr>
      <w:r>
        <w:rPr>
          <w:sz w:val="18"/>
        </w:rPr>
        <w:t>——————————————————————————————————————————————————————————————————————</w:t>
      </w:r>
    </w:p>
    <w:p>
      <w:pPr>
        <w:spacing w:before="160" w:after="40" w:line="240" w:lineRule="auto"/>
      </w:pPr>
      <w:r>
        <w:rPr>
          <w:b/>
        </w:rPr>
        <w:t xml:space="preserve">[350] </w:t>
      </w:r>
      <w:hyperlink r:id="rId817">
        <w:r>
          <w:rPr>
            <w:color w:val="1155CC"/>
            <w:u w:val="single"/>
          </w:rPr>
          <w:t>脂肪变性塑造结直肠癌中决定预后的肝转移异质性</w:t>
        </w:r>
      </w:hyperlink>
    </w:p>
    <w:p>
      <w:pPr>
        <w:spacing w:before="0" w:after="80"/>
      </w:pPr>
      <w:r>
        <w:rPr>
          <w:i/>
          <w:sz w:val="20"/>
        </w:rPr>
        <w:t>EN: Steatosis shapes prognosis-defining liver metastasis heterogeneity in CRC</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818">
        <w:r>
          <w:rPr>
            <w:color w:val="1155CC"/>
            <w:u w:val="single"/>
          </w:rPr>
          <w:t>10.1038/s41586-026-10686-2</w:t>
        </w:r>
      </w:hyperlink>
    </w:p>
    <w:p>
      <w:pPr>
        <w:spacing w:before="0" w:after="120"/>
      </w:pPr>
      <w:r>
        <w:rPr>
          <w:b/>
        </w:rPr>
        <w:t xml:space="preserve">Notes: </w:t>
      </w:r>
      <w:r>
        <w:t>abstract_source=nature_html</w:t>
      </w:r>
    </w:p>
    <w:p>
      <w:pPr>
        <w:spacing w:before="0" w:after="80" w:lineRule="auto" w:line="276"/>
      </w:pPr>
      <w:r>
        <w:rPr>
          <w:b/>
        </w:rPr>
        <w:t xml:space="preserve">摘要（ZH）: </w:t>
      </w:r>
      <w:r>
        <w:t>结直肠癌 (CRC) 患者经常发生肝转移1,2,3。这些患者的预后因其肝转移的组织病理学异质性而产生偏差4,5。患有“替代性”转移的患者的 5 年总生存率低于 44.2%，而患有“包膜”（以前称为促纤维增生性）转移的患者的 5 年总生存率为 73.4%5；然而，目前还没有针对替代性肝转移的批准疗法。在这里，我们发现，与没有脂肪变性的患者相比，未经治疗的患有肝脂肪变性的结直肠癌患者的替代转移发生率更高。从机制上讲，我们发现脂肪变性促进的脂肪酸氧化通过乙酰化增加 MYC 稳定性，从而增加替代转移的形成。反过来，MYC 会激活脯氨酸合成，促进胶原蛋白的产生，从而促进替代转移瘤的生长。靶向 MYC、P5CS 或 COL1A1 可抑制患者来源的类器官、小鼠或患者来源的异种移植模型中替代转移的发生和生长。 CRC 患者肝转移的空间代谢物和蛋白质分析进一步支持了这一机制。总之，我们对未经治疗的 CRC 患者出现预后不良的肝转移的机制进行了了解，并确定了治疗干预的潜在目标。</w:t>
      </w:r>
    </w:p>
    <w:p>
      <w:pPr>
        <w:spacing w:before="0" w:after="200" w:lineRule="auto" w:line="276"/>
      </w:pPr>
      <w:r>
        <w:rPr>
          <w:b/>
        </w:rPr>
        <w:t xml:space="preserve">Abstract (EN): </w:t>
      </w:r>
      <w:r>
        <w:t>Patients with colorectal cancer (CRC) frequently develop liver metastases1,2,3. The prognosis of these patients is skewed by the histopathological heterogeneity of their liver metastases4,5. Patients with ‘replacement’ metastases have a 5-year overall survival of less than 44.2%, compared with 73.4% in patients with ‘encapsulated’ (previously known as desmoplastic) metastases5; yet there are currently no approved therapies targeting replacement liver metastases. Here we show that treatment-naive patients with CRC with liver steatosis have an increased occurrence of replacement metastases compared with patients without steatosis. Mechanistically, we find that steatosis-promoted fatty acid oxidation increases formation of replacement metastases by increasing MYC stability through acetylation. In turn, MYC activates proline synthesis, fuelling collagen production, enabling growth of replacement metastases. Targeting MYC, P5CS or COL1A1 suppresses the occurrence and growth of replacement metastases in patient-derived organoids, mouse or patient-derived xenograft models. Spatial metabolite and protein analyses of liver metastases from patients with CRC further support this mechanism. In conclusion, we provide a mechanistic understanding of the emergence of liver metastases with poor prognosis in treatment-naive patients with CRC, identifying potential targets for therapeutic intervention.</w:t>
      </w:r>
    </w:p>
    <w:p>
      <w:pPr>
        <w:spacing w:before="120" w:after="120"/>
      </w:pPr>
      <w:r>
        <w:rPr>
          <w:sz w:val="18"/>
        </w:rPr>
        <w:t>——————————————————————————————————————————————————————————————————————</w:t>
      </w:r>
    </w:p>
    <w:p>
      <w:pPr>
        <w:spacing w:before="160" w:after="40" w:line="240" w:lineRule="auto"/>
      </w:pPr>
      <w:r>
        <w:rPr>
          <w:b/>
        </w:rPr>
        <w:t xml:space="preserve">[351] </w:t>
      </w:r>
      <w:hyperlink r:id="rId819">
        <w:r>
          <w:rPr>
            <w:color w:val="1155CC"/>
            <w:u w:val="single"/>
          </w:rPr>
          <w:t>现今海洋岛屿源头的冥古宙布里奇曼石</w:t>
        </w:r>
      </w:hyperlink>
    </w:p>
    <w:p>
      <w:pPr>
        <w:spacing w:before="0" w:after="80"/>
      </w:pPr>
      <w:r>
        <w:rPr>
          <w:i/>
          <w:sz w:val="20"/>
        </w:rPr>
        <w:t>EN: Hadean bridgmanite in the source of a present-day ocean island</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820">
        <w:r>
          <w:rPr>
            <w:color w:val="1155CC"/>
            <w:u w:val="single"/>
          </w:rPr>
          <w:t>10.1038/s41586-026-10719-w</w:t>
        </w:r>
      </w:hyperlink>
    </w:p>
    <w:p>
      <w:pPr>
        <w:spacing w:before="0" w:after="120"/>
      </w:pPr>
      <w:r>
        <w:rPr>
          <w:b/>
        </w:rPr>
        <w:t xml:space="preserve">Notes: </w:t>
      </w:r>
      <w:r>
        <w:t>abstract_source=nature_html</w:t>
      </w:r>
    </w:p>
    <w:p>
      <w:pPr>
        <w:spacing w:before="0" w:after="80" w:lineRule="auto" w:line="276"/>
      </w:pPr>
      <w:r>
        <w:rPr>
          <w:b/>
        </w:rPr>
        <w:t xml:space="preserve">摘要（ZH）: </w:t>
      </w:r>
      <w:r>
        <w:t>限制地球内部的复杂动力学需要跨多个科学学科的研究工作，包括地球化学、地球物理学和地球动力学。地震学和地球动力学研究提供了对地幔结构现状的深入了解，而地球化学方法则描述了其化学和同位素异质性1，揭示了其演化的复杂性。一项关键挑战是确定其化学异质性的年龄和起源。在这里，我们提出了当今火山活动中新的高精度 Nd 同位素测量结果，这些测量结果可以识别可追溯到地球最早历史的异质性。我们报告科摩罗群岛法尼毛雷海底火山熔岩中存在显着的 142Nd 正异常。这些异常现象需要在地幔中保存贫乏轻稀土元素 (REE) 的物质，这些物质是在地球历史的最初 1 亿年 (Myr) 内形成的。我们认为这种材料主要由早期地球岩浆海洋结晶而成的桥石组成。这种冥古宙桥锰岩在当今地幔中的分布可能比之前预期的更为广泛，这引发了关于其在数十亿年的板块构造和剧烈地幔对流中的生存的新问题。</w:t>
      </w:r>
    </w:p>
    <w:p>
      <w:pPr>
        <w:spacing w:before="0" w:after="200" w:lineRule="auto" w:line="276"/>
      </w:pPr>
      <w:r>
        <w:rPr>
          <w:b/>
        </w:rPr>
        <w:t xml:space="preserve">Abstract (EN): </w:t>
      </w:r>
      <w:r>
        <w:t>Constraining the complex dynamics of the inner Earth unites research efforts across several scientific disciplines, including geochemistry, geophysics and geodynamics. Seismological and geodynamic studies offer insights into the present state of the mantle structure, whereas geochemical approaches characterize its chemical and isotopic heterogeneities1, shedding light on the complexity of its evolution. One key challenge is determining the age and origin of its chemical heterogeneities. Here we present new high-precision Nd isotopic measurements in present-day volcanism that identify heterogeneities dating back to the Earth’s earliest history. We report significantly positive 142Nd anomalies in lavas from the submarine Fani Maoré volcano in the Comoros archipelago. These anomalies require the preservation, in the mantle, of material depleted in light rare-earth elements (REE) and formed within the first 100 million years (Myr) of Earth’s history. We suggest that this material is mainly composed of bridgmanite that crystallized from an early Earth magma ocean. This Hadean bridgmanite may be more widespread in the present-day mantle than previously expected, raising new questions about its survival over billions of years of plate tectonics and vigorous mantle convection.</w:t>
      </w:r>
    </w:p>
    <w:p>
      <w:pPr>
        <w:spacing w:before="120" w:after="120"/>
      </w:pPr>
      <w:r>
        <w:rPr>
          <w:sz w:val="18"/>
        </w:rPr>
        <w:t>——————————————————————————————————————————————————————————————————————</w:t>
      </w:r>
    </w:p>
    <w:p>
      <w:pPr>
        <w:spacing w:before="160" w:after="40" w:line="240" w:lineRule="auto"/>
      </w:pPr>
      <w:r>
        <w:rPr>
          <w:b/>
        </w:rPr>
        <w:t xml:space="preserve">[352] </w:t>
      </w:r>
      <w:hyperlink r:id="rId821">
        <w:r>
          <w:rPr>
            <w:color w:val="1155CC"/>
            <w:u w:val="single"/>
          </w:rPr>
          <w:t>通过挥发性配位稳定锡钙钛矿晶体管</w:t>
        </w:r>
      </w:hyperlink>
    </w:p>
    <w:p>
      <w:pPr>
        <w:spacing w:before="0" w:after="80"/>
      </w:pPr>
      <w:r>
        <w:rPr>
          <w:i/>
          <w:sz w:val="20"/>
        </w:rPr>
        <w:t>EN: Tin perovskite transistors stabilized through volatile coordination</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822">
        <w:r>
          <w:rPr>
            <w:color w:val="1155CC"/>
            <w:u w:val="single"/>
          </w:rPr>
          <w:t>10.1038/s41586-026-10714-1</w:t>
        </w:r>
      </w:hyperlink>
    </w:p>
    <w:p>
      <w:pPr>
        <w:spacing w:before="0" w:after="120"/>
      </w:pPr>
      <w:r>
        <w:rPr>
          <w:b/>
        </w:rPr>
        <w:t xml:space="preserve">Notes: </w:t>
      </w:r>
      <w:r>
        <w:t>abstract_source=nature_html</w:t>
      </w:r>
    </w:p>
    <w:p>
      <w:pPr>
        <w:spacing w:before="0" w:after="80" w:lineRule="auto" w:line="276"/>
      </w:pPr>
      <w:r>
        <w:rPr>
          <w:b/>
        </w:rPr>
        <w:t xml:space="preserve">摘要（ZH）: </w:t>
      </w:r>
      <w:r>
        <w:t>锡 (Sn2+) 卤化物钙钛矿由于其可调节的带隙和有利的电荷传输，是用于光电和电子设备的有前途的无铅半导体1,2。然而，它们的实际应用从根本上受到配位不足的 Sn2+ 位点固有氧化还原不稳定性的限制，这会导致不受控制的自 p 掺杂和快速氧化降解3,4。在这里，我们介绍了一种挥发性辅助配位策略，该策略通过瞬时醋酸盐配位和挥发来重建钙钛矿表面，从而将反应性 SnI2 封端的表面转化为化学平衡和缺陷减轻的界面。这种表面重构抑制了与Sn相关的欠协调陷阱态并稳定了局部化学计量，从而使p型晶体管具有强大的传输特性、接近零的阈值电压和超过108的高开/关比。更重要的是，重构的界面充当自钝化和热弹性势垒，从而显着增强了环境稳定性，器件在100℃下保持稳定运行超过1个月。这些结果确立了挥发性辅助表面重建作为亚稳态半导体缺陷平衡的有效方法，并为在 Sn2+ 基材料中实现持久的设备级功能提供了总体策略。</w:t>
      </w:r>
    </w:p>
    <w:p>
      <w:pPr>
        <w:spacing w:before="0" w:after="200" w:lineRule="auto" w:line="276"/>
      </w:pPr>
      <w:r>
        <w:rPr>
          <w:b/>
        </w:rPr>
        <w:t xml:space="preserve">Abstract (EN): </w:t>
      </w:r>
      <w:r>
        <w:t>Tin (Sn2+) halide perovskites are promising lead-free semiconductors for optoelectronic and electronic devices, owing to their tunable bandgaps and favourable charge transport1,2. However, their practical implementation is fundamentally limited by an intrinsic redox instability at undercoordinated Sn2+ sites, which drives uncontrolled self-p-doping and rapid oxidative degradation3,4. Here we introduce a volatile-assisted coordination strategy that reconstructs the perovskite surface through transient acetate coordination and volatilization, which transforms reactive SnI2-terminated surfaces into chemically equilibrated and defect-mitigated interfaces. This surface reconstruction suppresses undercoordinated Sn-related trap states and stabilizes the local stoichiometry, thus enabling p-type transistors with robust transport characteristics, a near-zero threshold voltage and high on/off ratios exceeding 108. More importantly, the reconstructed interface acts as a self-passivating and thermally resilient barrier, resulting in markedly enhanced environmental stability, with devices maintaining stable operation for over 1 month at 100 °C. These results establish volatile-assisted surface reconstruction as an effective method for defect equilibration in metastable semiconductors, and they provide a general strategy for enabling durable, device-grade functionality in Sn2+-based materials.</w:t>
      </w:r>
    </w:p>
    <w:p>
      <w:pPr>
        <w:spacing w:before="120" w:after="120"/>
      </w:pPr>
      <w:r>
        <w:rPr>
          <w:sz w:val="18"/>
        </w:rPr>
        <w:t>——————————————————————————————————————————————————————————————————————</w:t>
      </w:r>
    </w:p>
    <w:p>
      <w:pPr>
        <w:spacing w:before="160" w:after="40" w:line="240" w:lineRule="auto"/>
      </w:pPr>
      <w:r>
        <w:rPr>
          <w:b/>
        </w:rPr>
        <w:t xml:space="preserve">[353] </w:t>
      </w:r>
      <w:hyperlink r:id="rId823">
        <w:r>
          <w:rPr>
            <w:color w:val="1155CC"/>
            <w:u w:val="single"/>
          </w:rPr>
          <w:t>恢复皮质去抑制可改善亨廷顿病表型</w:t>
        </w:r>
      </w:hyperlink>
    </w:p>
    <w:p>
      <w:pPr>
        <w:spacing w:before="0" w:after="80"/>
      </w:pPr>
      <w:r>
        <w:rPr>
          <w:i/>
          <w:sz w:val="20"/>
        </w:rPr>
        <w:t>EN: Restoring cortical disinhibition improves Huntington’s disease phenotypes</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824">
        <w:r>
          <w:rPr>
            <w:color w:val="1155CC"/>
            <w:u w:val="single"/>
          </w:rPr>
          <w:t>10.1038/s41586-026-10671-9</w:t>
        </w:r>
      </w:hyperlink>
    </w:p>
    <w:p>
      <w:pPr>
        <w:spacing w:before="0" w:after="120"/>
      </w:pPr>
      <w:r>
        <w:rPr>
          <w:b/>
        </w:rPr>
        <w:t xml:space="preserve">Notes: </w:t>
      </w:r>
      <w:r>
        <w:t>abstract_source=nature_html</w:t>
      </w:r>
    </w:p>
    <w:p>
      <w:pPr>
        <w:spacing w:before="0" w:after="80" w:lineRule="auto" w:line="276"/>
      </w:pPr>
      <w:r>
        <w:rPr>
          <w:b/>
        </w:rPr>
        <w:t xml:space="preserve">摘要（ZH）: </w:t>
      </w:r>
      <w:r>
        <w:t>亨廷顿舞蹈症 (HD) 是一种毁灭性的运动障碍，目前尚无治愈方法1。尽管 HD 的单基因基础已经明确2，但行为症状背后复杂的下游效应却知之甚少。这些影响包括皮质功能障碍3,4，但特定皮质神经元亚型在 HD 症状中的作用在很大程度上仍未被探索。在这里，我们使用纵向体内双光子钙成像来检查转基因 R6/2 HD 小鼠模型运动皮层中三种皮质抑制神经元 (IN) 亚型和兴奋性皮质纹状体 (CStr) 投射神经元在整个疾病进展过程中的活性。我们发现 R6/2 小鼠的运动缺陷伴随着运动相关活动的神经元亚型特异性异常。这包括血管活性肠肽 (VIP)-IN 和 CStr 神经元的显着低活性，这也在敲入 zQ175DN HD 小鼠模型中观察到。 R6/2 小鼠中 VIP-IN 的光遗传学激活恢复了 VIP-IN 及其下游 CStr 神经元的健康活性水平，并改善了 R6/2 小鼠的运动缺陷；刺激后行为改善持续数天。我们的研究结果强调皮质 INs 作为 HD 的潜在治疗靶点。</w:t>
      </w:r>
    </w:p>
    <w:p>
      <w:pPr>
        <w:spacing w:before="0" w:after="200" w:lineRule="auto" w:line="276"/>
      </w:pPr>
      <w:r>
        <w:rPr>
          <w:b/>
        </w:rPr>
        <w:t xml:space="preserve">Abstract (EN): </w:t>
      </w:r>
      <w:r>
        <w:t>Huntington’s disease (HD) is a devastating movement disorder without a cure at present1. Although the monogenic basis of HD is well defined2, the complex downstream effects that underlie behavioural symptoms are poorly understood. These effects include cortical dysfunction3,4, yet the roles of specific cortical neuronal subtypes in HD symptoms remain largely unexplored. Here we used longitudinal in vivo two-photon calcium imaging to examine the activity of three cortical inhibitory neuron (IN) subtypes and excitatory corticostriatal (CStr) projection neurons in the motor cortex of the transgenic R6/2 HD mouse model throughout disease progression. We found that motor deficits in R6/2 mice were accompanied by neuron subtype-specific abnormalities in movement-related activity. This included marked hypoactivity of vasoactive intestinal peptide (VIP)-INs and CStr neurons, which was also observed in the knock-in zQ175DN HD mouse model. Optogenetic activation of VIP-INs in R6/2 mice restored healthy levels of activity in VIP-INs and their downstream CStr neurons and ameliorated motor deficits in R6/2 mice; behavioural improvements persisted for days after stimulation. Our findings highlight cortical INs as a potential therapeutic target for HD.</w:t>
      </w:r>
    </w:p>
    <w:p>
      <w:pPr>
        <w:spacing w:before="120" w:after="120"/>
      </w:pPr>
      <w:r>
        <w:rPr>
          <w:sz w:val="18"/>
        </w:rPr>
        <w:t>——————————————————————————————————————————————————————————————————————</w:t>
      </w:r>
    </w:p>
    <w:p>
      <w:pPr>
        <w:spacing w:before="160" w:after="40" w:line="240" w:lineRule="auto"/>
      </w:pPr>
      <w:r>
        <w:rPr>
          <w:b/>
        </w:rPr>
        <w:t xml:space="preserve">[354] </w:t>
      </w:r>
      <w:hyperlink r:id="rId825">
        <w:r>
          <w:rPr>
            <w:color w:val="1155CC"/>
            <w:u w:val="single"/>
          </w:rPr>
          <w:t>直接探测二维材料晶体管中的载流子传输长度</w:t>
        </w:r>
      </w:hyperlink>
    </w:p>
    <w:p>
      <w:pPr>
        <w:spacing w:before="0" w:after="80"/>
      </w:pPr>
      <w:r>
        <w:rPr>
          <w:i/>
          <w:sz w:val="20"/>
        </w:rPr>
        <w:t>EN: Directly probing the carrier transfer length in 2D-material transistors</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826">
        <w:r>
          <w:rPr>
            <w:color w:val="1155CC"/>
            <w:u w:val="single"/>
          </w:rPr>
          <w:t>10.1038/s41586-026-10707-0</w:t>
        </w:r>
      </w:hyperlink>
    </w:p>
    <w:p>
      <w:pPr>
        <w:spacing w:before="0" w:after="120"/>
      </w:pPr>
      <w:r>
        <w:rPr>
          <w:b/>
        </w:rPr>
        <w:t xml:space="preserve">Notes: </w:t>
      </w:r>
      <w:r>
        <w:t>abstract_source=nature_html</w:t>
      </w:r>
    </w:p>
    <w:p>
      <w:pPr>
        <w:spacing w:before="0" w:after="80" w:lineRule="auto" w:line="276"/>
      </w:pPr>
      <w:r>
        <w:rPr>
          <w:b/>
        </w:rPr>
        <w:t xml:space="preserve">摘要（ZH）: </w:t>
      </w:r>
      <w:r>
        <w:t>基于二维 (2D) 材料的晶体管已列入超 1 纳米逻辑技术节点的路线图1。这源于其超薄的厚度和无缺陷的表面，从而实现卓越的静电栅极控制2、3、4、5。 2D晶体管的物理沟道长度最终可能达到2个晶体管。这种方法可以确定接触尺寸约束，为未来超尺寸电子设备的开发提供信息。</w:t>
      </w:r>
    </w:p>
    <w:p>
      <w:pPr>
        <w:spacing w:before="0" w:after="200" w:lineRule="auto" w:line="276"/>
      </w:pPr>
      <w:r>
        <w:rPr>
          <w:b/>
        </w:rPr>
        <w:t xml:space="preserve">Abstract (EN): </w:t>
      </w:r>
      <w:r>
        <w:t>Transistors based on two-dimensional (2D) materials are on the roadmap for the beyond 1 nm logic technology node1. This stems from their ultrathin thickness and defect-free surfaces, granting remarkable electrostatic gate control2,3,4,5. The physical channel length of 2D transistors may eventually reach 2 transistor. This approach allows contact scaling constraints to be determined, providing information for the development of future ultra-scaled electronic devices.</w:t>
      </w:r>
    </w:p>
    <w:p>
      <w:pPr>
        <w:spacing w:before="120" w:after="120"/>
      </w:pPr>
      <w:r>
        <w:rPr>
          <w:sz w:val="18"/>
        </w:rPr>
        <w:t>——————————————————————————————————————————————————————————————————————</w:t>
      </w:r>
    </w:p>
    <w:p>
      <w:pPr>
        <w:spacing w:before="160" w:after="40" w:line="240" w:lineRule="auto"/>
      </w:pPr>
      <w:r>
        <w:rPr>
          <w:b/>
        </w:rPr>
        <w:t xml:space="preserve">[355] </w:t>
      </w:r>
      <w:hyperlink r:id="rId827">
        <w:r>
          <w:rPr>
            <w:color w:val="1155CC"/>
            <w:u w:val="single"/>
          </w:rPr>
          <w:t>跨阶段、跨物种疟疾 CD8+ T 细胞抗原的鉴定</w:t>
        </w:r>
      </w:hyperlink>
    </w:p>
    <w:p>
      <w:pPr>
        <w:spacing w:before="0" w:after="80"/>
      </w:pPr>
      <w:r>
        <w:rPr>
          <w:i/>
          <w:sz w:val="20"/>
        </w:rPr>
        <w:t>EN: Identification of cross-stage, cross-species malaria CD8+ T cell antigens</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828">
        <w:r>
          <w:rPr>
            <w:color w:val="1155CC"/>
            <w:u w:val="single"/>
          </w:rPr>
          <w:t>10.1038/s41586-026-10730-1</w:t>
        </w:r>
      </w:hyperlink>
    </w:p>
    <w:p>
      <w:pPr>
        <w:spacing w:before="0" w:after="120"/>
      </w:pPr>
      <w:r>
        <w:rPr>
          <w:b/>
        </w:rPr>
        <w:t xml:space="preserve">Notes: </w:t>
      </w:r>
      <w:r>
        <w:t>abstract_source=nature_html</w:t>
      </w:r>
    </w:p>
    <w:p>
      <w:pPr>
        <w:spacing w:before="0" w:after="80" w:lineRule="auto" w:line="276"/>
      </w:pPr>
      <w:r>
        <w:rPr>
          <w:b/>
        </w:rPr>
        <w:t xml:space="preserve">摘要（ZH）: </w:t>
      </w:r>
      <w:r>
        <w:t>疟疾疫苗开发的一个主要限制是缺乏经过验证的 T 细胞表位靶标。恶性疟原虫是非洲人类最常见的疟原虫，而间日疟原虫则更为广泛，是美洲和亚洲引起疟疾的主要物种1。间日疟原虫专门感染外周血网织红细胞，这些网织红细胞保留了 RNA 和宿主蛋白质合成的能力2。我们之前报道过，感染间日疟原虫的网织红细胞表达人类白细胞抗原 I 类 (HLA-I)，这使得 CD8+ T 细胞能够识别和杀死寄生虫3。在这里，我们使用免疫肽组学来鉴定 HLA-I 在受感染的网织红细胞上呈递的疟原虫抗原衍生肽。我们鉴定了 453 种独特的肽，映射到 166 种蛋白质。 75 种抗原是管家蛋白，在寄生虫生命周期的多个阶段组成型表达，并且在疟原虫物种之间高度保守。相同的肽在不同个体中由相同或不同的HLA-A、HLA-B和HLA-C等位基因以及非经典HLA-E等位基因呈递。新鉴定的表位的抗原性在来自间日疟原虫感染和恶性疟原虫感染个体的样本中得到了验证。此外，在感染疟原虫或用减毒寄生虫免疫后，在非人灵长类动物的血液和肝脏中观察到 T 细胞对其中几种抗原的反应。两种抗原还在啮齿类动物中诱导保护性 CD8+ T 细胞介导的免疫。因此，这些抗原具有效力</w:t>
      </w:r>
    </w:p>
    <w:p>
      <w:pPr>
        <w:spacing w:before="0" w:after="200" w:lineRule="auto" w:line="276"/>
      </w:pPr>
      <w:r>
        <w:rPr>
          <w:b/>
        </w:rPr>
        <w:t xml:space="preserve">Abstract (EN): </w:t>
      </w:r>
      <w:r>
        <w:t>A major limitation on the development of a malaria vaccine is the lack of validated T cell epitope targets. Plasmodium falciparum is the most prevalent malaria parasite affecting humans in Africa, whereas Plasmodium vivax is more widespread and is the main species that causes malaria in the Americas and Asia1. P. vivax exclusively infects peripheral-blood reticulocytes, which retain RNA and the capacity for host protein synthesis2. We previously reported that reticulocytes infected with P. vivax express human leukocyte antigen class I (HLA-I), which enables recognition and killing of the parasite by CD8+ T cells3. Here we use immunopeptidomics to identify Plasmodium-antigen-derived peptides presented by HLA-I on infected reticulocytes. We identified 453 unique peptides, mapping to 166 proteins. Seventy-five antigens were housekeeping proteins that are constitutively expressed at multiple stages of the parasite’s life cycle and are highly conserved between Plasmodium species. Identical peptides were presented in different individuals by the same or distinct HLA-A, HLA-B and HLA-C alleles, as well as by the non-classical HLA-E allele. The antigenicity of the newly identified epitopes was validated in samples from both P. vivax-infected and P. falciparum-infected individuals. Furthermore, T cell responses to several of these antigens were observed in the blood and liver of non-human primates after infection with Plasmodium or immunization with attenuated parasites. Two antigens also induced protective CD8+ T cell-mediated immunity in rodents. Thus, these antigens have the potential for use in a cross-stage and cross-species malaria vaccine.</w:t>
      </w:r>
    </w:p>
    <w:p>
      <w:pPr>
        <w:spacing w:before="120" w:after="120"/>
      </w:pPr>
      <w:r>
        <w:rPr>
          <w:sz w:val="18"/>
        </w:rPr>
        <w:t>——————————————————————————————————————————————————————————————————————</w:t>
      </w:r>
    </w:p>
    <w:p>
      <w:pPr>
        <w:spacing w:before="160" w:after="40" w:line="240" w:lineRule="auto"/>
      </w:pPr>
      <w:r>
        <w:rPr>
          <w:b/>
        </w:rPr>
        <w:t xml:space="preserve">[356] </w:t>
      </w:r>
      <w:hyperlink r:id="rId829">
        <w:r>
          <w:rPr>
            <w:color w:val="1155CC"/>
            <w:u w:val="single"/>
          </w:rPr>
          <w:t>复制应激诱导的染色质环保护叉的稳定性</w:t>
        </w:r>
      </w:hyperlink>
    </w:p>
    <w:p>
      <w:pPr>
        <w:spacing w:before="0" w:after="80"/>
      </w:pPr>
      <w:r>
        <w:rPr>
          <w:i/>
          <w:sz w:val="20"/>
        </w:rPr>
        <w:t>EN: Replication-stress-induced chromatin loops protect fork stability</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830">
        <w:r>
          <w:rPr>
            <w:color w:val="1155CC"/>
            <w:u w:val="single"/>
          </w:rPr>
          <w:t>10.1038/s41586-026-10695-1</w:t>
        </w:r>
      </w:hyperlink>
    </w:p>
    <w:p>
      <w:pPr>
        <w:spacing w:before="0" w:after="120"/>
      </w:pPr>
      <w:r>
        <w:rPr>
          <w:b/>
        </w:rPr>
        <w:t xml:space="preserve">Notes: </w:t>
      </w:r>
      <w:r>
        <w:t>abstract_source=nature_html</w:t>
      </w:r>
    </w:p>
    <w:p>
      <w:pPr>
        <w:spacing w:before="0" w:after="80" w:lineRule="auto" w:line="276"/>
      </w:pPr>
      <w:r>
        <w:rPr>
          <w:b/>
        </w:rPr>
        <w:t xml:space="preserve">摘要（ZH）: </w:t>
      </w:r>
      <w:r>
        <w:t>复制压力对基因组完整性构成重大威胁，但高阶染色质组织如何促进复制叉保护仍不清楚1,2。在这里，我们发现复制应激会诱导瞬时染色质环的形成，该环包围着富含异染色质的停滞复制叉3。受应力的叉优先停顿在会聚的 CTCF 基序上，触发应力依赖性 CTCF 富集，从而限制环挤出并稳定这些结构。环稳定需要 CTCF 锚定和 G9a 依赖性异染色质（组蛋白 H3 的 Lys9 (H3K9me3) 的三甲基化）沉积在环体内的新生 DNA 上。这些环起到保护支架的作用，保护停滞和反转的叉免于被多种核酸酶降解。相比之下，应激诱导的异染色质丢失和 CTCF 富集共同破坏了环支架的稳定性，暴露了溶核攻击的多个入口点，并通过与经典的叉逆转依赖性途径不同的机制导致广泛的新生链降解。这种保护性结构在 BRCA2 缺陷细胞中同样至关重要，其中与复制应激相关的环主要保护复制起始区，而这些环之外的新生 DNA 会经历大规模降解，并且仍然高度容易发生突变。我们的研究阐明了复制应激诱导的三维基因组重组在保持复制叉稳定性方面的基本作用，从而减轻突变和基因组不稳定性。</w:t>
      </w:r>
    </w:p>
    <w:p>
      <w:pPr>
        <w:spacing w:before="0" w:after="200" w:lineRule="auto" w:line="276"/>
      </w:pPr>
      <w:r>
        <w:rPr>
          <w:b/>
        </w:rPr>
        <w:t xml:space="preserve">Abstract (EN): </w:t>
      </w:r>
      <w:r>
        <w:t>Replication stress poses a major threat to genome integrity, yet how higher-order chromatin organization contributes to replication fork protection remains unclear1,2. Here we show that replication stress induces the formation of transient chromatin loops that enclose de novo heterochromatin-enriched stalled replication forks3. Stressed forks preferentially stall at convergent CTCF motifs, triggering stress-dependent CTCF enrichment that constrains loop extrusion and stabilizes these structures. Loop stabilization requires both CTCF anchoring and G9a-dependent heterochromatin (trimethylation of Lys9 of histone H3 (H3K9me3)) deposition on nascent DNA within the loop body. These loops function as protective scaffolds that shield stalled and reversed forks from degradation by multiple nucleases. By contrast, combined loss of stress-induced heterochromatin and CTCF enrichment destabilizes the loop scaffold, exposing multiple entry points for nucleolytic attack and resulting in extensive nascent-strand degradation through mechanisms distinct from classical fork-reversal-dependent pathways. This protective architecture is similarly critical in BRCA2-deficient cells, in which replication-stress-associated loops predominantly safeguard replication initiation zones, while nascent DNA outside these loops undergoes massive degradation and remains highly susceptible to mutations. Our study elucidates the fundamental role of replication-stress-induced three-dimensional genome reorganization in preserving replication fork stability, thereby mitigating mutagenesis and genomic instability.</w:t>
      </w:r>
    </w:p>
    <w:p>
      <w:pPr>
        <w:spacing w:before="120" w:after="120"/>
      </w:pPr>
      <w:r>
        <w:rPr>
          <w:sz w:val="18"/>
        </w:rPr>
        <w:t>——————————————————————————————————————————————————————————————————————</w:t>
      </w:r>
    </w:p>
    <w:p>
      <w:pPr>
        <w:spacing w:before="160" w:after="40" w:line="240" w:lineRule="auto"/>
      </w:pPr>
      <w:r>
        <w:rPr>
          <w:b/>
        </w:rPr>
        <w:t xml:space="preserve">[357] </w:t>
      </w:r>
      <w:hyperlink r:id="rId831">
        <w:r>
          <w:rPr>
            <w:color w:val="1155CC"/>
            <w:u w:val="single"/>
          </w:rPr>
          <w:t>一种分泌的内共生蛋白，对于定植宿主细胞至关重要</w:t>
        </w:r>
      </w:hyperlink>
    </w:p>
    <w:p>
      <w:pPr>
        <w:spacing w:before="0" w:after="80"/>
      </w:pPr>
      <w:r>
        <w:rPr>
          <w:i/>
          <w:sz w:val="20"/>
        </w:rPr>
        <w:t>EN: A secreted endosymbiont protein essential for colonizing host cells</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832">
        <w:r>
          <w:rPr>
            <w:color w:val="1155CC"/>
            <w:u w:val="single"/>
          </w:rPr>
          <w:t>10.1038/s41586-026-10711-4</w:t>
        </w:r>
      </w:hyperlink>
    </w:p>
    <w:p>
      <w:pPr>
        <w:spacing w:before="0" w:after="120"/>
      </w:pPr>
      <w:r>
        <w:rPr>
          <w:b/>
        </w:rPr>
        <w:t xml:space="preserve">Notes: </w:t>
      </w:r>
      <w:r>
        <w:t>abstract_source=nature_html</w:t>
      </w:r>
    </w:p>
    <w:p>
      <w:pPr>
        <w:spacing w:before="0" w:after="80" w:lineRule="auto" w:line="276"/>
      </w:pPr>
      <w:r>
        <w:rPr>
          <w:b/>
        </w:rPr>
        <w:t xml:space="preserve">摘要（ZH）: </w:t>
      </w:r>
      <w:r>
        <w:t>细胞内细菌共生现象在真核生物中已经出现过无数次，仅昆虫中就有数十种共生现象1,2。从蚜虫的专性内共生体 Buchnera 开始，内共生体的基因组已经阐明了它们的进化起源和对宿主的代谢贡献3,4。然而，不可培养的内共生体进入宿主细胞并抑制细胞免疫过程的机制仍不清楚。在这里，我们展示了一种未表征的 Buchnera 蛋白，称为 SyeA，存在于 Buchnera 祖先中，分泌到宿主细胞质中，与细菌病原体的分泌效应子同源，并且对于 Buchnera 传播至关重要。 Buchnera 通过从专门的母体细胞中排出并被胚胎吸收而传播。使用免疫荧光显微镜，我们发现胚胎细胞定植后 SyeA 水平升高，并伴随着肌动蛋白在进入位点的积累。 SyeA 位于宿主细胞质内每个 Buchnera 细胞周围的宿主衍生膜和肌动蛋白层之外。 syeA 表达的敲低会破坏胚胎的定植和胚胎发育，并提高溶酶体活性，导致 Buchnera 破坏6。我们的研究结果提供了关于古老相关的互利内共生体如何实现其细胞内存在的见解。 SyeA 代表了致病起源的痕迹，随后是宿主控制增强的进化和原始的、更复杂的致病机制的侵蚀。</w:t>
      </w:r>
    </w:p>
    <w:p>
      <w:pPr>
        <w:spacing w:before="0" w:after="200" w:lineRule="auto" w:line="276"/>
      </w:pPr>
      <w:r>
        <w:rPr>
          <w:b/>
        </w:rPr>
        <w:t xml:space="preserve">Abstract (EN): </w:t>
      </w:r>
      <w:r>
        <w:t>Intracellular bacterial symbioses have arisen myriad times in eukaryotes, with dozens known from insects alone1,2. Beginning with Buchnera, the obligate endosymbiont of aphids, genomes of endosymbionts have illuminated their evolutionary origins and metabolic contributions to hosts3,4. However, the mechanisms by which non-culturable endosymbionts enter host cells and suppress cellular immune processes have remained unclear. Here we show that an uncharacterized Buchnera protein, designated SyeA, was present in the Buchnera ancestor, is secreted into the host cytoplasm, is homologous to secreted effectors of bacterial pathogens and is essential for Buchnera transmission. Buchnera is transmitted through expulsion from specialized maternal cells and uptake by embryos5. Using immunofluorescence microscopy, we found elevated SyeA levels after colonization of the embryonic cell, accompanied by actin accumulation at the entry site. SyeA localizes outside the host-derived membrane and actin layer surrounding each Buchnera cell within host cytoplasm. Knockdown of syeA expression disrupts colonization of embryos and embryonic development and elevates lysosomal activity, leading to Buchnera destruction6. Our findings provide insights into how an anciently associated, mutualistic endosymbiont achieves its intracellular existence. SyeA represents a vestige of pathogenic origins that was followed by evolution of increased host control and erosion of the original, more complex pathogenicity machinery.</w:t>
      </w:r>
    </w:p>
    <w:p>
      <w:pPr>
        <w:spacing w:before="120" w:after="120"/>
      </w:pPr>
      <w:r>
        <w:rPr>
          <w:sz w:val="18"/>
        </w:rPr>
        <w:t>——————————————————————————————————————————————————————————————————————</w:t>
      </w:r>
    </w:p>
    <w:p>
      <w:pPr>
        <w:spacing w:before="160" w:after="40" w:line="240" w:lineRule="auto"/>
      </w:pPr>
      <w:r>
        <w:rPr>
          <w:b/>
        </w:rPr>
        <w:t xml:space="preserve">[358] </w:t>
      </w:r>
      <w:hyperlink r:id="rId833">
        <w:r>
          <w:rPr>
            <w:color w:val="1155CC"/>
            <w:u w:val="single"/>
          </w:rPr>
          <w:t>寻求普遍的疟疾疫苗目标</w:t>
        </w:r>
      </w:hyperlink>
    </w:p>
    <w:p>
      <w:pPr>
        <w:spacing w:before="0" w:after="80"/>
      </w:pPr>
      <w:r>
        <w:rPr>
          <w:i/>
          <w:sz w:val="20"/>
        </w:rPr>
        <w:t>EN: Seeking universal malaria-vaccine targets</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834">
        <w:r>
          <w:rPr>
            <w:color w:val="1155CC"/>
            <w:u w:val="single"/>
          </w:rPr>
          <w:t>10.1038/d41586-026-01808-x</w:t>
        </w:r>
      </w:hyperlink>
    </w:p>
    <w:p>
      <w:pPr>
        <w:spacing w:before="0" w:after="120"/>
      </w:pPr>
      <w:r>
        <w:rPr>
          <w:b/>
        </w:rPr>
        <w:t xml:space="preserve">Notes: </w:t>
      </w:r>
      <w:r>
        <w:t>abstract_source=nature_html</w:t>
      </w:r>
    </w:p>
    <w:p>
      <w:pPr>
        <w:spacing w:before="0" w:after="80" w:lineRule="auto" w:line="276"/>
      </w:pPr>
      <w:r>
        <w:rPr>
          <w:b/>
        </w:rPr>
        <w:t xml:space="preserve">摘要（ZH）: </w:t>
      </w:r>
      <w:r>
        <w:t>已经确定了进化保守的目标，这些目标在疟疾寄生虫物种及其生命阶段中是共享的，并且被人类免疫系统识别。已经确定了进化保守的目标，这些目标在疟疾寄生虫物种及其生命阶段中是共享的，并且被人类免疫系统识别。</w:t>
      </w:r>
    </w:p>
    <w:p>
      <w:pPr>
        <w:spacing w:before="0" w:after="200" w:lineRule="auto" w:line="276"/>
      </w:pPr>
      <w:r>
        <w:rPr>
          <w:b/>
        </w:rPr>
        <w:t xml:space="preserve">Abstract (EN): </w:t>
      </w:r>
      <w:r>
        <w:t>Evolutionarily conserved targets have been identified that are shared across malaria-parasite species and their life stages and are recognized by the human immune system. Evolutionarily conserved targets have been identified that are shared across malaria-parasite species and their life stages and are recognized by the human immune system.</w:t>
      </w:r>
    </w:p>
    <w:p>
      <w:pPr>
        <w:spacing w:before="120" w:after="120"/>
      </w:pPr>
      <w:r>
        <w:rPr>
          <w:sz w:val="18"/>
        </w:rPr>
        <w:t>——————————————————————————————————————————————————————————————————————</w:t>
      </w:r>
    </w:p>
    <w:p>
      <w:pPr>
        <w:spacing w:before="160" w:after="40" w:line="240" w:lineRule="auto"/>
      </w:pPr>
      <w:r>
        <w:rPr>
          <w:b/>
        </w:rPr>
        <w:t xml:space="preserve">[359] </w:t>
      </w:r>
      <w:hyperlink r:id="rId835">
        <w:r>
          <w:rPr>
            <w:color w:val="1155CC"/>
            <w:u w:val="single"/>
          </w:rPr>
          <w:t>构建虚拟酵母</w:t>
        </w:r>
      </w:hyperlink>
    </w:p>
    <w:p>
      <w:pPr>
        <w:spacing w:before="0" w:after="80"/>
      </w:pPr>
      <w:r>
        <w:rPr>
          <w:i/>
          <w:sz w:val="20"/>
        </w:rPr>
        <w:t>EN: Towards the construction of a virtual yeast</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836">
        <w:r>
          <w:rPr>
            <w:color w:val="1155CC"/>
            <w:u w:val="single"/>
          </w:rPr>
          <w:t>10.1038/s41586-026-10574-9</w:t>
        </w:r>
      </w:hyperlink>
    </w:p>
    <w:p>
      <w:pPr>
        <w:spacing w:before="0" w:after="120"/>
      </w:pPr>
      <w:r>
        <w:rPr>
          <w:b/>
        </w:rPr>
        <w:t xml:space="preserve">Notes: </w:t>
      </w:r>
      <w:r>
        <w:t>abstract_source=nature_html</w:t>
      </w:r>
    </w:p>
    <w:p>
      <w:pPr>
        <w:spacing w:before="0" w:after="80" w:lineRule="auto" w:line="276"/>
      </w:pPr>
      <w:r>
        <w:rPr>
          <w:b/>
        </w:rPr>
        <w:t xml:space="preserve">摘要（ZH）: </w:t>
      </w:r>
      <w:r>
        <w:t>为了推进细胞生命的计算模拟，我们提出了一种虚拟酵母，这是一种人工智能（AI）驱动的代理，通过使用酿酒酵母作为遗传上易于处理且数据丰富的模型系统，通过集成多模式生物数据、机械推理和主动实验来模拟真核细胞行为。细胞复杂性被分解为八个以功能为中心的模块，涵盖遗传、代谢和结构系统，每个模块都实现为通过基于大型语言模型的编排层进行协调的特定领域的人工智能工具。该系统建立在机械知识、亚细胞架构和动态三个数据支柱的基础上，将表示学习和生成建模集成在一个闭环学习管道中，可自主设计和执行实验。虚拟酵母既可以作为概念平台，也可以作为操作平台来优化生物合成途径，支持跨不同细胞过程的假设的生成和优先级排序，并加速目标发现。通过将生物现实主义与自主人工智能推理相结合，虚拟酵母为构建虚拟真核细胞和推进合成生物学建立了通用蓝图。</w:t>
      </w:r>
    </w:p>
    <w:p>
      <w:pPr>
        <w:spacing w:before="0" w:after="200" w:lineRule="auto" w:line="276"/>
      </w:pPr>
      <w:r>
        <w:rPr>
          <w:b/>
        </w:rPr>
        <w:t xml:space="preserve">Abstract (EN): </w:t>
      </w:r>
      <w:r>
        <w:t>To advance the computational simulation of cellular life, we propose a virtual yeast, an artificial intelligence (AI)-driven agent that models eukaryotic cellular behaviours by integrating multimodal biological data, mechanistic reasoning and active experimentation using Saccharomyces cerevisiae as a genetically tractable and data-rich model system. Cellular complexity is decomposed into eight function-centred modules, spanning genetic, metabolic and structural systems, each realized as a domain-specific AI tool coordinated through a large language model-based orchestration layer. Built on three data pillars, namely, mechanistic knowledge, subcellular architecture and dynamic states, the system integrates representation learning and generative modelling within a closed-loop learning pipeline that autonomously designs and executes experiments. The virtual yeast serves as both a conceptual and an operational platform to optimize biosynthetic pathways, support the generation and prioritization of hypotheses across diverse cellular processes, and accelerate target discovery. By coupling biological realism with autonomous AI reasoning, the virtual yeast establishes a generalizable blueprint for constructing virtual eukaryotic cells and advancing synthetic biology.</w:t>
      </w:r>
    </w:p>
    <w:p>
      <w:pPr>
        <w:spacing w:before="120" w:after="120"/>
      </w:pPr>
      <w:r>
        <w:rPr>
          <w:sz w:val="18"/>
        </w:rPr>
        <w:t>——————————————————————————————————————————————————————————————————————</w:t>
      </w:r>
    </w:p>
    <w:p>
      <w:pPr>
        <w:spacing w:before="160" w:after="40" w:line="240" w:lineRule="auto"/>
      </w:pPr>
      <w:r>
        <w:rPr>
          <w:b/>
        </w:rPr>
        <w:t xml:space="preserve">[360] </w:t>
      </w:r>
      <w:hyperlink r:id="rId837">
        <w:r>
          <w:rPr>
            <w:color w:val="1155CC"/>
            <w:u w:val="single"/>
          </w:rPr>
          <w:t>协调医学基因组的标准和资源</w:t>
        </w:r>
      </w:hyperlink>
    </w:p>
    <w:p>
      <w:pPr>
        <w:spacing w:before="0" w:after="80"/>
      </w:pPr>
      <w:r>
        <w:rPr>
          <w:i/>
          <w:sz w:val="20"/>
        </w:rPr>
        <w:t>EN: Harmonizing standards and resources for the medical genome</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838">
        <w:r>
          <w:rPr>
            <w:color w:val="1155CC"/>
            <w:u w:val="single"/>
          </w:rPr>
          <w:t>10.1038/s41586-026-10621-5</w:t>
        </w:r>
      </w:hyperlink>
    </w:p>
    <w:p>
      <w:pPr>
        <w:spacing w:before="0" w:after="120"/>
      </w:pPr>
      <w:r>
        <w:rPr>
          <w:b/>
        </w:rPr>
        <w:t xml:space="preserve">Notes: </w:t>
      </w:r>
      <w:r>
        <w:t>abstract_source=nature_html</w:t>
      </w:r>
    </w:p>
    <w:p>
      <w:pPr>
        <w:spacing w:before="0" w:after="80" w:lineRule="auto" w:line="276"/>
      </w:pPr>
      <w:r>
        <w:rPr>
          <w:b/>
        </w:rPr>
        <w:t xml:space="preserve">摘要（ZH）: </w:t>
      </w:r>
      <w:r>
        <w:t>实现精准医学的前景需要基因组测序和分析达到最高的准确性标准。在这里，我们从基因组数据质量的角度描述了该领域的挑战和机遇。我们针对基因组测序的特定应用领域提出了建议，其中已经出现了独立的标准：种系测序、肿瘤测序、游离 DNA 检测以及基因治疗质量控制测序。尽管临床背景不同，但技术挑战通常是相似的。例如，准确检测肿瘤测序或基因编辑细胞中的低频遗传变异。我们呼吁这些社区之间加强同步，以建立新的医学基因组标准，以在技术驱动的快速变革时代增强对基因组诊断和基因治疗的信心。我们建议跨环境实施这些基因组标准的实用方法，并确定需要进一步开发的关键领域。</w:t>
      </w:r>
    </w:p>
    <w:p>
      <w:pPr>
        <w:spacing w:before="0" w:after="200" w:lineRule="auto" w:line="276"/>
      </w:pPr>
      <w:r>
        <w:rPr>
          <w:b/>
        </w:rPr>
        <w:t xml:space="preserve">Abstract (EN): </w:t>
      </w:r>
      <w:r>
        <w:t>Realizing the promise of precision medicine will require the highest standards of accuracy in genome sequencing and analysis. Here we describe challenges and opportunities for the field through the lens of genome data quality. We present recommendations in the context of specific areas of application for genomic sequencing in which isolated standards have arisen: germline sequencing, tumour sequencing, cell-free DNA testing, and sequencing for quality control in genetic therapy. Despite these distinct clinical contexts, technical challenges are often similar; for example, accurately detecting low-frequency genetic variants in tumour sequencing or gene-edited cells. We call for increased synchronization among these communities to establish new medical genome standards that promote confidence in genomic diagnostics and genetic therapies in a time of rapid technology-driven change. We suggest practical approaches for implementing these genome standards across contexts, and identify key areas that require further development.</w:t>
      </w:r>
    </w:p>
    <w:p>
      <w:pPr>
        <w:spacing w:before="120" w:after="120"/>
      </w:pPr>
      <w:r>
        <w:rPr>
          <w:sz w:val="18"/>
        </w:rPr>
        <w:t>——————————————————————————————————————————————————————————————————————</w:t>
      </w:r>
    </w:p>
    <w:p>
      <w:pPr>
        <w:spacing w:before="160" w:after="40" w:line="240" w:lineRule="auto"/>
      </w:pPr>
      <w:r>
        <w:rPr>
          <w:b/>
        </w:rPr>
        <w:t xml:space="preserve">[361] </w:t>
      </w:r>
      <w:hyperlink r:id="rId839">
        <w:r>
          <w:rPr>
            <w:color w:val="1155CC"/>
            <w:u w:val="single"/>
          </w:rPr>
          <w:t>团结：合作如何构建世界</w:t>
        </w:r>
      </w:hyperlink>
    </w:p>
    <w:p>
      <w:pPr>
        <w:spacing w:before="0" w:after="80"/>
      </w:pPr>
      <w:r>
        <w:rPr>
          <w:i/>
          <w:sz w:val="20"/>
        </w:rPr>
        <w:t>EN: Togetherness: How co-operation built the world</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840">
        <w:r>
          <w:rPr>
            <w:color w:val="1155CC"/>
            <w:u w:val="single"/>
          </w:rPr>
          <w:t>10.1038/d41586-026-02067-6</w:t>
        </w:r>
      </w:hyperlink>
    </w:p>
    <w:p>
      <w:pPr>
        <w:spacing w:before="0" w:after="120"/>
      </w:pPr>
      <w:r>
        <w:rPr>
          <w:b/>
        </w:rPr>
        <w:t xml:space="preserve">Notes: </w:t>
      </w:r>
      <w:r>
        <w:t>abstract_source=nature_html</w:t>
      </w:r>
    </w:p>
    <w:p>
      <w:pPr>
        <w:spacing w:before="0" w:after="80" w:lineRule="auto" w:line="276"/>
      </w:pPr>
      <w:r>
        <w:rPr>
          <w:b/>
        </w:rPr>
        <w:t xml:space="preserve">摘要（ZH）: </w:t>
      </w:r>
      <w:r>
        <w:t>科学记者罗恩·胡珀 (Rowan Hooper) 与我们一起谈论共生以及有机体协同工作的重要性。罗恩·胡珀谈论他的书《团结》</w:t>
      </w:r>
    </w:p>
    <w:p>
      <w:pPr>
        <w:spacing w:before="0" w:after="200" w:lineRule="auto" w:line="276"/>
      </w:pPr>
      <w:r>
        <w:rPr>
          <w:b/>
        </w:rPr>
        <w:t xml:space="preserve">Abstract (EN): </w:t>
      </w:r>
      <w:r>
        <w:t>Science journalist Rowan Hooper joins us to talk about symbiosis and the importance of organisms working together. Rowan Hooper talks about his book Togetherness</w:t>
      </w:r>
    </w:p>
    <w:p>
      <w:pPr>
        <w:spacing w:before="120" w:after="120"/>
      </w:pPr>
      <w:r>
        <w:rPr>
          <w:sz w:val="18"/>
        </w:rPr>
        <w:t>——————————————————————————————————————————————————————————————————————</w:t>
      </w:r>
    </w:p>
    <w:p>
      <w:pPr>
        <w:spacing w:before="160" w:after="40" w:line="240" w:lineRule="auto"/>
      </w:pPr>
      <w:r>
        <w:rPr>
          <w:b/>
        </w:rPr>
        <w:t xml:space="preserve">[362] </w:t>
      </w:r>
      <w:hyperlink r:id="rId841">
        <w:r>
          <w:rPr>
            <w:color w:val="1155CC"/>
            <w:u w:val="single"/>
          </w:rPr>
          <w:t>FAIR 数据如何帮助建立对科学的信任</w:t>
        </w:r>
      </w:hyperlink>
    </w:p>
    <w:p>
      <w:pPr>
        <w:spacing w:before="0" w:after="80"/>
      </w:pPr>
      <w:r>
        <w:rPr>
          <w:i/>
          <w:sz w:val="20"/>
        </w:rPr>
        <w:t>EN: How FAIR data are helping to build trust in science</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842">
        <w:r>
          <w:rPr>
            <w:color w:val="1155CC"/>
            <w:u w:val="single"/>
          </w:rPr>
          <w:t>10.1038/d41586-026-01982-y</w:t>
        </w:r>
      </w:hyperlink>
    </w:p>
    <w:p>
      <w:pPr>
        <w:spacing w:before="0" w:after="120"/>
      </w:pPr>
      <w:r>
        <w:rPr>
          <w:b/>
        </w:rPr>
        <w:t xml:space="preserve">Notes: </w:t>
      </w:r>
      <w:r>
        <w:t>abstract_source=nature_html</w:t>
      </w:r>
    </w:p>
    <w:p>
      <w:pPr>
        <w:spacing w:before="0" w:after="80" w:lineRule="auto" w:line="276"/>
      </w:pPr>
      <w:r>
        <w:rPr>
          <w:b/>
        </w:rPr>
        <w:t xml:space="preserve">摘要（ZH）: </w:t>
      </w:r>
      <w:r>
        <w:t>FAIR 指南为确保数据的可访问性和可重复性奠定了坚实的基础。十年过去了，研究人员的思考超越了它们。 FAIR 指南为确保数据的可访问性和可重复性奠定了坚实的基础。十年过去了，研究人员的思考超越了它们。</w:t>
      </w:r>
    </w:p>
    <w:p>
      <w:pPr>
        <w:spacing w:before="0" w:after="200" w:lineRule="auto" w:line="276"/>
      </w:pPr>
      <w:r>
        <w:rPr>
          <w:b/>
        </w:rPr>
        <w:t xml:space="preserve">Abstract (EN): </w:t>
      </w:r>
      <w:r>
        <w:t>The FAIR guidelines laid a solid foundation for ensuring data accessibility and reproducibility. A decade on, researchers are thinking beyond them. The FAIR guidelines laid a solid foundation for ensuring data accessibility and reproducibility. A decade on, researchers are thinking beyond them.</w:t>
      </w:r>
    </w:p>
    <w:p>
      <w:pPr>
        <w:spacing w:before="120" w:after="120"/>
      </w:pPr>
      <w:r>
        <w:rPr>
          <w:sz w:val="18"/>
        </w:rPr>
        <w:t>——————————————————————————————————————————————————————————————————————</w:t>
      </w:r>
    </w:p>
    <w:p>
      <w:pPr>
        <w:spacing w:before="160" w:after="40" w:line="240" w:lineRule="auto"/>
      </w:pPr>
      <w:r>
        <w:rPr>
          <w:b/>
        </w:rPr>
        <w:t xml:space="preserve">[363] </w:t>
      </w:r>
      <w:hyperlink r:id="rId843">
        <w:r>
          <w:rPr>
            <w:color w:val="1155CC"/>
            <w:u w:val="single"/>
          </w:rPr>
          <w:t>出版商更正：乌头中生物活性雷公藤黄素和神秘阿塞雷诺德的不同多功能 P450 授权生物合成意味着趋同进化</w:t>
        </w:r>
      </w:hyperlink>
    </w:p>
    <w:p>
      <w:pPr>
        <w:spacing w:before="0" w:after="80"/>
      </w:pPr>
      <w:r>
        <w:rPr>
          <w:i/>
          <w:sz w:val="20"/>
        </w:rPr>
        <w:t>EN: Publisher Correction: Divergent multifunctional P450s-empowered biosynthesis of bioactive tripterifordin and cryptic atiserenoids in Aconitum implies convergent evolution</w:t>
      </w:r>
    </w:p>
    <w:p>
      <w:pPr>
        <w:spacing w:before="0" w:after="120"/>
      </w:pPr>
      <w:r>
        <w:rPr>
          <w:b/>
        </w:rPr>
        <w:t xml:space="preserve">Source: </w:t>
      </w:r>
      <w:r>
        <w:t>Biological sciences : Nature Communications subject feeds</w:t>
      </w:r>
      <w:r>
        <w:t xml:space="preserve">    </w:t>
      </w:r>
      <w:r>
        <w:rPr>
          <w:b/>
        </w:rPr>
        <w:t xml:space="preserve">Pub date: </w:t>
      </w:r>
      <w:r>
        <w:t>2026-07-01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[364] </w:t>
      </w:r>
      <w:hyperlink r:id="rId844">
        <w:r>
          <w:rPr>
            <w:color w:val="1155CC"/>
            <w:u w:val="single"/>
          </w:rPr>
          <w:t>Casdatifan 在肾癌中表现出与 HIF-2α 生物学相关的持久反应</w:t>
        </w:r>
      </w:hyperlink>
    </w:p>
    <w:p>
      <w:pPr>
        <w:spacing w:before="0" w:after="80"/>
      </w:pPr>
      <w:r>
        <w:rPr>
          <w:i/>
          <w:sz w:val="20"/>
        </w:rPr>
        <w:t>EN: Casdatifan shows durable response linked to HIF-2α biology in kidney cancer</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845">
        <w:r>
          <w:rPr>
            <w:color w:val="1155CC"/>
            <w:u w:val="single"/>
          </w:rPr>
          <w:t>10.1038/s41586-026-10718-x</w:t>
        </w:r>
      </w:hyperlink>
    </w:p>
    <w:p>
      <w:pPr>
        <w:spacing w:before="0" w:after="120"/>
      </w:pPr>
      <w:r>
        <w:rPr>
          <w:b/>
        </w:rPr>
        <w:t xml:space="preserve">Notes: </w:t>
      </w:r>
      <w:r>
        <w:t>abstract_source=nature_html</w:t>
      </w:r>
    </w:p>
    <w:p>
      <w:pPr>
        <w:spacing w:before="0" w:after="80" w:lineRule="auto" w:line="276"/>
      </w:pPr>
      <w:r>
        <w:rPr>
          <w:b/>
        </w:rPr>
        <w:t xml:space="preserve">摘要（ZH）: </w:t>
      </w:r>
      <w:r>
        <w:t>透明细胞肾细胞癌 (ccRCC) 主要由转录因子缺氧诱导因子 2α (HIF-2α)1 驱动。在这里，我们表明，卡达替凡（一种口服生物可利用的、有效的、选择性的 HIF-2α 抑制剂2）单一疗法可在难治性转移性 ccRCC 个体中产生有意义、持久的抗肿瘤活性，且安全性可控。展示了 ARC-20 研究 (NCT05536141) 的剂量扩展数据，包括 100 mg 每日一次 (QD) 队列 (n = 32) 和总队列 (n = 127)。因卡达替芬相关不良事件而停止治疗的情况很少见（3%），类效应毒性包括贫血和缺氧。确认的客观缓解率 (ORR) 分别为 35%（95% 置信区间 (CI) = 19–55%；每日一次 100 mg）和 31%（95% CI = 23–40%；总计）；中位无进展生存期 (PFS) 不可估计（95% CI = 5.7 – 不可估计；100 mg QD）和 12.2 个月（9.4–20.6；总计）。血清促红细胞生成素最大程度降低与临床结果改善相关，包括更高的 ORR (P = 0.001)、更低的疾病进展率 (P = 0.003) 和更长的 PFS (P = 0.006)。促红细胞生成素表达仅限于癌细胞，并且在具有临床获益的患者中其 mRNA 水平显着较高。一致地，HIF-2α 蛋白表达和 HIF-2α 表达特征与延长的 PFS 相关。总体而言，我们的研究结果表明，casdatifan 实现了有意义、持久的反应，且安全性可控。这些数据建立了靶向 HIF-2α 通路调节、肿瘤生物学和临床效果之间的联系</w:t>
      </w:r>
    </w:p>
    <w:p>
      <w:pPr>
        <w:spacing w:before="0" w:after="200" w:lineRule="auto" w:line="276"/>
      </w:pPr>
      <w:r>
        <w:rPr>
          <w:b/>
        </w:rPr>
        <w:t xml:space="preserve">Abstract (EN): </w:t>
      </w:r>
      <w:r>
        <w:t>Clear cell renal cell carcinoma (ccRCC) is largely driven by the transcription factor hypoxia-inducible factor 2α (HIF-2α)1. Here we show that monotherapy with casdatifan—an orally bioavailable, potent and selective HIF-2α inhibitor2—produces meaningful, durable antitumour activity with manageable safety in individuals with refractory metastatic ccRCC. Dose-expansion data from the ARC-20 study (NCT05536141) are presented, including for the 100 mg once daily (QD) cohort (n = 32) and the total cohort (n = 127). Treatment discontinuation from casdatifan-related adverse events was infrequent (3%), and class-effect toxicities included anaemia and hypoxia. The confirmed objective response rates (ORRs) were 35% (95% confidence intervals (CI) = 19–55%; 100 mg QD) and 31% (95% CI = 23–40%; total); median progression-free survival (PFS) was not estimable (95% CI = 5.7–not estimable; 100 mg QD) and 12.2 months (9.4–20.6; total). Greater maximal reductions in serum erythropoietin were associated with improved clinical outcomes, including a higher ORR (P = 0.001), lower rates of progressive disease (P = 0.003) and longer PFS (P = 0.006). Erythropoietin expression was restricted to cancer cells and was significantly higher at the mRNA level in patients with clinical benefit. Concordantly, HIF-2α protein expression and HIF-2α expression signature were associated with prolonged PFS. Overall, our findings show that casdatifan achieves meaningful, durable responses with manageable safety. These data establish a link between on-target HIF-2α pathway modulation, tumour biology and clinical efficacy.</w:t>
      </w:r>
    </w:p>
    <w:p>
      <w:pPr>
        <w:spacing w:before="120" w:after="120"/>
      </w:pPr>
      <w:r>
        <w:rPr>
          <w:sz w:val="18"/>
        </w:rPr>
        <w:t>——————————————————————————————————————————————————————————————————————</w:t>
      </w:r>
    </w:p>
    <w:p>
      <w:pPr>
        <w:spacing w:before="160" w:after="40" w:line="240" w:lineRule="auto"/>
      </w:pPr>
      <w:r>
        <w:rPr>
          <w:b/>
        </w:rPr>
        <w:t xml:space="preserve">[365] </w:t>
      </w:r>
      <w:hyperlink r:id="rId846">
        <w:r>
          <w:rPr>
            <w:color w:val="1155CC"/>
            <w:u w:val="single"/>
          </w:rPr>
          <w:t>斯瓦尔巴-巴伦支海冰盖的不稳定性增强了活性铁向海洋的输送</w:t>
        </w:r>
      </w:hyperlink>
    </w:p>
    <w:p>
      <w:pPr>
        <w:spacing w:before="0" w:after="80"/>
      </w:pPr>
      <w:r>
        <w:rPr>
          <w:i/>
          <w:sz w:val="20"/>
        </w:rPr>
        <w:t>EN: Svalbard-barents ice sheet instability enhanced delivery of reactive iron to the ocean</w:t>
      </w:r>
    </w:p>
    <w:p>
      <w:pPr>
        <w:spacing w:before="0" w:after="120"/>
      </w:pPr>
      <w:r>
        <w:rPr>
          <w:b/>
        </w:rPr>
        <w:t xml:space="preserve">Source: </w:t>
      </w:r>
      <w:r>
        <w:t>Earth and environmental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铁 (Fe) 作为生物限制营养素以及对碳和其他营养素沉积埋藏的控制剂，在海洋环境中发挥着关键作用。敏感的冰川系统为铁向海洋提供了重要的输送机制，但目前尚不清楚随着冰的消退，这些冰川来源将如何变化。靠近斯瓦尔巴-巴伦支海冰盖的叶尔马克高原的沉积记录为研究过去的冰川不稳定可能如何影响生物可利用的铁输送提供了机会。在这里我们发现，在过去的 135 ka 中，在冰盖退缩或前进的间隔期间，向叶尔马克高原的脉冲活性铁输出至少发生了 5 次。富铁层保留了高含量的活性铁相，其中一些在沉积时可能是生物可利用的。斯瓦尔巴群岛的冰川铁可能直接通过融水羽流输送，或者通过沉积在峡湾和陆架沉积物中的铁的再流动输送。在这些事件期间，活性铁被输送到近海数百公里处，这表明现代环境中冰盖的不稳定性可能会扰乱高纬度的营养循环。</w:t>
      </w:r>
    </w:p>
    <w:p>
      <w:pPr>
        <w:spacing w:before="0" w:after="200" w:lineRule="auto" w:line="276"/>
      </w:pPr>
      <w:r>
        <w:rPr>
          <w:b/>
        </w:rPr>
        <w:t xml:space="preserve">Abstract (EN): </w:t>
      </w:r>
      <w:r>
        <w:t>Iron (Fe) plays a key role in marine environments as a bio-limiting nutrient and a control on sedimentary burial of carbon and other nutrients. Sensitive glacial systems provide an important delivery mechanism for Fe to the ocean, but it is unknown how these glacial sources will change as ice retreats. Sedimentary records from the Yermak Plateau, proximal to the Svalbard-Barents Ice Sheet provide an opportunity to investigate how past glacial instability may have affected bioavailable iron delivery. Here we find that over the past 135 ka, pulsed reactive Fe export to the Yermak Plateau occurred at least 5 times, during intervals of ice sheet retreat or advance. Fe-rich layers preserve high contents of reactive Fe phases, some of which were likely bioavailable at the time of deposition. Glacial Fe from Svalbard may have been delivered either directly by meltwater plumes or through remobilization of Fe deposited in fjord and shelf sediments. The delivery of reactive Fe hundreds of kilometers offshore during these events indicates that ice sheet instability in modern settings could perturb high latitude nutrient cycles.</w:t>
      </w:r>
    </w:p>
    <w:p>
      <w:pPr>
        <w:spacing w:before="120" w:after="120"/>
      </w:pPr>
      <w:r>
        <w:rPr>
          <w:sz w:val="18"/>
        </w:rPr>
        <w:t>——————————————————————————————————————————————————————————————————————</w:t>
      </w:r>
    </w:p>
    <w:p>
      <w:pPr>
        <w:spacing w:before="160" w:after="40" w:line="240" w:lineRule="auto"/>
      </w:pPr>
      <w:r>
        <w:rPr>
          <w:b/>
        </w:rPr>
        <w:t xml:space="preserve">[366] </w:t>
      </w:r>
      <w:hyperlink r:id="rId847">
        <w:r>
          <w:rPr>
            <w:color w:val="1155CC"/>
            <w:u w:val="single"/>
          </w:rPr>
          <w:t>中亚旧石器时代早期卡拉陶文化的绝对年代学</w:t>
        </w:r>
      </w:hyperlink>
    </w:p>
    <w:p>
      <w:pPr>
        <w:spacing w:before="0" w:after="80"/>
      </w:pPr>
      <w:r>
        <w:rPr>
          <w:i/>
          <w:sz w:val="20"/>
        </w:rPr>
        <w:t>EN: Absolute chronology of the Early Palaeolithic Karatau Culture in Central Asia</w:t>
      </w:r>
    </w:p>
    <w:p>
      <w:pPr>
        <w:spacing w:before="0" w:after="120"/>
      </w:pPr>
      <w:r>
        <w:rPr>
          <w:b/>
        </w:rPr>
        <w:t xml:space="preserve">Source: </w:t>
      </w:r>
      <w:r>
        <w:t>Biological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中亚是我们了解早期人类扩散模式的关键地区，因为它是连接黎凡特和南高加索与东北亚的移民走廊。然而，中亚的早期旧石器时代遗址没有可靠的年龄限制，包括塔吉克斯坦厚厚的黄土-古土壤部分，记录了早期人类活动和多个冰期-间冰期周期的环境变化。目前，缺乏绝对年龄限制是限制我们了解该地区早期人类占领历史的一个关键因素。在这里，我们为旧石器时代早期卡拉陶文化提供了全面的描述和绝对的年代框架；塔吉克斯坦霍瓦林黄土高原的古土壤中发现了丰富的石器组合。通过对Khovaling黄土高原的三个黄土-古土壤剖面进行多方法分析，将发光年龄、宇宙成因26Al-10Be浓度和磁性地层边界结合成概率反年龄-深度模型，提供了年龄约束。该模型显示，卡拉陶文化随着海洋同位素第 15 阶段的开始而繁荣，在海洋同位素第 13 和第 11 阶段开始时蓬勃发展，但在海洋同位素第 10 阶段开始时消失。我们将考古活动置于当地和区域生态环境中，以更好地了解中亚更新世人类迁徙的驱动因素。</w:t>
      </w:r>
    </w:p>
    <w:p>
      <w:pPr>
        <w:spacing w:before="0" w:after="200" w:lineRule="auto" w:line="276"/>
      </w:pPr>
      <w:r>
        <w:rPr>
          <w:b/>
        </w:rPr>
        <w:t xml:space="preserve">Abstract (EN): </w:t>
      </w:r>
      <w:r>
        <w:t>Central Asia represents a key region for our understanding of early human dispersal patterns, because it served as a migration corridor that linked the Levant and southern Caucasus with Northeast Asia. However, no Early Palaeolithic sites in Central Asia are anchored with reliable age constraints, including the thick loess-palaeosol sections in Tajikistan that recorded early human activities and environmental changes over multiple glacial-interglacial cycles. This lack of absolute age constraints is presently a key factor limiting our understanding of the early human occupation history of this region. Here, we provide a comprehensive description and an absolute chronological framework for the Early Palaeolithic Karatau Culture; defined by the rich lithic assemblages found in palaeosols in the Khovaling Loess Plateau, Tajikistan. Age constraints are provided through multi-method analysis of three loess-palaeosol sections in the Khovaling Loess Plateau, combining luminescence ages, cosmogenic 26Al-10Be concentrations, and magnetostratigraphic boundaries into a probabilistic inverse age-depth model. This model shows that the Karatau Culture flourished with the onset of Marine Isotope Stage 15, thrived during Marine Isotope Stage 13 and 11, but disappeared around onset of Marine Isotope Stage 10. We frame the archaeological occupations within local and regional ecological settings to better understand the drivers of Pleistocene human migrations in Central Asia.</w:t>
      </w:r>
    </w:p>
    <w:p>
      <w:pPr>
        <w:spacing w:before="120" w:after="120"/>
      </w:pPr>
      <w:r>
        <w:rPr>
          <w:sz w:val="18"/>
        </w:rPr>
        <w:t>——————————————————————————————————————————————————————————————————————</w:t>
      </w:r>
    </w:p>
    <w:p>
      <w:pPr>
        <w:spacing w:before="160" w:after="40" w:line="240" w:lineRule="auto"/>
      </w:pPr>
      <w:r>
        <w:rPr>
          <w:b/>
        </w:rPr>
        <w:t xml:space="preserve">[367] </w:t>
      </w:r>
      <w:hyperlink r:id="rId848">
        <w:r>
          <w:rPr>
            <w:color w:val="1155CC"/>
            <w:u w:val="single"/>
          </w:rPr>
          <w:t>缩酚肽 HDAC 抑制剂组合生物合成的分子基础</w:t>
        </w:r>
      </w:hyperlink>
    </w:p>
    <w:p>
      <w:pPr>
        <w:spacing w:before="0" w:after="80"/>
      </w:pPr>
      <w:r>
        <w:rPr>
          <w:i/>
          <w:sz w:val="20"/>
        </w:rPr>
        <w:t>EN: Molecular basis for depsipeptide HDAC inhibitor combinatorial biosynthesis</w:t>
      </w:r>
    </w:p>
    <w:p>
      <w:pPr>
        <w:spacing w:before="0" w:after="120"/>
      </w:pPr>
      <w:r>
        <w:rPr>
          <w:b/>
        </w:rPr>
        <w:t xml:space="preserve">Source: </w:t>
      </w:r>
      <w:r>
        <w:t>Biological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聚酮化合物和非核糖体肽是重要的天然产物类别，具有广泛的医学和农业应用。细菌模块化聚酮合酶（PKS）和非核糖体肽合成酶（NRPS）采用类似的酶逻辑，能够组装混合产品。一组重要的聚酮化合物-非核糖体肽杂合体的例子是 HDAC 靶向药物罗米地辛。该基团通过组合生物合成组装而成，涉及保守的 Zn2+ 结合药效团与可变的基于肽的帽的融合。在这里，我们使用基因邻近搜索来识别绿针假单胞菌亚种中的 FR-901375 生物合成基因簇。 piscium DSM 21509。将该基因簇编码的 PKS-NRPS 与那些组装相关缩酚肽 HDAC 抑制剂的比较表明，一种不寻常的亚基对接方式能够实现保守药效团和可变帽生物合成机器之间的相互作用。该假设通过串扰测定、诱变、AlphaFold 预测和卡宾足迹法得到验证，为杂合聚酮化合物-非核糖体肽组合生物合成机制的演变提供了深入的见解。</w:t>
      </w:r>
    </w:p>
    <w:p>
      <w:pPr>
        <w:spacing w:before="0" w:after="200" w:lineRule="auto" w:line="276"/>
      </w:pPr>
      <w:r>
        <w:rPr>
          <w:b/>
        </w:rPr>
        <w:t xml:space="preserve">Abstract (EN): </w:t>
      </w:r>
      <w:r>
        <w:t>Polyketides and nonribosomal peptides are important natural product classes with wide-ranging medical and agricultural applications. The analogous enzymatic logic employed by bacterial modular polyketide synthases (PKSs) and nonribosomal peptide synthetases (NRPSs) enables the assembly of hybrid products. One important group of polyketide-nonribosomal peptide hybrids is exemplified by the HDAC-targeting drug romidepsin. This group is assembled by combinatorial biosynthesis involving fusion of a conserved Zn2+-binding pharmacophore to a variable peptide-based cap. Here, we use gene proximity searching to identify the FR-901375 biosynthetic gene cluster in Pseudomonas chlororaphis subsp. piscium DSM 21509. Comparison of the PKS-NRPS encoded by this gene cluster with those assembling related depsipeptide HDAC inhibitors suggests an unusual subunit docking modality enables interaction between the conserved pharmacophore and variable cap biosynthetic machineries. This hypothesis is validated using crosstalk assays, mutagenesis, AlphaFold predictions, and carbene footprinting, providing insight into the evolution of mechanisms for hybrid polyketide-nonribosomal peptide combinatorial biosynthesis.</w:t>
      </w:r>
    </w:p>
    <w:p>
      <w:pPr>
        <w:spacing w:before="120" w:after="120"/>
      </w:pPr>
      <w:r>
        <w:rPr>
          <w:sz w:val="18"/>
        </w:rPr>
        <w:t>——————————————————————————————————————————————————————————————————————</w:t>
      </w:r>
    </w:p>
    <w:p>
      <w:pPr>
        <w:spacing w:before="160" w:after="40" w:line="240" w:lineRule="auto"/>
      </w:pPr>
      <w:r>
        <w:rPr>
          <w:b/>
        </w:rPr>
        <w:t xml:space="preserve">[368] </w:t>
      </w:r>
      <w:hyperlink r:id="rId849">
        <w:r>
          <w:rPr>
            <w:color w:val="1155CC"/>
            <w:u w:val="single"/>
          </w:rPr>
          <w:t>便携式实时 3D 超声，无需操作员即可进行乳腺成像</w:t>
        </w:r>
      </w:hyperlink>
    </w:p>
    <w:p>
      <w:pPr>
        <w:spacing w:before="0" w:after="80"/>
      </w:pPr>
      <w:r>
        <w:rPr>
          <w:i/>
          <w:sz w:val="20"/>
        </w:rPr>
        <w:t>EN: Portable, real-time 3D ultrasound for operator-independent breast imaging</w:t>
      </w:r>
    </w:p>
    <w:p>
      <w:pPr>
        <w:spacing w:before="0" w:after="120"/>
      </w:pPr>
      <w:r>
        <w:rPr>
          <w:b/>
        </w:rPr>
        <w:t xml:space="preserve">Source: </w:t>
      </w:r>
      <w:r>
        <w:t>Biological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乳腺癌筛查和纵向监测需要便携式、独立于操作员且适合频繁使用的成像技术，而乳房X线照相术或传统超声无法完全满足这一能力。我们提出了一种用于实时检查的三维 (3D) 便携式超声系统 (3D PURE)，通过换能器设计、声学材料和自适应波束形成方面的进步，克服了体积乳腺成像的关键限制。盒式阵列设计采用角间隙偏移几何结构，可抑制峰值串扰（最角元件处的峰值串扰为 3.73 dB），防止前置放大器饱和，并支持更高的发射电压（高达 24 V）。定制的可流动背衬层（阻抗 6.12 MRayl；衰减 7.56 dB mm−1 MHz−1）集成在脆弱的焊线周围，将整个阵列的元件间串扰减少约 4.5 dB，并将轴向和横向/仰角分辨率分别提高约 200 µm 和约 70 µm。分层像差校正重建 (LACR) 是一种自适应 3D 波束形成器，可补偿乳房中的异质声速 (SoS)，在 5 厘米深度处将深度定位误差平均减少 2 毫米，像差散焦平均减少 70 微米。一项体外研究中的 10 名参与者中有 9 名表明，相对于传统 2D 系统，3D PURE 提高了微目标检测效率 (p = 0.0215)，类似于微钙化的检测。这些结果与各种表型的体内成像验证相结合，凸显了 3D PURE 在可靠乳腺成像方面的潜力。此外，视觉引导补偿</w:t>
      </w:r>
    </w:p>
    <w:p>
      <w:pPr>
        <w:spacing w:before="0" w:after="200" w:lineRule="auto" w:line="276"/>
      </w:pPr>
      <w:r>
        <w:rPr>
          <w:b/>
        </w:rPr>
        <w:t xml:space="preserve">Abstract (EN): </w:t>
      </w:r>
      <w:r>
        <w:t>Breast cancer screening and longitudinal monitoring require imaging technologies that are portable, operator-independent, and suitable for frequent use, a capability not fully met by mammography or conventional ultrasound. We present a three-dimensional (3D) portable ultrasound system for real-time examination (3D PURE) that overcomes key limitations in volumetric breast imaging through advances in transducer design, acoustic materials, and adaptive beamforming. A box-array design incorporating a corner-gap offset geometry suppresses peak crosstalk (by 3.73 dB at the corner-most element), prevents preamplifier saturation, and supports higher transmit voltages (up to 24 V). A custom flowable backing layer (impedance 6.12 MRayl; attenuation 7.56 dB mm−1 MHz−1) integrates around fragile wirebonds, reduces inter-element crosstalk by ~4.5 dB throughout the array, and improves axial and lateral/elevational resolutions by ~200 µm and ~70 µm, respectively. Layered Aberration-Correction Reconstruction (LACR), an adaptive 3D beamformer, compensates for heterogeneous speed-of-sound (SoS) in the breast, reducing depth localization error by 2 mm and aberration defocusing by 70 µm on average at a 5 cm depth. Nine of the ten participants in an in vitro study showed improved microtarget detection efficiency with 3D PURE relative to a conventional 2D system (p = 0.0215), analogous to detection of microcalcifications. These results, combined with in vivo imaging validation of various phenotypes, highlight the potential of 3D PURE for reliable breast imaging. Furthermore, a vision-guided computer interface, MyFUS, ensures self-guided, user-friendly, and operator-independent probe positioning for longitudinal monitoring.</w:t>
      </w:r>
    </w:p>
    <w:p>
      <w:pPr>
        <w:spacing w:before="120" w:after="120"/>
      </w:pPr>
      <w:r>
        <w:rPr>
          <w:sz w:val="18"/>
        </w:rPr>
        <w:t>——————————————————————————————————————————————————————————————————————</w:t>
      </w:r>
    </w:p>
    <w:p>
      <w:pPr>
        <w:spacing w:before="160" w:after="40" w:line="240" w:lineRule="auto"/>
      </w:pPr>
      <w:r>
        <w:rPr>
          <w:b/>
        </w:rPr>
        <w:t xml:space="preserve">[369] </w:t>
      </w:r>
      <w:hyperlink r:id="rId850">
        <w:r>
          <w:rPr>
            <w:color w:val="1155CC"/>
            <w:u w:val="single"/>
          </w:rPr>
          <w:t>苏云金芽孢杆菌Vpb4独立孔功能的结构基础</w:t>
        </w:r>
      </w:hyperlink>
    </w:p>
    <w:p>
      <w:pPr>
        <w:spacing w:before="0" w:after="80"/>
      </w:pPr>
      <w:r>
        <w:rPr>
          <w:i/>
          <w:sz w:val="20"/>
        </w:rPr>
        <w:t>EN: Structural basis for independent pore function of Vpb4 from Bacillus thuringiensis</w:t>
      </w:r>
    </w:p>
    <w:p>
      <w:pPr>
        <w:spacing w:before="0" w:after="120"/>
      </w:pPr>
      <w:r>
        <w:rPr>
          <w:b/>
        </w:rPr>
        <w:t xml:space="preserve">Source: </w:t>
      </w:r>
      <w:r>
        <w:t>Biological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Bacterial_Exotoxin_B 家族由易位成孔蛋白组成，在二元 AB 毒素机制中充当结合 (B) 成分。虽然该家族的双组分系统在特征明确的成员中是一致的，但来自昆虫病原性苏云金芽孢杆菌的单组分 Vpb4 亚类挑战了这一教条。在这里，通过单粒子冷冻电子显微镜，我们以 2.2 Å 的分辨率阐明了 Vpb4 成员 Vpb4Aa2 的插入孔结构。该结构揭示了与其他家族成员的显着特征：缺少分子瓶颈和带中性电荷的β-桶。因此，初步的电生理学研究表明，与原型家族成员 PA 相比，Vpb4Aa2 的离子通量更大。通过我们的发现，结构引导的数据库搜索可以识别假定的 Vpb4 样蛋白，这表明在更大的家族中存在更广泛的单组分蛋白类别。这提供了对独立孔隙和易位孔隙之间差异的机械理解，对农业行业筛选和识别未来害虫防治候选物具有影响。</w:t>
      </w:r>
    </w:p>
    <w:p>
      <w:pPr>
        <w:spacing w:before="0" w:after="200" w:lineRule="auto" w:line="276"/>
      </w:pPr>
      <w:r>
        <w:rPr>
          <w:b/>
        </w:rPr>
        <w:t xml:space="preserve">Abstract (EN): </w:t>
      </w:r>
      <w:r>
        <w:t>The Bacterial_Exotoxin_B family constitutes translocating pore-forming proteins that function as the binding (B) component in the binary AB Toxin mechanism. While the two-component system of the family is consistent among well-characterised members, the single-component Vpb4 subclass from entomopathogenic Bacillus thuringiensis challenges this dogma. Here, through single-particle cryo-electron microscopy, we elucidate the inserted pore structure of a Vpb4 member, Vpb4Aa2, at 2.2 Å resolution. The structure reveals distinguishing features from other family members: missing molecular bottleneck and neutrally charged β-barrel. Accordingly, preliminary electrophysiology studies show greater ion flux by Vpb4Aa2 compared to archetypal family member, PA. Through our findings, structure-guided database search allows identification of putative Vpb4-like proteins, which suggest a broader class of single-component proteins within the larger family. This provides mechanistic understanding of the differences between independent pores and translocating pores, with implications in the agricultural industry for screening and identification of future pest control candidates.</w:t>
      </w:r>
    </w:p>
    <w:p>
      <w:pPr>
        <w:spacing w:before="120" w:after="120"/>
      </w:pPr>
      <w:r>
        <w:rPr>
          <w:sz w:val="18"/>
        </w:rPr>
        <w:t>——————————————————————————————————————————————————————————————————————</w:t>
      </w:r>
    </w:p>
    <w:p>
      <w:pPr>
        <w:spacing w:before="160" w:after="40" w:line="240" w:lineRule="auto"/>
      </w:pPr>
      <w:r>
        <w:rPr>
          <w:b/>
        </w:rPr>
        <w:t xml:space="preserve">[370] </w:t>
      </w:r>
      <w:hyperlink r:id="rId851">
        <w:r>
          <w:rPr>
            <w:color w:val="1155CC"/>
            <w:u w:val="single"/>
          </w:rPr>
          <w:t>双孔通道 2 控制钙调蛋白依赖性 STIM1 失活</w:t>
        </w:r>
      </w:hyperlink>
    </w:p>
    <w:p>
      <w:pPr>
        <w:spacing w:before="0" w:after="80"/>
      </w:pPr>
      <w:r>
        <w:rPr>
          <w:i/>
          <w:sz w:val="20"/>
        </w:rPr>
        <w:t>EN: Two-pore channel-2 controls calmodulin-dependent STIM1 inactivation</w:t>
      </w:r>
    </w:p>
    <w:p>
      <w:pPr>
        <w:spacing w:before="0" w:after="120"/>
      </w:pPr>
      <w:r>
        <w:rPr>
          <w:b/>
        </w:rPr>
        <w:t xml:space="preserve">Source: </w:t>
      </w:r>
      <w:r>
        <w:t>Biological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溶酶体双孔通道 (TPC) 触发内质网 (ER) 释放 Ca2+。随后的 ER Ca2+ 耗竭会激活 STIM1 门控 Ca2+ 进入 (SOCE) 通道，维持调节基本细胞过程的 Ca2+ 信号。 TPC 通道和 STIM1 如何整合不同的细胞内和细胞外信号尚不清楚。在这里，我们发现 TPC2 激活通过强制 STIM-Orai 激活区 (SOAR) 快速且持续的 Ca2+-CaM 依赖性失活来抑制 SOCE。 TPC2 激活剂 NAADP 和 TPC2-A1-N 消除了多种细胞系中的 SOCE，并增强了 STIM1 门控 Orai1 通道的缓慢 Ca2+ 依赖性失活 (SCDI)。 TPC2 的参与触发了溶酶体 Ca2+ 释放并动员了 ER Ca2+ 储备，但阻止了毒胡萝卜素将 RFP-STIM1 招募到 TIRF 平面，并在储备耗尽后形成分解的 RFP-STIM1 簇，从而防止并急剧逆转 SOCE。这些效应在 SOAR 后截短的 STIM1 突变体中持续存在，并被 TPC2 遗传或药理学失效、钙调蛋白 (CaM) 抑制和胞质 Ca2+ 螯合所阻止。我们得出结论，溶酶体上 TPC2 通道释放的 Ca2+ 离子调节 CaM 依赖性 STIM1 失活。</w:t>
      </w:r>
    </w:p>
    <w:p>
      <w:pPr>
        <w:spacing w:before="0" w:after="200" w:lineRule="auto" w:line="276"/>
      </w:pPr>
      <w:r>
        <w:rPr>
          <w:b/>
        </w:rPr>
        <w:t xml:space="preserve">Abstract (EN): </w:t>
      </w:r>
      <w:r>
        <w:t>Lysosomal two-pore channels (TPC) trigger Ca2+ release from the endoplasmic reticulum (ER). The ensuing ER Ca2+ depletion activates STIM1-gated store-operated Ca2+ entry (SOCE) channels that sustain Ca2+ signals regulating fundamental cellular processes. How TPC channels and STIM1 integrate distinct intra and extracellular cues is unclear. Here, we show that TPC2 activation inhibits SOCE by enforcing rapid and persistent Ca2+-CaM-dependent inactivation of the STIM-Orai activating region (SOAR). The TPC2 activators NAADP and TPC2-A1-N abrogated SOCE in multiple cell lines and enhanced the slow Ca2+ dependent inactivation (SCDI) of STIM1-gated Orai1 channels. TPC2 engagement triggered lysosomal Ca2+ release and mobilized ER Ca2+ stores but prevented RFP-STIM1 recruitment to the TIRF plane by thapsigargin and disassembled RFP-STIM1 clusters forming after store depletion, preventing and acutely reversing SOCE. These effects persisted in STIM1 mutants truncated after the SOAR and were prevented by TPC2 genetic or pharmacological invalidation, Calmodulin (CaM) inhibition, and cytosolic Ca2+ chelation. We conclude that Ca2+ ions released by TPC2 channels on lysosomes regulate CaM-dependent STIM1 inactivation.</w:t>
      </w:r>
    </w:p>
    <w:p>
      <w:pPr>
        <w:spacing w:before="120" w:after="120"/>
      </w:pPr>
      <w:r>
        <w:rPr>
          <w:sz w:val="18"/>
        </w:rPr>
        <w:t>——————————————————————————————————————————————————————————————————————</w:t>
      </w:r>
    </w:p>
    <w:p>
      <w:pPr>
        <w:spacing w:before="160" w:after="40" w:line="240" w:lineRule="auto"/>
      </w:pPr>
      <w:r>
        <w:rPr>
          <w:b/>
        </w:rPr>
        <w:t xml:space="preserve">[371] </w:t>
      </w:r>
      <w:hyperlink r:id="rId852">
        <w:r>
          <w:rPr>
            <w:color w:val="1155CC"/>
            <w:u w:val="single"/>
          </w:rPr>
          <w:t>EHMT2 新生变异通过 G9a 甲基转移酶活性丧失导致常染色体显性 EHMT2 相关 Kleefstra 综合征</w:t>
        </w:r>
      </w:hyperlink>
    </w:p>
    <w:p>
      <w:pPr>
        <w:spacing w:before="0" w:after="80"/>
      </w:pPr>
      <w:r>
        <w:rPr>
          <w:i/>
          <w:sz w:val="20"/>
        </w:rPr>
        <w:t>EN: De novo EHMT2 variants cause an autosomal dominant EHMT2-related Kleefstra syndrome via loss of G9a methyltransferase activity</w:t>
      </w:r>
    </w:p>
    <w:p>
      <w:pPr>
        <w:spacing w:before="0" w:after="120"/>
      </w:pPr>
      <w:r>
        <w:rPr>
          <w:b/>
        </w:rPr>
        <w:t xml:space="preserve">Source: </w:t>
      </w:r>
      <w:r>
        <w:t>Biological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EHMT1 和 EHMT2 基因编码人常染色质组蛋白赖氨酸甲基转移酶 1 和 2（EHMT1 别名 GLP；EHMT2 别名 G9a），形成异聚 GLP/G9a 复合物，在基因表达的表观遗传调控中发挥重要作用。虽然 EHMT1 单倍体不足已被确定为 Kleefstra 综合征 1 的病因，但人类疾病中 G9a 功能障碍的发病机制仍然很大程度上未知。我们在临床表现、表观特征、组蛋白修饰和转录组谱与 Kleefstra 综合征 1 相似的患者中发现了 7 个从头的 EHMT2 变异。体外研究表明，这些变异编码结构稳定的 G9a 蛋白，由于与组蛋白 H3 尾部或与 S-腺苷甲硫氨酸的异常相互作用，这些蛋白催化能力不强。携带患者来源变异的杂合小鼠表现出生长迟缓、面部/头骨畸形和异常行为。在这里，我们报告了致病性 EHMT2 变异，可能对 GLP/G9a 复合物产生显性失活作用，从而通过独特的分子机制对 EHMT1 单倍体不足进行基因复制，定义了常染色体显性 EHMT2 相关的 Kleefstra 综合征。</w:t>
      </w:r>
    </w:p>
    <w:p>
      <w:pPr>
        <w:spacing w:before="0" w:after="200" w:lineRule="auto" w:line="276"/>
      </w:pPr>
      <w:r>
        <w:rPr>
          <w:b/>
        </w:rPr>
        <w:t xml:space="preserve">Abstract (EN): </w:t>
      </w:r>
      <w:r>
        <w:t>EHMT1 and EHMT2 genes encode human euchromatin histone lysine methyltransferase 1 and 2 (EHMT1 alias GLP; EHMT2 alias G9a) that form heteromeric GLP/G9a complexes with essential roles in epigenetic regulation of gene expression. While EHMT1 haploinsufficiency has been established as the cause of Kleefstra syndrome 1, the pathogenesis of G9a dysfunction in human disease remains largely unknown. We identified seven de novo EHMT2 variants in patients with clinical presentation, episignatures, histone modifications and transcriptomic profiles similar to those of Kleefstra syndrome 1. In vitro studies reveal that these variants encode for structurally stable G9a proteins that are catalytically incompetent due to aberrant interactions either with histone H3 tail or with S-adenosylmethionine. Heterozygous mice carrying a patient-derived variant exhibit growth retardation, facial/skull dysmorphia and aberrant behavior. Here we report pathogenic EHMT2 variants that likely exert dominant-negative effect on GLP/G9a complexes and thus genocopy the EHMT1 haploinsufficiency via a distinct molecular mechanism, defining an autosomal dominant EHMT2-related Kleefstra syndrome.</w:t>
      </w:r>
    </w:p>
    <w:p>
      <w:pPr>
        <w:spacing w:before="120" w:after="120"/>
      </w:pPr>
      <w:r>
        <w:rPr>
          <w:sz w:val="18"/>
        </w:rPr>
        <w:t>——————————————————————————————————————————————————————————————————————</w:t>
      </w:r>
    </w:p>
    <w:p>
      <w:pPr>
        <w:spacing w:before="160" w:after="40" w:line="240" w:lineRule="auto"/>
      </w:pPr>
      <w:r>
        <w:rPr>
          <w:b/>
        </w:rPr>
        <w:t xml:space="preserve">[372] </w:t>
      </w:r>
      <w:hyperlink r:id="rId853">
        <w:r>
          <w:rPr>
            <w:color w:val="1155CC"/>
            <w:u w:val="single"/>
          </w:rPr>
          <w:t>顺序 MAP 激酶级联调节机械信号传导</w:t>
        </w:r>
      </w:hyperlink>
    </w:p>
    <w:p>
      <w:pPr>
        <w:spacing w:before="0" w:after="80"/>
      </w:pPr>
      <w:r>
        <w:rPr>
          <w:i/>
          <w:sz w:val="20"/>
        </w:rPr>
        <w:t>EN: A sequential MAP kinase cascade regulates mechanical signalling</w:t>
      </w:r>
    </w:p>
    <w:p>
      <w:pPr>
        <w:spacing w:before="0" w:after="120"/>
      </w:pPr>
      <w:r>
        <w:rPr>
          <w:b/>
        </w:rPr>
        <w:t xml:space="preserve">Source: </w:t>
      </w:r>
      <w:r>
        <w:t>Biological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植物会对风、触摸或伤害等机械刺激做出反应，以保护其发育和生存。 26 年前就报道了机械刺激激活丝裂原激活蛋白激酶 (MAPK)，但其上游调控机制和功能仍然未知。我们报告说，机械刺激会在 60 秒内激活 MAPKKK3/4/5-MKK4/5-MPK3/6 级联，从而诱导约 800 个基因，涵盖大部分早期触摸反应。大多数基因与 CAMTA1/2/3 调控的触摸响应基因重叠，揭示了 MAPK 和 CAMTA 转录因子之间的相互作用。此外，MKK4/5 的缺失会导致触摸调节蛋白磷酸化的整体受损，这表明它们是重要的调节因子。相比之下，磷酸化不会明显影响触摸诱导的茉莉酸（JA）信号通路的早期激活，JA 的丢失也不会影响整个早期触摸磷酸化蛋白质组。最后，MAPKKK3/4/5 和 MKK4/5 的缺失会减少Thigmomorphogenesis，强调了已确定的 MAPK 级联对于在胁迫期间指导植物生长的重要性。总之，我们现已确定 MAPKKK3/4/5-MKK4/5-MPK3/6 级联是植物中关键的触摸和伤害信号通路。</w:t>
      </w:r>
    </w:p>
    <w:p>
      <w:pPr>
        <w:spacing w:before="0" w:after="200" w:lineRule="auto" w:line="276"/>
      </w:pPr>
      <w:r>
        <w:rPr>
          <w:b/>
        </w:rPr>
        <w:t xml:space="preserve">Abstract (EN): </w:t>
      </w:r>
      <w:r>
        <w:t>Plants respond to mechanical stimulations like wind, touching or wounding to safeguard their development and survival. Mitogen Activated Protein Kinases (MAPKs) activation by mechanostimuli was reported 26 years ago, but the upstream regulatory mechanism and function remained unknown. We report that mechanostimulation activates a MAPKKK3/4/5-MKK4/5-MPK3/6 cascade within 60 seconds, leading to induction of ~800 genes, encompassing most of the early touch response. Most genes overlap with touch-responsive genes regulated by CAMTA1/2/3, exposing an interplay between MAPKs and CAMTA transcription factors. Furthermore, loss of MKK4/5 leads to global impairment of touch-regulated protein phosphorylation, demonstrating they are crucial regulators. In contrast, phosphorylation does not clearly affect early activation of the touch-induced jasmonic acid (JA) signalling pathway, nor does loss of JA affect the overall early touch-phosphoproteome. Lastly, loss of MAPKKK3/4/5 and MKK4/5 reduces thigmomorphogenesis, underlining the importance of the identified MAPK cascade for steering plant growth during stress. In summary, we have now identified a MAPKKK3/4/5-MKK4/5-MPK3/6 cascade as a key touch- and wounding signalling pathway in plants.</w:t>
      </w:r>
    </w:p>
    <w:p>
      <w:pPr>
        <w:spacing w:before="120" w:after="120"/>
      </w:pPr>
      <w:r>
        <w:rPr>
          <w:sz w:val="18"/>
        </w:rPr>
        <w:t>——————————————————————————————————————————————————————————————————————</w:t>
      </w:r>
    </w:p>
    <w:p>
      <w:pPr>
        <w:spacing w:before="160" w:after="40" w:line="240" w:lineRule="auto"/>
      </w:pPr>
      <w:r>
        <w:rPr>
          <w:b/>
        </w:rPr>
        <w:t xml:space="preserve">[373] </w:t>
      </w:r>
      <w:hyperlink r:id="rId854">
        <w:r>
          <w:rPr>
            <w:color w:val="1155CC"/>
            <w:u w:val="single"/>
          </w:rPr>
          <w:t>科学家应该认识到自己的政治偏见，以建立公众信任</w:t>
        </w:r>
      </w:hyperlink>
    </w:p>
    <w:p>
      <w:pPr>
        <w:spacing w:before="0" w:after="80"/>
      </w:pPr>
      <w:r>
        <w:rPr>
          <w:i/>
          <w:sz w:val="20"/>
        </w:rPr>
        <w:t>EN: Scientists should recognize their own political biases to build public trust</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855">
        <w:r>
          <w:rPr>
            <w:color w:val="1155CC"/>
            <w:u w:val="single"/>
          </w:rPr>
          <w:t>10.1038/d41586-026-01975-x</w:t>
        </w:r>
      </w:hyperlink>
    </w:p>
    <w:p>
      <w:pPr>
        <w:spacing w:before="0" w:after="120"/>
      </w:pPr>
      <w:r>
        <w:rPr>
          <w:b/>
        </w:rPr>
        <w:t xml:space="preserve">Notes: </w:t>
      </w:r>
      <w:r>
        <w:t>abstract_source=nature_html</w:t>
      </w:r>
    </w:p>
    <w:p>
      <w:pPr>
        <w:spacing w:before="0" w:after="80" w:lineRule="auto" w:line="276"/>
      </w:pPr>
      <w:r>
        <w:rPr>
          <w:b/>
        </w:rPr>
        <w:t xml:space="preserve">摘要（ZH）: </w:t>
      </w:r>
      <w:r>
        <w:t>公众对科学的信任不能靠意识形态范围一端的狭隘选民的支持来维持。公众对科学的信任不能靠意识形态范围一端的狭隘选民的支持来维持。</w:t>
      </w:r>
    </w:p>
    <w:p>
      <w:pPr>
        <w:spacing w:before="0" w:after="200" w:lineRule="auto" w:line="276"/>
      </w:pPr>
      <w:r>
        <w:rPr>
          <w:b/>
        </w:rPr>
        <w:t xml:space="preserve">Abstract (EN): </w:t>
      </w:r>
      <w:r>
        <w:t>Public trust in science can’t be sustained by the support of narrow constituencies at one end of an ideological spectrum. Public trust in science can’t be sustained by the support of narrow constituencies at one end of an ideological spectrum.</w:t>
      </w:r>
    </w:p>
    <w:p>
      <w:pPr>
        <w:spacing w:before="120" w:after="120"/>
      </w:pPr>
      <w:r>
        <w:rPr>
          <w:sz w:val="18"/>
        </w:rPr>
        <w:t>——————————————————————————————————————————————————————————————————————</w:t>
      </w:r>
    </w:p>
    <w:p>
      <w:pPr>
        <w:spacing w:before="160" w:after="40" w:line="240" w:lineRule="auto"/>
      </w:pPr>
      <w:r>
        <w:rPr>
          <w:b/>
        </w:rPr>
        <w:t xml:space="preserve">[374] </w:t>
      </w:r>
      <w:hyperlink r:id="rId856">
        <w:r>
          <w:rPr>
            <w:color w:val="1155CC"/>
            <w:u w:val="single"/>
          </w:rPr>
          <w:t>RNF2介导H2A泛素化，通过抑制小鼠单核细胞-巨噬细胞转变促进结肠炎</w:t>
        </w:r>
      </w:hyperlink>
    </w:p>
    <w:p>
      <w:pPr>
        <w:spacing w:before="0" w:after="80"/>
      </w:pPr>
      <w:r>
        <w:rPr>
          <w:i/>
          <w:sz w:val="20"/>
        </w:rPr>
        <w:t>EN: RNF2 mediates H2A ubiquitination to promote colitis via suppressing monocyte-macrophage transition in mice</w:t>
      </w:r>
    </w:p>
    <w:p>
      <w:pPr>
        <w:spacing w:before="0" w:after="120"/>
      </w:pPr>
      <w:r>
        <w:rPr>
          <w:b/>
        </w:rPr>
        <w:t xml:space="preserve">Source: </w:t>
      </w:r>
      <w:r>
        <w:t>Biological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单核细胞-巨噬细胞转变在炎症性肠病中失调。虽然多梳抑制复合物对于维持细胞特性至关重要，但它们在结肠炎中的具体作用尚不清楚。在这里，我们发现环指蛋白 2（多梳抑制复合物 1 的核心催化亚基）在结肠炎期间调节单核细胞-巨噬细胞转变。在溃疡性结肠炎期间，它在未成熟结肠和循环单核细胞中高度表达。患有骨髓特异性缺陷的小鼠表现出实验性结肠炎减弱，恢复单核细胞/巨噬细胞平衡，并提高抗肿瘤坏死因子α功效。从机制上讲，环指蛋白 2 通过组蛋白 H2A 赖氨酸 119 单泛素化抑制 Runt 相关转录因子 3 的表达。这破坏了对免疫球蛋白 kappa J 区（Notch 通路的中心激活剂）重组信号结合蛋白的抑制，从而加剧炎症。轴的沉默显着抑制促炎反应，调节单核细胞-巨噬细胞转变。这些发现表明，无名指蛋白 2 会破坏结肠炎期间的单核细胞-巨噬细胞转变，为结肠炎治疗提供了见解。</w:t>
      </w:r>
    </w:p>
    <w:p>
      <w:pPr>
        <w:spacing w:before="0" w:after="200" w:lineRule="auto" w:line="276"/>
      </w:pPr>
      <w:r>
        <w:rPr>
          <w:b/>
        </w:rPr>
        <w:t xml:space="preserve">Abstract (EN): </w:t>
      </w:r>
      <w:r>
        <w:t>Monocyte-macrophage transition is dysregulated in inflammatory bowel disease. While polycomb repressive complexes are crucial for maintaining cellular identity, their specific roles in colitis are poorly defined. Here, we show that Ring finger protein 2, a core catalytic subunit of polycomb repressive complex 1, regulates the monocyte-macrophage transition during colitis. It is highly expressed in the immature colon and circulating monocytes during ulcerative colitis. And mice with myeloid-specific deficiency exhibited attenuated experimental colitis, restored monocyte/macrophage balance, and improved anti-tumor necrosis factor alpha efficacy. Mechanistically, Ring finger protein 2 represses Runt-related transcription factor 3 expression via histone H2A lysine 119 monoubiquitination. This disrupts the inhibition of the recombination signal-binding protein for the immunoglobulin kappa J region, the central activator of the Notch pathway, thereby exacerbating inflammation. Silencing of the axis markedly inhibited proinflammatory responses, regulating monocyte-macrophage transition. These findings reveal that Ring finger protein 2 disrupts the monocyte-macrophage transition during colitis, offering insights into colitis treatments.</w:t>
      </w:r>
    </w:p>
    <w:p>
      <w:pPr>
        <w:spacing w:before="120" w:after="120"/>
      </w:pPr>
      <w:r>
        <w:rPr>
          <w:sz w:val="18"/>
        </w:rPr>
        <w:t>——————————————————————————————————————————————————————————————————————</w:t>
      </w:r>
    </w:p>
    <w:p>
      <w:pPr>
        <w:spacing w:before="160" w:after="40" w:line="240" w:lineRule="auto"/>
      </w:pPr>
      <w:r>
        <w:rPr>
          <w:b/>
        </w:rPr>
        <w:t xml:space="preserve">[375] </w:t>
      </w:r>
      <w:hyperlink r:id="rId857">
        <w:r>
          <w:rPr>
            <w:color w:val="1155CC"/>
            <w:u w:val="single"/>
          </w:rPr>
          <w:t>发育时机通过保留和重新布线机制区分儿童和成人癌症</w:t>
        </w:r>
      </w:hyperlink>
    </w:p>
    <w:p>
      <w:pPr>
        <w:spacing w:before="0" w:after="80"/>
      </w:pPr>
      <w:r>
        <w:rPr>
          <w:i/>
          <w:sz w:val="20"/>
        </w:rPr>
        <w:t>EN: Developmental timing distinguishes pediatric and adult cancers through retention and rewiring mechanisms</w:t>
      </w:r>
    </w:p>
    <w:p>
      <w:pPr>
        <w:spacing w:before="0" w:after="120"/>
      </w:pPr>
      <w:r>
        <w:rPr>
          <w:b/>
        </w:rPr>
        <w:t xml:space="preserve">Source: </w:t>
      </w:r>
      <w:r>
        <w:t>Biological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致癌突变可能会产生根本不同的后果，具体取决于它们产生的组织的发育状态。我们提出了一个统一的模型，其中早期致癌事件促进瞬时胚胎-胎儿转录和表观遗传程序的保留和稳定，而晚年突变通常需要重新布线，通过逐步转录和染色质重塑重新激活受抑制的致癌胎儿状态。这一时间维度有助于解释为什么儿童和成人癌症即使是由相同的基因病变引发的，也可以遵循不同的谱系轨迹、行为和治疗反应。将发育时间纳入癌症模型和风险分层可能会提高预后分辨率并揭示特定阶段的脆弱性。</w:t>
      </w:r>
    </w:p>
    <w:p>
      <w:pPr>
        <w:spacing w:before="0" w:after="200" w:lineRule="auto" w:line="276"/>
      </w:pPr>
      <w:r>
        <w:rPr>
          <w:b/>
        </w:rPr>
        <w:t xml:space="preserve">Abstract (EN): </w:t>
      </w:r>
      <w:r>
        <w:t>Oncogenic mutations can have fundamentally different consequences depending on the developmental state of the tissue in which they arise. We propose a unifying model in which early-life oncogenic events promote retention, stabilization of transient embryo-fetal transcriptional and epigenetic programs, whereas later-life mutations more often require rewiring, reactivating suppressed oncofetal states through stepwise transcriptional and chromatin remodeling. This temporal dimension helps explain why childhood and adult cancers can follow distinct lineage trajectories, behaviors, and therapeutic responses, even when initiated by the same genetic lesion. Incorporating developmental timing into cancer modeling and risk stratification may improve prognostic resolution and reveal stage-specific vulnerabilities.</w:t>
      </w:r>
    </w:p>
    <w:p>
      <w:pPr>
        <w:spacing w:before="120" w:after="120"/>
      </w:pPr>
      <w:r>
        <w:rPr>
          <w:sz w:val="18"/>
        </w:rPr>
        <w:t>——————————————————————————————————————————————————————————————————————</w:t>
      </w:r>
    </w:p>
    <w:p>
      <w:pPr>
        <w:spacing w:before="160" w:after="40" w:line="240" w:lineRule="auto"/>
      </w:pPr>
      <w:r>
        <w:rPr>
          <w:b/>
        </w:rPr>
        <w:t xml:space="preserve">[376] </w:t>
      </w:r>
      <w:hyperlink r:id="rId858">
        <w:r>
          <w:rPr>
            <w:color w:val="1155CC"/>
            <w:u w:val="single"/>
          </w:rPr>
          <w:t>羧酸盐开关点控制呼吸复合物 I 中的长程能量转换</w:t>
        </w:r>
      </w:hyperlink>
    </w:p>
    <w:p>
      <w:pPr>
        <w:spacing w:before="0" w:after="80"/>
      </w:pPr>
      <w:r>
        <w:rPr>
          <w:i/>
          <w:sz w:val="20"/>
        </w:rPr>
        <w:t>EN: A carboxylate switch point controls long-range energy transduction in respiratory Complex I</w:t>
      </w:r>
    </w:p>
    <w:p>
      <w:pPr>
        <w:spacing w:before="0" w:after="120"/>
      </w:pPr>
      <w:r>
        <w:rPr>
          <w:b/>
        </w:rPr>
        <w:t xml:space="preserve">Source: </w:t>
      </w:r>
      <w:r>
        <w:t>Biological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复合物 I 是一种高度复杂的膜结合蛋白复合物，通过长程 (&gt; 300 Å) 质子耦合电子转移 (PCET) 反应为细胞能量代谢提供动力。在这里，我们通过探索沿着其功能性中心羧酸途径（E通道）的电荷转移反应，研究了备受争议的复合物 I 的耦合机制。通过将生物物理和定点诱变实验与高分辨率（2.6-2.8 Å）冷冻电子显微镜（cryo-EM）和多尺度模拟相结合，我们确定了一个保守的羧酸盐开关点（D79NuoA），该点通过建立动力学门来介导质子转移并将氧化还原化学与质子泵耦合。我们发现，在患有严重神经退行性疾病的患者中发现的已识别位点的突变会极大地扰乱电荷转移机制，并导致 PCET 活性达到 20%。我们的综合发现阐明了长程电荷转移反应背后的分子门的机制原理，并显示了疾病突变如何扰乱能量转导中保守开关点的功能。</w:t>
      </w:r>
    </w:p>
    <w:p>
      <w:pPr>
        <w:spacing w:before="0" w:after="200" w:lineRule="auto" w:line="276"/>
      </w:pPr>
      <w:r>
        <w:rPr>
          <w:b/>
        </w:rPr>
        <w:t xml:space="preserve">Abstract (EN): </w:t>
      </w:r>
      <w:r>
        <w:t>Complex I is a highly intricate membrane-bound protein complex that powers the cellular energy metabolism by a long-range ( &gt; 300 Å) proton-coupled electron transfer (PCET) reaction. Here, we investigate the highly debated coupling mechanism of Complex I by probing the charge transfer reaction along its functionally central carboxylate pathway (E-channel). By combining biophysical and site-directed mutagenesis experiments with high-resolution (2.6-2.8 Å) cryo-electron microscopy (cryo-EM) and multiscale simulations, we identify a conserved carboxylate switch point (D79NuoA) that mediates proton transfer by establishing a kinetic gate and couples the redox chemistry to proton pumping. We find that mutation of the identified site, as found in patients suffering from severe neurodegenerative disorders, drastically perturbs the charge transfer mechanism, and results in a 20% PCET activity. Our combined findings illustrate mechanistic principles of molecular gates underlying long-range charge transfer reactions, and show how disease mutations perturb the function of conserved switch points in energy transduction.</w:t>
      </w:r>
    </w:p>
    <w:p>
      <w:pPr>
        <w:spacing w:before="120" w:after="120"/>
      </w:pPr>
      <w:r>
        <w:rPr>
          <w:sz w:val="18"/>
        </w:rPr>
        <w:t>——————————————————————————————————————————————————————————————————————</w:t>
      </w:r>
    </w:p>
    <w:p>
      <w:pPr>
        <w:spacing w:before="160" w:after="40" w:line="240" w:lineRule="auto"/>
      </w:pPr>
      <w:r>
        <w:rPr>
          <w:b/>
        </w:rPr>
        <w:t xml:space="preserve">[377] </w:t>
      </w:r>
      <w:hyperlink r:id="rId859">
        <w:r>
          <w:rPr>
            <w:color w:val="1155CC"/>
            <w:u w:val="single"/>
          </w:rPr>
          <w:t>微米级 TiB2 陶瓷实现接近理论的强度和高弹性</w:t>
        </w:r>
      </w:hyperlink>
    </w:p>
    <w:p>
      <w:pPr>
        <w:spacing w:before="0" w:after="80"/>
      </w:pPr>
      <w:r>
        <w:rPr>
          <w:i/>
          <w:sz w:val="20"/>
        </w:rPr>
        <w:t>EN: Achieving near-theoretical strength and high elasticity in micrometer scale TiB2 ceramics</w:t>
      </w:r>
    </w:p>
    <w:p>
      <w:pPr>
        <w:spacing w:before="0" w:after="120"/>
      </w:pPr>
      <w:r>
        <w:rPr>
          <w:b/>
        </w:rPr>
        <w:t xml:space="preserve">Source: </w:t>
      </w:r>
      <w:r>
        <w:t>Physical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在结晶固体中实现接近理论的强度和弹性极限仍然具有挑战性，但缺陷敏感性通常将这种行为限制在纳米级样品上。在这里，我们报告了微米级 TiB2 陶瓷接近理论强度和大弹性拉伸应变的实验证据，这些陶瓷是通过钢中共晶凝固原位产生的。晶体定向悬臂、固定端梁和 C 形结构的原位弯曲，结合样本特定的有限元分析，揭示了数十千兆帕的拉伸侧应力和高达 9% 的弹性应变。直接微尺度拉伸表明，超过 4 μm3 的大规格体积可维持约 13 GPa 的几乎均匀拉伸应力，在夹边失效之前不会断裂，提供保守的下限拉伸基准，而微柱压缩则证实了高应力承受能力。这些结果将共晶凝固确立为一种可扩展的途径，可抑制微米级体积上的强度限制缺陷，将接近理论的陶瓷强度扩展到纳米级之外，并实现坚固的微结构组件。</w:t>
      </w:r>
    </w:p>
    <w:p>
      <w:pPr>
        <w:spacing w:before="0" w:after="200" w:lineRule="auto" w:line="276"/>
      </w:pPr>
      <w:r>
        <w:rPr>
          <w:b/>
        </w:rPr>
        <w:t xml:space="preserve">Abstract (EN): </w:t>
      </w:r>
      <w:r>
        <w:t>Achieving near-theoretical strength and elastic limits in crystalline solids remains challenging, yet defect sensitivity typically restricts such behavior to nanometer scale specimens. Here we report experimental evidence of near-theoretical strength and large elastic tensile strains in micrometer scale TiB2 ceramics, produced in situ by eutectic solidification in steel. In situ bending of crystallographically oriented cantilevers, fixed end beams and C-shaped structures, combined with specimen specific finite element analysis, reveals tensile side stresses of tens of gigapascals and elastic strains up to 9%. Direct microscale tension shows that a large gauge volume exceeding 4 μm3 sustains nearly uniform tensile stress of ~13 GPa without fracture before grip edge failure, providing a conservative lower bound tensile benchmark, while micropillar compression confirms high stress bearing capability. These results establish eutectic solidification as a scalable pathway to suppress strength limiting defects over micrometer scale volumes, extending near-theoretical ceramic strength beyond the nanoscale and enabling robust microarchitected components.</w:t>
      </w:r>
    </w:p>
    <w:p>
      <w:pPr>
        <w:spacing w:before="120" w:after="120"/>
      </w:pPr>
      <w:r>
        <w:rPr>
          <w:sz w:val="18"/>
        </w:rPr>
        <w:t>——————————————————————————————————————————————————————————————————————</w:t>
      </w:r>
    </w:p>
    <w:p>
      <w:pPr>
        <w:spacing w:before="160" w:after="40" w:line="240" w:lineRule="auto"/>
      </w:pPr>
      <w:r>
        <w:rPr>
          <w:b/>
        </w:rPr>
        <w:t xml:space="preserve">[378] </w:t>
      </w:r>
      <w:hyperlink r:id="rId860">
        <w:r>
          <w:rPr>
            <w:color w:val="1155CC"/>
            <w:u w:val="single"/>
          </w:rPr>
          <w:t>干扰素引起的肺成纤维细胞脂蛋白代谢促进转移前生态位形成</w:t>
        </w:r>
      </w:hyperlink>
    </w:p>
    <w:p>
      <w:pPr>
        <w:spacing w:before="0" w:after="80"/>
      </w:pPr>
      <w:r>
        <w:rPr>
          <w:i/>
          <w:sz w:val="20"/>
        </w:rPr>
        <w:t>EN: Interferon-elicited lipoprotein metabolism in lung fibroblasts facilitates premetastatic niche formation</w:t>
      </w:r>
    </w:p>
    <w:p>
      <w:pPr>
        <w:spacing w:before="0" w:after="120"/>
      </w:pPr>
      <w:r>
        <w:rPr>
          <w:b/>
        </w:rPr>
        <w:t xml:space="preserve">Source: </w:t>
      </w:r>
      <w:r>
        <w:t>Biological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虽然已知转移前生态位的形成会影响原发性肿瘤肺转移，但肺基质细胞在此过程中的作用仍不清楚。在这里，通过进行多组学测序，我们鉴定了干扰素调节的 CD34+ 成纤维细胞，它们通过 VLDLR 介导的脂蛋白代谢激活重塑免疫抑制肺微环境。脂蛋白摄取增加促进细胞内脂质积累，进而促进成纤维细胞中 CD155 的表达。 CD155+成纤维细胞强烈诱导细胞毒性CD8+T和NK细胞耗竭，导致转移前生态位的形成。干扰素-VLDLR-CD155轴的基因破坏可有力地恢复多种肿瘤模型中的免疫监视并抑制肺转移。值得注意的是，基于干扰素的治疗通过成纤维细胞中干扰素反应的特异性沉默或 CD155 阻断来增强。此外，FTO-YTHDF2 介导的 STAT1 m6A 修饰会导致干扰素反应的差异。总的来说，我们的研究结果揭示了干扰素诱导的成纤维细胞代谢重连如何通过 CD155 介导的免疫逃避来促进转移能力，从而提出了治疗肺转移的基质靶向策略。</w:t>
      </w:r>
    </w:p>
    <w:p>
      <w:pPr>
        <w:spacing w:before="0" w:after="200" w:lineRule="auto" w:line="276"/>
      </w:pPr>
      <w:r>
        <w:rPr>
          <w:b/>
        </w:rPr>
        <w:t xml:space="preserve">Abstract (EN): </w:t>
      </w:r>
      <w:r>
        <w:t>While premetastatic niche formation is known to affect primary tumors lung metastases, the role of lung stromal cells in this process remains unclear. Here, by performing multiomics sequencing, we identify interferon-regulated CD34+fibroblasts that reshape the immunosuppressive lung microenvironment via VLDLR-mediated lipoprotein metabolism activation. Increased lipoprotein uptake facilitates intracellular lipid accumulation, followed by CD155 expression in fibroblasts. CD155+fibroblasts strongly induce cytotoxic CD8+T and NK cell exhaustion, resulting in the formation of a premetastatic niche. The genetic disruption of the interferon–VLDLR–CD155 axis robustly reinstates immune surveillance and suppresses lung metastasis in multiple tumor models. Notably, interferon-based therapy is potentiated by specific silencing of the interferon response in fibroblasts or CD155 blockade. Moreover, the FTO-YTHDF2-mediated STAT1 m6A modification results in differences in the interferon response. Collectively, our findings reveal how interferon-induced metabolic rewiring in fibroblasts promotes metastatic competence via CD155-mediated immune evasion, suggesting stromal-targeted strategies for treating lung metastasis.</w:t>
      </w:r>
    </w:p>
    <w:p>
      <w:pPr>
        <w:spacing w:before="120" w:after="120"/>
      </w:pPr>
      <w:r>
        <w:rPr>
          <w:sz w:val="18"/>
        </w:rPr>
        <w:t>——————————————————————————————————————————————————————————————————————</w:t>
      </w:r>
    </w:p>
    <w:p>
      <w:pPr>
        <w:spacing w:before="160" w:after="40" w:line="240" w:lineRule="auto"/>
      </w:pPr>
      <w:r>
        <w:rPr>
          <w:b/>
        </w:rPr>
        <w:t xml:space="preserve">[379] </w:t>
      </w:r>
      <w:hyperlink r:id="rId861">
        <w:r>
          <w:rPr>
            <w:color w:val="1155CC"/>
            <w:u w:val="single"/>
          </w:rPr>
          <w:t>α-酮戊二酸的核特异性还原羧化促进组蛋白乙酰化，从而诱导染色质可及性和基因激活</w:t>
        </w:r>
      </w:hyperlink>
    </w:p>
    <w:p>
      <w:pPr>
        <w:spacing w:before="0" w:after="80"/>
      </w:pPr>
      <w:r>
        <w:rPr>
          <w:i/>
          <w:sz w:val="20"/>
        </w:rPr>
        <w:t>EN: Nuclear-specific reductive carboxylation of alpha-ketoglutarate fuels histone acetylation to induce chromatin accessibility and gene activation</w:t>
      </w:r>
    </w:p>
    <w:p>
      <w:pPr>
        <w:spacing w:before="0" w:after="120"/>
      </w:pPr>
      <w:r>
        <w:rPr>
          <w:b/>
        </w:rPr>
        <w:t xml:space="preserve">Source: </w:t>
      </w:r>
      <w:r>
        <w:t>Biological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线粒体仍然是细胞代谢的核心，而细胞核则整合细胞和环境信号来激活基因。然而，将细胞代谢与基因调控直接联系起来的机制尚不清楚。在这里，我们展示了细胞核中的代谢途径通过线粒体酶乌头酸酶（ACO2）和异柠檬酸脱氢酶（IDH2）的核定位来控制组蛋白的乙酰化。代谢追踪研究表明，IDH2 和 ACO2 催化 α-酮戊二酸的还原羧化，快速合成柠檬酸，从而增加核乙酰辅酶 A 池。遗传和蛋白质组学分析表明，核 IDH2 和 ACO2 与 KAT2A/GCN5 形成复合物，用于组蛋白乙酰化，从而增加染色质可及性和增殖基因的激活。 ACO2 和 IDH2 的强大核表达可驱动侵袭性肿瘤，表明 IDH2-ACO2-KAT2A 轴具有致瘤潜力。总而言之，我们的工作揭示了一种将核代谢途径与组蛋白乙酰化结合起来控制基因表达的范例，从而加剧肿瘤中的过度增殖表型。</w:t>
      </w:r>
    </w:p>
    <w:p>
      <w:pPr>
        <w:spacing w:before="0" w:after="200" w:lineRule="auto" w:line="276"/>
      </w:pPr>
      <w:r>
        <w:rPr>
          <w:b/>
        </w:rPr>
        <w:t xml:space="preserve">Abstract (EN): </w:t>
      </w:r>
      <w:r>
        <w:t>Mitochondria remain at the core of cell metabolism, whereas the nucleus integrates cellular and environmental signals to activate genes. However, the mechanisms that directly link cellular metabolism to gene regulation are not well understood. Here we show, a metabolic pathway in the nucleus controls acetylation of histones by nuclear localization of mitochondrial enzymes aconitase (ACO2) and isocitrate dehydrogenase (IDH2). Metabolic tracing studies show that IDH2 and ACO2 catalyze reductive carboxylation of α-ketoglutarate to rapidly synthesize citrate to increase nuclear acetyl-CoA pool. Genetic and proteomic analyses reveal nuclear IDH2 and ACO2 form a complex with KAT2A/GCN5 for acetylation of histones to increase chromatin accessibility and activation of proliferative genes. Robust nuclear expressions of ACO2 and IDH2 drive aggressive tumors indicating the tumorigenic potential of IDH2-ACO2-KAT2A axis. Altogether, our work reveals a paradigm coupling a nuclear metabolic pathway with histone acetylation to control of gene expression that accentuates hyperproliferative phenotype in tumors.</w:t>
      </w:r>
    </w:p>
    <w:p>
      <w:pPr>
        <w:spacing w:before="120" w:after="120"/>
      </w:pPr>
      <w:r>
        <w:rPr>
          <w:sz w:val="18"/>
        </w:rPr>
        <w:t>——————————————————————————————————————————————————————————————————————</w:t>
      </w:r>
    </w:p>
    <w:p>
      <w:pPr>
        <w:spacing w:before="160" w:after="40" w:line="240" w:lineRule="auto"/>
      </w:pPr>
      <w:r>
        <w:rPr>
          <w:b/>
        </w:rPr>
        <w:t xml:space="preserve">[380] </w:t>
      </w:r>
      <w:hyperlink r:id="rId862">
        <w:r>
          <w:rPr>
            <w:color w:val="1155CC"/>
            <w:u w:val="single"/>
          </w:rPr>
          <w:t>使用 SpaMV 进行可解释的空间多组学数据集成和降维</w:t>
        </w:r>
      </w:hyperlink>
    </w:p>
    <w:p>
      <w:pPr>
        <w:spacing w:before="0" w:after="80"/>
      </w:pPr>
      <w:r>
        <w:rPr>
          <w:i/>
          <w:sz w:val="20"/>
        </w:rPr>
        <w:t>EN: Interpretable spatial multi-omics data integration and dimensionality reduction with SpaMV</w:t>
      </w:r>
    </w:p>
    <w:p>
      <w:pPr>
        <w:spacing w:before="0" w:after="120"/>
      </w:pPr>
      <w:r>
        <w:rPr>
          <w:b/>
        </w:rPr>
        <w:t xml:space="preserve">Source: </w:t>
      </w:r>
      <w:r>
        <w:t>Biological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空间多组学技术通过从多个角度提供空间解析的分子图谱，彻底改变了我们对生物系统的理解。现有的空间多组学集成方法通常假设来自不同组学的数据具有共同的基础分布，并旨在将它们投影到单个统一的潜在空间中。然而，这种假设掩盖了每个组学提供的独特见解，从而限制了多组学分析的全部潜力。为了解决这一限制，我们开发了空间多视图（SpaMV）表示学习算法，该算法明确捕获跨组学的共享信息和独特的组学特定信息，从而实现空间多组学数据的更全面和可解释的表示。通过对模拟和真实数据集的广泛评估，SpaMV 展示了卓越的空间域聚类性能，并为下游分析提供了具有更可解释的降维功能的主题建模。此外，我们的方法比现有方法更有效地发现可解释的组学特异性生物标志物，突显​​了其在解开多组学信号方面的优势。</w:t>
      </w:r>
    </w:p>
    <w:p>
      <w:pPr>
        <w:spacing w:before="0" w:after="200" w:lineRule="auto" w:line="276"/>
      </w:pPr>
      <w:r>
        <w:rPr>
          <w:b/>
        </w:rPr>
        <w:t xml:space="preserve">Abstract (EN): </w:t>
      </w:r>
      <w:r>
        <w:t>Spatial multi-omics technologies revolutionized our understanding of biological systems by providing spatially resolved molecular profiles from multiple perspectives. Existing spatial multi-omics integration methods often assume that data from different omics share a common underlying distribution and aim to project them into a single unified latent space. This assumption, however, obscures the unique insights offered by each omics, thereby limiting the full potential of multi-omics analyses. To address this limitation, we develop the Spatial Multi-View (SpaMV) representation learning algorithm, which explicitly captures both shared information across omics and the distinct, omics-specific information, enabling a more comprehensive and interpretable representation of spatial multi-omics data. Through extensive evaluation on both simulated and real-world datasets, SpaMV demonstrates superior spatial domain clustering performance and offers topic modeling with more interpretable dimensionality reduction for downstream analysis. Moreover, our method more effectively discovers interpretable omics-specific biomarkers than existing approaches, highlighting its strength in disentangling multi-omics signals.</w:t>
      </w:r>
    </w:p>
    <w:p>
      <w:pPr>
        <w:spacing w:before="120" w:after="120"/>
      </w:pPr>
      <w:r>
        <w:rPr>
          <w:sz w:val="18"/>
        </w:rPr>
        <w:t>——————————————————————————————————————————————————————————————————————</w:t>
      </w:r>
    </w:p>
    <w:p>
      <w:pPr>
        <w:spacing w:before="160" w:after="40" w:line="240" w:lineRule="auto"/>
      </w:pPr>
      <w:r>
        <w:rPr>
          <w:b/>
        </w:rPr>
        <w:t xml:space="preserve">[381] </w:t>
      </w:r>
      <w:hyperlink r:id="rId863">
        <w:r>
          <w:rPr>
            <w:color w:val="1155CC"/>
            <w:u w:val="single"/>
          </w:rPr>
          <w:t>NLRP3 和吡啶炎症小体的双重激活介导宿主对人类真菌病原体球孢子菌的反应</w:t>
        </w:r>
      </w:hyperlink>
    </w:p>
    <w:p>
      <w:pPr>
        <w:spacing w:before="0" w:after="80"/>
      </w:pPr>
      <w:r>
        <w:rPr>
          <w:i/>
          <w:sz w:val="20"/>
        </w:rPr>
        <w:t>EN: Dual activation of NLRP3 and pyrin inflammasomes mediates host responses to the human fungal pathogen Coccidioides</w:t>
      </w:r>
    </w:p>
    <w:p>
      <w:pPr>
        <w:spacing w:before="0" w:after="120"/>
      </w:pPr>
      <w:r>
        <w:rPr>
          <w:b/>
        </w:rPr>
        <w:t xml:space="preserve">Source: </w:t>
      </w:r>
      <w:r>
        <w:t>Biological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球孢子菌是一种二形性真菌病原体，在土壤中以霉菌形式生长并产生传染性节分孢子。吸入的节分孢子在哺乳动物宿主中转变为含有内生孢子的小球。球孢子菌的不同发育形式如何与免疫细胞相互作用仍不清楚。在这里，我们发现节分孢子激活 TLR2 并诱导巨噬细胞中的 NLRP3-pyrin 炎性小体，而铁死亡信号传导促进节分孢子死亡。转变为小球后，只有破裂的小球（而非完整的小球）才会通过 NLRP3-pyrin 炎症小体和 GSDMD-GSDME 孔触发 IL-1β 的产生。巨噬细胞中的 TLR2-NLRP3-pyrin-IL-18 轴促进小球生长。内生孢子激活 NLRP3，但不激活 Pyrin 炎症小体。尽管真菌负荷相当，但 Caspase-1 缺陷小鼠对球孢子菌病的疾病耐受性有所提高，这与肺肉芽肿中中性粒细胞胞外陷阱形成的增强相关。中性粒细胞通过 NLRP3-pyrin 炎性体、GSDMD-GSDME 和 MLKL 对小球做出反应。总之，这些发现表明，球孢子菌形态型引发独特但重叠的免疫程序，协调炎症小体激活和调节细胞死亡，从而塑造宿主-病原体动态。</w:t>
      </w:r>
    </w:p>
    <w:p>
      <w:pPr>
        <w:spacing w:before="0" w:after="200" w:lineRule="auto" w:line="276"/>
      </w:pPr>
      <w:r>
        <w:rPr>
          <w:b/>
        </w:rPr>
        <w:t xml:space="preserve">Abstract (EN): </w:t>
      </w:r>
      <w:r>
        <w:t>Coccidioides is a dimorphic fungal pathogen that grows as a mold in soil and produces infectious arthroconidia. Inhaled arthroconidia transition to spherules containing endospores in mammalian hosts. How distinct developmental forms of Coccidioides interact with immune cells remains poorly defined. Here, we show that arthroconidia activates TLR2 and induces NLRP3-pyrin inflammasomes in macrophages, while ferroptotic signaling promotes arthroconidia killing. Upon transition to spherules, only ruptured spherules—not intact ones—trigger IL-1β production through NLRP3-pyrin inflammasomes and GSDMD-GSDME pores. A TLR2-NLRP3-pyrin-IL-18 axis in macrophages promotes spherule growth. Endospores activate NLRP3 but not pyrin inflammasomes. Caspase-1-deficient mice show improved disease tolerance to coccidioidomycosis despite equivalent fungal burdens, correlating with enhanced neutrophil extracellular trap formation in lung granulomas. Neutrophils respond to spherules through NLRP3-pyrin inflammasomes, GSDMD-GSDME, and MLKL. Together, these findings reveal that Coccidioides morphotypes elicit distinct yet overlapping immune programs, coordinating inflammasome activation and regulated cell death to shape host-pathogen dynamics.</w:t>
      </w:r>
    </w:p>
    <w:p>
      <w:pPr>
        <w:spacing w:before="120" w:after="120"/>
      </w:pPr>
      <w:r>
        <w:rPr>
          <w:sz w:val="18"/>
        </w:rPr>
        <w:t>——————————————————————————————————————————————————————————————————————</w:t>
      </w:r>
    </w:p>
    <w:p>
      <w:pPr>
        <w:spacing w:before="160" w:after="40" w:line="240" w:lineRule="auto"/>
      </w:pPr>
      <w:r>
        <w:rPr>
          <w:b/>
        </w:rPr>
        <w:t xml:space="preserve">[382] </w:t>
      </w:r>
      <w:hyperlink r:id="rId864">
        <w:r>
          <w:rPr>
            <w:color w:val="1155CC"/>
            <w:u w:val="single"/>
          </w:rPr>
          <w:t>H2S 在抗菌肽抗感染功能中的潜在作用</w:t>
        </w:r>
      </w:hyperlink>
    </w:p>
    <w:p>
      <w:pPr>
        <w:spacing w:before="0" w:after="80"/>
      </w:pPr>
      <w:r>
        <w:rPr>
          <w:i/>
          <w:sz w:val="20"/>
        </w:rPr>
        <w:t>EN: The potential role of H2S in the anti-infective function of antimicrobial peptides</w:t>
      </w:r>
    </w:p>
    <w:p>
      <w:pPr>
        <w:spacing w:before="0" w:after="120"/>
      </w:pPr>
      <w:r>
        <w:rPr>
          <w:b/>
        </w:rPr>
        <w:t xml:space="preserve">Source: </w:t>
      </w:r>
      <w:r>
        <w:t>Biological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抗菌肽（AMP）是动物先天免疫系统的重要组成部分，在防御微生物感染方面发挥着至关重要的作用。硫化氢 (H2S) 是一种重要的气体递质，参与调节多种生理功能。然而，H2S 在 AMP 抗感染作用中的作用仍然知之甚少。在这里，我们证明了 H2S 在介导不同动物物种的 AMP 抗感染功能中的关键作用。 LL-37/CRAMP 是人导管素家族 AMP 及其小鼠同源物，主要通过大肠杆菌和产气荚膜梭菌中的 3-巯基丙酮酸硫转移酶 (3MST) 诱导 H2S 产生。生成的 H2S 进一步参与活性氧 (ROS) 的积累，导致细菌因氧化损伤而死亡。此外，LL-37 还可激活 Akt 信号通路，上调胱硫醚 γ-裂解酶 (CSE) 的表达，从而在巨噬细胞中产生 H2S。该过程在促进 LL-37/CRAMP 的免疫调节活性中发挥潜在作用，我们证实 H2S 参与了 LL-37 的体内抗感染活性。此外，除了 LL-37/CRAMP 之外，我们还发现来自不同动物物种的 AMP 也会诱导细菌和巨噬细胞产生 H2S。总的来说，我们的研究结果强调了 H2S 在 AMP 抗感染功能中以前未被认识到的作用，这种作用在不同动物的 AMP 中普遍存在。</w:t>
      </w:r>
    </w:p>
    <w:p>
      <w:pPr>
        <w:spacing w:before="0" w:after="200" w:lineRule="auto" w:line="276"/>
      </w:pPr>
      <w:r>
        <w:rPr>
          <w:b/>
        </w:rPr>
        <w:t xml:space="preserve">Abstract (EN): </w:t>
      </w:r>
      <w:r>
        <w:t>Antimicrobial peptides (AMPs) are essential components of the innate immune system in animals, playing crucial roles in defending against microbial infections. Hydrogen sulfide (H2S), a vital gasotransmitter, is involved in regulating a wide array of physiological functions. However, the role of H₂S in the anti-infective actions of AMPs remains poorly understood. Here, we demonstrate the crucial role of H2S in mediating the anti-infective functions of AMPs across diverse animal species. LL-37/CRAMP, the human cathelicidin family AMP and its mouse homolog, induce H2S production predominantly through 3-mercaptopyruvate sulfurtransferase (3MST) in Escherichia coli and Clostridium perfringens. The generated H₂S further participates in reactive oxygen species (ROS) accumulation, leading to bacterial death by oxidative damage. Additionally, LL-37 activates the Akt signaling pathway, upregulating cystathionine γ-lyase (CSE) expression to generate H2S in macrophages. This process plays a potential role in facilitating the immunomodulatory activity of LL-37/CRAMP and we confirmed that H2S is involved in their in vivo anti-infective activity of LL-37. Moreover, besides LL-37/CRAMP, we reveal that AMPs from various animal species also induce H2S production in bacteria and macrophages. Overall, our findings highlight a previously unrecognized role of H2S in AMP anti-infective function, which is ubiquitous across AMPs from different animals.</w:t>
      </w:r>
    </w:p>
    <w:p>
      <w:pPr>
        <w:spacing w:before="120" w:after="120"/>
      </w:pPr>
      <w:r>
        <w:rPr>
          <w:sz w:val="18"/>
        </w:rPr>
        <w:t>——————————————————————————————————————————————————————————————————————</w:t>
      </w:r>
    </w:p>
    <w:p>
      <w:pPr>
        <w:spacing w:before="160" w:after="40" w:line="240" w:lineRule="auto"/>
      </w:pPr>
      <w:r>
        <w:rPr>
          <w:b/>
        </w:rPr>
        <w:t xml:space="preserve">[383] </w:t>
      </w:r>
      <w:hyperlink r:id="rId865">
        <w:r>
          <w:rPr>
            <w:color w:val="1155CC"/>
            <w:u w:val="single"/>
          </w:rPr>
          <w:t>甲病毒 M1 通过骨肉瘤中的非结构蛋白 NSP2 破坏超级增强子驱动的致癌转录</w:t>
        </w:r>
      </w:hyperlink>
    </w:p>
    <w:p>
      <w:pPr>
        <w:spacing w:before="0" w:after="80"/>
      </w:pPr>
      <w:r>
        <w:rPr>
          <w:i/>
          <w:sz w:val="20"/>
        </w:rPr>
        <w:t>EN: Alphavirus M1 disrupts super-enhancer-driven oncogenic transcription via non-structural protein NSP2 in osteosarcoma</w:t>
      </w:r>
    </w:p>
    <w:p>
      <w:pPr>
        <w:spacing w:before="0" w:after="120"/>
      </w:pPr>
      <w:r>
        <w:rPr>
          <w:b/>
        </w:rPr>
        <w:t xml:space="preserve">Source: </w:t>
      </w:r>
      <w:r>
        <w:t>Biological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溶瘤病毒疗法已显示出治疗多种癌症的希望，但其在骨肉瘤 (OS) 中的应用仍未得到充分探索。这项研究提供了证据，证明 M1（一种天然 Getah 样甲病毒）对 OS 具有溶瘤活性。我们证明 OS 细胞对 M1 感染表现出高度的敏感性，其抗肿瘤作用不仅仅依赖于典型的 ER 应激诱导的细胞凋亡。蛋白质组学和 ChIP-seq 分析显示 DNA 指导的 RNA 聚合酶 II 亚基 RPB1 有助于致癌超级增强子活性，并可作为 M1 介导的调节的直接目标。溶瘤效力与超级增强子区域内对 RPB1 的转录依赖性呈正相关。从机制上讲，病毒非结构蛋白 NSP2 通过招募 CUL2-RBX1-ELOC 复合物来破坏超级增强子活性，从而触发 K63 连接的泛素化和 RPB1 的降解。总之，这些发现揭示了骨肉瘤中 M1 活性的一个以前未被认识的机制，支持在这种情况下对 M1 进行进一步的临床前评估，并将 RPB1 确定为病毒治疗反应的候选生物标志物。</w:t>
      </w:r>
    </w:p>
    <w:p>
      <w:pPr>
        <w:spacing w:before="0" w:after="200" w:lineRule="auto" w:line="276"/>
      </w:pPr>
      <w:r>
        <w:rPr>
          <w:b/>
        </w:rPr>
        <w:t xml:space="preserve">Abstract (EN): </w:t>
      </w:r>
      <w:r>
        <w:t>Oncolytic virotherapy has shown promise for various cancers, but its application in osteosarcoma (OS) remains underexplored. This study provides evidence that M1, a natural Getah-like alphavirus, exerts oncolytic activity against OS. We demonstrate that OS cells exhibit heightened sensitivity to M1 infection, with its anti-tumor effects not solely dependent on the canonical ER stress-induced apoptosis. Proteomic and ChIP-seq analyses show the DNA-directed RNA polymerase II subunit RPB1 contributes to oncogenic super-enhancer activity and serves as a direct target of M1-mediated regulation. The oncolytic potency correlated positively with the transcriptional dependency on RPB1 within super-enhancer regions. Mechanistically, the viral non-structural protein NSP2 disrupts super-enhancer activity by recruiting the CUL2-RBX1-ELOC complex, which triggers K63-linked ubiquitination and degradation of RPB1. Together, these findings uncover a previously unrecognized mechanism underlying M1 activity in osteosarcoma, support further preclinical evaluation of M1 in this setting, and identify RPB1 as a candidate biomarker for virotherapy response.</w:t>
      </w:r>
    </w:p>
    <w:p>
      <w:pPr>
        <w:spacing w:before="120" w:after="120"/>
      </w:pPr>
      <w:r>
        <w:rPr>
          <w:sz w:val="18"/>
        </w:rPr>
        <w:t>——————————————————————————————————————————————————————————————————————</w:t>
      </w:r>
    </w:p>
    <w:p>
      <w:pPr>
        <w:spacing w:before="160" w:after="40" w:line="240" w:lineRule="auto"/>
      </w:pPr>
      <w:r>
        <w:rPr>
          <w:b/>
        </w:rPr>
        <w:t xml:space="preserve">[384] </w:t>
      </w:r>
      <w:hyperlink r:id="rId866">
        <w:r>
          <w:rPr>
            <w:color w:val="1155CC"/>
            <w:u w:val="single"/>
          </w:rPr>
          <w:t>转座因子通过细胞类型特异性表观基因组关联影响人类调控景观</w:t>
        </w:r>
      </w:hyperlink>
    </w:p>
    <w:p>
      <w:pPr>
        <w:spacing w:before="0" w:after="80"/>
      </w:pPr>
      <w:r>
        <w:rPr>
          <w:i/>
          <w:sz w:val="20"/>
        </w:rPr>
        <w:t>EN: Transposable elements impact the human regulatory landscape through cell type specific epigenomic associations</w:t>
      </w:r>
    </w:p>
    <w:p>
      <w:pPr>
        <w:spacing w:before="0" w:after="120"/>
      </w:pPr>
      <w:r>
        <w:rPr>
          <w:b/>
        </w:rPr>
        <w:t xml:space="preserve">Source: </w:t>
      </w:r>
      <w:r>
        <w:t>Biological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转座元件 (TE) 是能够在基因组内创建自身副本的 DNA 序列。 TE 已被证明可以作为顺式调控元件并被纳入人类基因组中。因此，它们的影响可能来自于它们与表观基因组的关系。然而，仍然缺乏将 TE 与跨人类细胞类型的染色质组蛋白标记联系起来的系统分析。在这里，我们利用国际人类表观基因组联盟的数据集，该数据集包含 47 个细胞类型中 6 个组蛋白标记的 4867 个统一处理的 ChIP-seq 实验，并表明 TE 在组蛋白标记之间具有截然不同的富集水平。我们发现 TE 通常会被耗尽，但在特定环境中会被富集，例如 H3K9me3 组蛋白标记中的 L1。值得注意的是，我们鉴定了 456 个具有强细胞类型特异性富集的细胞类型-组蛋白-TE 三联体，并表明其中许多三联体与相关的生物过程相关。</w:t>
      </w:r>
    </w:p>
    <w:p>
      <w:pPr>
        <w:spacing w:before="0" w:after="200" w:lineRule="auto" w:line="276"/>
      </w:pPr>
      <w:r>
        <w:rPr>
          <w:b/>
        </w:rPr>
        <w:t xml:space="preserve">Abstract (EN): </w:t>
      </w:r>
      <w:r>
        <w:t>Transposable elements (TEs) are DNA sequences able to create copies of themselves within the genome. TEs have been shown to act as cis-regulatory elements and be co-opted in the human genome. Thus, their impact might come from their relationship with the epigenome. However, a systematic analysis that relates TEs with chromatin histone marks across human cell types remains lacking. Here we leverage a dataset from the International Human Epigenome Consortium featuring 4867 uniformly processed ChIP-seq experiments for 6 histone marks across 47 cell types and show that TEs have drastically different enrichments levels across histone marks. We find that TEs are generally depleted but enriched in select contexts such as L1s in H3K9me3 histone mark. Notably, we identify 456 cell type-histone-TE triplets with strong cell-type specific enrichments and show that many of these triplets are associated with relevant biological processes.</w:t>
      </w:r>
    </w:p>
    <w:p>
      <w:pPr>
        <w:spacing w:before="120" w:after="120"/>
      </w:pPr>
      <w:r>
        <w:rPr>
          <w:sz w:val="18"/>
        </w:rPr>
        <w:t>——————————————————————————————————————————————————————————————————————</w:t>
      </w:r>
    </w:p>
    <w:p>
      <w:pPr>
        <w:spacing w:before="160" w:after="40" w:line="240" w:lineRule="auto"/>
      </w:pPr>
      <w:r>
        <w:rPr>
          <w:b/>
        </w:rPr>
        <w:t xml:space="preserve">[385] </w:t>
      </w:r>
      <w:hyperlink r:id="rId867">
        <w:r>
          <w:rPr>
            <w:color w:val="1155CC"/>
            <w:u w:val="single"/>
          </w:rPr>
          <w:t>构造驱动的美国 4.8 Ma 科罗拉多河整合与碎屑沙尼丁和鱼类遗传学追踪</w:t>
        </w:r>
      </w:hyperlink>
    </w:p>
    <w:p>
      <w:pPr>
        <w:spacing w:before="0" w:after="80"/>
      </w:pPr>
      <w:r>
        <w:rPr>
          <w:i/>
          <w:sz w:val="20"/>
        </w:rPr>
        <w:t>EN: Tectonically driven integration of the 4.8 Ma Colorado River USA tracked with detrital sanidine and fish genetics</w:t>
      </w:r>
    </w:p>
    <w:p>
      <w:pPr>
        <w:spacing w:before="0" w:after="120"/>
      </w:pPr>
      <w:r>
        <w:rPr>
          <w:b/>
        </w:rPr>
        <w:t xml:space="preserve">Source: </w:t>
      </w:r>
      <w:r>
        <w:t>Earth and environmental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使用 60-40 Ma 碎屑 Sanidine 示踪颗粒和鱼类系统发育揭示了美国西部大陆规模的科罗拉多河系统从 8 Ma 到 4.8 Ma 的发展。在这里，我们发现前身古河段从北向南一体化，由来自北方的 60-40 Ma 沙粒追踪，这些沙粒依次出现在犹他州 25-8 Ma Browns Park 地层、亚利桑那州 7-6 Ma 上 Bidahochi 地层以及科罗拉多河下游和原始加利福尼亚湾的 4.8 Ma Bouse 地层。这个时间是通过分子钟估计鱼类谱系之间的分化时间来模仿的。河流整合是对黄石热点路线和落基山脉源头抬升的回应。 40Ar/39Ar年龄完善了地幔滴水的时间，地幔滴水导致沉积盆地沉降，然后抬升，从而影响了整合路径和速度。大约 300 万年的时间尺度表明，多尺度地幔驱动的隆起，而不是湖泊溢出，是原始科罗拉多河通过大峡谷整合的主要驱动力。</w:t>
      </w:r>
    </w:p>
    <w:p>
      <w:pPr>
        <w:spacing w:before="0" w:after="200" w:lineRule="auto" w:line="276"/>
      </w:pPr>
      <w:r>
        <w:rPr>
          <w:b/>
        </w:rPr>
        <w:t xml:space="preserve">Abstract (EN): </w:t>
      </w:r>
      <w:r>
        <w:t>The development of the continental-scale Colorado River system, western USA, from 8 to 4.8 Ma, is revealed using 60-40 Ma detrital sanidine tracer grains and fish phylogeny. Here we show that precursor paleoriver segments became integrated north to south as traced by 60-40 Ma sand grains that were derived from the north and sequentially appeared in the 25-8 Ma Browns Park Formation of Utah, 7-6 Ma upper Bidahochi Formation of Arizona, and 4.8 Ma Bouse Formation of the lower Colorado River and proto Gulf of California. This timing is mimicked by molecular clock estimates of divergence times among fish lineages. River integration was a response to headwater uplifts in the Yellowstone hotspot track and Rocky Mountains. 40Ar/39Ar ages refine the timing for mantle-drips that caused subsidence, then uplift, of depositional basins that influenced the integration pathway and tempo. The ~ 3-million-year timescale suggests that multiscale mantle-driven uplift, rather than lake spillover, was the primary driver for integration of the proto-Colorado River through Grand Canyon.</w:t>
      </w:r>
    </w:p>
    <w:p>
      <w:pPr>
        <w:spacing w:before="120" w:after="120"/>
      </w:pPr>
      <w:r>
        <w:rPr>
          <w:sz w:val="18"/>
        </w:rPr>
        <w:t>——————————————————————————————————————————————————————————————————————</w:t>
      </w:r>
    </w:p>
    <w:p>
      <w:pPr>
        <w:spacing w:before="160" w:after="40" w:line="240" w:lineRule="auto"/>
      </w:pPr>
      <w:r>
        <w:rPr>
          <w:b/>
        </w:rPr>
        <w:t xml:space="preserve">[386] </w:t>
      </w:r>
      <w:hyperlink r:id="rId868">
        <w:r>
          <w:rPr>
            <w:color w:val="1155CC"/>
            <w:u w:val="single"/>
          </w:rPr>
          <w:t>厄尔尼诺-南方涛动的变化和全球频率夹带</w:t>
        </w:r>
      </w:hyperlink>
    </w:p>
    <w:p>
      <w:pPr>
        <w:spacing w:before="0" w:after="80"/>
      </w:pPr>
      <w:r>
        <w:rPr>
          <w:i/>
          <w:sz w:val="20"/>
        </w:rPr>
        <w:t>EN: Changes in El Niño–Southern Oscillation and global frequency entrainment</w:t>
      </w:r>
    </w:p>
    <w:p>
      <w:pPr>
        <w:spacing w:before="0" w:after="120"/>
      </w:pPr>
      <w:r>
        <w:rPr>
          <w:b/>
        </w:rPr>
        <w:t xml:space="preserve">Source: </w:t>
      </w:r>
      <w:r>
        <w:t>Earth and environmental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厄尔尼诺-南方涛动（ENSO）的周期性控制着其暖期和冷期的重现，从而影响气候变化和极端事件的频率，但在气候模型预测中仍然受到很少的限制。在这里，我们使用协调的多模型大型集合模拟来评估 ENSO 周期性从上个千年到未来的强制调制及其全球印记。在未来变暖的情况下，ENSO 的周期性往往会缩短，这种周期性变化会延伸到热带气候模式，并通过遥相关在全球范围内传播，我们将这种现象称为 ENSO 频率夹带。频率夹带似乎无处不在，这在上个千年模拟中的受迫响应和非平稳、非单调二氧化碳强迫下以及由内部数十年变化驱动的周期性调制中很明显。未来 ENSO 周期性的变化可能会改变全球局部气候事件的频率，可能有利于极端事件的发生。</w:t>
      </w:r>
    </w:p>
    <w:p>
      <w:pPr>
        <w:spacing w:before="0" w:after="200" w:lineRule="auto" w:line="276"/>
      </w:pPr>
      <w:r>
        <w:rPr>
          <w:b/>
        </w:rPr>
        <w:t xml:space="preserve">Abstract (EN): </w:t>
      </w:r>
      <w:r>
        <w:t>The El Niño–Southern Oscillation (ENSO) periodicity governs the recurrence of its warm and cold phases, shaping the climate variability and the frequency of extremes, yet remains poorly constrained in climate model projections. Here we assess, using coordinated multi-model large-ensemble simulations, the forced modulation of ENSO periodicity from the last millennium to the future and its global imprint. ENSO periodicity tends to shorten under future warming, and this periodicity shift extends to tropical climate modes and propagates globally through teleconnections, a phenomenon we refer to as ENSO frequency entrainment. The frequency entrainment appears to be ubiquitous, evident in forced responses in last-millennium simulations and under nonstationary, nonmonotonic CO2 forcing, as well as in periodicity modulation driven by internal multi-decadal variability. Changes in future ENSO periodicity may alter the frequency of local climatic events globally, potentially favoring more frequent extreme events.</w:t>
      </w:r>
    </w:p>
    <w:p>
      <w:pPr>
        <w:spacing w:before="120" w:after="120"/>
      </w:pPr>
      <w:r>
        <w:rPr>
          <w:sz w:val="18"/>
        </w:rPr>
        <w:t>——————————————————————————————————————————————————————————————————————</w:t>
      </w:r>
    </w:p>
    <w:p>
      <w:pPr>
        <w:spacing w:before="160" w:after="40" w:line="240" w:lineRule="auto"/>
      </w:pPr>
      <w:r>
        <w:rPr>
          <w:b/>
        </w:rPr>
        <w:t xml:space="preserve">[387] </w:t>
      </w:r>
      <w:hyperlink r:id="rId869">
        <w:r>
          <w:rPr>
            <w:color w:val="1155CC"/>
            <w:u w:val="single"/>
          </w:rPr>
          <w:t>用于高效病理图像分析的深度学习框架</w:t>
        </w:r>
      </w:hyperlink>
    </w:p>
    <w:p>
      <w:pPr>
        <w:spacing w:before="0" w:after="80"/>
      </w:pPr>
      <w:r>
        <w:rPr>
          <w:i/>
          <w:sz w:val="20"/>
        </w:rPr>
        <w:t>EN: A deep learning framework for efficient pathology image analysis</w:t>
      </w:r>
    </w:p>
    <w:p>
      <w:pPr>
        <w:spacing w:before="0" w:after="120"/>
      </w:pPr>
      <w:r>
        <w:rPr>
          <w:b/>
        </w:rPr>
        <w:t xml:space="preserve">Source: </w:t>
      </w:r>
      <w:r>
        <w:t>Biological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人工智能通过高分辨率全玻片图像进行生物标志物预测，改变了数字病理学。然而，当前的方法计算效率低下，每张幻灯片处理数千个冗余图块，并且需要复杂的聚合模型。我们引入 EAGLE（引导局部检查的有效方法），这是一种深度学习框架，通过选择性分析信息区域来模拟病理学家。 EAGLE 将与任务无关的切片选择与详细特征提取相结合，并以领先的幻灯片和切片级基础模型为基准，涵盖 9 种癌症类型的 43 项任务，涵盖形态、生物标志物预测、治疗反应和预后。 EAGLE 的性能比补丁聚合方法高出 23%，并实现了最高的整体分类性能。它在 2.27 秒内处理一张幻灯片，与现有模型相比，计算时间减少了 99% 以上。这种效率支持快速且可审核的工作流程，支持审查用于每个预测的精确图块并减少对高性能计算的依赖。通过可靠地识别信息区域并最大程度地减少伪影，EAGLE 提供了稳健且可审计的输出，并得到系统性阴性对照和注意力集中分析的支持。其统一嵌入可实现快速载玻片搜索、集成到多组学流程和新兴临床基础模型中。</w:t>
      </w:r>
    </w:p>
    <w:p>
      <w:pPr>
        <w:spacing w:before="0" w:after="200" w:lineRule="auto" w:line="276"/>
      </w:pPr>
      <w:r>
        <w:rPr>
          <w:b/>
        </w:rPr>
        <w:t xml:space="preserve">Abstract (EN): </w:t>
      </w:r>
      <w:r>
        <w:t>Artificial intelligence has transformed digital pathology by enabling biomarker prediction from high-resolution whole-slide images. However, current methods are computationally inefficient, processing thousands of redundant tiles per slide and requiring complex aggregation models. We introduce EAGLE (Efficient Approach for Guided Local Examination), a deep learning framework that emulates pathologists by selectively analyzing informative regions. EAGLE combines task-agnostic tile selection with detailed feature extraction and is benchmarked against leading slide- and tile-level foundation models across 43 tasks from nine cancer types spanning morphology, biomarker prediction, treatment response and prognosis. EAGLE outperforms patch aggregation methods by up to 23% and achieves the highest overall classification performance. It processes one slide in 2.27 s, reducing computational time by more than 99% compared with existing models. This efficiency supports rapid and auditable workflows by enabling review of the exact tiles used for each prediction and reducing dependence on high-performance computing. By reliably identifying informative regions and minimizing artifacts, EAGLE provides robust and auditable outputs, supported by systematic negative controls and attention concentration analyses. Its unified embedding enables rapid slide search, integration into multi-omics pipelines and emerging clinical foundation models.</w:t>
      </w:r>
    </w:p>
    <w:p>
      <w:pPr>
        <w:spacing w:before="120" w:after="120"/>
      </w:pPr>
      <w:r>
        <w:rPr>
          <w:sz w:val="18"/>
        </w:rPr>
        <w:t>——————————————————————————————————————————————————————————————————————</w:t>
      </w:r>
    </w:p>
    <w:p>
      <w:pPr>
        <w:spacing w:before="160" w:after="40" w:line="240" w:lineRule="auto"/>
      </w:pPr>
      <w:r>
        <w:rPr>
          <w:b/>
        </w:rPr>
        <w:t xml:space="preserve">[388] </w:t>
      </w:r>
      <w:hyperlink r:id="rId870">
        <w:r>
          <w:rPr>
            <w:color w:val="1155CC"/>
            <w:u w:val="single"/>
          </w:rPr>
          <w:t>全球道路死亡负担的不平等将碰撞风险集中在低收入和中等收入国家的受威胁物种身上</w:t>
        </w:r>
      </w:hyperlink>
    </w:p>
    <w:p>
      <w:pPr>
        <w:spacing w:before="0" w:after="80"/>
      </w:pPr>
      <w:r>
        <w:rPr>
          <w:i/>
          <w:sz w:val="20"/>
        </w:rPr>
        <w:t>EN: Global inequality in roadkill burden concentrates collision risk on threatened species in low- and middle-income countries</w:t>
      </w:r>
    </w:p>
    <w:p>
      <w:pPr>
        <w:spacing w:before="0" w:after="120"/>
      </w:pPr>
      <w:r>
        <w:rPr>
          <w:b/>
        </w:rPr>
        <w:t xml:space="preserve">Source: </w:t>
      </w:r>
      <w:r>
        <w:t>Biological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全球发展依赖于庞大且不断扩大的道路网络，但其造成的野生动物死亡的全球分布仍难以量化。在这里，我们利用研究人员主导的调查、全球公民科学记录和中国高分辨率国家数据集表明，野生动物与车辆的碰撞给低收入和中等收入国家的生物多样性造成了不成比例的负担。在对物种库和抽样工作进行标准化后，低收入和中等收入国家比高收入国家承受着更重的道路死亡负担，受威胁脊椎动物的最大差距达到 2-4 倍，但非受威胁物种的差距要弱得多。这反映了受威胁动物群之间的碰撞率上升，而不是更广泛的受影响物种。在中国，同样的模式沿着土地利用强度梯度展开：景观的改变提高了普通通才的风险，同时逐渐从道路景观中过滤掉受威胁的类群。总体而言，不断扩大的交通网络将当代碰撞负担集中在低收入和中等收入国家受威胁的生物多样性上。</w:t>
      </w:r>
    </w:p>
    <w:p>
      <w:pPr>
        <w:spacing w:before="0" w:after="200" w:lineRule="auto" w:line="276"/>
      </w:pPr>
      <w:r>
        <w:rPr>
          <w:b/>
        </w:rPr>
        <w:t xml:space="preserve">Abstract (EN): </w:t>
      </w:r>
      <w:r>
        <w:t>Global development relies on vast and expanding road networks, yet the global distribution of the wildlife mortality they cause remains poorly quantified. Here we show, using researcher-led surveys, global citizen-science records and a high-resolution national dataset for China, that wildlife-vehicle collisions disproportionately burden biodiversity in low- and middle-income countries. After standardising for species pools and sampling effort, low- and middle-income countries bear a heavier roadkill burden than high-income countries, with the strongest disparities reaching 2–4-fold for threatened vertebrates but much weaker contrasts for non-threatened species. This reflects elevated collision rates among threatened fauna rather than a broader list of affected species. In China, the same pattern unfolds along a land-use intensity gradient: transformed landscapes elevate risk for common generalists while progressively filtering threatened taxa from the roadscape. Overall, expanding transport networks concentrate contemporary collision burden on threatened biodiversity in low- and middle-income countries.</w:t>
      </w:r>
    </w:p>
    <w:p>
      <w:pPr>
        <w:spacing w:before="120" w:after="120"/>
      </w:pPr>
      <w:r>
        <w:rPr>
          <w:sz w:val="18"/>
        </w:rPr>
        <w:t>——————————————————————————————————————————————————————————————————————</w:t>
      </w:r>
    </w:p>
    <w:p>
      <w:pPr>
        <w:spacing w:before="160" w:after="40" w:line="240" w:lineRule="auto"/>
      </w:pPr>
      <w:r>
        <w:rPr>
          <w:b/>
        </w:rPr>
        <w:t xml:space="preserve">[389] </w:t>
      </w:r>
      <w:hyperlink r:id="rId871">
        <w:r>
          <w:rPr>
            <w:color w:val="1155CC"/>
            <w:u w:val="single"/>
          </w:rPr>
          <w:t>自由基组学揭示异戊二烯氧化的夺氢途径</w:t>
        </w:r>
      </w:hyperlink>
    </w:p>
    <w:p>
      <w:pPr>
        <w:spacing w:before="0" w:after="80"/>
      </w:pPr>
      <w:r>
        <w:rPr>
          <w:i/>
          <w:sz w:val="20"/>
        </w:rPr>
        <w:t>EN: Radical-omics reveals the hydrogen-abstraction pathway of isoprene oxidation</w:t>
      </w:r>
    </w:p>
    <w:p>
      <w:pPr>
        <w:spacing w:before="0" w:after="120"/>
      </w:pPr>
      <w:r>
        <w:rPr>
          <w:b/>
        </w:rPr>
        <w:t xml:space="preserve">Source: </w:t>
      </w:r>
      <w:r>
        <w:t>Earth and environmental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异戊二烯是最丰富的生物挥发性有机化合物（BVOC），对全球二次有机气溶胶（SOA）的形成具有深远影响。它的大气氧化产生多种异构自由基，驱动随后的链增长和机械支化。然而，这些异构体分解自由基的高通量实验表征仍然无法实现，从而在潜在的分子机制中留下了关键的空白。在这里，我们建立了一种自由基组学方法，用于异构体特异性鉴定和检测 VOC 氧化过程中产生的数百种自由基物质。该方法应用于 OH 引发的异戊二烯氧化，能够对四个 OH 添加的烯丙基进行实验定量并测定其支化比。我们进一步发现氢抽象是一个意想不到的重要途径，占总支化的 8.78 ± 3.96%。将更新的机制纳入全球化学品传输模型表明，该途径在热带雨林中贡献了高达 13.5% 的异戊二烯衍生的低挥发性 SOA。这些结果为彻底筛选和有针对性的机制验证提供了实验基础，揭示了复杂大气条件下隐藏的途径。</w:t>
      </w:r>
    </w:p>
    <w:p>
      <w:pPr>
        <w:spacing w:before="0" w:after="200" w:lineRule="auto" w:line="276"/>
      </w:pPr>
      <w:r>
        <w:rPr>
          <w:b/>
        </w:rPr>
        <w:t xml:space="preserve">Abstract (EN): </w:t>
      </w:r>
      <w:r>
        <w:t>Isoprene is the most abundant biogenic volatile organic compound (BVOC) and has far-reaching impacts on secondary organic aerosol (SOA) formation globally. Its atmospheric oxidation produces diverse isomeric radicals that drive subsequent chain propagation and mechanistic branching. However, high-throughput experimental characterization of these isomeric-resolved radicals remains unavailable, leaving critical gaps in the underlying molecular mechanisms. Here we establish a radical-omics approach for isomer-specific identification and detection of hundreds of radical species generated during VOCs oxidation. Applied to OH-initiated isoprene oxidation, this method enables experimental quantification of four OH-added allylic radicals and determination of their branching ratios. We further found hydrogen-abstraction to be an unexpectedly important pathway, contributing up to 8.78 ± 3.96% of total branching. Incorporating the updated mechanism into a global chemical transport model shows that this pathway contributes up to 13.5% of isoprene-derived low-volatility SOA over tropical rainforests. These results provide an experimental foundation for radical screening and targeted mechanistic validation, revealing hidden pathways in complex atmospheric conditions.</w:t>
      </w:r>
    </w:p>
    <w:p>
      <w:pPr>
        <w:spacing w:before="120" w:after="120"/>
      </w:pPr>
      <w:r>
        <w:rPr>
          <w:sz w:val="18"/>
        </w:rPr>
        <w:t>——————————————————————————————————————————————————————————————————————</w:t>
      </w:r>
    </w:p>
    <w:p>
      <w:pPr>
        <w:spacing w:before="160" w:after="40" w:line="240" w:lineRule="auto"/>
      </w:pPr>
      <w:r>
        <w:rPr>
          <w:b/>
        </w:rPr>
        <w:t xml:space="preserve">[390] </w:t>
      </w:r>
      <w:hyperlink r:id="rId872">
        <w:r>
          <w:rPr>
            <w:color w:val="1155CC"/>
            <w:u w:val="single"/>
          </w:rPr>
          <w:t>Urokodia揭示了螯肢动物和螯肢动物书鳃的起源</w:t>
        </w:r>
      </w:hyperlink>
    </w:p>
    <w:p>
      <w:pPr>
        <w:spacing w:before="0" w:after="80"/>
      </w:pPr>
      <w:r>
        <w:rPr>
          <w:i/>
          <w:sz w:val="20"/>
        </w:rPr>
        <w:t>EN: Urokodia sheds light on the origin of chelicerae and book gills of Chelicerata</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873">
        <w:r>
          <w:rPr>
            <w:color w:val="1155CC"/>
            <w:u w:val="single"/>
          </w:rPr>
          <w:t>10.1038/s41586-026-10713-2</w:t>
        </w:r>
      </w:hyperlink>
    </w:p>
    <w:p>
      <w:pPr>
        <w:spacing w:before="0" w:after="120"/>
      </w:pPr>
      <w:r>
        <w:rPr>
          <w:b/>
        </w:rPr>
        <w:t xml:space="preserve">Notes: </w:t>
      </w:r>
      <w:r>
        <w:t>abstract_source=nature_html</w:t>
      </w:r>
    </w:p>
    <w:p>
      <w:pPr>
        <w:spacing w:before="0" w:after="80" w:lineRule="auto" w:line="276"/>
      </w:pPr>
      <w:r>
        <w:rPr>
          <w:b/>
        </w:rPr>
        <w:t xml:space="preserve">摘要（ZH）: </w:t>
      </w:r>
      <w:r>
        <w:t>螯合物是陆生和水生节肢动物的一个不同类群，但它们的起源和早期进化仍然存在争议1,2,3,4,5,6。在不同的假设7、8、9、10、11中，有人提出，螯肢动物的前附肢（称为螯肢动物）是从寒武纪巨型螯虾的短大附肢（SGA）进化而来的12、13、14、15、16，而书鳃则起源于它们的躯干肢7。尽管 Mollisonia plenovenatrix7 和 Megachelicerax cousteaui16 等类群为螯肢动物的早期进化提供了重要线索，但从巨型螯肢类附属物到真正的螯肢动物和书鳃的形态转变仍未解决。在这里，我们使用 X 射线显微断层扫描来揭示 Urokodia aequalis 的三维解剖结构，Urokodia aequalis 是来自中国澄江生物群的一种早期寒武纪真节肢动物。乌罗科迪亚有一个七节的头部，具有硬化的下口、钳状的 SGA 和带有重叠出口瓣的双臂躯干附肢。它的钳状 SGA 代表了多节 SGA 的外观和真正的螯肢动物之间的桥梁结构，其躯干附肢支持书鳃的巨型螯肢起源。系统发育分析一致证实了Cheliceromorpha17的单系性，Urokodia是最早分枝的上部茎群螯虫，它将下部茎群megacheirans与诸如Mollisonia和Megachelicerax等冠状形式联系起来。</w:t>
      </w:r>
    </w:p>
    <w:p>
      <w:pPr>
        <w:spacing w:before="0" w:after="200" w:lineRule="auto" w:line="276"/>
      </w:pPr>
      <w:r>
        <w:rPr>
          <w:b/>
        </w:rPr>
        <w:t xml:space="preserve">Abstract (EN): </w:t>
      </w:r>
      <w:r>
        <w:t>Chelicerates are a diverse group of terrestrial and aquatic arthropods, yet their origin and early evolution remain debated1,2,3,4,5,6. Among different hypotheses7,8,9,10,11, one proposes that the front appendages, known as chelicerae, of chelicerates evolved from the short great appendages (SGAs) of Cambrian megacheirans12,13,14,15,16 and that book gills originated from their trunk limbs7. Although taxa such as Mollisonia plenovenatrix7 and Megachelicerax cousteaui16 provide important clues to the early evolution of chelicerates, the morphological transition from megacheiran-like appendages to true chelicerae and book gills remains unresolved. Here we use X-ray microtomography to reveal the three-dimensional anatomy of Urokodia aequalis, an early Cambrian euarthropod from the Chengjiang biota of China. Urokodia has a seven-segmented head with a sclerotized hypostome, pincer-like SGAs and biramous trunk appendages with overlapping exite flaps. Its pincer-like SGAs represent a bridge structure between the appearance of multisegmented SGAs and true chelicerae, and its trunk appendages support a megacheiran origin of book gills. Phylogenetic analyses consistently confirm the monophyly of Cheliceromorpha17, with Urokodia being the earliest-branching upper stem-group chelicerate that links lower stem-group megacheirans to crownward forms such as Mollisonia and Megachelicerax.</w:t>
      </w:r>
    </w:p>
    <w:p>
      <w:pPr>
        <w:spacing w:before="120" w:after="120"/>
      </w:pPr>
      <w:r>
        <w:rPr>
          <w:sz w:val="18"/>
        </w:rPr>
        <w:t>——————————————————————————————————————————————————————————————————————</w:t>
      </w:r>
    </w:p>
    <w:p>
      <w:pPr>
        <w:spacing w:before="160" w:after="40" w:line="240" w:lineRule="auto"/>
      </w:pPr>
      <w:r>
        <w:rPr>
          <w:b/>
        </w:rPr>
        <w:t xml:space="preserve">[391] </w:t>
      </w:r>
      <w:hyperlink r:id="rId874">
        <w:r>
          <w:rPr>
            <w:color w:val="1155CC"/>
            <w:u w:val="single"/>
          </w:rPr>
          <w:t>纠正先天性肌无力相关的乙酰胆碱受体缺陷</w:t>
        </w:r>
      </w:hyperlink>
    </w:p>
    <w:p>
      <w:pPr>
        <w:spacing w:before="0" w:after="80"/>
      </w:pPr>
      <w:r>
        <w:rPr>
          <w:i/>
          <w:sz w:val="20"/>
        </w:rPr>
        <w:t>EN: Correcting congenital myasthenia-associated acetylcholine receptor defects</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875">
        <w:r>
          <w:rPr>
            <w:color w:val="1155CC"/>
            <w:u w:val="single"/>
          </w:rPr>
          <w:t>10.1038/s41586-026-10706-1</w:t>
        </w:r>
      </w:hyperlink>
    </w:p>
    <w:p>
      <w:pPr>
        <w:spacing w:before="0" w:after="120"/>
      </w:pPr>
      <w:r>
        <w:rPr>
          <w:b/>
        </w:rPr>
        <w:t xml:space="preserve">Notes: </w:t>
      </w:r>
      <w:r>
        <w:t>abstract_source=nature_html</w:t>
      </w:r>
    </w:p>
    <w:p>
      <w:pPr>
        <w:spacing w:before="0" w:after="80" w:lineRule="auto" w:line="276"/>
      </w:pPr>
      <w:r>
        <w:rPr>
          <w:b/>
        </w:rPr>
        <w:t xml:space="preserve">摘要（ZH）: </w:t>
      </w:r>
      <w:r>
        <w:t>自主肌肉收缩是由神经递质乙酰胆碱与其突触后膜上的神经肌肉接头受体结合而触发的，打开离子通道，允许阳离子流入并启动去极化1,2,3。肌肉乙酰胆碱受体的突变通过损害（快通道）或延长（慢通道）通道开放来破坏这一过程1,4。这些缺陷会导致先天性肌无力综合征 (CMS)，其特征是严重的肌肉无力，通常在出生时就出现，在某些情况下，会发展为瘫痪和死亡 5,6。这些致病缺陷的结构机制及其药理学纠正仍然未知。在这里，我们利用低温电子显微镜、化学生物学和电生理学，确定了有药物和无药物的代表性 CMS 突变受体的结构和功能后果。在快速通道疾病相关突变体中，我们发现了一个隐秘的变构位点，该位点是正调节剂所针对的，该调节剂以突变特异性方式恢复门控。在与慢通道疾病相关的受体突变体中，奎尼丁、氟西汀和瑞波西汀充当孔阻滞剂；值得注意的是，抗抑郁药瑞波西汀以一种与突变无关的方式选择性地阻断脱敏受体，这表明其具有重新利用的潜力。从机制上讲，快通道突变使激动剂结合与门控脱开，而慢通道突变则稳定了异常加宽、脱敏样的孔。这些发现揭示了 CMS 发病机制的统一原理，并为精准治疗提供了框架。</w:t>
      </w:r>
    </w:p>
    <w:p>
      <w:pPr>
        <w:spacing w:before="0" w:after="200" w:lineRule="auto" w:line="276"/>
      </w:pPr>
      <w:r>
        <w:rPr>
          <w:b/>
        </w:rPr>
        <w:t xml:space="preserve">Abstract (EN): </w:t>
      </w:r>
      <w:r>
        <w:t>Voluntary muscle contraction is triggered by the neurotransmitter acetylcholine binding its receptors on the postsynaptic membrane of the neuromuscular junction, opening ion channels that allow cation influx and initiate depolarization1,2,3. Mutations in muscle acetylcholine receptors disrupt this process by either impairing (fast-channel) or prolonging (slow-channel) channel openings1,4. These defects cause congenital myasthenic syndromes (CMS), characterized by severe muscle weakness that is often present at birth and, in some cases, progresses to paralysis and death5,6. The structural mechanisms underlying these pathogenic defects and their pharmacological correction remain unknown. Here, using cryogenic electron microscopy, chemical biology and electrophysiology, we determined the structures and functional consequences of representative CMS mutant receptors with and without drugs. In fast-channel disease-associated mutants, we discovered a cryptic allosteric site targeted by positive modulators that restore gating in a mutation-specific manner. In receptor mutants associated with slow-channel disease, quinidine, fluoxetine and reboxetine act as pore blockers; notably, the antidepressant reboxetine selectively blocks desensitized receptors in a mutation-independent fashion, suggesting repurposing potential. Mechanistically, fast-channel mutations uncouple agonist binding from gating, whereas slow-channel mutations stabilize an abnormally widened, desensitized-like pore. These findings reveal unifying principles of CMS pathogenesis and provide a framework for precision therapies.</w:t>
      </w:r>
    </w:p>
    <w:p>
      <w:pPr>
        <w:spacing w:before="120" w:after="120"/>
      </w:pPr>
      <w:r>
        <w:rPr>
          <w:sz w:val="18"/>
        </w:rPr>
        <w:t>——————————————————————————————————————————————————————————————————————</w:t>
      </w:r>
    </w:p>
    <w:p>
      <w:pPr>
        <w:spacing w:before="160" w:after="40" w:line="240" w:lineRule="auto"/>
      </w:pPr>
      <w:r>
        <w:rPr>
          <w:b/>
        </w:rPr>
        <w:t xml:space="preserve">[392] </w:t>
      </w:r>
      <w:hyperlink r:id="rId876">
        <w:r>
          <w:rPr>
            <w:color w:val="1155CC"/>
            <w:u w:val="single"/>
          </w:rPr>
          <w:t>竞争程序塑造皮质感觉运动-关联轴的发展</w:t>
        </w:r>
      </w:hyperlink>
    </w:p>
    <w:p>
      <w:pPr>
        <w:spacing w:before="0" w:after="80"/>
      </w:pPr>
      <w:r>
        <w:rPr>
          <w:i/>
          <w:sz w:val="20"/>
        </w:rPr>
        <w:t>EN: Competing programs shape cortical sensorimotor–association axis development</w:t>
      </w:r>
    </w:p>
    <w:p>
      <w:pPr>
        <w:spacing w:before="0" w:after="120"/>
      </w:pPr>
      <w:r>
        <w:rPr>
          <w:b/>
        </w:rPr>
        <w:t xml:space="preserve">Source: </w:t>
      </w:r>
      <w:r>
        <w:t>Nature</w:t>
      </w:r>
      <w:r>
        <w:t xml:space="preserve">    </w:t>
      </w:r>
      <w:r>
        <w:rPr>
          <w:b/>
        </w:rPr>
        <w:t xml:space="preserve">Pub date: </w:t>
      </w:r>
      <w:r>
        <w:t>2026-07-01 00:00:00+00:00</w:t>
      </w:r>
      <w:r>
        <w:t xml:space="preserve">    </w:t>
      </w:r>
      <w:r>
        <w:rPr>
          <w:b/>
        </w:rPr>
        <w:t xml:space="preserve">DOI: </w:t>
      </w:r>
      <w:hyperlink r:id="rId877">
        <w:r>
          <w:rPr>
            <w:color w:val="1155CC"/>
            <w:u w:val="single"/>
          </w:rPr>
          <w:t>10.1038/s41586-026-10699-x</w:t>
        </w:r>
      </w:hyperlink>
    </w:p>
    <w:p>
      <w:pPr>
        <w:spacing w:before="0" w:after="120"/>
      </w:pPr>
      <w:r>
        <w:rPr>
          <w:b/>
        </w:rPr>
        <w:t xml:space="preserve">Notes: </w:t>
      </w:r>
      <w:r>
        <w:t>abstract_source=nature_html</w:t>
      </w:r>
    </w:p>
    <w:p>
      <w:pPr>
        <w:spacing w:before="0" w:after="80" w:lineRule="auto" w:line="276"/>
      </w:pPr>
      <w:r>
        <w:rPr>
          <w:b/>
        </w:rPr>
        <w:t xml:space="preserve">摘要（ZH）: </w:t>
      </w:r>
      <w:r>
        <w:t>大脑皮层沿着主导的感觉运动到关联（S-A）轴组织，一端由特定模态的初级感觉运动区域锚定，另一端由形成支持抽象认知的分布式网络的跨模态关联区域1,2,3,4,5,6,7,8,9,10,11。形成该轴的发育机制仍不清楚9,10,11,12,13,14,15,16,17,18,19,20,21,22,23,24。在这里，我们提出了支持网络发展（MIND）模型中的多节点诱导-排除的聚合多物种证据，其中S-A模式是由两个相反的转录组定义的程序驱动的诱导和排除的竞争过程控制的。 “周围中央”程序是在额颞极周围诱导的，向内进展到未分化新皮质的中心区域，并定义了高阶关联特征。 “中枢”程序是通过一阶感觉运动丘脑皮质输入集中诱导的，建立主要区域并排除中枢周围程序。这些保守的程序争夺空间，导致轴突引导、细胞间粘附、视黄酸信号传导、突触发生、WNT信号传导和自闭症风险相关基因的区室化表达。值得注意的是，PLXNC1 和 SEMA7A（分别代表中枢周围和中枢程序的受体-配体对）在初级和高级关联皮质轴突之间表现出排斥性相互作用。归纳和排除共同建立了一个 S-A 组织，其中主要区域作为分散的更广阔海洋中的焦点岛屿出现。</w:t>
      </w:r>
    </w:p>
    <w:p>
      <w:pPr>
        <w:spacing w:before="0" w:after="200" w:lineRule="auto" w:line="276"/>
      </w:pPr>
      <w:r>
        <w:rPr>
          <w:b/>
        </w:rPr>
        <w:t xml:space="preserve">Abstract (EN): </w:t>
      </w:r>
      <w:r>
        <w:t>The cerebral cortex is organized along a dominant sensorimotor-to-association (S–A) axis, anchored by modality-specific primary sensorimotor areas at one end and transmodal association areas forming distributed networks that support abstract cognition at the other1,2,3,4,5,6,7,8,9,10,11. The developmental mechanisms shaping this axis remain unclear9,10,11,12,13,14,15,16,17,18,19,20,21,22,23,24. Here we present converging multispecies evidence supporting the multinodal induction–exclusion in network development (MIND) model, in which S–A patterning is governed by competing processes of induction and exclusion driven by two opposing transcriptomically defined programs. ‘Pericentral’ programs are induced around the frontotemporal poles, progress inwards toward the central regions of the undifferentiated neocortex and define higher-order association features. ‘Central’ programs are induced centrally through first-order sensorimotor thalamocortical inputs, establish primary areas and exclude pericentral programs. These conserved programs compete for space, resulting in compartmentalized expression of axon guidance, cell–cell adhesion, retinoic acid signalling, synaptogenesis, WNT signalling and autism-risk-associated genes. Notably, PLXNC1 and SEMA7A, a receptor–ligand pair representing pericentral and central programs, respectively, exhibit repulsive interactions between primary and higher-order association corticocortical axons. Induction and exclusion together establish an S–A organization in which primary areas emerge as focal islands within a broader ocean of distributed association networks. The MIND model provides a unifying framework for experimental, evolutionary and clinical phenomena, revealing induction and exclusion as antagonistic yet complementary principles shaping the S–A axis and processing hierarchies.</w:t>
      </w:r>
    </w:p>
    <w:p>
      <w:pPr>
        <w:spacing w:before="120" w:after="120"/>
      </w:pPr>
      <w:r>
        <w:rPr>
          <w:sz w:val="18"/>
        </w:rPr>
        <w:t>——————————————————————————————————————————————————————————————————————</w:t>
      </w:r>
    </w:p>
    <w:p>
      <w:pPr>
        <w:spacing w:before="160" w:after="40" w:line="240" w:lineRule="auto"/>
      </w:pPr>
      <w:r>
        <w:rPr>
          <w:b/>
        </w:rPr>
        <w:t xml:space="preserve">[393] </w:t>
      </w:r>
      <w:hyperlink r:id="rId878">
        <w:r>
          <w:rPr>
            <w:color w:val="1155CC"/>
            <w:u w:val="single"/>
          </w:rPr>
          <w:t>先前存在的抗体和 T 细胞对 SaCas9、AsCas12a 和 CasΦ 的反应在未接触过的个体中是相当的</w:t>
        </w:r>
      </w:hyperlink>
    </w:p>
    <w:p>
      <w:pPr>
        <w:spacing w:before="0" w:after="80"/>
      </w:pPr>
      <w:r>
        <w:rPr>
          <w:i/>
          <w:sz w:val="20"/>
        </w:rPr>
        <w:t>EN: Pre-existing antibody and T cell responses to SaCas9, AsCas12a and CasΦ are comparable in naïve individuals</w:t>
      </w:r>
    </w:p>
    <w:p>
      <w:pPr>
        <w:spacing w:before="0" w:after="120"/>
      </w:pPr>
      <w:r>
        <w:rPr>
          <w:b/>
        </w:rPr>
        <w:t xml:space="preserve">Source: </w:t>
      </w:r>
      <w:r>
        <w:t>Biological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Cas9 蛋白源自人类病原体，具有免疫原性，因此在使用 Cas9 作为基因编辑工具时，会引起潜在的安全问题并限制临床有效性。因此，由与人类感染不直接相关的生物体开发的 Cas 直向同源物可能更安全。在这里，我们比较了 SaCas9（源自人类病原体金黄色葡萄球菌）、AsCas12a（源自人类共生菌、氨基酸球菌）和 CasΦ（源自细菌噬菌体 Biggiephage）的免疫原性风险。离体和体外分析表明，来自未免疫个体的抗体和 T 细胞对 SaCas9、AsCas12a 和 CasΦ 的识别相似。使用质谱法来鉴定 MHC-I 结合肽，我们发现 SaCas9、AsCas12a 和 CasΦ 肽存在于北美人群中常见的 9 种 MHC-I 蛋白上。因此，我们的结果表明 AsCas12a 和 CasΦ 并不提供 Cas9 的免疫原性较低的替代品，并强调需要对所有用于临床的 Cas 蛋白进行系统的免疫原性评估。</w:t>
      </w:r>
    </w:p>
    <w:p>
      <w:pPr>
        <w:spacing w:before="0" w:after="200" w:lineRule="auto" w:line="276"/>
      </w:pPr>
      <w:r>
        <w:rPr>
          <w:b/>
        </w:rPr>
        <w:t xml:space="preserve">Abstract (EN): </w:t>
      </w:r>
      <w:r>
        <w:t>Cas9 proteins are derived from human pathogens and are immunogenic, thereby raising potential safety concerns and limiting clinical effectiveness when using Cas9 as a gene-editing tool. Cas orthologs developed from organisms not directly associated with human infections may thus be safer. Here we compare the immunogenicity risk of SaCas9 (derived from the human pathogen, Staphylococcus aureus), AsCas12a (derived from the human commensal, Acidaminococcus sp.) and CasΦ (derived from a bacteria phage, Biggiephage). Ex vivo and in vitro analyses show that SaCas9, AsCas12a and CasΦ are recognized similarly by antibodies and T cells from unimmunized individuals. Using mass-spectrometry to identify MHC-I-bound peptides, we find SaCas9, AsCas12a and CasΦ peptides presented on 9 MHC-I proteins commonly found in the North American population. Our results thus indicate that AsCas12a and CasΦ do not present a less immunogenic alternative to Cas9, and underscore the need for systematic immunogenicity evaluation of all Cas proteins intended for clinical use.</w:t>
      </w:r>
    </w:p>
    <w:p>
      <w:pPr>
        <w:spacing w:before="120" w:after="120"/>
      </w:pPr>
      <w:r>
        <w:rPr>
          <w:sz w:val="18"/>
        </w:rPr>
        <w:t>——————————————————————————————————————————————————————————————————————</w:t>
      </w:r>
    </w:p>
    <w:p>
      <w:pPr>
        <w:spacing w:before="160" w:after="40" w:line="240" w:lineRule="auto"/>
      </w:pPr>
      <w:r>
        <w:rPr>
          <w:b/>
        </w:rPr>
        <w:t xml:space="preserve">[394] </w:t>
      </w:r>
      <w:hyperlink r:id="rId879">
        <w:r>
          <w:rPr>
            <w:color w:val="1155CC"/>
            <w:u w:val="single"/>
          </w:rPr>
          <w:t>通过顺序激活的多途径能量耗散增韧弹性体</w:t>
        </w:r>
      </w:hyperlink>
    </w:p>
    <w:p>
      <w:pPr>
        <w:spacing w:before="0" w:after="80"/>
      </w:pPr>
      <w:r>
        <w:rPr>
          <w:i/>
          <w:sz w:val="20"/>
        </w:rPr>
        <w:t>EN: Toughening elastomer via sequentially activated multi-pathway energy dissipation</w:t>
      </w:r>
    </w:p>
    <w:p>
      <w:pPr>
        <w:spacing w:before="0" w:after="120"/>
      </w:pPr>
      <w:r>
        <w:rPr>
          <w:b/>
        </w:rPr>
        <w:t xml:space="preserve">Source: </w:t>
      </w:r>
      <w:r>
        <w:t>Physical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辅助能量耗散路径已纳入弹性体设计中，以增强韧性。然而，大多数涉及多种途径的策略都依赖于非协同耗散，一旦结构进化发生，这种耗散就会停止发挥作用。在此，我们报告了一种通过顺序激活的多路径能量耗散来增韧弹性体的策略，同时将机械联锁网络（MIN）、可裂变机械团和编织网络集成在单个聚合物中。轮烷交联剂用于在聚氨酯中构建 MIN，作为主要的能量耗散途径。当轮烷交联剂的滑动达到最大程度后，嵌入轮烷大环中的truxinate机械载体经历牺牲断裂作为第二途径。随后，轮烷大环裂解产生的线性链与轴链固有地缠结，形成编织网络作为三级能量耗散路径。这种策略大大增强了韧性，并阐明了力团激活如何与聚合物材料中的超分子结构相互作用。</w:t>
      </w:r>
    </w:p>
    <w:p>
      <w:pPr>
        <w:spacing w:before="0" w:after="200" w:lineRule="auto" w:line="276"/>
      </w:pPr>
      <w:r>
        <w:rPr>
          <w:b/>
        </w:rPr>
        <w:t xml:space="preserve">Abstract (EN): </w:t>
      </w:r>
      <w:r>
        <w:t>Auxiliary energy dissipation pathways have been incorporated into elastomer design to enhance the toughness. However, most strategies involving multiple pathways rely on non-synergistic dissipation that ceases to function once structural evolution occurs. Herein, we report a strategy to toughen elastomer via sequentially activated multi-pathway energy dissipation, simultaneously integrating mechanically interlocked networks (MINs), scissile mechanophore, and woven networks within a single polymer. A rotaxane crosslinker is applied to construct MINs in polyurethane as the primary energy dissipation pathway. After the sliding motion of the rotaxane crosslinkers reaches its maximal extent, the truxinate mechanophore embedded in rotaxane’s macrocycle undergoes sacrificial scission as the secondary pathway. Subsequently, the linear chain produced by cleavage of the rotaxane’s macrocycle inherently entangles with the axle chain, resulting in woven networks as the tertiary energy dissipation pathway. This strategy substantially enhances the toughness and clarifies how mechanophore activation interacts with supramolecular architecture in polymeric materials.</w:t>
      </w:r>
    </w:p>
    <w:p>
      <w:pPr>
        <w:spacing w:before="120" w:after="120"/>
      </w:pPr>
      <w:r>
        <w:rPr>
          <w:sz w:val="18"/>
        </w:rPr>
        <w:t>——————————————————————————————————————————————————————————————————————</w:t>
      </w:r>
    </w:p>
    <w:p>
      <w:pPr>
        <w:spacing w:before="160" w:after="40" w:line="240" w:lineRule="auto"/>
      </w:pPr>
      <w:r>
        <w:rPr>
          <w:b/>
        </w:rPr>
        <w:t xml:space="preserve">[395] </w:t>
      </w:r>
      <w:hyperlink r:id="rId880">
        <w:r>
          <w:rPr>
            <w:color w:val="1155CC"/>
            <w:u w:val="single"/>
          </w:rPr>
          <w:t>用于增强电子传输的共价有机框架中的分子桥工程</w:t>
        </w:r>
      </w:hyperlink>
    </w:p>
    <w:p>
      <w:pPr>
        <w:spacing w:before="0" w:after="80"/>
      </w:pPr>
      <w:r>
        <w:rPr>
          <w:i/>
          <w:sz w:val="20"/>
        </w:rPr>
        <w:t>EN: Molecular bridge engineering in covalent organic frameworks for enhanced electronic transport</w:t>
      </w:r>
    </w:p>
    <w:p>
      <w:pPr>
        <w:spacing w:before="0" w:after="120"/>
      </w:pPr>
      <w:r>
        <w:rPr>
          <w:b/>
        </w:rPr>
        <w:t xml:space="preserve">Source: </w:t>
      </w:r>
      <w:r>
        <w:t>Physical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导电二维共价有机框架（2D COF）具有固有的π共轭和长程有序，但它们在薄膜器件中的电性能仍然受到晶界和中断电荷传输的非晶区域的限制。在这里，我们报告了一种简单且可扩展的策略，通过将多晶 COF 域与分子分散的共轭聚合物 (CP) 桥接来克服这些限制。在电子排列、几何兼容性和链长标准的指导下，我们确定了当组装成异质结构时表现出显着增强的电导率的COF-CP组合。通过证明电性能增强仅发生在低于 CP 结晶阈值时，我们表明桥接 CP 需要短程有序或近非晶构型才能有效跨越 COF 晶粒并建立连续的传输路径。该方法与晶圆级制造兼容，并通过将 COF 孔隙率与 CP 介导的电荷传输耦合来实现 ppb 级 NO2 传感。我们的研究结果为基于 COF 的电子材料建立了合理的聚合物桥接策略，并确定了将其扩展到其他 COF-CP 系统的关键设计参数。</w:t>
      </w:r>
    </w:p>
    <w:p>
      <w:pPr>
        <w:spacing w:before="0" w:after="200" w:lineRule="auto" w:line="276"/>
      </w:pPr>
      <w:r>
        <w:rPr>
          <w:b/>
        </w:rPr>
        <w:t xml:space="preserve">Abstract (EN): </w:t>
      </w:r>
      <w:r>
        <w:t>Conductive two-dimensional covalent organic frameworks (2D COFs) possess intrinsic π–conjugation and long-range order, yet their electrical performance in thin-film devices remains constrained by grain boundaries and amorphous regions that interrupt charge transport. Here we report a simple and scalable strategy to overcome these limitations by bridging polycrystalline COF domains with molecularly dispersed conjugated polymers (CPs). Guided by electronic alignment, geometric compatibility, and chain-length criteria, we identify COF–CP combinations that exhibit markedly enhanced conductivity when assembled into heterostructures. By demonstrating that electrical property enhancement occurs only below the CP crystallization threshold, we show that bridging CPs require short-range ordered or near-amorphous configurations to effectively span COF grains and establish continuous transport pathways. This approach is compatible with wafer-scale fabrication and enables ppb-level NO2 sensing by coupling COF porosity with CP-mediated charge transport. Our results establish a rational polymer-bridging strategy for COF-based electronic materials and identify key design parameters for its extension to other COF–CP systems.</w:t>
      </w:r>
    </w:p>
    <w:p>
      <w:pPr>
        <w:spacing w:before="120" w:after="120"/>
      </w:pPr>
      <w:r>
        <w:rPr>
          <w:sz w:val="18"/>
        </w:rPr>
        <w:t>——————————————————————————————————————————————————————————————————————</w:t>
      </w:r>
    </w:p>
    <w:p>
      <w:pPr>
        <w:spacing w:before="160" w:after="40" w:line="240" w:lineRule="auto"/>
      </w:pPr>
      <w:r>
        <w:rPr>
          <w:b/>
        </w:rPr>
        <w:t xml:space="preserve">[396] </w:t>
      </w:r>
      <w:hyperlink r:id="rId881">
        <w:r>
          <w:rPr>
            <w:color w:val="1155CC"/>
            <w:u w:val="single"/>
          </w:rPr>
          <w:t>动力学受阻中性自由基对的旋转观察</w:t>
        </w:r>
      </w:hyperlink>
    </w:p>
    <w:p>
      <w:pPr>
        <w:spacing w:before="0" w:after="80"/>
      </w:pPr>
      <w:r>
        <w:rPr>
          <w:i/>
          <w:sz w:val="20"/>
        </w:rPr>
        <w:t>EN: Rotational observation of kinetically hindered neutral radical pairs</w:t>
      </w:r>
    </w:p>
    <w:p>
      <w:pPr>
        <w:spacing w:before="0" w:after="120"/>
      </w:pPr>
      <w:r>
        <w:rPr>
          <w:b/>
        </w:rPr>
        <w:t xml:space="preserve">Source: </w:t>
      </w:r>
      <w:r>
        <w:t>Physical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由于自由基对的寿命较短，探测自由基对的分子结构仍然具有挑战性。在这里，我们使用持久性硝酰自由基 2,2,6,6-四甲基哌啶-1-氧基 (TEMPO) 作为模型系统，报告其自由基对在超音速分子射流中的旋转特征。该实验采用同位素敏感的高分辨率微波光谱，揭示了两种不同的中性配对模式，避免了电子转移。在每个自由基对中，硝酰基分子建立非共价范德华相互作用，N·O 距离分别为 3.38 和 4.93 Å，经 18O 标记实验证实。电子自旋超精细效应的缺失与量子力学密度泛函预测一致，有利于意想不到的开壳层单线态。这些结果与二甲基硝酰基自由基二聚体的预测形成鲜明对比，二甲基硝酰基自由基二聚体经历自发氢转移至闭壳物种，并证实了 TEMPO 二聚体的动力学受阻或受阻特征。因此，该实验提供了孤立的中性自由基对的直接分子水平图像，并为探索相关自由基物种的量子结构和反应性提供了开放的途径。</w:t>
      </w:r>
    </w:p>
    <w:p>
      <w:pPr>
        <w:spacing w:before="0" w:after="200" w:lineRule="auto" w:line="276"/>
      </w:pPr>
      <w:r>
        <w:rPr>
          <w:b/>
        </w:rPr>
        <w:t xml:space="preserve">Abstract (EN): </w:t>
      </w:r>
      <w:r>
        <w:t>Probing the molecular structure of radical pairs has remained challenging because of their short lifetimes. Here we use the persistent nitroxyl radical 2,2,6,6-tetramethylpiperidin-1-oxyl (TEMPO) as model system, reporting the rotational characterization of its radical pairs in a supersonic molecular jet. The experiment employs isotopic-sensitive high-resolution microwave spectroscopy, revealing two distinct neutral pairing patterns avoiding electron transfer. In each radical pair the nitroxyl molecules establish non-covalent van der Waals interactions with N···O distances of 3.38 and 4.93 Å, respectively, as confirmed by 18O-labeling experiments. The absence of electron spin hyperfine effects is consistent with quantum mechanical density functional predictions favoring an unexpected open-shell singlet. These results starkly contrast with predictions for the dimethyl nitroxyl radical dimer, which undergoes a spontaneous hydrogen transfer to closed-shell species and confirms the kinetically hindered or frustrated character of the TEMPO dimer. The experiment thus provides a direct molecular-level picture of neutral radical pairs in isolation and open avenues for exploring the quantum structure and reactivity of correlated radical species.</w:t>
      </w:r>
    </w:p>
    <w:p>
      <w:pPr>
        <w:spacing w:before="120" w:after="120"/>
      </w:pPr>
      <w:r>
        <w:rPr>
          <w:sz w:val="18"/>
        </w:rPr>
        <w:t>——————————————————————————————————————————————————————————————————————</w:t>
      </w:r>
    </w:p>
    <w:p>
      <w:pPr>
        <w:spacing w:before="160" w:after="40" w:line="240" w:lineRule="auto"/>
      </w:pPr>
      <w:r>
        <w:rPr>
          <w:b/>
        </w:rPr>
        <w:t xml:space="preserve">[397] </w:t>
      </w:r>
      <w:hyperlink r:id="rId882">
        <w:r>
          <w:rPr>
            <w:color w:val="1155CC"/>
            <w:u w:val="single"/>
          </w:rPr>
          <w:t>STARE：用于 6G 波束成形的半导体集成发射阵列架构</w:t>
        </w:r>
      </w:hyperlink>
    </w:p>
    <w:p>
      <w:pPr>
        <w:spacing w:before="0" w:after="80"/>
      </w:pPr>
      <w:r>
        <w:rPr>
          <w:i/>
          <w:sz w:val="20"/>
        </w:rPr>
        <w:t>EN: STARE: a semiconductor-integrated transmit-array architecture for 6G beamforming</w:t>
      </w:r>
    </w:p>
    <w:p>
      <w:pPr>
        <w:spacing w:before="0" w:after="120"/>
      </w:pPr>
      <w:r>
        <w:rPr>
          <w:b/>
        </w:rPr>
        <w:t xml:space="preserve">Source: </w:t>
      </w:r>
      <w:r>
        <w:t>Physical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可重构智能表面 (RIS) 被认为是 6G 的关键技术，但基于液晶、PIN 二极管或变容二极管的现有实现受到响应慢、损耗高和集成成本高等限制。这项研究提出了第一个使用标准半导体工艺直接实现的 RIS 系统。所提出的架构称为 STARE（具有可重新配置元件的半导体发射阵列），将定制设计的选择性重叠二极管 (SOD) 集成到高电阻率硅中，从而实现可调导通电阻和关断电容，同时保持低功耗运行。采用磁耦合的无通孔传输型单元消除了对硅通孔的需要，从而简化了制造并减少了衬底损耗。实验验证表明，在 15.5 GHz 时可实现 -45° 至 +45° 的 180° 相位控制和波束控制。这些结果使 STARE 成为第一个可通过半导体代工制造的 RIS，将器件级制造与系统级波束成形连接起来，并为未来的无线系统提供可扩展、节能且经济高效的解决方案。</w:t>
      </w:r>
    </w:p>
    <w:p>
      <w:pPr>
        <w:spacing w:before="0" w:after="200" w:lineRule="auto" w:line="276"/>
      </w:pPr>
      <w:r>
        <w:rPr>
          <w:b/>
        </w:rPr>
        <w:t xml:space="preserve">Abstract (EN): </w:t>
      </w:r>
      <w:r>
        <w:t>Reconfigurable intelligent surfaces (RIS) are considered a key technology for 6G, but existing implementations based on liquid crystals, PIN diodes, or varactors are limited by slow response, high loss, and costly integration. This study presents the first RIS system directly realized using a standard semiconductor process. The proposed architecture, termed STARE (Semiconductor Transmit Array with Reconfigurable Elements), integrates a custom-designed Selective Overlap Diode (SOD) into high-resistivity silicon, enabling tunable ON resistance and OFF capacitance while maintaining low power operation. A vialess transmit-type unit cell employing magnetic coupling eliminates the need for through silicon vias, thereby simplifying fabrication and reducing substrate losses. Experimental validation demonstrates 180° phase control and beam steering from −45° to +45° at 15.5 GHz. These results establish STARE as the first semiconductor-foundry-manufacturable RIS, bridging device-level fabrication with system-level beamforming and providing a scalable, energy-efficient, and cost-effective solution for future wireless systems.</w:t>
      </w:r>
    </w:p>
    <w:p>
      <w:pPr>
        <w:spacing w:before="120" w:after="120"/>
      </w:pPr>
      <w:r>
        <w:rPr>
          <w:sz w:val="18"/>
        </w:rPr>
        <w:t>——————————————————————————————————————————————————————————————————————</w:t>
      </w:r>
    </w:p>
    <w:p>
      <w:pPr>
        <w:spacing w:before="160" w:after="40" w:line="240" w:lineRule="auto"/>
      </w:pPr>
      <w:r>
        <w:rPr>
          <w:b/>
        </w:rPr>
        <w:t xml:space="preserve">[398] </w:t>
      </w:r>
      <w:hyperlink r:id="rId883">
        <w:r>
          <w:rPr>
            <w:color w:val="1155CC"/>
            <w:u w:val="single"/>
          </w:rPr>
          <w:t>靶向快速循环受体 CD2 和 CD7 增加纳米颗粒向原代 CD4+ T 细胞的递送</w:t>
        </w:r>
      </w:hyperlink>
    </w:p>
    <w:p>
      <w:pPr>
        <w:spacing w:before="0" w:after="80"/>
      </w:pPr>
      <w:r>
        <w:rPr>
          <w:i/>
          <w:sz w:val="20"/>
        </w:rPr>
        <w:t>EN: Targeting rapidly cycling receptors CD2 and CD7 increases nanoparticle delivery to primary CD4+ T cells</w:t>
      </w:r>
    </w:p>
    <w:p>
      <w:pPr>
        <w:spacing w:before="0" w:after="120"/>
      </w:pPr>
      <w:r>
        <w:rPr>
          <w:b/>
        </w:rPr>
        <w:t xml:space="preserve">Source: </w:t>
      </w:r>
      <w:r>
        <w:t>Biological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T 细胞对许多疾病至关重要，但传统上很难转染。我们假设，通过将纳米颗粒靶向经历快速受体介导的内吞作用的表面受体，可以改善治疗药物向 T 细胞的递送。使用用不同荧光团标记细胞内和表面蛋白的内化测定，我们发现 CD2 和 CD7 表现出比其他 T 细胞受体（例如 CD3 或 CD4）显着更高的内化。靶向 CD2 和 CD7 可改善未刺激的原代 CD4+ T 细胞对纳米颗粒的内化，并增强与 CD4+ T 细胞关联的特异性。同样，用靶向 CD2 或 CD7 的抗体功能化 mRNA-脂质纳米颗粒可增强体外 mRNA 向 CD4+ T 细胞的递送。重要的是，靶向 CD2 或 CD7 能够有效地将脂质纳米颗粒介导的 mRNA 递送至体内血液和淋巴组织中的 T 细胞，这表明靶向 T 细胞受体内吞作用可以增强纳米颗粒介导的药物递送至 T 细胞。</w:t>
      </w:r>
    </w:p>
    <w:p>
      <w:pPr>
        <w:spacing w:before="0" w:after="200" w:lineRule="auto" w:line="276"/>
      </w:pPr>
      <w:r>
        <w:rPr>
          <w:b/>
        </w:rPr>
        <w:t xml:space="preserve">Abstract (EN): </w:t>
      </w:r>
      <w:r>
        <w:t>T cells are critically important to many diseases but are traditionally difficult to transfect. We hypothesise that the delivery of therapeutic cargo to T cells can be improved by targeting nanoparticles to surface receptors that undergo rapid receptor-mediated endocytosis. Using an internalisation assay that labelled intracellular and surface proteins with different fluorophores, we find that CD2 and CD7 exhibit significantly higher internalisation than other T cell receptors, such as CD3 or CD4. Targeting CD2 and CD7 improves nanoparticle internalisation by non-stimulated, primary CD4+ T cells and enhances the specificity of association to CD4+ T cells. Similarly, functionalising mRNA-lipid nanoparticles with antibodies targeting CD2 or CD7 enhances mRNA delivery to CD4+ T cells in vitro. Importantly, targeting CD2 or CD7 enables efficient lipid nanoparticle-mediated delivery of mRNA to T cells in blood and lymphoid tissue in vivo, demonstrating that targeting T cell receptor endocytosis can enhance nanoparticle-mediated drug delivery to T cells.</w:t>
      </w:r>
    </w:p>
    <w:p>
      <w:pPr>
        <w:spacing w:before="120" w:after="120"/>
      </w:pPr>
      <w:r>
        <w:rPr>
          <w:sz w:val="18"/>
        </w:rPr>
        <w:t>——————————————————————————————————————————————————————————————————————</w:t>
      </w:r>
    </w:p>
    <w:p>
      <w:pPr>
        <w:spacing w:before="160" w:after="40" w:line="240" w:lineRule="auto"/>
      </w:pPr>
      <w:r>
        <w:rPr>
          <w:b/>
        </w:rPr>
        <w:t xml:space="preserve">[399] </w:t>
      </w:r>
      <w:hyperlink r:id="rId884">
        <w:r>
          <w:rPr>
            <w:color w:val="1155CC"/>
            <w:u w:val="single"/>
          </w:rPr>
          <w:t>用于增强纳米级非线性光学的少原子厚银膜</w:t>
        </w:r>
      </w:hyperlink>
    </w:p>
    <w:p>
      <w:pPr>
        <w:spacing w:before="0" w:after="80"/>
      </w:pPr>
      <w:r>
        <w:rPr>
          <w:i/>
          <w:sz w:val="20"/>
        </w:rPr>
        <w:t>EN: Few-atom-thick silver films for enhanced nanoscale nonlinear optics</w:t>
      </w:r>
    </w:p>
    <w:p>
      <w:pPr>
        <w:spacing w:before="0" w:after="120"/>
      </w:pPr>
      <w:r>
        <w:rPr>
          <w:b/>
        </w:rPr>
        <w:t xml:space="preserve">Source: </w:t>
      </w:r>
      <w:r>
        <w:t>Physical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块体材料固有的弱非线性光学响应仍然是推进光子技术的基本限制。纳米光子学通过调整纳米结构的尺寸和形态来操纵光学近场，从而调制非线性响应来解决这一挑战。在这里，我们探索了一种基于介观范围内的电子能带结构工程的补充策略，以增强光学非线性。具体来说，我们证明了当晶体银薄膜的厚度减小到只有几个原子单层时，二次谐波产生（SHG）会增加。这些超薄膜在块体和二维系统之间的边界上工作，随着厚度的减小，二次谐波显着增强。这种增强源于量子限制效应，它改变了电子态和入射光之间的相互作用，我们根据量子力学计算来解释这一点。我们的原子级薄晶体银薄膜提供了一种新方法来克服纳米光子平台固有的小相互作用体积，从而实现高效的纳米级非线性光学，并在光子学、传感和量子技术中具有潜在的应用。</w:t>
      </w:r>
    </w:p>
    <w:p>
      <w:pPr>
        <w:spacing w:before="0" w:after="200" w:lineRule="auto" w:line="276"/>
      </w:pPr>
      <w:r>
        <w:rPr>
          <w:b/>
        </w:rPr>
        <w:t xml:space="preserve">Abstract (EN): </w:t>
      </w:r>
      <w:r>
        <w:t>The inherently weak nonlinear optical response of bulk materials remains a fundamental limitation in advancing photonic technologies. Nanophotonics addresses this challenge by tailoring the size and morphology of nanostructures to manipulate the optical near field, thus modulating the nonlinear response. Here, we explore a complementary strategy based on engineering the electronic band structure in the mesoscopic regime to enhance optical nonlinearities. Specifically, we demonstrate an increase in second-harmonic generation (SHG) from crystalline silver films as their thickness is reduced down to just a few atomic monolayers. Operating at the boundary between bulk and two-dimensional systems, these ultra-thin films exhibit a pronounced enhancement of SHG with decreasing thickness. This enhancement stems from quantum confinement effects that modify the interaction between electronic states and incident light, which we explain based on quantum-mechanical calculation. Our atomically-thin crystalline silver films provide a new means to overcome the small interaction volumes inherent to nanophotonic platforms, enabling efficient nanoscale nonlinear optics with potential applications in photonics, sensing, and quantum technologies.</w:t>
      </w:r>
    </w:p>
    <w:p>
      <w:pPr>
        <w:spacing w:before="120" w:after="120"/>
      </w:pPr>
      <w:r>
        <w:rPr>
          <w:sz w:val="18"/>
        </w:rPr>
        <w:t>——————————————————————————————————————————————————————————————————————</w:t>
      </w:r>
    </w:p>
    <w:p>
      <w:pPr>
        <w:spacing w:before="160" w:after="40" w:line="240" w:lineRule="auto"/>
      </w:pPr>
      <w:r>
        <w:rPr>
          <w:b/>
        </w:rPr>
        <w:t xml:space="preserve">[400] </w:t>
      </w:r>
      <w:hyperlink r:id="rId885">
        <w:r>
          <w:rPr>
            <w:color w:val="1155CC"/>
            <w:u w:val="single"/>
          </w:rPr>
          <w:t>超长自旋光子光纤可实现偏振增强的可穿戴传感</w:t>
        </w:r>
      </w:hyperlink>
    </w:p>
    <w:p>
      <w:pPr>
        <w:spacing w:before="0" w:after="80"/>
      </w:pPr>
      <w:r>
        <w:rPr>
          <w:i/>
          <w:sz w:val="20"/>
        </w:rPr>
        <w:t>EN: Ultralong, spin-photon fibres enable polarization-enhanced wearable sensing</w:t>
      </w:r>
    </w:p>
    <w:p>
      <w:pPr>
        <w:spacing w:before="0" w:after="120"/>
      </w:pPr>
      <w:r>
        <w:rPr>
          <w:b/>
        </w:rPr>
        <w:t xml:space="preserve">Source: </w:t>
      </w:r>
      <w:r>
        <w:t>Physical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纺织品中的光子为可穿戴传感提供了变革潜力，但动态多变量环境中信号重叠、耦合和质量下降方面持续存在的挑战限制了其功效。提出了一种新的偏振增强传感技术，该技术由能够有效解耦多变量干扰的纺丝纤维纺织品实现。我们开发了一种离散螺旋锚定策略，在挤出过程中自动将圆偏振材料嵌入纤维内，产生公里级的自旋光子纤维——连续长度超过 1300 m。更重要的是，所得的芯鞘珠状纤维的发光不对称系数为0.41。然后生产出纤维编织物，通过我们开发的偏振增强传感方法实现动态、实时信号采集，即将自旋光与周围光场区分开来，在源头实现信号分割和噪声抑制，动态场景下信号熵降低 92.63%。该自旋光子数字信号转换系统实现了1.0（无噪声）的卓越归一化信噪比，从而实现了干扰下100%传感精度的多维机器人控制。此外，我们还展示了该技术在基于偏振的图像处理、目标识别和虚拟现实中的可扩展性和兼容性。这项工作为软机器人和人机共生中强大的嵌入式智能提供了创新的解决方案。</w:t>
      </w:r>
    </w:p>
    <w:p>
      <w:pPr>
        <w:spacing w:before="0" w:after="200" w:lineRule="auto" w:line="276"/>
      </w:pPr>
      <w:r>
        <w:rPr>
          <w:b/>
        </w:rPr>
        <w:t xml:space="preserve">Abstract (EN): </w:t>
      </w:r>
      <w:r>
        <w:t>Photon-in-textile offers transformative potential for wearable sensing, yet persistent challenges in signal overlap, coupling, and quality degradation in dynamic, multivariate environments limit their efficacy. A new polarization-enhanced sensing technology, enabled by a spin fibre-textile capable of efficient decoupling between multivariable interference, is presented. We develop a discrete helix anchoring strategy that autonomously embeds circularly polarized materials within fibres during extrusion, yielding kilometer-scale spin-photon fibres—exceeding 1300 m in continuous length. More importantly, the resulting core-sheath beaded fibres exhibit a luminescence asymmetry factor of 0.41. The fibre-woven fabrics are then produced, allowing for dynamic, real-time signal acquisition by our developed polarization-enhanced sensing approach—that is, distinguishing spin light from surrounding optical fields—achieving signal segmentation and noise suppression at source with 92.63% signal entropy reduction in dynamic scenarios. This spin-photon-digital signal conversion system realizes a superior normalized signal-to-noise ratio of 1.0 (noiseless), thereby enabling multi-dimensional robotic control with 100% sensing accuracy under interference. Furthermore, we demonstrate the scalability and compatibility of this technology in polarization-based image processing, target recognition, and virtual reality. This work offers an innovative solution for robust, embedded intelligence in soft robotics and human-machine symbiosis.</w:t>
      </w:r>
    </w:p>
    <w:p>
      <w:pPr>
        <w:spacing w:before="120" w:after="120"/>
      </w:pPr>
      <w:r>
        <w:rPr>
          <w:sz w:val="18"/>
        </w:rPr>
        <w:t>——————————————————————————————————————————————————————————————————————</w:t>
      </w:r>
    </w:p>
    <w:p>
      <w:pPr>
        <w:spacing w:before="160" w:after="40" w:line="240" w:lineRule="auto"/>
      </w:pPr>
      <w:r>
        <w:rPr>
          <w:b/>
        </w:rPr>
        <w:t xml:space="preserve">[401] </w:t>
      </w:r>
      <w:hyperlink r:id="rId886">
        <w:r>
          <w:rPr>
            <w:color w:val="1155CC"/>
            <w:u w:val="single"/>
          </w:rPr>
          <w:t>黎曼猜想在动态量子相变中的体现</w:t>
        </w:r>
      </w:hyperlink>
    </w:p>
    <w:p>
      <w:pPr>
        <w:spacing w:before="0" w:after="80"/>
      </w:pPr>
      <w:r>
        <w:rPr>
          <w:i/>
          <w:sz w:val="20"/>
        </w:rPr>
        <w:t>EN: The Riemann Hypothesis manifested in dynamical quantum phase transitions</w:t>
      </w:r>
    </w:p>
    <w:p>
      <w:pPr>
        <w:spacing w:before="0" w:after="120"/>
      </w:pPr>
      <w:r>
        <w:rPr>
          <w:b/>
        </w:rPr>
        <w:t xml:space="preserve">Source: </w:t>
      </w:r>
      <w:r>
        <w:t>Physical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黎曼假设 (RH) 是数学中最深刻的未解决问题之一，涉及黎曼 zeta 函数的非平凡零点。将这些零与物理现象联系起来为它们的起源和验证提供了新的视角。在这里，我们在两个互补工程量子多体系统中建立了这些零点和动态量子相变之间的直接对应关系，分别以平均累积相位因子和洛施密特振幅为特征。这种精确的对应关系将 RH 重新定义为在特定温度下发生相变，并将其识别为以前未知的转变机制。我们在量子处理器的原理验证实验中证明了这种对应关系。此外，我们提出了一个量子计算框架，该框架使用多项式资源来实现这两个系统，这表明在探索假设方面具有量子优势。我们的工作连接了非平衡量子动力​​学和数论，将量子计算定位为探索数学猜想、相变等的强大平台。</w:t>
      </w:r>
    </w:p>
    <w:p>
      <w:pPr>
        <w:spacing w:before="0" w:after="200" w:lineRule="auto" w:line="276"/>
      </w:pPr>
      <w:r>
        <w:rPr>
          <w:b/>
        </w:rPr>
        <w:t xml:space="preserve">Abstract (EN): </w:t>
      </w:r>
      <w:r>
        <w:t>The Riemann Hypothesis (RH), one of the most profound unsolved problems in mathematics, concerns the nontrivial zeros of the Riemann zeta function. Linking these zeros to physical phenomena offers new perspectives on their origin and verification. Here we establish a direct correspondence between these zeros and dynamical quantum phase transitions in two complementary engineered quantum many-body systems, characterized by the average accumulated phase factor and the Loschmidt amplitude, respectively. This precise correspondence recasts the RH as the occurrence of phase transitions at a unique temperature and identifies it as a previously unknown transition mechanism. We demonstrate this correspondence in a proof-of-principle experiment on a quantum processor. Moreover, we propose a quantum computational framework that implements both systems with polynomial resources, suggesting quantum advantage in probing the hypothesis. Our work bridges nonequilibrium quantum dynamics and number theory, positioning quantum computing as a powerful platform for exploring mathematical conjectures, phase transitions and beyond.</w:t>
      </w:r>
    </w:p>
    <w:p>
      <w:pPr>
        <w:spacing w:before="120" w:after="120"/>
      </w:pPr>
      <w:r>
        <w:rPr>
          <w:sz w:val="18"/>
        </w:rPr>
        <w:t>——————————————————————————————————————————————————————————————————————</w:t>
      </w:r>
    </w:p>
    <w:p>
      <w:pPr>
        <w:spacing w:before="160" w:after="40" w:line="240" w:lineRule="auto"/>
      </w:pPr>
      <w:r>
        <w:rPr>
          <w:b/>
        </w:rPr>
        <w:t xml:space="preserve">[402] </w:t>
      </w:r>
      <w:hyperlink r:id="rId887">
        <w:r>
          <w:rPr>
            <w:color w:val="1155CC"/>
            <w:u w:val="single"/>
          </w:rPr>
          <w:t>DNA 低甲基化使转录抑制子 SlSPL-CNR 控制水果风味酯的生物合成</w:t>
        </w:r>
      </w:hyperlink>
    </w:p>
    <w:p>
      <w:pPr>
        <w:spacing w:before="0" w:after="80"/>
      </w:pPr>
      <w:r>
        <w:rPr>
          <w:i/>
          <w:sz w:val="20"/>
        </w:rPr>
        <w:t>EN: DNA hypomethylation enables the transcriptional repressor SlSPL-CNR to control fruit flavor ester biosynthesis</w:t>
      </w:r>
    </w:p>
    <w:p>
      <w:pPr>
        <w:spacing w:before="0" w:after="120"/>
      </w:pPr>
      <w:r>
        <w:rPr>
          <w:b/>
        </w:rPr>
        <w:t xml:space="preserve">Source: </w:t>
      </w:r>
      <w:r>
        <w:t>Biological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DNA 甲基化的减少传统上与基因激活有关。在这里，我们证明 DNA 低甲基化允许转录抑制子的结合，导致基因沉默。在番茄中，SQUAMOSA 启动子结合蛋白样 TF SlSPL-CNR 表现出甲基化敏感的 DNA 结合，并优先占据未甲基化的 GTACGG 基序。在果实成熟过程中，DEMETER-LIKE 2 (SlDML2) 介导的醇酰基转移酶 1 (SlAAT1) 启动子处的 DNA 去甲基化允许 SlSPL-CNR 结合，进而抑制 SlAAT1 表达，从而调节酯代谢物（水果风味的关键成分）的生物合成。结构分析表明，胞嘧啶甲基化在 SlSPL-CNR 的 SBP 结构域中引入了与 Gln94 的空间冲突，解释了其甲基化敏感性。 SlSPL-CNR 的 CRISPR 敲除可解除 SlAAT1 的抑制并增加酯的积累，证实了其抑制作用。重要的是，这种甲基化敏感结合在水稻、玉米和番茄的 SBP 结构域蛋白中是保守的。我们的研究结果揭示了 DNA 低甲基化促进阻遏蛋白招募的机制，建立了将表观遗传动力学与植物代谢控制联系起来的调控逻辑。</w:t>
      </w:r>
    </w:p>
    <w:p>
      <w:pPr>
        <w:spacing w:before="0" w:after="200" w:lineRule="auto" w:line="276"/>
      </w:pPr>
      <w:r>
        <w:rPr>
          <w:b/>
        </w:rPr>
        <w:t xml:space="preserve">Abstract (EN): </w:t>
      </w:r>
      <w:r>
        <w:t>Reduction of DNA methylation has traditionally been associated with gene activation. Here, we show that DNA hypomethylation permits the binding of a transcriptional repressor, leading to gene silencing. In tomato, the SQUAMOSA PROMOTER BINDING PROTEIN-LIKE TF SlSPL-CNR exhibits methylation-sensitive DNA binding and preferentially occupies unmethylated GTACGG motifs. During fruit ripening, DEMETER-LIKE 2 (SlDML2)-mediated DNA demethylation at the alcohol acyltransferase 1 (SlAAT1) promoter allows SlSPL-CNR binding, which in turn represses SlAAT1 expression and thereby modulates the biosynthesis of ester metabolites—key components of fruit flavor. Structural analysis reveals that cytosine methylation introduces a steric clash with Gln94 in the SBP domain of SlSPL-CNR, explaining its methylation sensitivity. CRISPR knockout of SlSPL-CNR de-represses SlAAT1 and increases ester accumulation, confirming its inhibitory role. Importantly, this methylation-sensitive binding is conserved across SBP domain proteins from rice, maize, and tomato. Our findings reveal a mechanism in which DNA hypomethylation facilitates repressor recruitment, establishing a regulatory logic linking epigenetic dynamics to metabolic control in plants.</w:t>
      </w:r>
    </w:p>
    <w:p>
      <w:pPr>
        <w:spacing w:before="120" w:after="120"/>
      </w:pPr>
      <w:r>
        <w:rPr>
          <w:sz w:val="18"/>
        </w:rPr>
        <w:t>——————————————————————————————————————————————————————————————————————</w:t>
      </w:r>
    </w:p>
    <w:p>
      <w:pPr>
        <w:spacing w:before="160" w:after="40" w:line="240" w:lineRule="auto"/>
      </w:pPr>
      <w:r>
        <w:rPr>
          <w:b/>
        </w:rPr>
        <w:t xml:space="preserve">[403] </w:t>
      </w:r>
      <w:hyperlink r:id="rId888">
        <w:r>
          <w:rPr>
            <w:color w:val="1155CC"/>
            <w:u w:val="single"/>
          </w:rPr>
          <w:t>CA1 锥体细胞和 SST+ 中间神经元的电压成像揭示了空间放电的稳定性和可塑性机制</w:t>
        </w:r>
      </w:hyperlink>
    </w:p>
    <w:p>
      <w:pPr>
        <w:spacing w:before="0" w:after="80"/>
      </w:pPr>
      <w:r>
        <w:rPr>
          <w:i/>
          <w:sz w:val="20"/>
        </w:rPr>
        <w:t>EN: Voltage imaging of CA1 pyramidal cells and SST+ interneurons reveals stability and plasticity mechanisms of spatial firing</w:t>
      </w:r>
    </w:p>
    <w:p>
      <w:pPr>
        <w:spacing w:before="0" w:after="120"/>
      </w:pPr>
      <w:r>
        <w:rPr>
          <w:b/>
        </w:rPr>
        <w:t xml:space="preserve">Source: </w:t>
      </w:r>
      <w:r>
        <w:t>Biological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海马位置细胞（PC）对于空间编码和情景记忆很重要。 PC 的表征会随着环境之间的转换而变化（全局重新映射），但也会随着反复暴露于熟悉的空间而发生变化（表征漂移）。为了深入了解电路可塑性和稳定性之间这种独特平衡的机制基础，我们使用电压成像纵向记录虚拟导航期间小鼠海马 CA1 内锥体神经元 (PN) 和生长抑素阳性中间神经元 (SST) 的阈下和尖峰活动。两个群体中的一小部分细胞都表现出空间调谐，并且许多 SST 在空间上进行了速度调谐或均匀发射。细胞内记录显示 PN 场中 θ 功率增加和不对称斜坡状去极化，而 SST 表现出对称去极化，而 θ 没有增加。尽管海表温度表现出非常稳定的放电和阈下特性，但数周的纵向记录表明两个群体的代表性漂移。向新环境的过渡会引起两个种群的重新定位，同时伴随着 SST 活性的增加和 PN 活性的减少。这些结果提供了关于海马回路如何平衡表征稳定性与经验依赖性可塑性的见解。</w:t>
      </w:r>
    </w:p>
    <w:p>
      <w:pPr>
        <w:spacing w:before="0" w:after="200" w:lineRule="auto" w:line="276"/>
      </w:pPr>
      <w:r>
        <w:rPr>
          <w:b/>
        </w:rPr>
        <w:t xml:space="preserve">Abstract (EN): </w:t>
      </w:r>
      <w:r>
        <w:t>Hippocampal place cells (PCs) are important for spatial coding and episodic memory. PCs’ representations are modulated upon transitioning between environments (global remapping) but also change with repeated exposure to familiar spaces (representational drift). To gain insights into the mechanistic basis for this unique balance between circuit plasticity and stability, we used voltage imaging to longitudinally record the subthreshold and spiking activity of pyramidal neurons (PNs) and somatostatin-positive interneurons (SSTs) within mouse hippocampal CA1 during virtual navigation. A fraction of cells from both populations showed spatial tuning, and many SSTs were speed-tuned or fired uniformly across space. Intracellular recordings revealed increased theta power and asymmetric ramp-like depolarization in PN place fields, while SSTs exhibited symmetric depolarization with no theta increase. Longitudinal recordings across weeks demonstrated representational drifts in both populations, although SSTs exhibited remarkably stable firing and subthreshold properties. Transition to a novel environment induced remapping in both populations, accompanied by an increase in SST activity and a reduction in PN activity. These results provide insights into how hippocampal circuits balance representational stability with experience-dependent plasticity.</w:t>
      </w:r>
    </w:p>
    <w:p>
      <w:pPr>
        <w:spacing w:before="120" w:after="120"/>
      </w:pPr>
      <w:r>
        <w:rPr>
          <w:sz w:val="18"/>
        </w:rPr>
        <w:t>——————————————————————————————————————————————————————————————————————</w:t>
      </w:r>
    </w:p>
    <w:p>
      <w:pPr>
        <w:spacing w:before="160" w:after="40" w:line="240" w:lineRule="auto"/>
      </w:pPr>
      <w:r>
        <w:rPr>
          <w:b/>
        </w:rPr>
        <w:t xml:space="preserve">[404] </w:t>
      </w:r>
      <w:hyperlink r:id="rId889">
        <w:r>
          <w:rPr>
            <w:color w:val="1155CC"/>
            <w:u w:val="single"/>
          </w:rPr>
          <w:t>神经干细胞和祖细胞中 Echs1 的缺失会通过内质网应激激活和脂质代谢重编程损害神经发生</w:t>
        </w:r>
      </w:hyperlink>
    </w:p>
    <w:p>
      <w:pPr>
        <w:spacing w:before="0" w:after="80"/>
      </w:pPr>
      <w:r>
        <w:rPr>
          <w:i/>
          <w:sz w:val="20"/>
        </w:rPr>
        <w:t>EN: Loss of Echs1 in neural stem and progenitor cells impairs neurogenesis via ER stress activation and lipid metabolic reprogramming</w:t>
      </w:r>
    </w:p>
    <w:p>
      <w:pPr>
        <w:spacing w:before="0" w:after="120"/>
      </w:pPr>
      <w:r>
        <w:rPr>
          <w:b/>
        </w:rPr>
        <w:t xml:space="preserve">Source: </w:t>
      </w:r>
      <w:r>
        <w:t>Biological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线粒体短链烯酰辅酶 A 水合酶 1 缺乏症 (ECHS1D) 是一种罕见且严重的脑病，与神经发育障碍有关，但代谢功能障碍与神经发生受损之间的联系仍不清楚。在这项研究中，我们证明神经干/祖细胞 (NSPC) 中 Echs1 的缺失会导致脂肪酸积累，从而阻碍增殖和分化，同时促进细胞凋亡。从机制上讲，Echs1 缺陷会增加巴豆酰辅酶 A 水平，导致整体组蛋白巴豆酰化 (Kcr) 和 H3K9cr 富集。神经发育基因启动子，例如内质网 (ER) 应激调节因子 Atf4，获得 H3K9cr。 Atf4 随后上调脂肪酸合酶 (Fasn)，形成一个加剧脂质积累的前馈循环。抑制 Fasn 可以挽救这些缺陷。通过牛磺熊去氧胆酸 (TUDCA) 或 Atf4 抑制来缓解 ER 应激可恢复体外神经发生并提高体内存活率。这项研究揭示了 Echs1-H3K9cr-Atf4-Fasn 轴，该轴通过表观遗传重编程将新陈代谢与神经发生联系起来，并表明 TUDCA 作为 ECHS1D 的潜在治疗方法。</w:t>
      </w:r>
    </w:p>
    <w:p>
      <w:pPr>
        <w:spacing w:before="0" w:after="200" w:lineRule="auto" w:line="276"/>
      </w:pPr>
      <w:r>
        <w:rPr>
          <w:b/>
        </w:rPr>
        <w:t xml:space="preserve">Abstract (EN): </w:t>
      </w:r>
      <w:r>
        <w:t>Mitochondrial short-chain enoyl-CoA hydratase 1 deficiency (ECHS1D) is a rare and severe encephalopathy linked to neurodevelopmental disorders, yet the connection between metabolic dysfunction and impaired neurogenesis remains unclear. In this study, we demonstrate that the loss of Echs1 in neural stem/progenitor cells (NSPCs) leads to fatty acid accumulation, which hinders proliferation and differentiation while promoting apoptosis. Mechanistically, Echs1 deficiency increases crotonyl-CoA levels, resulting in global histone crotonylation (Kcr) with an enrichment of H3K9cr. Neurodevelopmental gene promoters, such as the endoplasmic reticulum (ER) stress regulator Atf4, acquire H3K9cr. Atf4 then upregulates fatty acid synthase (Fasn), creating a feed-forward loop that exacerbates lipid accumulation. Inhibiting Fasn can rescue these defects. Alleviating ER stress through tauroursodeoxycholic acid (TUDCA) or Atf4 inhibition restores neurogenesis in vitro and enhances survival in vivo. This study uncovers an Echs1-H3K9cr-Atf4-Fasn axis that links metabolism to neurogenesis through epigenetic reprogramming and suggests TUDCA as a potential treatment for ECHS1D.</w:t>
      </w:r>
    </w:p>
    <w:p>
      <w:pPr>
        <w:spacing w:before="120" w:after="120"/>
      </w:pPr>
      <w:r>
        <w:rPr>
          <w:sz w:val="18"/>
        </w:rPr>
        <w:t>——————————————————————————————————————————————————————————————————————</w:t>
      </w:r>
    </w:p>
    <w:p>
      <w:pPr>
        <w:spacing w:before="160" w:after="40" w:line="240" w:lineRule="auto"/>
      </w:pPr>
      <w:r>
        <w:rPr>
          <w:b/>
        </w:rPr>
        <w:t xml:space="preserve">[405] </w:t>
      </w:r>
      <w:hyperlink r:id="rId890">
        <w:r>
          <w:rPr>
            <w:color w:val="1155CC"/>
            <w:u w:val="single"/>
          </w:rPr>
          <w:t>作者更正：地理和细菌网络以不同方式塑造了获得性和潜在的全球污水抗性组</w:t>
        </w:r>
      </w:hyperlink>
    </w:p>
    <w:p>
      <w:pPr>
        <w:spacing w:before="0" w:after="80"/>
      </w:pPr>
      <w:r>
        <w:rPr>
          <w:i/>
          <w:sz w:val="20"/>
        </w:rPr>
        <w:t>EN: Author Correction: Geographics and bacterial networks differently shape the acquired and latent global sewage resistomes</w:t>
      </w:r>
    </w:p>
    <w:p>
      <w:pPr>
        <w:spacing w:before="0" w:after="120"/>
      </w:pPr>
      <w:r>
        <w:rPr>
          <w:b/>
        </w:rPr>
        <w:t xml:space="preserve">Source: </w:t>
      </w:r>
      <w:r>
        <w:t>Biological sciences : Nature Communications subject feeds</w:t>
      </w:r>
      <w:r>
        <w:t xml:space="preserve">    </w:t>
      </w:r>
      <w:r>
        <w:rPr>
          <w:b/>
        </w:rPr>
        <w:t xml:space="preserve">Pub date: </w:t>
      </w:r>
      <w:r>
        <w:t>2026-07-01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[406] </w:t>
      </w:r>
      <w:hyperlink r:id="rId891">
        <w:r>
          <w:rPr>
            <w:color w:val="1155CC"/>
            <w:u w:val="single"/>
          </w:rPr>
          <w:t>北方多年冻土生态系统复合土壤和大气干燥条件下的植被褐化模式</w:t>
        </w:r>
      </w:hyperlink>
    </w:p>
    <w:p>
      <w:pPr>
        <w:spacing w:before="0" w:after="80"/>
      </w:pPr>
      <w:r>
        <w:rPr>
          <w:i/>
          <w:sz w:val="20"/>
        </w:rPr>
        <w:t>EN: Vegetation browning patterns under compound soil and atmospheric dryness in northern permafrost ecosystems</w:t>
      </w:r>
    </w:p>
    <w:p>
      <w:pPr>
        <w:spacing w:before="0" w:after="120"/>
      </w:pPr>
      <w:r>
        <w:rPr>
          <w:b/>
        </w:rPr>
        <w:t xml:space="preserve">Source: </w:t>
      </w:r>
      <w:r>
        <w:t>Biological sciences : Nature Communications subject feeds</w:t>
      </w:r>
      <w:r>
        <w:t xml:space="preserve">    </w:t>
      </w:r>
      <w:r>
        <w:rPr>
          <w:b/>
        </w:rPr>
        <w:t xml:space="preserve">Pub date: </w:t>
      </w:r>
      <w:r>
        <w:t>2026-07-01 00:00:00+00:00</w:t>
      </w:r>
    </w:p>
    <w:p>
      <w:pPr>
        <w:spacing w:before="0" w:after="120"/>
      </w:pPr>
      <w:r>
        <w:rPr>
          <w:b/>
        </w:rPr>
        <w:t xml:space="preserve">Notes: </w:t>
      </w:r>
      <w:r>
        <w:t>abstract_source=nature_html</w:t>
      </w:r>
    </w:p>
    <w:p>
      <w:pPr>
        <w:spacing w:before="0" w:after="80" w:lineRule="auto" w:line="276"/>
      </w:pPr>
      <w:r>
        <w:rPr>
          <w:b/>
        </w:rPr>
        <w:t xml:space="preserve">摘要（ZH）: </w:t>
      </w:r>
      <w:r>
        <w:t>在北部永久冻土带观察到植被绿度和褐变的显着变化，对生态系统功能和碳吸收产生重要影响。虽然最近的研究提高了我们对绿化驱动因素的理解，但褐变背后的过程——尤其是更直接暴露于土壤和大气水分不足的低矮灌木和草本植被——仍然不太清楚。为了表征褐变模式，我们将多个遥感数据集（包括归一化植被指数 (NDVI)、太阳诱导叶绿素荧光 (SIF) 和叶绿素浓度 (FCC)）与 CMIP6 地球系统模型 (ESM) 的总初级生产力 (GPP) 模拟相结合。我们确定了 2001 年至 2018 年显着的褐变趋势（−0.033 至 − 0.025 decade-1，来自 MODIS NDVI），影响了研究区域约 20%（约 600,000 平方公里）。褐变主要受复合土壤和大气干燥的调节，反映在土壤湿度下降和蒸气压不足增加的同时。我们进一步表明，区域变暖和降水变化，以及与永久冻土相关的渗透和储存限制，调节了复合干旱的空间异质性。 CMIP6 预测表明，永久冻土生态系统中的复合干旱可能持续或加剧，这意味着生产力损失的风险持续存在，特别是与野火等脉冲干扰相结合时。</w:t>
      </w:r>
    </w:p>
    <w:p>
      <w:pPr>
        <w:spacing w:before="0" w:after="200" w:lineRule="auto" w:line="276"/>
      </w:pPr>
      <w:r>
        <w:rPr>
          <w:b/>
        </w:rPr>
        <w:t xml:space="preserve">Abstract (EN): </w:t>
      </w:r>
      <w:r>
        <w:t>Significant changes in vegetation greenness and browning have been observed across the northern permafrost zone, with important implications for ecosystem functioning and carbon uptake. While recent research has improved our understanding of the drivers of greening, the processes behind browning – especially the low-stature shrubs and herbaceous vegetation, which is more directly exposed to soil and atmospheric moisture deficits – remain less clear. To characterize browning patterns, we integrate multiple remote sensing datasets – including normalized difference vegetation index (NDVI), solar-induced chlorophyll fluorescence (SIF), and foliar chlorophyll concentration (FCC) – with gross primary productivity (GPP) simulations from CMIP6 Earth system models (ESM). We identify significant browning trends (−0.033 to − 0.025 decade-1, from MODIS NDVI) from 2001 to 2018, affecting approximately 20 % (~600,000 km2) of the study region. Browning is primarily modulated by compound soil and atmospheric dryness, reflected by declining soil moisture concurrent with increasing vapor pressure deficit. We further show that regional warming and changes in precipitation, together with permafrost-related constraints on infiltration and storage, modulate the spatial heterogeneity of compound dryness. CMIP6 projections suggest that compound dryness is likely to persist or intensify in permafrost ecosystems, implying continued risk of productivity loss, especially when combined with pulse disturbances such as wildfires.</w:t>
      </w:r>
    </w:p>
    <w:p>
      <w:pPr>
        <w:spacing w:before="120" w:after="120"/>
      </w:pPr>
      <w:r>
        <w:rPr>
          <w:sz w:val="18"/>
        </w:rPr>
        <w:t>——————————————————————————————————————————————————————————————————————</w:t>
      </w:r>
    </w:p>
    <w:p>
      <w:pPr>
        <w:spacing w:before="160" w:after="40" w:line="240" w:lineRule="auto"/>
      </w:pPr>
      <w:r>
        <w:rPr>
          <w:b/>
        </w:rPr>
        <w:t xml:space="preserve">[407] </w:t>
      </w:r>
      <w:hyperlink r:id="rId892">
        <w:r>
          <w:rPr>
            <w:color w:val="1155CC"/>
            <w:u w:val="single"/>
          </w:rPr>
          <w:t>血红素铜氧化酶中电子离域铜酪氨酸态的光谱解析揭示了其在质子泵送中的作用</w:t>
        </w:r>
      </w:hyperlink>
    </w:p>
    <w:p>
      <w:pPr>
        <w:spacing w:before="0" w:after="80"/>
      </w:pPr>
      <w:r>
        <w:rPr>
          <w:i/>
          <w:sz w:val="20"/>
        </w:rPr>
        <w:t>EN: Spectroscopic elucidation of an electron-delocalized copper–tyrosine state in heme–copper oxidases reveals its role in proton pumping</w:t>
      </w:r>
    </w:p>
    <w:p>
      <w:pPr>
        <w:spacing w:before="0" w:after="120"/>
      </w:pPr>
      <w:r>
        <w:rPr>
          <w:b/>
        </w:rPr>
        <w:t xml:space="preserve">Source: </w:t>
      </w:r>
      <w:r>
        <w:t>Proceedings of the National Academy of Sciences: Keyword search for query</w:t>
      </w:r>
      <w:r>
        <w:t xml:space="preserve">    </w:t>
      </w:r>
      <w:r>
        <w:rPr>
          <w:b/>
        </w:rPr>
        <w:t xml:space="preserve">Pub date: </w:t>
      </w:r>
      <w:r>
        <w:t>2026-07-01 07:00:00+00:00</w:t>
      </w:r>
      <w:r>
        <w:t xml:space="preserve">    </w:t>
      </w:r>
      <w:r>
        <w:rPr>
          <w:b/>
        </w:rPr>
        <w:t xml:space="preserve">DOI: </w:t>
      </w:r>
      <w:hyperlink r:id="rId893">
        <w:r>
          <w:rPr>
            <w:color w:val="1155CC"/>
            <w:u w:val="single"/>
          </w:rPr>
          <w:t>10.1073/pnas.2602110123</w:t>
        </w:r>
      </w:hyperlink>
    </w:p>
    <w:p>
      <w:pPr>
        <w:spacing w:before="0" w:after="120"/>
      </w:pPr>
      <w:r>
        <w:rPr>
          <w:b/>
        </w:rPr>
        <w:t xml:space="preserve">Notes: </w:t>
      </w:r>
      <w:r>
        <w:t>abstract_source=crossref</w:t>
      </w:r>
    </w:p>
    <w:p>
      <w:pPr>
        <w:spacing w:before="0" w:after="80" w:lineRule="auto" w:line="276"/>
      </w:pPr>
      <w:r>
        <w:rPr>
          <w:b/>
        </w:rPr>
        <w:t xml:space="preserve">摘要（ZH）: </w:t>
      </w:r>
      <w:r>
        <w:t>血红素-铜氧化酶是电子传递链中的末端呼吸复合物，利用分子氧还原成水的能量，逆梯度泵送质子穿过线粒体或细菌膜，为 ATP 合成提供动力。虽然血红素铜氧化酶中的质子泵在四十多年前就已被发现，但对质子泵机制的分子水平理解仍然难以捉摸。特别是，由于这些酶中其他氧化还原中心的光谱特征强烈重叠，血红素-铜活性位点（包括与铜配体共价交联的独特酪氨酸残基）的作用仍然难以接近。在这里，通过利用位点选择性光谱方法，我们表明活性位点铜及其交联酪氨酸直接控制质子泵送，提供了该过程背后的分子机制。这是通过对血红素铜氧化酶的第一个质子泵步骤中形成的关键中间体 F 的实验阐明来实现的。通过对氧代血红素中心进行变温、变场磁圆二色光谱和对F的铜中心进行K边缘X射线吸收光谱，我们发现F中的铁(IV)-氧代与电子离域的铜/酪氨酸自由基发生铁磁耦合。这些结果表明，由血红素-铜中心的质子化引发的铜（I）-酪氨酰基自由基特性能够实现质子泵送。此外，我们发现铜-酪氨酰自由基特征在所有四种质子泵中间体中都得到了再生，从而完成了</w:t>
      </w:r>
    </w:p>
    <w:p>
      <w:pPr>
        <w:spacing w:before="0" w:after="200" w:lineRule="auto" w:line="276"/>
      </w:pPr>
      <w:r>
        <w:rPr>
          <w:b/>
        </w:rPr>
        <w:t xml:space="preserve">Abstract (EN): </w:t>
      </w:r>
      <w:r>
        <w:t>Heme–copper oxidases, the terminal respiratory complex in the electron transport chain, harness the energy from the reduction of dioxygen to water to pump protons across mitochondrial or bacterial membranes against a gradient to power ATP synthesis. While proton pumping in heme–copper oxidases was discovered more than four decades ago, a molecular-level understanding of the proton pumping mechanism remains elusive. Particularly, the role of the heme–copper active site, including a unique tyrosine residue covalently crosslinked to a copper ligand, remained inaccessible due to intense overlapping spectroscopic features from other redox centers in these enzymes. Here, by leveraging site-selective spectroscopic methods, we show that the active site copper and its crosslinked tyrosine directly control the proton pumping, providing the molecular mechanism underlying this process. This was achieved by experimental elucidation of the key intermediate F, formed in the first proton pumping step in heme–copper oxidases. By performing variable-temperature, variable-field magnetic circular dichroism spectroscopy on the oxo-heme center and K-edge X-ray absorption spectroscopy on the copper center of F, we find that the iron(IV)-oxo in F is ferromagnetically coupled to an electron-delocalized copper/tyrosine radical. These results show that the copper(I)-tyrosyl radical character, triggered by protonation of the heme–copper center, enables proton pumping. Furthermore, we find that the copper-tyrosyl radical character is regenerated in all four proton pumping intermediates, completing the molecular mechanism for proton pumping by the respiratory oxidase family of enzymes.</w:t>
      </w:r>
    </w:p>
    <w:p>
      <w:pPr>
        <w:spacing w:before="120" w:after="120"/>
      </w:pPr>
      <w:r>
        <w:rPr>
          <w:sz w:val="18"/>
        </w:rPr>
        <w:t>——————————————————————————————————————————————————————————————————————</w:t>
      </w:r>
    </w:p>
    <w:p>
      <w:pPr>
        <w:spacing w:before="160" w:after="40" w:line="240" w:lineRule="auto"/>
      </w:pPr>
      <w:r>
        <w:rPr>
          <w:b/>
        </w:rPr>
        <w:t xml:space="preserve">[408] </w:t>
      </w:r>
      <w:hyperlink r:id="rId894">
        <w:r>
          <w:rPr>
            <w:color w:val="1155CC"/>
            <w:u w:val="single"/>
          </w:rPr>
          <w:t>转录因子调节真皮结构以产生蜥蜴的结构和色素颜色多样性</w:t>
        </w:r>
      </w:hyperlink>
    </w:p>
    <w:p>
      <w:pPr>
        <w:spacing w:before="0" w:after="80"/>
      </w:pPr>
      <w:r>
        <w:rPr>
          <w:i/>
          <w:sz w:val="20"/>
        </w:rPr>
        <w:t>EN: A transcription factor modulates dermal architecture to generate structural and pigment color diversity in lizards</w:t>
      </w:r>
    </w:p>
    <w:p>
      <w:pPr>
        <w:spacing w:before="0" w:after="120"/>
      </w:pPr>
      <w:r>
        <w:rPr>
          <w:b/>
        </w:rPr>
        <w:t xml:space="preserve">Source: </w:t>
      </w:r>
      <w:r>
        <w:t>Proceedings of the National Academy of Sciences: Keyword search for query</w:t>
      </w:r>
      <w:r>
        <w:t xml:space="preserve">    </w:t>
      </w:r>
      <w:r>
        <w:rPr>
          <w:b/>
        </w:rPr>
        <w:t xml:space="preserve">Pub date: </w:t>
      </w:r>
      <w:r>
        <w:t>2026-07-01 07:00:00+00:00</w:t>
      </w:r>
      <w:r>
        <w:t xml:space="preserve">    </w:t>
      </w:r>
      <w:r>
        <w:rPr>
          <w:b/>
        </w:rPr>
        <w:t xml:space="preserve">DOI: </w:t>
      </w:r>
      <w:hyperlink r:id="rId895">
        <w:r>
          <w:rPr>
            <w:color w:val="1155CC"/>
            <w:u w:val="single"/>
          </w:rPr>
          <w:t>10.1073/pnas.2604532123</w:t>
        </w:r>
      </w:hyperlink>
    </w:p>
    <w:p>
      <w:pPr>
        <w:spacing w:before="0" w:after="120"/>
      </w:pPr>
      <w:r>
        <w:rPr>
          <w:b/>
        </w:rPr>
        <w:t xml:space="preserve">Notes: </w:t>
      </w:r>
      <w:r>
        <w:t>abstract_source=crossref</w:t>
      </w:r>
    </w:p>
    <w:p>
      <w:pPr>
        <w:spacing w:before="0" w:after="80" w:lineRule="auto" w:line="276"/>
      </w:pPr>
      <w:r>
        <w:rPr>
          <w:b/>
        </w:rPr>
        <w:t xml:space="preserve">摘要（ZH）: </w:t>
      </w:r>
      <w:r>
        <w:t>生物体感知世界的方式影响其进化。许多动物能够探测到人类看不见的紫外线，从而创造出改变选择性景观的感官环境。在这里，我们剖析了普通壁蜥蜴紫外线反射颜色变形的分子基础，揭示了它与转录因子上游非编码区域的关联</w:t>
      </w:r>
      <w:r>
        <w:t xml:space="preserve"> </w:t>
      </w:r>
      <w:r>
        <w:t>帕克斯7</w:t>
      </w:r>
      <w:r>
        <w:t xml:space="preserve"> </w:t>
      </w:r>
      <w:r>
        <w:t>。我们的结果表明，该位点的变异通过改变细胞组成、暴露产生紫外线结构着色的特殊细胞内的结构来改变真皮结构。我们进一步证明</w:t>
      </w:r>
      <w:r>
        <w:t xml:space="preserve"> </w:t>
      </w:r>
      <w:r>
        <w:t>帕克斯7</w:t>
      </w:r>
      <w:r>
        <w:t xml:space="preserve"> </w:t>
      </w:r>
      <w:r>
        <w:t>位点对其他颜色基因发挥上位作用，抑制色素沉积，揭示了颜色产生背后的色素和结构途径之间的遗传相互作用。在不同人群中，紫外线变形的频率并不是由环境变化预测的，这与气候驱动的选择相悖。样本群体中与紫外线相关的等位基因的推断频率表现出比全基因组变异预期更弱的空间结构，表明这种多态性可能通过平衡选择来维持。我们的研究结果揭示了超越人类感知的表型进化机制以及色素和结构着色之间的遗传联系。</w:t>
      </w:r>
    </w:p>
    <w:p>
      <w:pPr>
        <w:spacing w:before="0" w:after="200" w:lineRule="auto" w:line="276"/>
      </w:pPr>
      <w:r>
        <w:rPr>
          <w:b/>
        </w:rPr>
        <w:t xml:space="preserve">Abstract (EN): </w:t>
      </w:r>
      <w:r>
        <w:t>The way organisms perceive the world influences their evolution. Many animals detect ultraviolet (UV) light invisible to humans, creating sensory contexts that alter the selective landscape for coloration. Here, we dissected the molecular basis of a UV-reflecting color morph in common wall lizards, uncovering its association with a noncoding region upstream of the transcription factor</w:t>
      </w:r>
      <w:r>
        <w:t xml:space="preserve"> </w:t>
      </w:r>
      <w:r>
        <w:t>PAX7</w:t>
      </w:r>
      <w:r>
        <w:t xml:space="preserve"> </w:t>
      </w:r>
      <w:r>
        <w:t>. Our results suggest that variation at this locus alters dermal architecture by modifying the cellular composition, exposing structures within specialized cells that generate UV structural coloration. We further demonstrate that the</w:t>
      </w:r>
      <w:r>
        <w:t xml:space="preserve"> </w:t>
      </w:r>
      <w:r>
        <w:t>PAX7</w:t>
      </w:r>
      <w:r>
        <w:t xml:space="preserve"> </w:t>
      </w:r>
      <w:r>
        <w:t>locus acts epistatically on other color genes to suppress pigment deposition, revealing a genetic interaction between pigmentary and structural pathways that underlie color production. Across populations, the frequency of the UV morph was not predicted by environmental variation, arguing against climate-driven selection. Inferred frequencies of the UV-associated allele across sampled populations exhibited weaker spatial structure than expected from genome-wide variation, suggesting this polymorphism may be maintained by balancing selection. Our findings reveal mechanisms of phenotypic evolution beyond human perception and a genetic link between pigmentary and structural coloration.</w:t>
      </w:r>
    </w:p>
    <w:p>
      <w:pPr>
        <w:spacing w:before="120" w:after="120"/>
      </w:pPr>
      <w:r>
        <w:rPr>
          <w:sz w:val="18"/>
        </w:rPr>
        <w:t>——————————————————————————————————————————————————————————————————————</w:t>
      </w:r>
    </w:p>
    <w:p>
      <w:pPr>
        <w:spacing w:before="160" w:after="40" w:line="240" w:lineRule="auto"/>
      </w:pPr>
      <w:r>
        <w:rPr>
          <w:b/>
        </w:rPr>
        <w:t xml:space="preserve">[409] </w:t>
      </w:r>
      <w:hyperlink r:id="rId896">
        <w:r>
          <w:rPr>
            <w:color w:val="1155CC"/>
            <w:u w:val="single"/>
          </w:rPr>
          <w:t>通过时间和频率上可扩展的光子纠缠释放高维量子通信的潜力</w:t>
        </w:r>
      </w:hyperlink>
    </w:p>
    <w:p>
      <w:pPr>
        <w:spacing w:before="0" w:after="80"/>
      </w:pPr>
      <w:r>
        <w:rPr>
          <w:i/>
          <w:sz w:val="20"/>
        </w:rPr>
        <w:t>EN: Unlocking the potential of high-dimensional quantum communication with scalable photonic entanglement in time and frequency</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897">
        <w:r>
          <w:rPr>
            <w:color w:val="1155CC"/>
            <w:u w:val="single"/>
          </w:rPr>
          <w:t>10.1126/sciadv.aee1333</w:t>
        </w:r>
      </w:hyperlink>
    </w:p>
    <w:p>
      <w:pPr>
        <w:spacing w:before="0" w:after="120"/>
      </w:pPr>
      <w:r>
        <w:rPr>
          <w:b/>
        </w:rPr>
        <w:t xml:space="preserve">Notes: </w:t>
      </w:r>
      <w:r>
        <w:t>abstract_source=crossref</w:t>
      </w:r>
    </w:p>
    <w:p>
      <w:pPr>
        <w:spacing w:before="0" w:after="80" w:lineRule="auto" w:line="276"/>
      </w:pPr>
      <w:r>
        <w:rPr>
          <w:b/>
        </w:rPr>
        <w:t xml:space="preserve">摘要（ZH）: </w:t>
      </w:r>
      <w:r>
        <w:t>高维光子纠缠为推进量子通信、计算和计量学带来了巨大的希望。例如，众所周知，大字母量子通信协议可以通过多位时间仓编码受益于增强的噪声弹性和信息容量。然而，表征高维纠缠态具有挑战性，因为全态断层扫描变得非常昂贵，并且通常需要无法实现的测量。在这里，我们演示了一种无扫描方法来表征时频域中的高维纠缠。我们的重建达到了创纪录的 5.70 ± 0.07 ebits 和 65.4 ± 0.4% 的保真度，局部维度为 1021 的最大纠缠态，证明了 668 维纠缠的存在。我们进一步证明了在可组合​​的有限大小、基于纠缠的协议中可以实现每秒 15.6 kb 的安全密钥速率，并表明在连续操作中，该设置可以快速接近渐近密钥速率。我们的可扩展架构使用商用电信组件和最先进的低抖动单光子探测器，为实现高速、抗噪声量子通信测试台提供了一条实用途径。</w:t>
      </w:r>
    </w:p>
    <w:p>
      <w:pPr>
        <w:spacing w:before="0" w:after="200" w:lineRule="auto" w:line="276"/>
      </w:pPr>
      <w:r>
        <w:rPr>
          <w:b/>
        </w:rPr>
        <w:t xml:space="preserve">Abstract (EN): </w:t>
      </w:r>
      <w:r>
        <w:t>High-dimensional photonic entanglement holds substantial promise for advancing quantum communication, computation, and metrology. For example, large-alphabet quantum communication protocols are known to benefit from enhanced noise resilience and information capacity via multibit time-bin encoding. Yet, characterizing high-dimensional entangled states is challenging, as full-state tomography becomes prohibitively costly and often requires unrealizable measurements. Here, we demonstrate a scan-free method to characterize high-dimensional entanglement in the time-frequency domain. Our reconstruction achieves a record 5.70 ± 0.07 ebits and a fidelity of 65.4 ± 0.4% with the maximally entangled state of local dimension 1021, certifying the presence of 668-dimensional entanglement. We further prove the attainability of a secure key rate of 15.6 kilobits per second in a composable finite-size, entanglement-based protocol and show that in continuous operation, the setup can quickly approach asymptotic key rates. Using commercial telecom components and state-of-the-art low-jitter single-photon detectors, our scalable architecture offers a practical path toward high-rate, noise-resilient quantum communication test beds.</w:t>
      </w:r>
    </w:p>
    <w:p>
      <w:pPr>
        <w:spacing w:before="120" w:after="120"/>
      </w:pPr>
      <w:r>
        <w:rPr>
          <w:sz w:val="18"/>
        </w:rPr>
        <w:t>——————————————————————————————————————————————————————————————————————</w:t>
      </w:r>
    </w:p>
    <w:p>
      <w:pPr>
        <w:spacing w:before="160" w:after="40" w:line="240" w:lineRule="auto"/>
      </w:pPr>
      <w:r>
        <w:rPr>
          <w:b/>
        </w:rPr>
        <w:t xml:space="preserve">[410] </w:t>
      </w:r>
      <w:hyperlink r:id="rId898">
        <w:r>
          <w:rPr>
            <w:color w:val="1155CC"/>
            <w:u w:val="single"/>
          </w:rPr>
          <w:t>古代倒位多态性在广泛分布的蝴蝶物种中具有局部适应性</w:t>
        </w:r>
      </w:hyperlink>
    </w:p>
    <w:p>
      <w:pPr>
        <w:spacing w:before="0" w:after="80"/>
      </w:pPr>
      <w:r>
        <w:rPr>
          <w:i/>
          <w:sz w:val="20"/>
        </w:rPr>
        <w:t>EN: Ancient inversion polymorphisms are locally adaptive in a widespread butterfly species</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899">
        <w:r>
          <w:rPr>
            <w:color w:val="1155CC"/>
            <w:u w:val="single"/>
          </w:rPr>
          <w:t>10.1126/sciadv.adv1982</w:t>
        </w:r>
      </w:hyperlink>
    </w:p>
    <w:p>
      <w:pPr>
        <w:spacing w:before="0" w:after="120"/>
      </w:pPr>
      <w:r>
        <w:rPr>
          <w:b/>
        </w:rPr>
        <w:t xml:space="preserve">Notes: </w:t>
      </w:r>
      <w:r>
        <w:t>abstract_source=crossref</w:t>
      </w:r>
    </w:p>
    <w:p>
      <w:pPr>
        <w:spacing w:before="0" w:after="80" w:lineRule="auto" w:line="276"/>
      </w:pPr>
      <w:r>
        <w:rPr>
          <w:b/>
        </w:rPr>
        <w:t xml:space="preserve">摘要（ZH）: </w:t>
      </w:r>
      <w:r>
        <w:t>跨物种范围的差异选择并不总是转化为可观察到的形态差异。与选择下的性状或种群群体无关的基因组方法可以揭示神秘的遗传多样性，并提供对局部适应本质的见解。在这里，我们使用这样的方法来研究斑马蝴蝶的局部适应，</w:t>
      </w:r>
      <w:r>
        <w:t xml:space="preserve"> </w:t>
      </w:r>
      <w:r>
        <w:t>查里索尼亚蛾</w:t>
      </w:r>
      <w:r>
        <w:t xml:space="preserve"> </w:t>
      </w:r>
      <w:r>
        <w:t>。该物种广泛分布在加勒比海以及邻近的北美洲、中美洲和南美洲，但在其分布范围内形态和遗传均相同。然而，基因组分析揭示了三个受地理限制的倒位，这些倒位在最近的范围扩展中幸存下来，这解释了基因组其余部分的遗传同质性。这些倒转是古老的，但不与相关物种共享。它们的多态性不能用突变负荷的积累来解释，而更可能是通过异质环境中的发散选择来维持的。我们的研究强调了基因组方法在揭示形态同质物种中隐藏的多样性方面的力量，并强调了染色体重排在局部适应中的重要作用。</w:t>
      </w:r>
    </w:p>
    <w:p>
      <w:pPr>
        <w:spacing w:before="0" w:after="200" w:lineRule="auto" w:line="276"/>
      </w:pPr>
      <w:r>
        <w:rPr>
          <w:b/>
        </w:rPr>
        <w:t xml:space="preserve">Abstract (EN): </w:t>
      </w:r>
      <w:r>
        <w:t>Divergent selection across species ranges does not always translate into observable morphological divergence. Genomic approaches agnostic to traits or groups of populations under selection can reveal cryptic genetic diversity and provide insights into the nature of local adaptation. Here, we use such an approach to investigate local adaptation in the zebra butterfly,</w:t>
      </w:r>
      <w:r>
        <w:t xml:space="preserve"> </w:t>
      </w:r>
      <w:r>
        <w:t>Heliconius charithonia</w:t>
      </w:r>
      <w:r>
        <w:t xml:space="preserve"> </w:t>
      </w:r>
      <w:r>
        <w:t>. This species is widely distributed across the Caribbean and adjacent North, Central and South America yet is morphologically and genetically homogeneous across its range. Genomic analyses, however, reveal three geographically restricted inversions that survived recent range expansions that explain genetic homogeneity in the rest of the genome. These inversions are ancient but not shared with related species. Their polymorphisms cannot be explained by accumulation of mutational load and are more likely maintained by divergent selection in heterogeneous environments. Our study emphasizes the power of genomic approaches for uncovering hidden diversity in morphologically homogeneous species and highlights the important role of chromosomal rearrangements in local adaptation.</w:t>
      </w:r>
    </w:p>
    <w:p>
      <w:pPr>
        <w:spacing w:before="120" w:after="120"/>
      </w:pPr>
      <w:r>
        <w:rPr>
          <w:sz w:val="18"/>
        </w:rPr>
        <w:t>——————————————————————————————————————————————————————————————————————</w:t>
      </w:r>
    </w:p>
    <w:p>
      <w:pPr>
        <w:spacing w:before="160" w:after="40" w:line="240" w:lineRule="auto"/>
      </w:pPr>
      <w:r>
        <w:rPr>
          <w:b/>
        </w:rPr>
        <w:t xml:space="preserve">[411] </w:t>
      </w:r>
      <w:hyperlink r:id="rId900">
        <w:r>
          <w:rPr>
            <w:color w:val="1155CC"/>
            <w:u w:val="single"/>
          </w:rPr>
          <w:t>Pierre Chambon，真核生物分子生物学和基因调控领域的先驱</w:t>
        </w:r>
      </w:hyperlink>
    </w:p>
    <w:p>
      <w:pPr>
        <w:spacing w:before="0" w:after="80"/>
      </w:pPr>
      <w:r>
        <w:rPr>
          <w:i/>
          <w:sz w:val="20"/>
        </w:rPr>
        <w:t>EN: Pierre Chambon, a pioneer of molecular biology and gene regulation in eukaryotes</w:t>
      </w:r>
    </w:p>
    <w:p>
      <w:pPr>
        <w:spacing w:before="0" w:after="120"/>
      </w:pPr>
      <w:r>
        <w:rPr>
          <w:b/>
        </w:rPr>
        <w:t xml:space="preserve">Source: </w:t>
      </w:r>
      <w:r>
        <w:t>Proceedings of the National Academy of Sciences: Keyword search for query</w:t>
      </w:r>
      <w:r>
        <w:t xml:space="preserve">    </w:t>
      </w:r>
      <w:r>
        <w:rPr>
          <w:b/>
        </w:rPr>
        <w:t xml:space="preserve">Pub date: </w:t>
      </w:r>
      <w:r>
        <w:t>2026-07-01 07:00:00+00:00</w:t>
      </w:r>
      <w:r>
        <w:t xml:space="preserve">    </w:t>
      </w:r>
      <w:r>
        <w:rPr>
          <w:b/>
        </w:rPr>
        <w:t xml:space="preserve">DOI: </w:t>
      </w:r>
      <w:hyperlink r:id="rId901">
        <w:r>
          <w:rPr>
            <w:color w:val="1155CC"/>
            <w:u w:val="single"/>
          </w:rPr>
          <w:t>10.1073/pnas.2618999123</w:t>
        </w:r>
      </w:hyperlink>
    </w:p>
    <w:p>
      <w:pPr>
        <w:spacing w:before="0" w:after="120"/>
      </w:pPr>
      <w:r>
        <w:rPr>
          <w:b/>
        </w:rPr>
        <w:t xml:space="preserve">Notes: </w:t>
      </w:r>
      <w:r>
        <w:t>abstract_source=crossref</w:t>
      </w:r>
    </w:p>
    <w:p>
      <w:pPr>
        <w:spacing w:before="0" w:after="80" w:lineRule="auto" w:line="276"/>
      </w:pPr>
      <w:r>
        <w:rPr>
          <w:b/>
        </w:rPr>
        <w:t xml:space="preserve">摘要（ZH）: </w:t>
      </w:r>
      <w:r>
        <w:t>随着皮埃尔·尚邦 (Pierre Chambon) 的去世，科学界失去了一位伟大的建筑师。皮埃尔·尚邦是一位富有远见的法国科学家、机构建设者、要求严格但鼓舞人心的导师。他对基因表达和激素调节的基本机制提出了重要见解，从而改变了现代生物学和医学。此外，他还开发了突破性的小鼠遗传技术，并将斯特拉斯堡建成欧洲领先的生命科学研究中心。他于 2026 年 5 月 5 日去世，享年 95 岁，标志着科学领域一个非凡时代的结束，但他的学术遗产将继续影响世界各地几代研究人员。</w:t>
      </w:r>
    </w:p>
    <w:p>
      <w:pPr>
        <w:spacing w:before="0" w:after="200" w:lineRule="auto" w:line="276"/>
      </w:pPr>
      <w:r>
        <w:rPr>
          <w:b/>
        </w:rPr>
        <w:t xml:space="preserve">Abstract (EN): </w:t>
      </w:r>
      <w:r>
        <w:t>The scientific world has lost one of its great architects with the passing of Pierre Chambon, a visionary French scientist, institution builder, and demanding yet inspiring mentor. He provided major insights into the fundamental mechanisms governing gene expression and hormonal regulation that transformed modern biology and medicine. In addition, he developed groundbreaking mouse genetic techniques, and established Strasbourg as a leading European center for life sciences research. His death on May 5, 2026, at the age of 95, marks the end of an extraordinary era in science, yet his intellectual legacy will continue to shape generations of researchers across the world.</w:t>
      </w:r>
    </w:p>
    <w:p>
      <w:pPr>
        <w:spacing w:before="120" w:after="120"/>
      </w:pPr>
      <w:r>
        <w:rPr>
          <w:sz w:val="18"/>
        </w:rPr>
        <w:t>——————————————————————————————————————————————————————————————————————</w:t>
      </w:r>
    </w:p>
    <w:p>
      <w:pPr>
        <w:spacing w:before="160" w:after="40" w:line="240" w:lineRule="auto"/>
      </w:pPr>
      <w:r>
        <w:rPr>
          <w:b/>
        </w:rPr>
        <w:t xml:space="preserve">[412] </w:t>
      </w:r>
      <w:hyperlink r:id="rId902">
        <w:r>
          <w:rPr>
            <w:color w:val="1155CC"/>
            <w:u w:val="single"/>
          </w:rPr>
          <w:t>通过独特结构的 σ 因子协调丝状蓝细菌中 N2 固定细胞的特化和模式化</w:t>
        </w:r>
      </w:hyperlink>
    </w:p>
    <w:p>
      <w:pPr>
        <w:spacing w:before="0" w:after="80"/>
      </w:pPr>
      <w:r>
        <w:rPr>
          <w:i/>
          <w:sz w:val="20"/>
        </w:rPr>
        <w:t>EN: Coordination of N2-fixing cell specialization and patterning in filamentous cyanobacteria by a uniquely structured σ factor</w:t>
      </w:r>
    </w:p>
    <w:p>
      <w:pPr>
        <w:spacing w:before="0" w:after="120"/>
      </w:pPr>
      <w:r>
        <w:rPr>
          <w:b/>
        </w:rPr>
        <w:t xml:space="preserve">Source: </w:t>
      </w:r>
      <w:r>
        <w:t>Proceedings of the National Academy of Sciences: Keyword search for query</w:t>
      </w:r>
      <w:r>
        <w:t xml:space="preserve">    </w:t>
      </w:r>
      <w:r>
        <w:rPr>
          <w:b/>
        </w:rPr>
        <w:t xml:space="preserve">Pub date: </w:t>
      </w:r>
      <w:r>
        <w:t>2026-07-01 07:00:00+00:00</w:t>
      </w:r>
      <w:r>
        <w:t xml:space="preserve">    </w:t>
      </w:r>
      <w:r>
        <w:rPr>
          <w:b/>
        </w:rPr>
        <w:t xml:space="preserve">DOI: </w:t>
      </w:r>
      <w:hyperlink r:id="rId903">
        <w:r>
          <w:rPr>
            <w:color w:val="1155CC"/>
            <w:u w:val="single"/>
          </w:rPr>
          <w:t>10.1073/pnas.2610149123</w:t>
        </w:r>
      </w:hyperlink>
    </w:p>
    <w:p>
      <w:pPr>
        <w:spacing w:before="0" w:after="120"/>
      </w:pPr>
      <w:r>
        <w:rPr>
          <w:b/>
        </w:rPr>
        <w:t xml:space="preserve">Notes: </w:t>
      </w:r>
      <w:r>
        <w:t>abstract_source=crossref</w:t>
      </w:r>
    </w:p>
    <w:p>
      <w:pPr>
        <w:spacing w:before="0" w:after="80" w:lineRule="auto" w:line="276"/>
      </w:pPr>
      <w:r>
        <w:rPr>
          <w:b/>
        </w:rPr>
        <w:t xml:space="preserve">摘要（ZH）: </w:t>
      </w:r>
      <w:r>
        <w:t>细胞分化和图灵样图案与一组丝状蓝细菌密切相关，这些丝状蓝细菌区分专门的N</w:t>
      </w:r>
      <w:r>
        <w:rPr>
          <w:vertAlign w:val="subscript"/>
        </w:rPr>
        <w:t>2</w:t>
      </w:r>
      <w:r>
        <w:t>-固定细胞，称为异形细胞。基于系统的遗传分析，特别是对公认的启动子进行全基因组鉴定，并使用重组的基因进行分析</w:t>
      </w:r>
      <w:r>
        <w:t xml:space="preserve"> </w:t>
      </w:r>
      <w:r>
        <w:t>鱼腥藻</w:t>
      </w:r>
      <w:r>
        <w:t xml:space="preserve"> </w:t>
      </w:r>
      <w:r>
        <w:t>转录系统在</w:t>
      </w:r>
      <w:r>
        <w:t xml:space="preserve"> </w:t>
      </w:r>
      <w:r>
        <w:t>大肠杆菌</w:t>
      </w:r>
      <w:r>
        <w:t xml:space="preserve"> </w:t>
      </w:r>
      <w:r>
        <w:t>，我们将 HetZ 确立为异形细胞分化基因调控网络的中心激活剂。生化和冷冻电镜分析进一步确定 HetZ 作为 σ 因子 (σ</w:t>
      </w:r>
      <w:r>
        <w:t xml:space="preserve"> </w:t>
      </w:r>
      <w:r>
        <w:t>赫兹</w:t>
      </w:r>
      <w:r>
        <w:t xml:space="preserve"> </w:t>
      </w:r>
      <w:r>
        <w:t>）。 σ 中的独特域插入</w:t>
      </w:r>
      <w:r>
        <w:t xml:space="preserve"> </w:t>
      </w:r>
      <w:r>
        <w:t>赫兹</w:t>
      </w:r>
      <w:r>
        <w:t xml:space="preserve"> </w:t>
      </w:r>
      <w:r>
        <w:t>参与启动子 DNA 识别-解旋以及与抑制剂 PatU3 的相互作用。 σ</w:t>
      </w:r>
      <w:r>
        <w:t xml:space="preserve"> </w:t>
      </w:r>
      <w:r>
        <w:t>赫兹</w:t>
      </w:r>
      <w:r>
        <w:t xml:space="preserve"> </w:t>
      </w:r>
      <w:r>
        <w:t>-PatU3和主调节扩散抑制剂构成了细胞命运决定和模式化的最小核心调节回路（CRC）。 σ</w:t>
      </w:r>
      <w:r>
        <w:t xml:space="preserve"> </w:t>
      </w:r>
      <w:r>
        <w:t>赫兹</w:t>
      </w:r>
      <w:r>
        <w:t xml:space="preserve"> </w:t>
      </w:r>
      <w:r>
        <w:t>不仅激活 CRC 基因，还激活参与形态和功能发育的下游调节/效应基因。基因调控网络和σ的结构-功能关系</w:t>
      </w:r>
      <w:r>
        <w:t xml:space="preserve"> </w:t>
      </w:r>
      <w:r>
        <w:t>赫兹</w:t>
      </w:r>
      <w:r>
        <w:t xml:space="preserve"> </w:t>
      </w:r>
      <w:r>
        <w:t>描述了这组多细胞蓝细菌中细胞分化和模式是如何协调的。</w:t>
      </w:r>
    </w:p>
    <w:p>
      <w:pPr>
        <w:spacing w:before="0" w:after="200" w:lineRule="auto" w:line="276"/>
      </w:pPr>
      <w:r>
        <w:rPr>
          <w:b/>
        </w:rPr>
        <w:t xml:space="preserve">Abstract (EN): </w:t>
      </w:r>
      <w:r>
        <w:t>Cell differentiation and Turing-like patterning are tightly associated in a group of filamentous cyanobacteria that differentiate specialized N</w:t>
      </w:r>
      <w:r>
        <w:rPr>
          <w:vertAlign w:val="subscript"/>
        </w:rPr>
        <w:t>2</w:t>
      </w:r>
      <w:r>
        <w:t>-fixing cells, called heterocysts. Based on systematic genetic analyses, in particular genome-wide identification of recognized promoters and assays with a reconstituted</w:t>
      </w:r>
      <w:r>
        <w:t xml:space="preserve"> </w:t>
      </w:r>
      <w:r>
        <w:t>Anabaena</w:t>
      </w:r>
      <w:r>
        <w:t xml:space="preserve"> </w:t>
      </w:r>
      <w:r>
        <w:t>transcription system in</w:t>
      </w:r>
      <w:r>
        <w:t xml:space="preserve"> </w:t>
      </w:r>
      <w:r>
        <w:t>Escherichia coli</w:t>
      </w:r>
      <w:r>
        <w:t xml:space="preserve"> </w:t>
      </w:r>
      <w:r>
        <w:t>, we established HetZ as the central activator of the gene regulatory network of heterocyst differentiation. Biochemical and cryo-EM analyses further established HetZ as a σ factor (σ</w:t>
      </w:r>
      <w:r>
        <w:t xml:space="preserve"> </w:t>
      </w:r>
      <w:r>
        <w:t>HetZ</w:t>
      </w:r>
      <w:r>
        <w:t xml:space="preserve"> </w:t>
      </w:r>
      <w:r>
        <w:t>). Unique domain insertions in σ</w:t>
      </w:r>
      <w:r>
        <w:t xml:space="preserve"> </w:t>
      </w:r>
      <w:r>
        <w:t>HetZ</w:t>
      </w:r>
      <w:r>
        <w:t xml:space="preserve"> </w:t>
      </w:r>
      <w:r>
        <w:t>are involved in promoter DNA recognition-unwinding and interaction with the inhibitor PatU3. σ</w:t>
      </w:r>
      <w:r>
        <w:t xml:space="preserve"> </w:t>
      </w:r>
      <w:r>
        <w:t>HetZ</w:t>
      </w:r>
      <w:r>
        <w:t xml:space="preserve"> </w:t>
      </w:r>
      <w:r>
        <w:t>-PatU3 and the master regulator-diffusible inhibitor constitute the minimal core regulatory circuit (CRC) for cell fate determination and patterning. σ</w:t>
      </w:r>
      <w:r>
        <w:t xml:space="preserve"> </w:t>
      </w:r>
      <w:r>
        <w:t>HetZ</w:t>
      </w:r>
      <w:r>
        <w:t xml:space="preserve"> </w:t>
      </w:r>
      <w:r>
        <w:t>activates not only genes of the CRC but also downstream regulator/effector genes involved in morphological and functional development. The gene regulatory network and the structure–function relationship of σ</w:t>
      </w:r>
      <w:r>
        <w:t xml:space="preserve"> </w:t>
      </w:r>
      <w:r>
        <w:t>HetZ</w:t>
      </w:r>
      <w:r>
        <w:t xml:space="preserve"> </w:t>
      </w:r>
      <w:r>
        <w:t>depict how cell differentiation and patterning are coordinated in this group of multicellular cyanobacteria.</w:t>
      </w:r>
    </w:p>
    <w:p>
      <w:pPr>
        <w:spacing w:before="120" w:after="120"/>
      </w:pPr>
      <w:r>
        <w:rPr>
          <w:sz w:val="18"/>
        </w:rPr>
        <w:t>——————————————————————————————————————————————————————————————————————</w:t>
      </w:r>
    </w:p>
    <w:p>
      <w:pPr>
        <w:spacing w:before="160" w:after="40" w:line="240" w:lineRule="auto"/>
      </w:pPr>
      <w:r>
        <w:rPr>
          <w:b/>
        </w:rPr>
        <w:t xml:space="preserve">[413] </w:t>
      </w:r>
      <w:hyperlink r:id="rId904">
        <w:r>
          <w:rPr>
            <w:color w:val="1155CC"/>
            <w:u w:val="single"/>
          </w:rPr>
          <w:t>湍流环流波动的超统计方法</w:t>
        </w:r>
      </w:hyperlink>
    </w:p>
    <w:p>
      <w:pPr>
        <w:spacing w:before="0" w:after="80"/>
      </w:pPr>
      <w:r>
        <w:rPr>
          <w:i/>
          <w:sz w:val="20"/>
        </w:rPr>
        <w:t>EN: Superstatistics approach to turbulent circulation fluctuations</w:t>
      </w:r>
    </w:p>
    <w:p>
      <w:pPr>
        <w:spacing w:before="0" w:after="120"/>
      </w:pPr>
      <w:r>
        <w:rPr>
          <w:b/>
        </w:rPr>
        <w:t xml:space="preserve">Source: </w:t>
      </w:r>
      <w:r>
        <w:t>Proceedings of the National Academy of Sciences: Keyword search for query</w:t>
      </w:r>
      <w:r>
        <w:t xml:space="preserve">    </w:t>
      </w:r>
      <w:r>
        <w:rPr>
          <w:b/>
        </w:rPr>
        <w:t xml:space="preserve">Pub date: </w:t>
      </w:r>
      <w:r>
        <w:t>2026-07-01 07:00:00+00:00</w:t>
      </w:r>
      <w:r>
        <w:t xml:space="preserve">    </w:t>
      </w:r>
      <w:r>
        <w:rPr>
          <w:b/>
        </w:rPr>
        <w:t xml:space="preserve">DOI: </w:t>
      </w:r>
      <w:hyperlink r:id="rId905">
        <w:r>
          <w:rPr>
            <w:color w:val="1155CC"/>
            <w:u w:val="single"/>
          </w:rPr>
          <w:t>10.1073/pnas.2612658123</w:t>
        </w:r>
      </w:hyperlink>
    </w:p>
    <w:p>
      <w:pPr>
        <w:spacing w:before="0" w:after="120"/>
      </w:pPr>
      <w:r>
        <w:rPr>
          <w:b/>
        </w:rPr>
        <w:t xml:space="preserve">Notes: </w:t>
      </w:r>
      <w:r>
        <w:t>abstract_source=crossref</w:t>
      </w:r>
    </w:p>
    <w:p>
      <w:pPr>
        <w:spacing w:before="0" w:after="80" w:lineRule="auto" w:line="276"/>
      </w:pPr>
      <w:r>
        <w:rPr>
          <w:b/>
        </w:rPr>
        <w:t xml:space="preserve">摘要（ZH）: </w:t>
      </w:r>
      <w:r>
        <w:t>最近对湍流环流波动的研究揭示了对流动结构的统计组织的重要见解，并揭示了湍流间歇性的意想不到的几何特征。这里特别有趣的是循环概率分布函数承认超统计表示，即基于“玻尔兹曼系综”吉布斯系综”的描述。这种方法的基本现象学成分是建模的自然起点，它依赖于耗散场与基本循环承载结构（即小尺度涡旋）的空间分布之间的强相关性。在超级统计学的语言中，这对应于通过适当选择条件（玻尔兹曼）分布和混合分布来表征循环统计。我们证明超统计类别</w:t>
      </w:r>
      <w:r>
        <w:t xml:space="preserve"> </w:t>
      </w:r>
      <w:r>
        <w:t>q</w:t>
      </w:r>
      <w:r>
        <w:t xml:space="preserve"> </w:t>
      </w:r>
      <w:r>
        <w:t>-众所周知，指数在各种多尺度和非平衡系统中具有广泛的适用性，可以准确描述均匀和各向同性湍流中观测到的环流统计数据。这一发现为在植根于非加性熵概念的非广延统计力学背景下探索湍流级联的统计结构开辟了道路。</w:t>
      </w:r>
    </w:p>
    <w:p>
      <w:pPr>
        <w:spacing w:before="0" w:after="200" w:lineRule="auto" w:line="276"/>
      </w:pPr>
      <w:r>
        <w:rPr>
          <w:b/>
        </w:rPr>
        <w:t xml:space="preserve">Abstract (EN): </w:t>
      </w:r>
      <w:r>
        <w:t>Recent investigations of turbulent circulation fluctuations have uncovered substantial insights into the statistical organization of flow structures and revealed unexpected geometric features of turbulent intermittency. Of particular interest here is the observation that circulation probability distribution functions admit a superstatistical representation, namely a description based on “ensembles of Boltzmann”Gibbs ensembles.” A fundamental phenomenological ingredient of this approach, which serves as a natural starting point for modeling, relies on the strong correlation between the dissipation field and the spatial distribution of elementary circulation-carrying structures, i.e., small-scale vortices. Within the language of superstatistics, this corresponds to characterizing circulation statistics through an appropriate choice of conditioned (Boltzmann-like) distributions and mixing distributions. We show that the superstatistical class of</w:t>
      </w:r>
      <w:r>
        <w:t xml:space="preserve"> </w:t>
      </w:r>
      <w:r>
        <w:t>q</w:t>
      </w:r>
      <w:r>
        <w:t xml:space="preserve"> </w:t>
      </w:r>
      <w:r>
        <w:t>-exponentials, known to have broad applicability in a wide range of multiscale and nonequilibrium systems, provides an accurate description of the observed circulation statistics in homogeneous and isotropic turbulence. This finding opens avenues for exploring the statistical structure of the turbulent cascade in the context of nonextensive statistical mechanics, rooted in the concept of nonadditive entropies.</w:t>
      </w:r>
    </w:p>
    <w:p>
      <w:pPr>
        <w:spacing w:before="120" w:after="120"/>
      </w:pPr>
      <w:r>
        <w:rPr>
          <w:sz w:val="18"/>
        </w:rPr>
        <w:t>——————————————————————————————————————————————————————————————————————</w:t>
      </w:r>
    </w:p>
    <w:p>
      <w:pPr>
        <w:spacing w:before="160" w:after="40" w:line="240" w:lineRule="auto"/>
      </w:pPr>
      <w:r>
        <w:rPr>
          <w:b/>
        </w:rPr>
        <w:t xml:space="preserve">[414] </w:t>
      </w:r>
      <w:hyperlink r:id="rId906">
        <w:r>
          <w:rPr>
            <w:color w:val="1155CC"/>
            <w:u w:val="single"/>
          </w:rPr>
          <w:t>通过非扰动自旋探针监测 KatG 双功能过氧化物酶中色氨酸的多步电子隧道</w:t>
        </w:r>
      </w:hyperlink>
    </w:p>
    <w:p>
      <w:pPr>
        <w:spacing w:before="0" w:after="80"/>
      </w:pPr>
      <w:r>
        <w:rPr>
          <w:i/>
          <w:sz w:val="20"/>
        </w:rPr>
        <w:t>EN: Multistep electron tunneling through tryptophans in the KatG bifunctional peroxidase monitored by a nonperturbing spin probe</w:t>
      </w:r>
    </w:p>
    <w:p>
      <w:pPr>
        <w:spacing w:before="0" w:after="120"/>
      </w:pPr>
      <w:r>
        <w:rPr>
          <w:b/>
        </w:rPr>
        <w:t xml:space="preserve">Source: </w:t>
      </w:r>
      <w:r>
        <w:t>Proceedings of the National Academy of Sciences: Keyword search for query</w:t>
      </w:r>
      <w:r>
        <w:t xml:space="preserve">    </w:t>
      </w:r>
      <w:r>
        <w:rPr>
          <w:b/>
        </w:rPr>
        <w:t xml:space="preserve">Pub date: </w:t>
      </w:r>
      <w:r>
        <w:t>2026-07-01 07:00:00+00:00</w:t>
      </w:r>
      <w:r>
        <w:t xml:space="preserve">    </w:t>
      </w:r>
      <w:r>
        <w:rPr>
          <w:b/>
        </w:rPr>
        <w:t xml:space="preserve">DOI: </w:t>
      </w:r>
      <w:hyperlink r:id="rId907">
        <w:r>
          <w:rPr>
            <w:color w:val="1155CC"/>
            <w:u w:val="single"/>
          </w:rPr>
          <w:t>10.1073/pnas.2612169123</w:t>
        </w:r>
      </w:hyperlink>
    </w:p>
    <w:p>
      <w:pPr>
        <w:spacing w:before="0" w:after="120"/>
      </w:pPr>
      <w:r>
        <w:rPr>
          <w:b/>
        </w:rPr>
        <w:t xml:space="preserve">Notes: </w:t>
      </w:r>
      <w:r>
        <w:t>abstract_source=crossref</w:t>
      </w:r>
    </w:p>
    <w:p>
      <w:pPr>
        <w:spacing w:before="0" w:after="80" w:lineRule="auto" w:line="276"/>
      </w:pPr>
      <w:r>
        <w:rPr>
          <w:b/>
        </w:rPr>
        <w:t xml:space="preserve">摘要（ZH）: </w:t>
      </w:r>
      <w:r>
        <w:t>双功能血红素过氧化物酶</w:t>
      </w:r>
      <w:r>
        <w:t xml:space="preserve"> </w:t>
      </w:r>
      <w:r>
        <w:t>鼻疽杆菌</w:t>
      </w:r>
      <w:r>
        <w:t xml:space="preserve"> </w:t>
      </w:r>
      <w:r>
        <w:t>(BpKatG) 利用血红素和三种色氨酸（Trp139、Trp153 和 Trp330）作为过氧化物酶样催化循环中的独特氧化还原辅助因子，如之前通过多频电子顺磁共振 (EPR) 光谱结合同位素标记和定点诱变所显示的那样。在这项工作中，我们利用策略性连接的硝基氧的氧化还原特性作为 Trp153 之间长程多步电子隧道路径的直接探针</w:t>
      </w:r>
      <w:r>
        <w:t xml:space="preserve"> </w:t>
      </w:r>
      <w:r>
        <w:t>•</w:t>
      </w:r>
      <w:r>
        <w:t xml:space="preserve"> </w:t>
      </w:r>
      <w:r>
        <w:t>和高价血红素中间体，从而表明它是由 Trp94 和 Trp95 介导的。我们还证明了 [Fe</w:t>
      </w:r>
      <w:r>
        <w:t xml:space="preserve"> </w:t>
      </w:r>
      <w:r>
        <w:t>四号</w:t>
      </w:r>
      <w:r>
        <w:t xml:space="preserve"> </w:t>
      </w:r>
      <w:r>
        <w:t>= O 色氨酸153</w:t>
      </w:r>
      <w:r>
        <w:t xml:space="preserve"> </w:t>
      </w:r>
      <w:r>
        <w:t>•</w:t>
      </w:r>
      <w:r>
        <w:t xml:space="preserve"> </w:t>
      </w:r>
      <w:r>
        <w:t>] 和 [铁</w:t>
      </w:r>
      <w:r>
        <w:t xml:space="preserve"> </w:t>
      </w:r>
      <w:r>
        <w:t>四号</w:t>
      </w:r>
      <w:r>
        <w:t xml:space="preserve"> </w:t>
      </w:r>
      <w:r>
        <w:t>= O 色氨酸139</w:t>
      </w:r>
      <w:r>
        <w:t xml:space="preserve"> </w:t>
      </w:r>
      <w:r>
        <w:t>•</w:t>
      </w:r>
      <w:r>
        <w:t xml:space="preserve"> </w:t>
      </w:r>
      <w:r>
        <w:t>] 在没有底物的情况下观察到的中间体优先转向由 Trp139 催化氧化异烟肼底物</w:t>
      </w:r>
      <w:r>
        <w:t xml:space="preserve"> </w:t>
      </w:r>
      <w:r>
        <w:t>•</w:t>
      </w:r>
      <w:r>
        <w:t xml:space="preserve"> </w:t>
      </w:r>
      <w:r>
        <w:t>。我们的 EPR 实验数据证实 Trp139</w:t>
      </w:r>
      <w:r>
        <w:t xml:space="preserve"> </w:t>
      </w:r>
      <w:r>
        <w:t>•</w:t>
      </w:r>
      <w:r>
        <w:t xml:space="preserve"> </w:t>
      </w:r>
      <w:r>
        <w:t>氧化激活异烟肼前药，与目前的观点形成鲜明对比[Fe</w:t>
      </w:r>
      <w:r>
        <w:t xml:space="preserve"> </w:t>
      </w:r>
      <w:r>
        <w:t>四号</w:t>
      </w:r>
      <w:r>
        <w:t xml:space="preserve"> </w:t>
      </w:r>
      <w:r>
        <w:t>= O 波尔</w:t>
      </w:r>
      <w:r>
        <w:t xml:space="preserve"> </w:t>
      </w:r>
      <w:r>
        <w:t>•+</w:t>
      </w:r>
      <w:r>
        <w:t xml:space="preserve"> </w:t>
      </w:r>
      <w:r>
        <w:t>] 是氧化剂，如典型的过氧化物酶。</w:t>
      </w:r>
    </w:p>
    <w:p>
      <w:pPr>
        <w:spacing w:before="0" w:after="200" w:lineRule="auto" w:line="276"/>
      </w:pPr>
      <w:r>
        <w:rPr>
          <w:b/>
        </w:rPr>
        <w:t xml:space="preserve">Abstract (EN): </w:t>
      </w:r>
      <w:r>
        <w:t>The bifunctional heme peroxidase from</w:t>
      </w:r>
      <w:r>
        <w:t xml:space="preserve"> </w:t>
      </w:r>
      <w:r>
        <w:t>B. pseudomallei</w:t>
      </w:r>
      <w:r>
        <w:t xml:space="preserve"> </w:t>
      </w:r>
      <w:r>
        <w:t>(BpKatG) utilizes heme and three tryptophans (Trp139, Trp153, and Trp330) as unique redox cofactors in the peroxidase-like catalytic cycle, as was shown previously by multifrequency Electron Paramagnetic Resonance (EPR) spectroscopy combined with isotope labeling and site-directed mutagenesis. In this work, we exploited the redox properties of a strategically attached nitroxide as a direct probe of the long-range multistep electron-tunneling pathway between Trp153</w:t>
      </w:r>
      <w:r>
        <w:t xml:space="preserve"> </w:t>
      </w:r>
      <w:r>
        <w:t>•</w:t>
      </w:r>
      <w:r>
        <w:t xml:space="preserve"> </w:t>
      </w:r>
      <w:r>
        <w:t>and the high-valent heme intermediate, thereby showing it is mediated by Trp94 and Trp95. We also demonstrated that the equilibrium between the [Fe</w:t>
      </w:r>
      <w:r>
        <w:t xml:space="preserve"> </w:t>
      </w:r>
      <w:r>
        <w:t>IV</w:t>
      </w:r>
      <w:r>
        <w:t xml:space="preserve"> </w:t>
      </w:r>
      <w:r>
        <w:t>= O Trp153</w:t>
      </w:r>
      <w:r>
        <w:t xml:space="preserve"> </w:t>
      </w:r>
      <w:r>
        <w:t>•</w:t>
      </w:r>
      <w:r>
        <w:t xml:space="preserve"> </w:t>
      </w:r>
      <w:r>
        <w:t>] and [Fe</w:t>
      </w:r>
      <w:r>
        <w:t xml:space="preserve"> </w:t>
      </w:r>
      <w:r>
        <w:t>IV</w:t>
      </w:r>
      <w:r>
        <w:t xml:space="preserve"> </w:t>
      </w:r>
      <w:r>
        <w:t>= O Trp139</w:t>
      </w:r>
      <w:r>
        <w:t xml:space="preserve"> </w:t>
      </w:r>
      <w:r>
        <w:t>•</w:t>
      </w:r>
      <w:r>
        <w:t xml:space="preserve"> </w:t>
      </w:r>
      <w:r>
        <w:t>] intermediates, which is observed in the absence of substrate, is preferentially shifted toward catalytic oxidation of isoniazid substrate by Trp139</w:t>
      </w:r>
      <w:r>
        <w:t xml:space="preserve"> </w:t>
      </w:r>
      <w:r>
        <w:t>•</w:t>
      </w:r>
      <w:r>
        <w:t xml:space="preserve"> </w:t>
      </w:r>
      <w:r>
        <w:t>. Our EPR experimental data confirm that Trp139</w:t>
      </w:r>
      <w:r>
        <w:t xml:space="preserve"> </w:t>
      </w:r>
      <w:r>
        <w:t>•</w:t>
      </w:r>
      <w:r>
        <w:t xml:space="preserve"> </w:t>
      </w:r>
      <w:r>
        <w:t>oxidatively activates the isoniazid prodrug, in sharp contrast to the current view that [Fe</w:t>
      </w:r>
      <w:r>
        <w:t xml:space="preserve"> </w:t>
      </w:r>
      <w:r>
        <w:t>IV</w:t>
      </w:r>
      <w:r>
        <w:t xml:space="preserve"> </w:t>
      </w:r>
      <w:r>
        <w:t>= O Por</w:t>
      </w:r>
      <w:r>
        <w:t xml:space="preserve"> </w:t>
      </w:r>
      <w:r>
        <w:t>•+</w:t>
      </w:r>
      <w:r>
        <w:t xml:space="preserve"> </w:t>
      </w:r>
      <w:r>
        <w:t>] is the oxidant, as in canonical peroxidases.</w:t>
      </w:r>
    </w:p>
    <w:p>
      <w:pPr>
        <w:spacing w:before="120" w:after="120"/>
      </w:pPr>
      <w:r>
        <w:rPr>
          <w:sz w:val="18"/>
        </w:rPr>
        <w:t>——————————————————————————————————————————————————————————————————————</w:t>
      </w:r>
    </w:p>
    <w:p>
      <w:pPr>
        <w:spacing w:before="160" w:after="40" w:line="240" w:lineRule="auto"/>
      </w:pPr>
      <w:r>
        <w:rPr>
          <w:b/>
        </w:rPr>
        <w:t xml:space="preserve">[415] </w:t>
      </w:r>
      <w:hyperlink r:id="rId908">
        <w:r>
          <w:rPr>
            <w:color w:val="1155CC"/>
            <w:u w:val="single"/>
          </w:rPr>
          <w:t>钴酰胺生物合成进化的分子时间尺度</w:t>
        </w:r>
      </w:hyperlink>
    </w:p>
    <w:p>
      <w:pPr>
        <w:spacing w:before="0" w:after="80"/>
      </w:pPr>
      <w:r>
        <w:rPr>
          <w:i/>
          <w:sz w:val="20"/>
        </w:rPr>
        <w:t>EN: A molecular timescale for evolution of cobamide biosynthesis</w:t>
      </w:r>
    </w:p>
    <w:p>
      <w:pPr>
        <w:spacing w:before="0" w:after="120"/>
      </w:pPr>
      <w:r>
        <w:rPr>
          <w:b/>
        </w:rPr>
        <w:t xml:space="preserve">Source: </w:t>
      </w:r>
      <w:r>
        <w:t>Proceedings of the National Academy of Sciences: Keyword search for query</w:t>
      </w:r>
      <w:r>
        <w:t xml:space="preserve">    </w:t>
      </w:r>
      <w:r>
        <w:rPr>
          <w:b/>
        </w:rPr>
        <w:t xml:space="preserve">Pub date: </w:t>
      </w:r>
      <w:r>
        <w:t>2026-07-01 07:00:00+00:00</w:t>
      </w:r>
      <w:r>
        <w:t xml:space="preserve">    </w:t>
      </w:r>
      <w:r>
        <w:rPr>
          <w:b/>
        </w:rPr>
        <w:t xml:space="preserve">DOI: </w:t>
      </w:r>
      <w:hyperlink r:id="rId909">
        <w:r>
          <w:rPr>
            <w:color w:val="1155CC"/>
            <w:u w:val="single"/>
          </w:rPr>
          <w:t>10.1073/pnas.2610446123</w:t>
        </w:r>
      </w:hyperlink>
    </w:p>
    <w:p>
      <w:pPr>
        <w:spacing w:before="0" w:after="120"/>
      </w:pPr>
      <w:r>
        <w:rPr>
          <w:b/>
        </w:rPr>
        <w:t xml:space="preserve">Notes: </w:t>
      </w:r>
      <w:r>
        <w:t>abstract_source=crossref</w:t>
      </w:r>
    </w:p>
    <w:p>
      <w:pPr>
        <w:spacing w:before="0" w:after="80" w:lineRule="auto" w:line="276"/>
      </w:pPr>
      <w:r>
        <w:rPr>
          <w:b/>
        </w:rPr>
        <w:t xml:space="preserve">摘要（ZH）: </w:t>
      </w:r>
      <w:r>
        <w:t>钴酰胺是大多数生物体的必需营养素，但仅由有限数量的类群通过需氧和厌氧途径生物合成。尽管这些广泛共享的辅助因子的起源改变了生态系统和生物体的新陈代谢，但有关生物合成基因和生产者的进化信息却很少。在这里，我们使用一系列贝叶斯分子钟分析与系统发育协调相结合，为考巴酰胺生物合成基因和生产者的出现建立了一个时间表。我们发现四吡咯前体和咕啉环的部分生产者比最古老的钴酰胺生产者更早，这表明类钴酰胺化合物可能在其从头生产者出现之前就已经存在。我们还发现，厌氧从头生产者和柯林环生产者首先出现（</w:t>
      </w:r>
      <w:r>
        <w:t xml:space="preserve"> </w:t>
      </w:r>
      <w:r>
        <w:t>盘杆菌属</w:t>
      </w:r>
      <w:r>
        <w:t xml:space="preserve"> </w:t>
      </w:r>
      <w:r>
        <w:t>，大约 2458 Mya），并且大氧化事件晚于有氧生产者的出现（</w:t>
      </w:r>
      <w:r>
        <w:t xml:space="preserve"> </w:t>
      </w:r>
      <w:r>
        <w:t>克里贝拉</w:t>
      </w:r>
      <w:r>
        <w:t xml:space="preserve"> </w:t>
      </w:r>
      <w:r>
        <w:t>，约 1784 年 Mya）。这些发现揭示了可巴胺生物合成的年代顺序，极大地改变了全球生态框架并形成了当前的生物圈，并可以指导探索地球上的交叉进食和多种生物的起源。</w:t>
      </w:r>
    </w:p>
    <w:p>
      <w:pPr>
        <w:spacing w:before="0" w:after="200" w:lineRule="auto" w:line="276"/>
      </w:pPr>
      <w:r>
        <w:rPr>
          <w:b/>
        </w:rPr>
        <w:t xml:space="preserve">Abstract (EN): </w:t>
      </w:r>
      <w:r>
        <w:t>Cobamides are essential nutrients for most organisms but are only biosynthesized by a limited number of taxa through aerobic and anaerobic pathways. Although the origin of these widespread shared cofactors changed ecosystems and the metabolisms of living organisms, little evolutionary information is available about the biosynthetic genes and the producers. Here, we established a timeframe for the emergence of cobamide biosynthesis genes and producers, using a series of Bayesian molecular clock analyses combined with phylogenetic reconciliation. We revealed the partial producers of tetrapyrrole precursor and corrin ring were earlier than the oldest cobamide producer, suggesting the possibility that cobamide-like compounds may have existed before the emergence of their de novo producers. We also found that the anaerobic de novo producers and corrin ring producers emerged first (</w:t>
      </w:r>
      <w:r>
        <w:t xml:space="preserve"> </w:t>
      </w:r>
      <w:r>
        <w:t>Pelobacter</w:t>
      </w:r>
      <w:r>
        <w:t xml:space="preserve"> </w:t>
      </w:r>
      <w:r>
        <w:t>, around 2458 Mya), and that the Great Oxidation Event postdated emergence of aerobic producers (</w:t>
      </w:r>
      <w:r>
        <w:t xml:space="preserve"> </w:t>
      </w:r>
      <w:r>
        <w:t>Kribbella</w:t>
      </w:r>
      <w:r>
        <w:t xml:space="preserve"> </w:t>
      </w:r>
      <w:r>
        <w:t>, around 1784 Mya). These findings reveal the chronology of cobamide biosynthesis, which greatly changed global ecological frameworks and resulted in the current biosphere, and can guide the exploration of cross-feeding and the origin of diverse organisms on the planet.</w:t>
      </w:r>
    </w:p>
    <w:p>
      <w:pPr>
        <w:spacing w:before="120" w:after="120"/>
      </w:pPr>
      <w:r>
        <w:rPr>
          <w:sz w:val="18"/>
        </w:rPr>
        <w:t>——————————————————————————————————————————————————————————————————————</w:t>
      </w:r>
    </w:p>
    <w:p>
      <w:pPr>
        <w:spacing w:before="160" w:after="40" w:line="240" w:lineRule="auto"/>
      </w:pPr>
      <w:r>
        <w:rPr>
          <w:b/>
        </w:rPr>
        <w:t xml:space="preserve">[416] </w:t>
      </w:r>
      <w:hyperlink r:id="rId910">
        <w:r>
          <w:rPr>
            <w:color w:val="1155CC"/>
            <w:u w:val="single"/>
          </w:rPr>
          <w:t>与晶体成核相关的同位素分馏的测量：对生物结晶研究的影响</w:t>
        </w:r>
      </w:hyperlink>
    </w:p>
    <w:p>
      <w:pPr>
        <w:spacing w:before="0" w:after="80"/>
      </w:pPr>
      <w:r>
        <w:rPr>
          <w:i/>
          <w:sz w:val="20"/>
        </w:rPr>
        <w:t>EN: Measurement of isotope fractionation associated with crystal nucleation: Implications for biocrystallization studies</w:t>
      </w:r>
    </w:p>
    <w:p>
      <w:pPr>
        <w:spacing w:before="0" w:after="120"/>
      </w:pPr>
      <w:r>
        <w:rPr>
          <w:b/>
        </w:rPr>
        <w:t xml:space="preserve">Source: </w:t>
      </w:r>
      <w:r>
        <w:t>Proceedings of the National Academy of Sciences: Keyword search for query</w:t>
      </w:r>
      <w:r>
        <w:t xml:space="preserve">    </w:t>
      </w:r>
      <w:r>
        <w:rPr>
          <w:b/>
        </w:rPr>
        <w:t xml:space="preserve">Pub date: </w:t>
      </w:r>
      <w:r>
        <w:t>2026-07-01 07:00:00+00:00</w:t>
      </w:r>
      <w:r>
        <w:t xml:space="preserve">    </w:t>
      </w:r>
      <w:r>
        <w:rPr>
          <w:b/>
        </w:rPr>
        <w:t xml:space="preserve">DOI: </w:t>
      </w:r>
      <w:hyperlink r:id="rId911">
        <w:r>
          <w:rPr>
            <w:color w:val="1155CC"/>
            <w:u w:val="single"/>
          </w:rPr>
          <w:t>10.1073/pnas.2609659123</w:t>
        </w:r>
      </w:hyperlink>
    </w:p>
    <w:p>
      <w:pPr>
        <w:spacing w:before="0" w:after="120"/>
      </w:pPr>
      <w:r>
        <w:rPr>
          <w:b/>
        </w:rPr>
        <w:t xml:space="preserve">Notes: </w:t>
      </w:r>
      <w:r>
        <w:t>abstract_source=crossref</w:t>
      </w:r>
    </w:p>
    <w:p>
      <w:pPr>
        <w:spacing w:before="0" w:after="80" w:lineRule="auto" w:line="276"/>
      </w:pPr>
      <w:r>
        <w:rPr>
          <w:b/>
        </w:rPr>
        <w:t xml:space="preserve">摘要（ZH）: </w:t>
      </w:r>
      <w:r>
        <w:t>同位素分馏是水溶液中矿物沉淀机制的独特指标，但现有理论并未考虑成核效应或非经典生长机制。这里，使用重晶石（BaSO</w:t>
      </w:r>
      <w:r>
        <w:rPr>
          <w:vertAlign w:val="subscript"/>
        </w:rPr>
        <w:t>4</w:t>
      </w:r>
      <w:r>
        <w:t>）作为模型晶体，我们提供了与成核相关的同位素分馏的实验测量。我们通过在有机薄膜上沉淀晶体来分离成核效应，其中阳离子富集创造了高度过饱和的微环境，因此成核在晶体生长中占主导地位。在单批实验中，我们从有机基质中回收了纳米晶体（~1.5 nm），并在本体溶液中回收了大的微晶体，其中生长占主导地位。的</w:t>
      </w:r>
      <w:r>
        <w:rPr>
          <w:vertAlign w:val="subscript"/>
        </w:rPr>
        <w:t>138</w:t>
      </w:r>
      <w:r>
        <w:t>巴/</w:t>
      </w:r>
      <w:r>
        <w:rPr>
          <w:vertAlign w:val="subscript"/>
        </w:rPr>
        <w:t>134</w:t>
      </w:r>
      <w:r>
        <w:t>微晶的 Ba 同位素分馏为 -0.6 至 -0.8‰，与中等过饱和溶液中经典离子逐离子生长的预期相匹配，而以成核为主的纳米晶体的分馏约为 -0.1‰，落在重晶石和 Ba 水溶液之间报道的平衡分馏范围内</w:t>
      </w:r>
      <w:r>
        <w:t xml:space="preserve"> </w:t>
      </w:r>
      <w:r>
        <w:t>2+</w:t>
      </w:r>
      <w:r>
        <w:t xml:space="preserve"> </w:t>
      </w:r>
      <w:r>
        <w:t>。这些结果表明，重晶石和方解石等难溶盐中的阳离子同位素分馏不是当前理论预测的饱和指数 (SI) 和降水率的单值函数，其中分馏因子 (Δ</w:t>
      </w:r>
      <w:r>
        <w:t xml:space="preserve"> </w:t>
      </w:r>
      <w:r>
        <w:t>138/134</w:t>
      </w:r>
      <w:r>
        <w:t xml:space="preserve"> </w:t>
      </w:r>
      <w:r>
        <w:t>巴</w:t>
      </w:r>
      <w:r>
        <w:t xml:space="preserve"> </w:t>
      </w:r>
      <w:r>
        <w:t>重晶石溶液</w:t>
      </w:r>
      <w:r>
        <w:t xml:space="preserve"> </w:t>
      </w:r>
      <w:r>
        <w:t>= δ</w:t>
      </w:r>
    </w:p>
    <w:p>
      <w:pPr>
        <w:spacing w:before="0" w:after="200" w:lineRule="auto" w:line="276"/>
      </w:pPr>
      <w:r>
        <w:rPr>
          <w:b/>
        </w:rPr>
        <w:t xml:space="preserve">Abstract (EN): </w:t>
      </w:r>
      <w:r>
        <w:t>Isotopic fractionation is a unique indicator of the mechanisms of mineral precipitation from aqueous solutions, but existing theory does not account for nucleation effects or nonclassical growth mechanisms. Here, using barite (BaSO</w:t>
      </w:r>
      <w:r>
        <w:rPr>
          <w:vertAlign w:val="subscript"/>
        </w:rPr>
        <w:t>4</w:t>
      </w:r>
      <w:r>
        <w:t>) as a model crystal, we provide an experimental measurement of isotope fractionation associated with nucleation. We isolated nucleation effects by precipitating crystals on an organic film, where cation enrichment creates a highly supersaturated microenvironment so nucleation dominates over crystal growth. In a single batch experiment, we retrieved nanocrystals (~1.5 nm) from the organic substrate and large microcrystals in bulk solution where growth dominates. The</w:t>
      </w:r>
      <w:r>
        <w:rPr>
          <w:vertAlign w:val="subscript"/>
        </w:rPr>
        <w:t>138</w:t>
      </w:r>
      <w:r>
        <w:t>Ba/</w:t>
      </w:r>
      <w:r>
        <w:rPr>
          <w:vertAlign w:val="subscript"/>
        </w:rPr>
        <w:t>134</w:t>
      </w:r>
      <w:r>
        <w:t>Ba isotopic fractionation of −0.6 to −0.8‰ for the microcrystals match those expected for classical ion-by-ion growth from a moderately supersaturated solution, whereas the fractionation for the nucleation-dominated nanocrystals is about −0.1‰, falling within the reported equilibrium fractionation range between barite and aqueous Ba</w:t>
      </w:r>
      <w:r>
        <w:t xml:space="preserve"> </w:t>
      </w:r>
      <w:r>
        <w:t>2+</w:t>
      </w:r>
      <w:r>
        <w:t xml:space="preserve"> </w:t>
      </w:r>
      <w:r>
        <w:t>. These results demonstrate that cation isotopic fractionation in sparingly soluble salts like barite and calcite is not a single-valued function of saturation indices (SI) and precipitation rate as predicted with current theory, with the fractionation factor (∆</w:t>
      </w:r>
      <w:r>
        <w:t xml:space="preserve"> </w:t>
      </w:r>
      <w:r>
        <w:t>138/134</w:t>
      </w:r>
      <w:r>
        <w:t xml:space="preserve"> </w:t>
      </w:r>
      <w:r>
        <w:t>Ba</w:t>
      </w:r>
      <w:r>
        <w:t xml:space="preserve"> </w:t>
      </w:r>
      <w:r>
        <w:t>barite-soln</w:t>
      </w:r>
      <w:r>
        <w:t xml:space="preserve"> </w:t>
      </w:r>
      <w:r>
        <w:t>= δ</w:t>
      </w:r>
      <w:r>
        <w:t xml:space="preserve"> </w:t>
      </w:r>
      <w:r>
        <w:t>138/134</w:t>
      </w:r>
      <w:r>
        <w:t xml:space="preserve"> </w:t>
      </w:r>
      <w:r>
        <w:t>Ba</w:t>
      </w:r>
      <w:r>
        <w:t xml:space="preserve"> </w:t>
      </w:r>
      <w:r>
        <w:t>barite</w:t>
      </w:r>
      <w:r>
        <w:t xml:space="preserve"> </w:t>
      </w:r>
      <w:r>
        <w:t>− δ</w:t>
      </w:r>
      <w:r>
        <w:t xml:space="preserve"> </w:t>
      </w:r>
      <w:r>
        <w:t>138/134</w:t>
      </w:r>
      <w:r>
        <w:t xml:space="preserve"> </w:t>
      </w:r>
      <w:r>
        <w:t>Ba</w:t>
      </w:r>
      <w:r>
        <w:t xml:space="preserve"> </w:t>
      </w:r>
      <w:r>
        <w:t>solution</w:t>
      </w:r>
      <w:r>
        <w:t xml:space="preserve"> </w:t>
      </w:r>
      <w:r>
        <w:t>) increasing in magnitude with increasing SI. Instead, the shifting precipitation mechanism(s) at high SI cause the fractionation factor to return to near-equilibrium values. This finding may be critical for understanding isotopic fractionation in localized extreme environments in nature, including for Ba isotopes during biomineralization.</w:t>
      </w:r>
    </w:p>
    <w:p>
      <w:pPr>
        <w:spacing w:before="120" w:after="120"/>
      </w:pPr>
      <w:r>
        <w:rPr>
          <w:sz w:val="18"/>
        </w:rPr>
        <w:t>——————————————————————————————————————————————————————————————————————</w:t>
      </w:r>
    </w:p>
    <w:p>
      <w:pPr>
        <w:spacing w:before="160" w:after="40" w:line="240" w:lineRule="auto"/>
      </w:pPr>
      <w:r>
        <w:rPr>
          <w:b/>
        </w:rPr>
        <w:t xml:space="preserve">[417] </w:t>
      </w:r>
      <w:hyperlink r:id="rId912">
        <w:r>
          <w:rPr>
            <w:color w:val="1155CC"/>
            <w:u w:val="single"/>
          </w:rPr>
          <w:t>刺槐豆胶水凝胶的压力诱导软化：冻融硬化的违反直觉的替代方案</w:t>
        </w:r>
      </w:hyperlink>
    </w:p>
    <w:p>
      <w:pPr>
        <w:spacing w:before="0" w:after="80"/>
      </w:pPr>
      <w:r>
        <w:rPr>
          <w:i/>
          <w:sz w:val="20"/>
        </w:rPr>
        <w:t>EN: Pressure-induced softening of locust bean gum hydrogels: A counterintuitive alternative to freeze–thaw stiffening</w:t>
      </w:r>
    </w:p>
    <w:p>
      <w:pPr>
        <w:spacing w:before="0" w:after="120"/>
      </w:pPr>
      <w:r>
        <w:rPr>
          <w:b/>
        </w:rPr>
        <w:t xml:space="preserve">Source: </w:t>
      </w:r>
      <w:r>
        <w:t>Proceedings of the National Academy of Sciences: Keyword search for query</w:t>
      </w:r>
      <w:r>
        <w:t xml:space="preserve">    </w:t>
      </w:r>
      <w:r>
        <w:rPr>
          <w:b/>
        </w:rPr>
        <w:t xml:space="preserve">Pub date: </w:t>
      </w:r>
      <w:r>
        <w:t>2026-07-01 07:00:00+00:00</w:t>
      </w:r>
      <w:r>
        <w:t xml:space="preserve">    </w:t>
      </w:r>
      <w:r>
        <w:rPr>
          <w:b/>
        </w:rPr>
        <w:t xml:space="preserve">DOI: </w:t>
      </w:r>
      <w:hyperlink r:id="rId913">
        <w:r>
          <w:rPr>
            <w:color w:val="1155CC"/>
            <w:u w:val="single"/>
          </w:rPr>
          <w:t>10.1073/pnas.2606761123</w:t>
        </w:r>
      </w:hyperlink>
    </w:p>
    <w:p>
      <w:pPr>
        <w:spacing w:before="0" w:after="120"/>
      </w:pPr>
      <w:r>
        <w:rPr>
          <w:b/>
        </w:rPr>
        <w:t xml:space="preserve">Notes: </w:t>
      </w:r>
      <w:r>
        <w:t>abstract_source=crossref</w:t>
      </w:r>
    </w:p>
    <w:p>
      <w:pPr>
        <w:spacing w:before="0" w:after="80" w:lineRule="auto" w:line="276"/>
      </w:pPr>
      <w:r>
        <w:rPr>
          <w:b/>
        </w:rPr>
        <w:t xml:space="preserve">摘要（ZH）: </w:t>
      </w:r>
      <w:r>
        <w:t>水凝胶已广泛应用于生物医学和环境应用，但在广泛的范围内精确控制机械性能（通过弹性模量 G' 量化）对于扩展其功能仍然至关重要。虽然压力处理通常通过压力诱导交联来增强水凝胶强度，但我们报告了刺槐豆胶（LBG）水凝胶中的一种违反直觉的现象：高压处理会导致软化而不是硬化。在高达 1.2 GPa 的重复压缩-减压循环下，LBG 水凝胶逐渐软化，弹性模量下降至初始值的约 31%。相反，反复冻融循环可将模量提高约 2.3 倍。扫描电子显微镜揭示了从多孔网络到絮状形态的结构转变，对应于弹性模量和粘弹性行为的显着变化。机理分析表明，压力引起的氢键破坏、水的重新分布和结构重排驱动了这些变化。这些发现表明，压力调节可以作为传统冻融处理的补充方法，在广泛的范围内提供对水凝胶机械性能的精确控制。</w:t>
      </w:r>
    </w:p>
    <w:p>
      <w:pPr>
        <w:spacing w:before="0" w:after="200" w:lineRule="auto" w:line="276"/>
      </w:pPr>
      <w:r>
        <w:rPr>
          <w:b/>
        </w:rPr>
        <w:t xml:space="preserve">Abstract (EN): </w:t>
      </w:r>
      <w:r>
        <w:t>Hydrogels have been widely used in biomedical and environmental applications, yet precise control of mechanical properties (quantified by elastic modulus, G′) over a broad range remains essential for expanding their functionality. While pressure treatment typically enhances hydrogel strength through pressure-induced crosslinking, we report a counterintuitive phenomenon in locust bean gum (LBG) hydrogels: High-pressure processing induces softening rather than stiffening. Under repeated compression-decompression cycles up to 1.2 GPa, LBG hydrogels undergo progressive softening, with elastic modulus decreasing to approximately 31% of the initial value. Conversely, repeated freeze–thaw cycles enhance the modulus by approximately 2.3-fold. Scanning electron microscopy reveals a structural transition from a porous network to a flocculent morphology, corresponding to substantial alterations in elastic modulus and viscoelastic behavior. Mechanistic analysis suggests that pressure-induced disruption of hydrogen bonding, water redistribution, and structural rearrangement drive these changes. These findings demonstrate that pressure modulation can serve as a complementary method to conventional freeze–thaw treatment, offering precise control over hydrogel mechanical properties across a wide range.</w:t>
      </w:r>
    </w:p>
    <w:p>
      <w:pPr>
        <w:spacing w:before="120" w:after="120"/>
      </w:pPr>
      <w:r>
        <w:rPr>
          <w:sz w:val="18"/>
        </w:rPr>
        <w:t>——————————————————————————————————————————————————————————————————————</w:t>
      </w:r>
    </w:p>
    <w:p>
      <w:pPr>
        <w:spacing w:before="160" w:after="40" w:line="240" w:lineRule="auto"/>
      </w:pPr>
      <w:r>
        <w:rPr>
          <w:b/>
        </w:rPr>
        <w:t xml:space="preserve">[418] </w:t>
      </w:r>
      <w:hyperlink r:id="rId914">
        <w:r>
          <w:rPr>
            <w:color w:val="1155CC"/>
            <w:u w:val="single"/>
          </w:rPr>
          <w:t>社会和空间亲和力推动蚂蚁的伤口护理</w:t>
        </w:r>
      </w:hyperlink>
    </w:p>
    <w:p>
      <w:pPr>
        <w:spacing w:before="0" w:after="80"/>
      </w:pPr>
      <w:r>
        <w:rPr>
          <w:i/>
          <w:sz w:val="20"/>
        </w:rPr>
        <w:t>EN: Social and spatial affinity drive wound care in ants</w:t>
      </w:r>
    </w:p>
    <w:p>
      <w:pPr>
        <w:spacing w:before="0" w:after="120"/>
      </w:pPr>
      <w:r>
        <w:rPr>
          <w:b/>
        </w:rPr>
        <w:t xml:space="preserve">Source: </w:t>
      </w:r>
      <w:r>
        <w:t>Proceedings of the National Academy of Sciences: Keyword search for query</w:t>
      </w:r>
      <w:r>
        <w:t xml:space="preserve">    </w:t>
      </w:r>
      <w:r>
        <w:rPr>
          <w:b/>
        </w:rPr>
        <w:t xml:space="preserve">Pub date: </w:t>
      </w:r>
      <w:r>
        <w:t>2026-07-01 07:00:00+00:00</w:t>
      </w:r>
      <w:r>
        <w:t xml:space="preserve">    </w:t>
      </w:r>
      <w:r>
        <w:rPr>
          <w:b/>
        </w:rPr>
        <w:t xml:space="preserve">DOI: </w:t>
      </w:r>
      <w:hyperlink r:id="rId915">
        <w:r>
          <w:rPr>
            <w:color w:val="1155CC"/>
            <w:u w:val="single"/>
          </w:rPr>
          <w:t>10.1073/pnas.2614400123</w:t>
        </w:r>
      </w:hyperlink>
    </w:p>
    <w:p>
      <w:pPr>
        <w:spacing w:before="0" w:after="120"/>
      </w:pPr>
      <w:r>
        <w:rPr>
          <w:b/>
        </w:rPr>
        <w:t xml:space="preserve">Notes: </w:t>
      </w:r>
      <w:r>
        <w:t>abstract_source=crossref</w:t>
      </w:r>
    </w:p>
    <w:p>
      <w:pPr>
        <w:spacing w:before="0" w:after="80" w:lineRule="auto" w:line="276"/>
      </w:pPr>
      <w:r>
        <w:rPr>
          <w:b/>
        </w:rPr>
        <w:t xml:space="preserve">摘要（ZH）: </w:t>
      </w:r>
      <w:r>
        <w:t>在社会性动物中，开放性伤口不仅对受伤个体构成风险，而且对其更广泛的社会环境构成风险，特别是当感染传播的可能性很高时。为了减轻这种危险，不同物种进化出了不同的策略，蚂蚁是人类之外参与社会伤口护理的少数类群之一。然而，谁提供这种护理以及驱动护理提供的因素仍有待探索。为了回答这些问题，我们将受控损伤实验与六个蚂蚁群体的自动行为跟踪和模拟相结合</w:t>
      </w:r>
      <w:r>
        <w:t xml:space="preserve"> </w:t>
      </w:r>
      <w:r>
        <w:t>弓背蚁</w:t>
      </w:r>
      <w:r>
        <w:t xml:space="preserve"> </w:t>
      </w:r>
      <w:r>
        <w:t>。我们的研究结果表明，看护者是处于护理和觅食角色之间过渡状态的工人，其特点是活动量增加和巢穴覆盖范围广泛。然而，处于这种过渡状态是必要的，但不足以解释个人护理提供的时间动态。相反，护理供给最好通过受伤前的空间重叠、相遇率和社交互动来解释，它们共同构成了一个亲和力指数，可以预测随后伤口护理事件的频率和持续时间。我们进一步表明，开放性伤口的治疗并不是针对受伤蚂蚁的社会行为普遍增加的结果，而是对伤害的护理反应的一部分，这也涉及异体梳理的增加。总而言之，我们的研究结果揭示了个人充当照顾者的必要条件，并强调了亲和力驱动的二元互动作为一种尚未充分探索的机制</w:t>
      </w:r>
    </w:p>
    <w:p>
      <w:pPr>
        <w:spacing w:before="0" w:after="200" w:lineRule="auto" w:line="276"/>
      </w:pPr>
      <w:r>
        <w:rPr>
          <w:b/>
        </w:rPr>
        <w:t xml:space="preserve">Abstract (EN): </w:t>
      </w:r>
      <w:r>
        <w:t>In social animals, open wounds pose a risk not only for the injured individual but also for its wider social context, especially when the probability of infection transmission is high. To mitigate this danger, different strategies have evolved across species, with ants representing one of the few taxa beyond humans that engage in social wound care. Yet, who provides this care and what drives care provision remains unexplored. To answer these questions, we combined controlled injury experiments with automated behavioral tracking and simulations across six colonies of the ant</w:t>
      </w:r>
      <w:r>
        <w:t xml:space="preserve"> </w:t>
      </w:r>
      <w:r>
        <w:t>Camponotus fellah</w:t>
      </w:r>
      <w:r>
        <w:t xml:space="preserve"> </w:t>
      </w:r>
      <w:r>
        <w:t>. Our results demonstrate that caregivers are workers in a transitional state between nursing and foraging roles, characterized by elevated activity and broad nest coverage. Being in this transitional state, however, is required but not sufficient to explain the temporal dynamics of individual care provision. Instead, care provisioning is best explained by preinjury spatial overlap, encounter rates, and social interactions, which together constitute an affinity index that predicts both the frequency and duration of subsequent wound care events. We further show that the treatment of open wounds is not the result of a generalized increase in social behaviors directed to the injured ants but part of a care response toward injuries that also involves an increase in allogrooming. Taken together, our findings reveal the necessary conditions for an individual to act as a caregiver and highlight affinity-driven dyadic interactions as an underexplored mechanism for the behavioral coordination of social immunity strategies in decentralized caste-based insect societies.</w:t>
      </w:r>
    </w:p>
    <w:p>
      <w:pPr>
        <w:spacing w:before="120" w:after="120"/>
      </w:pPr>
      <w:r>
        <w:rPr>
          <w:sz w:val="18"/>
        </w:rPr>
        <w:t>——————————————————————————————————————————————————————————————————————</w:t>
      </w:r>
    </w:p>
    <w:p>
      <w:pPr>
        <w:spacing w:before="160" w:after="40" w:line="240" w:lineRule="auto"/>
      </w:pPr>
      <w:r>
        <w:rPr>
          <w:b/>
        </w:rPr>
        <w:t xml:space="preserve">[419] </w:t>
      </w:r>
      <w:hyperlink r:id="rId916">
        <w:r>
          <w:rPr>
            <w:color w:val="1155CC"/>
            <w:u w:val="single"/>
          </w:rPr>
          <w:t>大肠杆菌碳响应转录状态的系统级图谱</w:t>
        </w:r>
      </w:hyperlink>
    </w:p>
    <w:p>
      <w:pPr>
        <w:spacing w:before="0" w:after="80"/>
      </w:pPr>
      <w:r>
        <w:rPr>
          <w:i/>
          <w:sz w:val="20"/>
        </w:rPr>
        <w:t>EN: A systems-level atlas of carbon-response transcriptional states in Escherichia coli</w:t>
      </w:r>
    </w:p>
    <w:p>
      <w:pPr>
        <w:spacing w:before="0" w:after="120"/>
      </w:pPr>
      <w:r>
        <w:rPr>
          <w:b/>
        </w:rPr>
        <w:t xml:space="preserve">Source: </w:t>
      </w:r>
      <w:r>
        <w:t>Proceedings of the National Academy of Sciences: Keyword search for query</w:t>
      </w:r>
      <w:r>
        <w:t xml:space="preserve">    </w:t>
      </w:r>
      <w:r>
        <w:rPr>
          <w:b/>
        </w:rPr>
        <w:t xml:space="preserve">Pub date: </w:t>
      </w:r>
      <w:r>
        <w:t>2026-07-01 07:00:00+00:00</w:t>
      </w:r>
      <w:r>
        <w:t xml:space="preserve">    </w:t>
      </w:r>
      <w:r>
        <w:rPr>
          <w:b/>
        </w:rPr>
        <w:t xml:space="preserve">DOI: </w:t>
      </w:r>
      <w:hyperlink r:id="rId917">
        <w:r>
          <w:rPr>
            <w:color w:val="1155CC"/>
            <w:u w:val="single"/>
          </w:rPr>
          <w:t>10.1073/pnas.2531884123</w:t>
        </w:r>
      </w:hyperlink>
    </w:p>
    <w:p>
      <w:pPr>
        <w:spacing w:before="0" w:after="120"/>
      </w:pPr>
      <w:r>
        <w:rPr>
          <w:b/>
        </w:rPr>
        <w:t xml:space="preserve">Notes: </w:t>
      </w:r>
      <w:r>
        <w:t>abstract_source=crossref</w:t>
      </w:r>
    </w:p>
    <w:p>
      <w:pPr>
        <w:spacing w:before="0" w:after="80" w:lineRule="auto" w:line="276"/>
      </w:pPr>
      <w:r>
        <w:rPr>
          <w:b/>
        </w:rPr>
        <w:t xml:space="preserve">摘要（ZH）: </w:t>
      </w:r>
      <w:r>
        <w:t>大肠杆菌</w:t>
      </w:r>
      <w:r>
        <w:t xml:space="preserve"> </w:t>
      </w:r>
      <w:r>
        <w:t>遇到化学上不同的碳源，其转录调控网络（TRN）的观察到的输出随底物化学、代谢进入途径和生长生理学而变化。在这里，我们编译了 PRECISE-NP881，这是一个 881 条件转录组纲要，包含本研究在 43 个单独碳源上生长期间生成的 346 个 RNA 序列图谱，并使用独立成分分析来量化 137 个 iModulons 的条件特异性活性，此处定义为统计上独立的基因表达模块。我们鉴定了 25 种碳分解代谢 iModulons，并将它们在 43 种底物中的活性模式总结为四个活性定义的底物组。这些活性模式与测量的生长速率、底物化学类别、中央代谢进入途径、碳标准化化学计量产量和模型估计的蛋白质组分配相关。生长较快的糖条件显示出较低的 CRP 连接 iModulon 活性，而生长较慢的条件则显示出 CRP 连接和底物特异性分解代谢 iModulon 的条件特异性活性升高。 TCA 进入和氨基酸相关条件与 NtrC-1 和 Propionate iModulon 活性相关，靶向敲除分析支持选定丙酰辅酶 A 相关基因的条件生理相关性。含氮、生长较慢的条件以及预测的铵释放的子集诱导了隐秘的原噬菌体相关的 SgcABCEQX iModulon。独立葡萄糖饥饿/再喂养时间的预测</w:t>
      </w:r>
    </w:p>
    <w:p>
      <w:pPr>
        <w:spacing w:before="0" w:after="200" w:lineRule="auto" w:line="276"/>
      </w:pPr>
      <w:r>
        <w:rPr>
          <w:b/>
        </w:rPr>
        <w:t xml:space="preserve">Abstract (EN): </w:t>
      </w:r>
      <w:r>
        <w:t>Escherichia coli</w:t>
      </w:r>
      <w:r>
        <w:t xml:space="preserve"> </w:t>
      </w:r>
      <w:r>
        <w:t>encounters chemically diverse carbon sources, and the observed outputs of its transcriptional regulatory network (TRN) vary with substrate chemistry, metabolic entry route, and growth physiology. Here, we compiled PRECISE-NP881, an 881-condition transcriptome compendium comprising 346 RNA-seq profiles generated for this study during growth on 43 individual carbon sources, and used independent component analysis to quantify condition-specific activities of 137 iModulons, defined here as statistically independent gene-expression modules. We identified 25 carbon-catabolism iModulons and summarized their activity patterns across the 43 substrates into four activity-defined substrate groups. These activity patterns were associated with measured growth rates, substrate chemical classes, central-metabolic entry routes, carbon-normalized stoichiometric yield, and model-estimated proteome allocation. Faster-growing sugar conditions showed low CRP-linked iModulon activity, whereas slower-growing conditions showed elevated, condition-specific activity of CRP-linked and substrate-specific catabolic iModulons. TCA-entry and amino acid–associated conditions were linked with NtrC-1 and Propionate iModulon activities, with targeted knock-out assays supporting the conditional physiological relevance of selected propionyl-CoA-associated genes. A subset of nitrogen-containing, slower-growth conditions with predicted ammonium release induced the cryptic prophage-associated SgcABCEQX iModulon. Projection of an independent glucose starvation/refeeding time-course dataset revealed overlapping dynamics among selected carbon-catabolism iModulons and coordinated changes in growth- and stress-associated TRN outputs. Together, these results provide a systems-level atlas of observed carbon-responsive transcriptional states and systematize carbon physiology at scale.</w:t>
      </w:r>
    </w:p>
    <w:p>
      <w:pPr>
        <w:spacing w:before="120" w:after="120"/>
      </w:pPr>
      <w:r>
        <w:rPr>
          <w:sz w:val="18"/>
        </w:rPr>
        <w:t>——————————————————————————————————————————————————————————————————————</w:t>
      </w:r>
    </w:p>
    <w:p>
      <w:pPr>
        <w:spacing w:before="160" w:after="40" w:line="240" w:lineRule="auto"/>
      </w:pPr>
      <w:r>
        <w:rPr>
          <w:b/>
        </w:rPr>
        <w:t xml:space="preserve">[420] </w:t>
      </w:r>
      <w:hyperlink r:id="rId918">
        <w:r>
          <w:rPr>
            <w:color w:val="1155CC"/>
            <w:u w:val="single"/>
          </w:rPr>
          <w:t>地球主要是扩散的：景观演化的全球分析</w:t>
        </w:r>
      </w:hyperlink>
    </w:p>
    <w:p>
      <w:pPr>
        <w:spacing w:before="0" w:after="80"/>
      </w:pPr>
      <w:r>
        <w:rPr>
          <w:i/>
          <w:sz w:val="20"/>
        </w:rPr>
        <w:t>EN: Earth is mostly diffusive: A global analysis of landscape evolution</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919">
        <w:r>
          <w:rPr>
            <w:color w:val="1155CC"/>
            <w:u w:val="single"/>
          </w:rPr>
          <w:t>10.1126/sciadv.aeb5187</w:t>
        </w:r>
      </w:hyperlink>
    </w:p>
    <w:p>
      <w:pPr>
        <w:spacing w:before="0" w:after="120"/>
      </w:pPr>
      <w:r>
        <w:rPr>
          <w:b/>
        </w:rPr>
        <w:t xml:space="preserve">Notes: </w:t>
      </w:r>
      <w:r>
        <w:t>abstract_source=crossref</w:t>
      </w:r>
    </w:p>
    <w:p>
      <w:pPr>
        <w:spacing w:before="0" w:after="80" w:lineRule="auto" w:line="276"/>
      </w:pPr>
      <w:r>
        <w:rPr>
          <w:b/>
        </w:rPr>
        <w:t xml:space="preserve">摘要（ZH）: </w:t>
      </w:r>
      <w:r>
        <w:t>地球的景观——从山脉到河流三角洲——是由沉积物侵蚀、搬运和沉积形成的。然而，大多数景观演化模型仅代表两个过程：扩散土壤蠕变和基岩河流切割。仅用这两个过程就可以代表地球表面的多少面积？为了解决这个问题，我们绘制了八个主要地貌过程域的全球丰度和分布图，发现约 75% 的地球陆地面积由覆盖土壤的山坡和以扩散土壤蠕变为主的平地组成，而 0.5% 是基岩河流廊道。虽然其他过程域（冰川、湖泊、冲积河廊道、风成沙漠和基岩山坡）仅占地球陆地面积的约 24%，但它们将大部分沉积物从大陆输送到海洋。过程域与不同的地形、气候和构造条件相一致，表明了改善耦合的全球景观、气候和构造演化模型的途径。总体而言，我们的结果揭示了全球八个主要地貌过程域的分布，并突出了扩散地形的空间优势。</w:t>
      </w:r>
    </w:p>
    <w:p>
      <w:pPr>
        <w:spacing w:before="0" w:after="200" w:lineRule="auto" w:line="276"/>
      </w:pPr>
      <w:r>
        <w:rPr>
          <w:b/>
        </w:rPr>
        <w:t xml:space="preserve">Abstract (EN): </w:t>
      </w:r>
      <w:r>
        <w:t>Earth’s landscapes—from mountains to river deltas—are shaped by sediment erosion, transport, and deposition. However, most landscape evolution models represent only two processes: diffusive soil creep and bedrock river incision. How much of Earth’s surface can be represented by these two processes alone? To address this question, we mapped the global abundance and distribution of eight major geomorphic process domains, finding that ~75% of Earth’s land area consists of soil-mantled hillslopes and flatlands dominated by diffusive soil creep, while 0.5% is a bedrock river corridor. While other process domains (glaciers, lakes, alluvial river corridors, aeolian deserts, and bedrock hillslopes) make up only ~24% of Earth’s land area, they transport most of the sediment from continents to oceans. Process domains align with different topographic, climatic, and tectonic conditions, indicating a pathway to improve coupled global landscape, climate, and tectonic evolution models. Overall, our results reveal the distribution of the eight major geomorphic process domains globally and highlight the spatial dominance of diffusive topography.</w:t>
      </w:r>
    </w:p>
    <w:p>
      <w:pPr>
        <w:spacing w:before="120" w:after="120"/>
      </w:pPr>
      <w:r>
        <w:rPr>
          <w:sz w:val="18"/>
        </w:rPr>
        <w:t>——————————————————————————————————————————————————————————————————————</w:t>
      </w:r>
    </w:p>
    <w:p>
      <w:pPr>
        <w:spacing w:before="160" w:after="40" w:line="240" w:lineRule="auto"/>
      </w:pPr>
      <w:r>
        <w:rPr>
          <w:b/>
        </w:rPr>
        <w:t xml:space="preserve">[421] </w:t>
      </w:r>
      <w:hyperlink r:id="rId920">
        <w:r>
          <w:rPr>
            <w:color w:val="1155CC"/>
            <w:u w:val="single"/>
          </w:rPr>
          <w:t>全基因组筛选发现 PLCG2 抑制溶酶体 GCase 活性</w:t>
        </w:r>
      </w:hyperlink>
    </w:p>
    <w:p>
      <w:pPr>
        <w:spacing w:before="0" w:after="80"/>
      </w:pPr>
      <w:r>
        <w:rPr>
          <w:i/>
          <w:sz w:val="20"/>
        </w:rPr>
        <w:t>EN: A genome-wide screen identifies that PLCG2 restrains lysosomal GCase activity</w:t>
      </w:r>
    </w:p>
    <w:p>
      <w:pPr>
        <w:spacing w:before="0" w:after="120"/>
      </w:pPr>
      <w:r>
        <w:rPr>
          <w:b/>
        </w:rPr>
        <w:t xml:space="preserve">Source: </w:t>
      </w:r>
      <w:r>
        <w:t>Proceedings of the National Academy of Sciences: Keyword search for query</w:t>
      </w:r>
      <w:r>
        <w:t xml:space="preserve">    </w:t>
      </w:r>
      <w:r>
        <w:rPr>
          <w:b/>
        </w:rPr>
        <w:t xml:space="preserve">Pub date: </w:t>
      </w:r>
      <w:r>
        <w:t>2026-07-01 07:00:00+00:00</w:t>
      </w:r>
      <w:r>
        <w:t xml:space="preserve">    </w:t>
      </w:r>
      <w:r>
        <w:rPr>
          <w:b/>
        </w:rPr>
        <w:t xml:space="preserve">DOI: </w:t>
      </w:r>
      <w:hyperlink r:id="rId921">
        <w:r>
          <w:rPr>
            <w:color w:val="1155CC"/>
            <w:u w:val="single"/>
          </w:rPr>
          <w:t>10.1073/pnas.2514112123</w:t>
        </w:r>
      </w:hyperlink>
    </w:p>
    <w:p>
      <w:pPr>
        <w:spacing w:before="0" w:after="120"/>
      </w:pPr>
      <w:r>
        <w:rPr>
          <w:b/>
        </w:rPr>
        <w:t xml:space="preserve">Notes: </w:t>
      </w:r>
      <w:r>
        <w:t>abstract_source=crossref</w:t>
      </w:r>
    </w:p>
    <w:p>
      <w:pPr>
        <w:spacing w:before="0" w:after="80" w:lineRule="auto" w:line="276"/>
      </w:pPr>
      <w:r>
        <w:rPr>
          <w:b/>
        </w:rPr>
        <w:t xml:space="preserve">摘要（ZH）: </w:t>
      </w:r>
      <w:r>
        <w:t>突变在</w:t>
      </w:r>
      <w:r>
        <w:t xml:space="preserve"> </w:t>
      </w:r>
      <w:r>
        <w:t>GBA1</w:t>
      </w:r>
      <w:r>
        <w:t xml:space="preserve"> </w:t>
      </w:r>
      <w:r>
        <w:t>编码溶酶体葡萄糖脑苷脂酶 GCase 的基因会导致溶酶体贮积症戈谢病，也是帕金森病 (PD) 最常见的遗传风险因素。这些突变会消耗溶酶体 GCase 活性并导致 GCase 底物、葡萄糖神经酰胺及其病理代谢物、葡萄糖基鞘氨醇的积累。 GCase 活性受损会导致戈谢病中的免疫和神经元功能障碍，并促进 PD 中 α-突触核蛋白的致病性聚集。因此，增强 GCase 的溶酶体活性是改善底物积累并预防相关神经毒性的治疗策略。为了确定溶酶体中 GCase 活性的调节因子，我们使用荧光酶活性报告基因在原代小鼠巨噬细胞中进行了全基因组筛选。通过验证细胞生化和分析测定中的筛选命中，我们确定了促进或抑制溶酶体 GCase 活性的途径。我们的筛选确定 PLCG2 是溶酶体 GCase 活性的调节剂。从机制上讲，PLCG2 耗尽会积累高尔基体相关的磷脂酰肌醇，促进突变型 GCase 转运到溶酶体中，同时减少其高尔基体相关池。从功能上讲，PLCG2 耗竭可增强溶酶体突变 GCase 的活性、葡萄糖神经酰胺的细胞通量以及致病性 GCase 底物的清除。总之，我们的筛选揭示了全基因组范围内 GCase 丰度和运输的调节因子，并确定了潜在的途径</w:t>
      </w:r>
    </w:p>
    <w:p>
      <w:pPr>
        <w:spacing w:before="0" w:after="200" w:lineRule="auto" w:line="276"/>
      </w:pPr>
      <w:r>
        <w:rPr>
          <w:b/>
        </w:rPr>
        <w:t xml:space="preserve">Abstract (EN): </w:t>
      </w:r>
      <w:r>
        <w:t>Mutations in the</w:t>
      </w:r>
      <w:r>
        <w:t xml:space="preserve"> </w:t>
      </w:r>
      <w:r>
        <w:t>GBA1</w:t>
      </w:r>
      <w:r>
        <w:t xml:space="preserve"> </w:t>
      </w:r>
      <w:r>
        <w:t>gene, which encodes the lysosomal glucocerebrosidase enzyme GCase, cause the lysosomal storage disorder Gaucher disease and represent the most common genetic risk factor for Parkinson’s disease (PD). These mutations deplete lysosomal GCase activity and cause accumulation of GCase substrate, glucosylceramide, and its pathological metabolite, glucosylsphingosine. Impaired GCase activity then drives immune and neuronal dysfunction in Gaucher disease and promotes pathogenic aggregation of α-Synuclein in PD. As such, boosting the lysosomal activity of GCase is a therapeutic strategy to ameliorate substrate accumulation and prevent associated neurotoxicity. To identify the regulators of GCase activity in lysosomes, we conducted a genome-wide screen in primary mouse macrophages using a fluorescent enzyme activity reporter. By validating the screen hits in cellular biochemical and profiling assays, we identified pathways that promote or inhibit lysosomal GCase activity. Our screen identified PLCG2 as a regulator of lysosomal GCase activity. Mechanistically, PLCG2 depletion accumulates Golgi-associated phosphatidylinositols, promoting the transport of mutant GCase into lysosomes while reducing its Golgi-associated pool. Functionally, PLCG2 depletion boosts the activity of lysosomal mutant GCase, the cellular flux of glucosylceramide, and the clearance of pathogenic GCase substrates. In summary, our screen has uncovered the regulators of GCase abundance and trafficking at a whole-genome scale and identified potential pathways for future therapeutic interventions in Gaucher and Parkinson’s to boost the activity of this enzyme in lysosomes.</w:t>
      </w:r>
    </w:p>
    <w:p>
      <w:pPr>
        <w:spacing w:before="120" w:after="120"/>
      </w:pPr>
      <w:r>
        <w:rPr>
          <w:sz w:val="18"/>
        </w:rPr>
        <w:t>——————————————————————————————————————————————————————————————————————</w:t>
      </w:r>
    </w:p>
    <w:p>
      <w:pPr>
        <w:spacing w:before="160" w:after="40" w:line="240" w:lineRule="auto"/>
      </w:pPr>
      <w:r>
        <w:rPr>
          <w:b/>
        </w:rPr>
        <w:t xml:space="preserve">[422] </w:t>
      </w:r>
      <w:hyperlink r:id="rId922">
        <w:r>
          <w:rPr>
            <w:color w:val="1155CC"/>
            <w:u w:val="single"/>
          </w:rPr>
          <w:t>神经肽信号传导和血脑屏障在果蝇中产生持续的应激诱导的内部状态</w:t>
        </w:r>
      </w:hyperlink>
    </w:p>
    <w:p>
      <w:pPr>
        <w:spacing w:before="0" w:after="80"/>
      </w:pPr>
      <w:r>
        <w:rPr>
          <w:i/>
          <w:sz w:val="20"/>
        </w:rPr>
        <w:t>EN: Neuropeptide signaling and the blood–brain barrier generate a persistent stress-induced internal state in Drosophila</w:t>
      </w:r>
    </w:p>
    <w:p>
      <w:pPr>
        <w:spacing w:before="0" w:after="120"/>
      </w:pPr>
      <w:r>
        <w:rPr>
          <w:b/>
        </w:rPr>
        <w:t xml:space="preserve">Source: </w:t>
      </w:r>
      <w:r>
        <w:t>Proceedings of the National Academy of Sciences: Keyword search for query</w:t>
      </w:r>
      <w:r>
        <w:t xml:space="preserve">    </w:t>
      </w:r>
      <w:r>
        <w:rPr>
          <w:b/>
        </w:rPr>
        <w:t xml:space="preserve">Pub date: </w:t>
      </w:r>
      <w:r>
        <w:t>2026-07-01 07:00:00+00:00</w:t>
      </w:r>
      <w:r>
        <w:t xml:space="preserve">    </w:t>
      </w:r>
      <w:r>
        <w:rPr>
          <w:b/>
        </w:rPr>
        <w:t xml:space="preserve">DOI: </w:t>
      </w:r>
      <w:hyperlink r:id="rId923">
        <w:r>
          <w:rPr>
            <w:color w:val="1155CC"/>
            <w:u w:val="single"/>
          </w:rPr>
          <w:t>10.1073/pnas.2517987123</w:t>
        </w:r>
      </w:hyperlink>
    </w:p>
    <w:p>
      <w:pPr>
        <w:spacing w:before="0" w:after="120"/>
      </w:pPr>
      <w:r>
        <w:rPr>
          <w:b/>
        </w:rPr>
        <w:t xml:space="preserve">Notes: </w:t>
      </w:r>
      <w:r>
        <w:t>abstract_source=crossref</w:t>
      </w:r>
    </w:p>
    <w:p>
      <w:pPr>
        <w:spacing w:before="0" w:after="80" w:lineRule="auto" w:line="276"/>
      </w:pPr>
      <w:r>
        <w:rPr>
          <w:b/>
        </w:rPr>
        <w:t xml:space="preserve">摘要（ZH）: </w:t>
      </w:r>
      <w:r>
        <w:t>尽管恐惧调节已经阐明了线索诱发的急性恐惧反应，但人们对压力体验诱发与焦虑或恐惧症相关的普遍内部状态的机制知之甚少。在这里，我们报告说，强烈的压力会导致持续的行为改变，其特征是避免密闭空间，在人中出现类似幽闭恐惧症的行为（CLB）。</w:t>
      </w:r>
      <w:r>
        <w:t xml:space="preserve"> </w:t>
      </w:r>
      <w:r>
        <w:t>果蝇</w:t>
      </w:r>
      <w:r>
        <w:t xml:space="preserve"> </w:t>
      </w:r>
      <w:r>
        <w:t>。与厌恶记忆的形成不同，CLB 的形成不需要多巴胺受体。我们的神经元筛选确定，Allatostatin-A 的神经肽信号传导通过其受体 AstA-R1 使下游神经元失活，从而诱发 CLB。此外，个体果蝇头部的基因表达谱显示，血脑屏障中的先天免疫反应激活与 CLB 有关。我们的数据表明，压力引起的持续行为改变与厌恶记忆形成的典型机制无关，而是涉及神经肽能信号传导和血脑屏障，提供了决定持续转变为恐惧症样模式的内部状态的机制。</w:t>
      </w:r>
    </w:p>
    <w:p>
      <w:pPr>
        <w:spacing w:before="0" w:after="200" w:lineRule="auto" w:line="276"/>
      </w:pPr>
      <w:r>
        <w:rPr>
          <w:b/>
        </w:rPr>
        <w:t xml:space="preserve">Abstract (EN): </w:t>
      </w:r>
      <w:r>
        <w:t>Although fear conditioning has elucidated cue-evoked acute fear responses, the mechanisms by which stress experiences induce generalized internal states linked to anxiety or phobia are poorly understood. Here, we report that robust stress induces a persistent behavioral change characterized by avoidance of a confined space, claustrophobia-like behavior (CLB) in</w:t>
      </w:r>
      <w:r>
        <w:t xml:space="preserve"> </w:t>
      </w:r>
      <w:r>
        <w:t>Drosophila</w:t>
      </w:r>
      <w:r>
        <w:t xml:space="preserve"> </w:t>
      </w:r>
      <w:r>
        <w:t>. Unlike aversive memory formation, the development of CLB does not require dopamine receptors. Our neuronal screening determined that neuropeptide signaling via Allatostatin-A inactivates the downstream neurons via its receptor AstA-R1, causally inducing CLB. Moreover, gene expression profiling of individual fly heads revealed that innate immune response activation in the blood–brain barrier is involved in CLB. Our data demonstrate that stress-induced persistent behavioral change would not be related to a canonical mechanism of aversive memory formation, rather involves neuropeptidergic signaling and the blood–brain barrier, providing the mechanism determining internal states which persistently change into a phobia-like mode.</w:t>
      </w:r>
    </w:p>
    <w:p>
      <w:pPr>
        <w:spacing w:before="120" w:after="120"/>
      </w:pPr>
      <w:r>
        <w:rPr>
          <w:sz w:val="18"/>
        </w:rPr>
        <w:t>——————————————————————————————————————————————————————————————————————</w:t>
      </w:r>
    </w:p>
    <w:p>
      <w:pPr>
        <w:spacing w:before="160" w:after="40" w:line="240" w:lineRule="auto"/>
      </w:pPr>
      <w:r>
        <w:rPr>
          <w:b/>
        </w:rPr>
        <w:t xml:space="preserve">[423] </w:t>
      </w:r>
      <w:hyperlink r:id="rId924">
        <w:r>
          <w:rPr>
            <w:color w:val="1155CC"/>
            <w:u w:val="single"/>
          </w:rPr>
          <w:t>颗粒细胞糖原为无血管黄体提供燃料</w:t>
        </w:r>
      </w:hyperlink>
    </w:p>
    <w:p>
      <w:pPr>
        <w:spacing w:before="0" w:after="80"/>
      </w:pPr>
      <w:r>
        <w:rPr>
          <w:i/>
          <w:sz w:val="20"/>
        </w:rPr>
        <w:t>EN: Granulosa cell glycogen fuels the avascular corpus luteum</w:t>
      </w:r>
    </w:p>
    <w:p>
      <w:pPr>
        <w:spacing w:before="0" w:after="120"/>
      </w:pPr>
      <w:r>
        <w:rPr>
          <w:b/>
        </w:rPr>
        <w:t xml:space="preserve">Source: </w:t>
      </w:r>
      <w:r>
        <w:t>Proceedings of the National Academy of Sciences: Keyword search for query</w:t>
      </w:r>
      <w:r>
        <w:t xml:space="preserve">    </w:t>
      </w:r>
      <w:r>
        <w:rPr>
          <w:b/>
        </w:rPr>
        <w:t xml:space="preserve">Pub date: </w:t>
      </w:r>
      <w:r>
        <w:t>2026-07-01 07:00:00+00:00</w:t>
      </w:r>
      <w:r>
        <w:t xml:space="preserve">    </w:t>
      </w:r>
      <w:r>
        <w:rPr>
          <w:b/>
        </w:rPr>
        <w:t xml:space="preserve">DOI: </w:t>
      </w:r>
      <w:hyperlink r:id="rId925">
        <w:r>
          <w:rPr>
            <w:color w:val="1155CC"/>
            <w:u w:val="single"/>
          </w:rPr>
          <w:t>10.1073/pnas.2523789123</w:t>
        </w:r>
      </w:hyperlink>
    </w:p>
    <w:p>
      <w:pPr>
        <w:spacing w:before="0" w:after="120"/>
      </w:pPr>
      <w:r>
        <w:rPr>
          <w:b/>
        </w:rPr>
        <w:t xml:space="preserve">Notes: </w:t>
      </w:r>
      <w:r>
        <w:t>abstract_source=crossref</w:t>
      </w:r>
    </w:p>
    <w:p>
      <w:pPr>
        <w:spacing w:before="0" w:after="80" w:lineRule="auto" w:line="276"/>
      </w:pPr>
      <w:r>
        <w:rPr>
          <w:b/>
        </w:rPr>
        <w:t xml:space="preserve">摘要（ZH）: </w:t>
      </w:r>
      <w:r>
        <w:t>黄体 (CL) 由颗粒细胞 (GC) 和卵泡膜细胞的黄素化产生，其特点是黄体酮快速升高和血管生成。有趣的是，血管生成滞后于黄体酮升高，从而形成一个无血管阶段，在此期间黄体细胞必须在没有灌注的情况下促进密集的类固醇生成。无血管 CL 如何满足这种能量需求仍然是个谜。在这里，我们揭示了一种细胞适应性机制——颗粒细胞能量储存（GCES）——可以解决这个谜团。我们证明，在黄体化开始后，GC 进入代谢静止状态，但会增强葡萄糖摄取，将葡萄糖转化为糖原。这种糖原储备的分解代谢提供无血管 CL 所需的能量，确保正常的黄体生成。 GCES 的破坏会导致黄体功能不全，而及时施用葡萄糖可以增强 GCES，从而改善小鼠和绵羊模型中的黄体功能并优化生殖结果。在人体研究中，hCG 后口服葡萄糖可显着增强 GCES 并增强黄体酮的产生。这些结果增进了我们对黄体化的理解。</w:t>
      </w:r>
    </w:p>
    <w:p>
      <w:pPr>
        <w:spacing w:before="0" w:after="200" w:lineRule="auto" w:line="276"/>
      </w:pPr>
      <w:r>
        <w:rPr>
          <w:b/>
        </w:rPr>
        <w:t xml:space="preserve">Abstract (EN): </w:t>
      </w:r>
      <w:r>
        <w:t>The corpus luteum (CL) arises from the luteinization of granulosa cells (GCs) and theca cells, marked by rapid progesterone elevation and angiogenesis. Intriguingly, angiogenesis lags behind progesterone elevation, creating an avascular phase during which luteal cells must fuel intensive steroidogenesis without perfusion. How the avascular CL meets this energetic demand remains a mystery. Here, we reveal a cellular adaptive mechanism—granulosa cell energy storage (GCES)—that resolves this enigma. We demonstrate that upon luteinization initiation, GCs enter a metabolically quiescent state yet enhance glucose uptake, converting the glucose into glycogen. Catabolism of this glycogen reserve supplies the energy required for the avascular CL, ensuring normal luteogenesis. Disruption of GCES induces luteal insufficiency, whereas timely glucose administration enhances GCES, improving luteal function and optimizing reproductive outcome in both mouse and ovine models. In human study, oral intake of glucose post-hCG significantly augments GCES and enhances progesterone production. These results advance our understanding of luteinization.</w:t>
      </w:r>
    </w:p>
    <w:p>
      <w:pPr>
        <w:spacing w:before="120" w:after="120"/>
      </w:pPr>
      <w:r>
        <w:rPr>
          <w:sz w:val="18"/>
        </w:rPr>
        <w:t>——————————————————————————————————————————————————————————————————————</w:t>
      </w:r>
    </w:p>
    <w:p>
      <w:pPr>
        <w:spacing w:before="160" w:after="40" w:line="240" w:lineRule="auto"/>
      </w:pPr>
      <w:r>
        <w:rPr>
          <w:b/>
        </w:rPr>
        <w:t xml:space="preserve">[424] </w:t>
      </w:r>
      <w:hyperlink r:id="rId926">
        <w:r>
          <w:rPr>
            <w:color w:val="1155CC"/>
            <w:u w:val="single"/>
          </w:rPr>
          <w:t>为什么环境科学家比以往任何时候都更需要道德培训</w:t>
        </w:r>
      </w:hyperlink>
    </w:p>
    <w:p>
      <w:pPr>
        <w:spacing w:before="0" w:after="80"/>
      </w:pPr>
      <w:r>
        <w:rPr>
          <w:i/>
          <w:sz w:val="20"/>
        </w:rPr>
        <w:t>EN: Why environmental scientists need ethics training more than ever before</w:t>
      </w:r>
    </w:p>
    <w:p>
      <w:pPr>
        <w:spacing w:before="0" w:after="120"/>
      </w:pPr>
      <w:r>
        <w:rPr>
          <w:b/>
        </w:rPr>
        <w:t xml:space="preserve">Source: </w:t>
      </w:r>
      <w:r>
        <w:t>Proceedings of the National Academy of Sciences: Keyword search for query</w:t>
      </w:r>
      <w:r>
        <w:t xml:space="preserve">    </w:t>
      </w:r>
      <w:r>
        <w:rPr>
          <w:b/>
        </w:rPr>
        <w:t xml:space="preserve">Pub date: </w:t>
      </w:r>
      <w:r>
        <w:t>2026-07-01 07:00:00+00:00</w:t>
      </w:r>
      <w:r>
        <w:t xml:space="preserve">    </w:t>
      </w:r>
      <w:r>
        <w:rPr>
          <w:b/>
        </w:rPr>
        <w:t xml:space="preserve">DOI: </w:t>
      </w:r>
      <w:hyperlink r:id="rId927">
        <w:r>
          <w:rPr>
            <w:color w:val="1155CC"/>
            <w:u w:val="single"/>
          </w:rPr>
          <w:t>10.1073/pnas.2525403123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[425] </w:t>
      </w:r>
      <w:hyperlink r:id="rId928">
        <w:r>
          <w:rPr>
            <w:color w:val="1155CC"/>
            <w:u w:val="single"/>
          </w:rPr>
          <w:t>TaMYB55–TaSnRK1α1–TabZIP9 模块赋予小麦热胁迫耐受性</w:t>
        </w:r>
      </w:hyperlink>
    </w:p>
    <w:p>
      <w:pPr>
        <w:spacing w:before="0" w:after="80"/>
      </w:pPr>
      <w:r>
        <w:rPr>
          <w:i/>
          <w:sz w:val="20"/>
        </w:rPr>
        <w:t>EN: The TaMYB55–TaSnRK1α1–TabZIP9 module confers heat stress tolerance in wheat</w:t>
      </w:r>
    </w:p>
    <w:p>
      <w:pPr>
        <w:spacing w:before="0" w:after="120"/>
      </w:pPr>
      <w:r>
        <w:rPr>
          <w:b/>
        </w:rPr>
        <w:t xml:space="preserve">Source: </w:t>
      </w:r>
      <w:r>
        <w:t>Proceedings of the National Academy of Sciences: Keyword search for query</w:t>
      </w:r>
      <w:r>
        <w:t xml:space="preserve">    </w:t>
      </w:r>
      <w:r>
        <w:rPr>
          <w:b/>
        </w:rPr>
        <w:t xml:space="preserve">Pub date: </w:t>
      </w:r>
      <w:r>
        <w:t>2026-07-01 07:00:00+00:00</w:t>
      </w:r>
      <w:r>
        <w:t xml:space="preserve">    </w:t>
      </w:r>
      <w:r>
        <w:rPr>
          <w:b/>
        </w:rPr>
        <w:t xml:space="preserve">DOI: </w:t>
      </w:r>
      <w:hyperlink r:id="rId929">
        <w:r>
          <w:rPr>
            <w:color w:val="1155CC"/>
            <w:u w:val="single"/>
          </w:rPr>
          <w:t>10.1073/pnas.2601097123</w:t>
        </w:r>
      </w:hyperlink>
    </w:p>
    <w:p>
      <w:pPr>
        <w:spacing w:before="0" w:after="120"/>
      </w:pPr>
      <w:r>
        <w:rPr>
          <w:b/>
        </w:rPr>
        <w:t xml:space="preserve">Notes: </w:t>
      </w:r>
      <w:r>
        <w:t>abstract_source=crossref</w:t>
      </w:r>
    </w:p>
    <w:p>
      <w:pPr>
        <w:spacing w:before="0" w:after="80" w:lineRule="auto" w:line="276"/>
      </w:pPr>
      <w:r>
        <w:rPr>
          <w:b/>
        </w:rPr>
        <w:t xml:space="preserve">摘要（ZH）: </w:t>
      </w:r>
      <w:r>
        <w:t>热应激对全球农作物产量和粮食安全构成严重威胁。在这里，我们证明 TaSnRK1α1（蔗糖非发酵 1 相关激酶 1 的 α 催化亚基）可作为赋予小麦耐热性并增加粒重的关键调节因子。</w:t>
      </w:r>
      <w:r>
        <w:t xml:space="preserve"> </w:t>
      </w:r>
      <w:r>
        <w:t>小麦</w:t>
      </w:r>
      <w:r>
        <w:t xml:space="preserve"> </w:t>
      </w:r>
      <w:r>
        <w:t>L.）。研究结果表明，TaMYB55 直接结合</w:t>
      </w:r>
      <w:r>
        <w:t xml:space="preserve"> </w:t>
      </w:r>
      <w:r>
        <w:t>TaSnRK1α1</w:t>
      </w:r>
      <w:r>
        <w:t xml:space="preserve"> </w:t>
      </w:r>
      <w:r>
        <w:t>启动子激活其表达，这对小麦的耐热性有积极贡献。 A 到 G 的替换</w:t>
      </w:r>
      <w:r>
        <w:t xml:space="preserve"> </w:t>
      </w:r>
      <w:r>
        <w:t>TaSnRK1α1</w:t>
      </w:r>
      <w:r>
        <w:t xml:space="preserve"> </w:t>
      </w:r>
      <w:r>
        <w:t>启动子增强 TaMYB55 的结合亲和力，TaMYB55 与小麦耐热表型共分离。此外，我们发现 TaSnRK1α1 与转录因子 TabZIP9 相互作用并使其磷酸化，随后促进 TabZIP9 降解。遗传分析证实 TaSnRK1α1 在 TabZIP9 上游发挥作用，并且 TaSnRK1α1 的功能丧失或获得</w:t>
      </w:r>
      <w:r>
        <w:t xml:space="preserve"> </w:t>
      </w:r>
      <w:r>
        <w:t>选项卡ZIP9</w:t>
      </w:r>
      <w:r>
        <w:t xml:space="preserve"> </w:t>
      </w:r>
      <w:r>
        <w:t>通过调节活性氧稳态和清除能力显着改变小麦的耐热性。总之，我们的研究结果揭示了 TaMYB55–TaSnRK1α1–TabZIP9 信号模块在耐热性调节中的重要性，为工程耐气候作物提供了实用策略。</w:t>
      </w:r>
    </w:p>
    <w:p>
      <w:pPr>
        <w:spacing w:before="0" w:after="200" w:lineRule="auto" w:line="276"/>
      </w:pPr>
      <w:r>
        <w:rPr>
          <w:b/>
        </w:rPr>
        <w:t xml:space="preserve">Abstract (EN): </w:t>
      </w:r>
      <w:r>
        <w:t>Heat stress poses a severe threat to global crop yields and food security. Here, we demonstrate that TaSnRK1α1, the α-catalytic subunit of sucrose non-fermenting-1-related kinase 1, serves as a pivotal regulator that confers thermotolerance and enhances grain weight in wheat (</w:t>
      </w:r>
      <w:r>
        <w:t xml:space="preserve"> </w:t>
      </w:r>
      <w:r>
        <w:t>Triticum aestivum</w:t>
      </w:r>
      <w:r>
        <w:t xml:space="preserve"> </w:t>
      </w:r>
      <w:r>
        <w:t>L.). The findings reveal that TaMYB55 directly binds to the</w:t>
      </w:r>
      <w:r>
        <w:t xml:space="preserve"> </w:t>
      </w:r>
      <w:r>
        <w:t>TaSnRK1α1</w:t>
      </w:r>
      <w:r>
        <w:t xml:space="preserve"> </w:t>
      </w:r>
      <w:r>
        <w:t>promoter to activate its expression, which positively contributes to heat tolerance in wheat. An A-to-G substitution in the</w:t>
      </w:r>
      <w:r>
        <w:t xml:space="preserve"> </w:t>
      </w:r>
      <w:r>
        <w:t>TaSnRK1α1</w:t>
      </w:r>
      <w:r>
        <w:t xml:space="preserve"> </w:t>
      </w:r>
      <w:r>
        <w:t>promoter enhances the binding affinity of TaMYB55, which cosegregates with wheat thermotolerant phenotypes. In addition, we show that TaSnRK1α1 interacts with and phosphorylates the transcription factor TabZIP9, which subsequently promotes TabZIP9 degradation. Genetic analyses confirm that TaSnRK1α1 functions upstream of TabZIP9, and loss or gain-of-function of</w:t>
      </w:r>
      <w:r>
        <w:t xml:space="preserve"> </w:t>
      </w:r>
      <w:r>
        <w:t>TabZIP9</w:t>
      </w:r>
      <w:r>
        <w:t xml:space="preserve"> </w:t>
      </w:r>
      <w:r>
        <w:t>significantly alters thermotolerance in wheat by modulating reactive oxygen species homeostasis and scavenging capacity. Together, our findings shed light on the importance of the TaMYB55–TaSnRK1α1–TabZIP9 signaling module in the regulation of heat tolerance, providing practical strategies for engineering climate-tolerant crops.</w:t>
      </w:r>
    </w:p>
    <w:p>
      <w:pPr>
        <w:spacing w:before="120" w:after="120"/>
      </w:pPr>
      <w:r>
        <w:rPr>
          <w:sz w:val="18"/>
        </w:rPr>
        <w:t>——————————————————————————————————————————————————————————————————————</w:t>
      </w:r>
    </w:p>
    <w:p>
      <w:pPr>
        <w:spacing w:before="160" w:after="40" w:line="240" w:lineRule="auto"/>
      </w:pPr>
      <w:r>
        <w:rPr>
          <w:b/>
        </w:rPr>
        <w:t xml:space="preserve">[426] </w:t>
      </w:r>
      <w:hyperlink r:id="rId930">
        <w:r>
          <w:rPr>
            <w:color w:val="1155CC"/>
            <w:u w:val="single"/>
          </w:rPr>
          <w:t>组蛋白 H1 促进未整合的 HIV-1 DNA 沉默</w:t>
        </w:r>
      </w:hyperlink>
    </w:p>
    <w:p>
      <w:pPr>
        <w:spacing w:before="0" w:after="80"/>
      </w:pPr>
      <w:r>
        <w:rPr>
          <w:i/>
          <w:sz w:val="20"/>
        </w:rPr>
        <w:t>EN: Histone H1 promotes silencing of unintegrated HIV-1 DNA</w:t>
      </w:r>
    </w:p>
    <w:p>
      <w:pPr>
        <w:spacing w:before="0" w:after="120"/>
      </w:pPr>
      <w:r>
        <w:rPr>
          <w:b/>
        </w:rPr>
        <w:t xml:space="preserve">Source: </w:t>
      </w:r>
      <w:r>
        <w:t>Proceedings of the National Academy of Sciences: Keyword search for query</w:t>
      </w:r>
      <w:r>
        <w:t xml:space="preserve">    </w:t>
      </w:r>
      <w:r>
        <w:rPr>
          <w:b/>
        </w:rPr>
        <w:t xml:space="preserve">Pub date: </w:t>
      </w:r>
      <w:r>
        <w:t>2026-07-01 07:00:00+00:00</w:t>
      </w:r>
      <w:r>
        <w:t xml:space="preserve">    </w:t>
      </w:r>
      <w:r>
        <w:rPr>
          <w:b/>
        </w:rPr>
        <w:t xml:space="preserve">DOI: </w:t>
      </w:r>
      <w:hyperlink r:id="rId931">
        <w:r>
          <w:rPr>
            <w:color w:val="1155CC"/>
            <w:u w:val="single"/>
          </w:rPr>
          <w:t>10.1073/pnas.2608048123</w:t>
        </w:r>
      </w:hyperlink>
    </w:p>
    <w:p>
      <w:pPr>
        <w:spacing w:before="0" w:after="120"/>
      </w:pPr>
      <w:r>
        <w:rPr>
          <w:b/>
        </w:rPr>
        <w:t xml:space="preserve">Notes: </w:t>
      </w:r>
      <w:r>
        <w:t>abstract_source=crossref</w:t>
      </w:r>
    </w:p>
    <w:p>
      <w:pPr>
        <w:spacing w:before="0" w:after="80" w:lineRule="auto" w:line="276"/>
      </w:pPr>
      <w:r>
        <w:rPr>
          <w:b/>
        </w:rPr>
        <w:t xml:space="preserve">摘要（ZH）: </w:t>
      </w:r>
      <w:r>
        <w:t>在真核细胞中，基因组 DNA 与由核心组蛋白 H2A、H2B、H3 和 H4 形成的核小体一起包装到染色质中，并通过接头组蛋白 H1 进一步稳定。在逆转录病毒感染的早期阶段，例如鼠白血病病毒 (MLV) 和 1 型人类免疫缺陷病毒 (HIV-1)，宿主核心和 H1 组蛋白在进入核后迅速沉积到未整合的病毒 DNA 上。这些未整合的病毒 DNA 通过组蛋白翻译后修饰 (PTM) 进行转录沉默，包括高水平的 H3K9 三甲基化和低水平的 H3 乙酰化。连接组蛋白 H1 与染色质压缩和组蛋白 PTM 密切相关，表明其在调节逆转录病毒 DNA 命运中具有潜在作用。在这项研究中，我们证明同时敲低 K562 细胞中的四种体细胞 H1 变体（H1.2、H1.3、H1.4 和 H1.5）可逆转未整合的 HIV-1 DNA 的沉默，从而导致病毒表达增加。值得注意的是，这种效应是 HIV-1 特有的，因为相同的 H1 耗竭不会改变 MLV 未整合 DNA 的沉默。此外，抑制 H3K9 甲基化还可以缓解 HIV-1 沉默，并且 H1 耗竭减少了 H3K9me3 在 HIV-1 未整合 DNA 上的沉积。这些发现表明，H1 通过促进 H3K9me3 沉积来调节 HIV-1 未整合的 DNA 表达，这一机制似乎与 MLV 不同。</w:t>
      </w:r>
    </w:p>
    <w:p>
      <w:pPr>
        <w:spacing w:before="0" w:after="200" w:lineRule="auto" w:line="276"/>
      </w:pPr>
      <w:r>
        <w:rPr>
          <w:b/>
        </w:rPr>
        <w:t xml:space="preserve">Abstract (EN): </w:t>
      </w:r>
      <w:r>
        <w:t>In eukaryotic cells, genomic DNA is packaged into chromatin with nucleosomes formed by core histones H2A, H2B, H3, and H4, and further stabilized by the linker histone H1. During the early stages of retroviral infection, such as with murine leukemia virus (MLV) and human immunodeficiency virus type 1 (HIV-1), host core and H1 histones are rapidly deposited onto unintegrated viral DNAs upon nuclear entry. These unintegrated viral DNAs are transcriptionally silenced through histone posttranslational modifications (PTMs), including high levels of H3K9 trimethylation and low levels of H3 acetylation. Linker histone H1 is closely associated with chromatin compaction and histone PTMs, suggesting a potential role in regulating retroviral DNA fate. In this study, we demonstrate that simultaneous knockdown of four somatic H1 variants (H1.2, H1.3, H1.4, and H1.5) in K562 cells reverses the silencing of unintegrated HIV-1 DNA, resulting in increased viral expression. Notably, this effect was specific to HIV-1, as the same H1 depletion did not alter the silencing of MLV unintegrated DNA. Furthermore, inhibition of H3K9 methylation also relieved HIV-1 silencing, and H1 depletion reduced H3K9me3 deposition on HIV-1 unintegrated DNA. These findings indicate that H1 regulates HIV-1 unintegrated DNA expression by promoting H3K9me3 deposition, a mechanism that appears distinct from that of MLV.</w:t>
      </w:r>
    </w:p>
    <w:p>
      <w:pPr>
        <w:spacing w:before="120" w:after="120"/>
      </w:pPr>
      <w:r>
        <w:rPr>
          <w:sz w:val="18"/>
        </w:rPr>
        <w:t>——————————————————————————————————————————————————————————————————————</w:t>
      </w:r>
    </w:p>
    <w:p>
      <w:pPr>
        <w:spacing w:before="160" w:after="40" w:line="240" w:lineRule="auto"/>
      </w:pPr>
      <w:r>
        <w:rPr>
          <w:b/>
        </w:rPr>
        <w:t xml:space="preserve">[427] </w:t>
      </w:r>
      <w:hyperlink r:id="rId932">
        <w:r>
          <w:rPr>
            <w:color w:val="1155CC"/>
            <w:u w:val="single"/>
          </w:rPr>
          <w:t>双盐桥控制 BsYetJ 跨双层和活细胞的质子门控和钙泄漏</w:t>
        </w:r>
      </w:hyperlink>
    </w:p>
    <w:p>
      <w:pPr>
        <w:spacing w:before="0" w:after="80"/>
      </w:pPr>
      <w:r>
        <w:rPr>
          <w:i/>
          <w:sz w:val="20"/>
        </w:rPr>
        <w:t>EN: Dual salt bridges govern proton gating and calcium leak in BsYetJ across bilayers and live cells</w:t>
      </w:r>
    </w:p>
    <w:p>
      <w:pPr>
        <w:spacing w:before="0" w:after="120"/>
      </w:pPr>
      <w:r>
        <w:rPr>
          <w:b/>
        </w:rPr>
        <w:t xml:space="preserve">Source: </w:t>
      </w:r>
      <w:r>
        <w:t>Proceedings of the National Academy of Sciences: Keyword search for query</w:t>
      </w:r>
      <w:r>
        <w:t xml:space="preserve">    </w:t>
      </w:r>
      <w:r>
        <w:rPr>
          <w:b/>
        </w:rPr>
        <w:t xml:space="preserve">Pub date: </w:t>
      </w:r>
      <w:r>
        <w:t>2026-07-01 07:00:00+00:00</w:t>
      </w:r>
      <w:r>
        <w:t xml:space="preserve">    </w:t>
      </w:r>
      <w:r>
        <w:rPr>
          <w:b/>
        </w:rPr>
        <w:t xml:space="preserve">DOI: </w:t>
      </w:r>
      <w:hyperlink r:id="rId933">
        <w:r>
          <w:rPr>
            <w:color w:val="1155CC"/>
            <w:u w:val="single"/>
          </w:rPr>
          <w:t>10.1073/pnas.2536595123</w:t>
        </w:r>
      </w:hyperlink>
    </w:p>
    <w:p>
      <w:pPr>
        <w:spacing w:before="0" w:after="120"/>
      </w:pPr>
      <w:r>
        <w:rPr>
          <w:b/>
        </w:rPr>
        <w:t xml:space="preserve">Notes: </w:t>
      </w:r>
      <w:r>
        <w:t>abstract_source=crossref</w:t>
      </w:r>
    </w:p>
    <w:p>
      <w:pPr>
        <w:spacing w:before="0" w:after="80" w:lineRule="auto" w:line="276"/>
      </w:pPr>
      <w:r>
        <w:rPr>
          <w:b/>
        </w:rPr>
        <w:t xml:space="preserve">摘要（ZH）: </w:t>
      </w:r>
      <w:r>
        <w:t>质子耦合离子传输是膜生理学的基本化学过程，但局部静电如何转换为门控 Ca</w:t>
      </w:r>
      <w:r>
        <w:t xml:space="preserve"> </w:t>
      </w:r>
      <w:r>
        <w:t>2+</w:t>
      </w:r>
      <w:r>
        <w:t xml:space="preserve"> </w:t>
      </w:r>
      <w:r>
        <w:t>渗透仍然不明确。在这里，我们结合了单通道平面双层电生理学、基于纳米盘的双电子-电子共振光谱、原子建模和纳米盘纳米递送策略，使纯化的膜蛋白能够直接功能性插入活的哺乳动物细胞中。将此集成工具包应用于含有 Bax-inhibitor-1 的细菌跨膜基序原型</w:t>
      </w:r>
      <w:r>
        <w:t xml:space="preserve"> </w:t>
      </w:r>
      <w:r>
        <w:t>乙烷</w:t>
      </w:r>
      <w:r>
        <w:t xml:space="preserve"> </w:t>
      </w:r>
      <w:r>
        <w:t>然而，我们解决了由两个具有不同物理作用的盐桥控制的分层静电门控机制。周质 E49–R205 相互作用充当质子敏感闩锁，驱动跨膜螺旋 2 位移并控制打开概率，而细胞质 E182–R15 对作为 Ca 的局部静电决定因素</w:t>
      </w:r>
      <w:r>
        <w:t xml:space="preserve"> </w:t>
      </w:r>
      <w:r>
        <w:t>2+</w:t>
      </w:r>
      <w:r>
        <w:t xml:space="preserve"> </w:t>
      </w:r>
      <w:r>
        <w:t>自阻断可调节电导和选择性，而无需大规模构象变化。这些效应的定量分离揭示了质子化如何重塑离子渗透的能量景观。活细胞钙</w:t>
      </w:r>
      <w:r>
        <w:t xml:space="preserve"> </w:t>
      </w:r>
      <w:r>
        <w:t>2+</w:t>
      </w:r>
      <w:r>
        <w:t xml:space="preserve"> </w:t>
      </w:r>
      <w:r>
        <w:t>纳米递送后的成像在细胞膜环境中概括了这种门控逻辑。总之，这项工作将双盐桥静电学确立为分级 Ca 的化学原理。</w:t>
      </w:r>
      <w:r>
        <w:t xml:space="preserve"> </w:t>
      </w:r>
      <w:r>
        <w:t>2+</w:t>
      </w:r>
      <w:r>
        <w:t xml:space="preserve"> </w:t>
      </w:r>
      <w:r>
        <w:t>泄漏并引入纳米</w:t>
      </w:r>
    </w:p>
    <w:p>
      <w:pPr>
        <w:spacing w:before="0" w:after="200" w:lineRule="auto" w:line="276"/>
      </w:pPr>
      <w:r>
        <w:rPr>
          <w:b/>
        </w:rPr>
        <w:t xml:space="preserve">Abstract (EN): </w:t>
      </w:r>
      <w:r>
        <w:t>Proton-coupled ion transport is a fundamental chemical process underlying membrane physiology, yet how local electrostatics are transduced into gated Ca</w:t>
      </w:r>
      <w:r>
        <w:t xml:space="preserve"> </w:t>
      </w:r>
      <w:r>
        <w:t>2+</w:t>
      </w:r>
      <w:r>
        <w:t xml:space="preserve"> </w:t>
      </w:r>
      <w:r>
        <w:t>permeation remains poorly defined. Here, we combine single-channel planar bilayer electrophysiology, nanodisc-based double electron–electron resonance spectroscopy, atomistic modeling, and a nanodisc nano-delivery strategy that enables direct functional insertion of purified membrane proteins into live mammalian cells. Applying this integrated toolkit to the bacterial transmembrane Bax-inhibitor-1–containing motif prototype</w:t>
      </w:r>
      <w:r>
        <w:t xml:space="preserve"> </w:t>
      </w:r>
      <w:r>
        <w:t>Bs</w:t>
      </w:r>
      <w:r>
        <w:t xml:space="preserve"> </w:t>
      </w:r>
      <w:r>
        <w:t>YetJ, we resolve a hierarchical electrostatic gating mechanism governed by two salt bridges with distinct physical roles. A periplasmic E49–R205 interaction functions as a proton-sensitive latch that drives transmembrane helix 2 displacement and controls opening probability, while a cytoplasmic E182–R15 pair operates as a local electrostatic determinant of Ca</w:t>
      </w:r>
      <w:r>
        <w:t xml:space="preserve"> </w:t>
      </w:r>
      <w:r>
        <w:t>2+</w:t>
      </w:r>
      <w:r>
        <w:t xml:space="preserve"> </w:t>
      </w:r>
      <w:r>
        <w:t>self-block that tunes conductance and selectivity without large-scale conformational change. Quantitative separation of these effects reveals how protonation reshapes the energy landscape of ion permeation. Live-cell Ca</w:t>
      </w:r>
      <w:r>
        <w:t xml:space="preserve"> </w:t>
      </w:r>
      <w:r>
        <w:t>2+</w:t>
      </w:r>
      <w:r>
        <w:t xml:space="preserve"> </w:t>
      </w:r>
      <w:r>
        <w:t>imaging following nano-delivery recapitulates this gating logic in a cellular membrane setting. Together, this work establishes dual salt-bridge electrostatics as a chemical principle for graded Ca</w:t>
      </w:r>
      <w:r>
        <w:t xml:space="preserve"> </w:t>
      </w:r>
      <w:r>
        <w:t>2+</w:t>
      </w:r>
      <w:r>
        <w:t xml:space="preserve"> </w:t>
      </w:r>
      <w:r>
        <w:t>leak and introduces nano-delivery as a powerful platform for connecting molecular electrostatics to cellular ion transport.</w:t>
      </w:r>
    </w:p>
    <w:p>
      <w:pPr>
        <w:spacing w:before="120" w:after="120"/>
      </w:pPr>
      <w:r>
        <w:rPr>
          <w:sz w:val="18"/>
        </w:rPr>
        <w:t>——————————————————————————————————————————————————————————————————————</w:t>
      </w:r>
    </w:p>
    <w:p>
      <w:pPr>
        <w:spacing w:before="160" w:after="40" w:line="240" w:lineRule="auto"/>
      </w:pPr>
      <w:r>
        <w:rPr>
          <w:b/>
        </w:rPr>
        <w:t xml:space="preserve">[428] </w:t>
      </w:r>
      <w:hyperlink r:id="rId934">
        <w:r>
          <w:rPr>
            <w:color w:val="1155CC"/>
            <w:u w:val="single"/>
          </w:rPr>
          <w:t>TRAIL/TNFSF10 在 VHL 缺陷型肾细胞癌中的合成必要性</w:t>
        </w:r>
      </w:hyperlink>
    </w:p>
    <w:p>
      <w:pPr>
        <w:spacing w:before="0" w:after="80"/>
      </w:pPr>
      <w:r>
        <w:rPr>
          <w:i/>
          <w:sz w:val="20"/>
        </w:rPr>
        <w:t>EN: Synthetic essentiality of TRAIL/TNFSF10 in VHL-deficient renal cell carcinoma</w:t>
      </w:r>
    </w:p>
    <w:p>
      <w:pPr>
        <w:spacing w:before="0" w:after="120"/>
      </w:pPr>
      <w:r>
        <w:rPr>
          <w:b/>
        </w:rPr>
        <w:t xml:space="preserve">Source: </w:t>
      </w:r>
      <w:r>
        <w:t>Proceedings of the National Academy of Sciences: Keyword search for query</w:t>
      </w:r>
      <w:r>
        <w:t xml:space="preserve">    </w:t>
      </w:r>
      <w:r>
        <w:rPr>
          <w:b/>
        </w:rPr>
        <w:t xml:space="preserve">Pub date: </w:t>
      </w:r>
      <w:r>
        <w:t>2026-07-01 07:00:00+00:00</w:t>
      </w:r>
      <w:r>
        <w:t xml:space="preserve">    </w:t>
      </w:r>
      <w:r>
        <w:rPr>
          <w:b/>
        </w:rPr>
        <w:t xml:space="preserve">DOI: </w:t>
      </w:r>
      <w:hyperlink r:id="rId935">
        <w:r>
          <w:rPr>
            <w:color w:val="1155CC"/>
            <w:u w:val="single"/>
          </w:rPr>
          <w:t>10.1073/pnas.2535452123</w:t>
        </w:r>
      </w:hyperlink>
    </w:p>
    <w:p>
      <w:pPr>
        <w:spacing w:before="0" w:after="120"/>
      </w:pPr>
      <w:r>
        <w:rPr>
          <w:b/>
        </w:rPr>
        <w:t xml:space="preserve">Notes: </w:t>
      </w:r>
      <w:r>
        <w:t>abstract_source=crossref</w:t>
      </w:r>
    </w:p>
    <w:p>
      <w:pPr>
        <w:spacing w:before="0" w:after="80" w:lineRule="auto" w:line="276"/>
      </w:pPr>
      <w:r>
        <w:rPr>
          <w:b/>
        </w:rPr>
        <w:t xml:space="preserve">摘要（ZH）: </w:t>
      </w:r>
      <w:r>
        <w:t>透明细胞肾细胞癌（ccRCC）是肾癌最常见和最具侵袭性的亚型。 von Hippel-Lindau (VHL) 的缺失和随后缺氧诱导因子-α (HIFα，尤其是 HIF2α) 的激活在 ccRCC 的发生和进展中发挥着重要作用。 VHL-HIF2α 轴作为 ccRCC 的主要驱动因素，可能会通过将 HIF2α 与 belzutifan 和另一个脆弱性共同靶向来提供控制该疾病的特定机会。本研究阐明了 TRAIL（肿瘤坏死因子相关凋亡诱导配体）在 VHL 缺陷的 ccRCC 中合成的必要性。 TRAIL 在 ccRCC 中以 VHL-HIF2α 依赖性方式上调，在 ccRCC 细胞中选择性必需，通过激活 p38 MAPK 通路并促进 G1/S 相转变来促进细胞增殖。消除内源性 TRAIL 或用 belzutifan 抑制 HIF2α 可使 ccRCC 细胞和肿瘤模型对重组 TRAIL 敏感，为 ccRCC 联合治疗提供了一条有前景的途径。</w:t>
      </w:r>
    </w:p>
    <w:p>
      <w:pPr>
        <w:spacing w:before="0" w:after="200" w:lineRule="auto" w:line="276"/>
      </w:pPr>
      <w:r>
        <w:rPr>
          <w:b/>
        </w:rPr>
        <w:t xml:space="preserve">Abstract (EN): </w:t>
      </w:r>
      <w:r>
        <w:t>Clear cell renal cell carcinoma (ccRCC) is the most common and aggressive subtype of kidney cancer. Loss of von Hippel–Lindau (VHL) and the consequent activation of hypoxia-inducible factor-α (HIFα, especially HIF2α) plays an essential role in ccRCC initiation and progression. The VHL–HIF2α axis as the main driver for ccRCC may present specific opportunities to control the disease by cotargeting HIF2α with belzutifan and another vulnerability. This study elucidates the synthetic essentiality of TRAIL (tumor necrosis factor-related apoptosis-inducing ligand) in VHL-deficient ccRCC. Upregulated in ccRCC in a VHL–HIF2α-dependent manner, TRAIL is selectively essential in ccRCC cells, promoting cell proliferation by activating the p38 MAPK pathway and facilitating G1/S phase transition. Depletion of endogenous TRAIL or inhibition of HIF2α with belzutifan sensitizes ccRCC cell and tumor models to recombinant TRAIL, presenting a promising avenue for combination therapy in ccRCC.</w:t>
      </w:r>
    </w:p>
    <w:p>
      <w:pPr>
        <w:spacing w:before="120" w:after="120"/>
      </w:pPr>
      <w:r>
        <w:rPr>
          <w:sz w:val="18"/>
        </w:rPr>
        <w:t>——————————————————————————————————————————————————————————————————————</w:t>
      </w:r>
    </w:p>
    <w:p>
      <w:pPr>
        <w:spacing w:before="160" w:after="40" w:line="240" w:lineRule="auto"/>
      </w:pPr>
      <w:r>
        <w:rPr>
          <w:b/>
        </w:rPr>
        <w:t xml:space="preserve">[429] </w:t>
      </w:r>
      <w:hyperlink r:id="rId936">
        <w:r>
          <w:rPr>
            <w:color w:val="1155CC"/>
            <w:u w:val="single"/>
          </w:rPr>
          <w:t>Nitrogen-TOR 靶向二价染色质读取器来调节花的转变</w:t>
        </w:r>
      </w:hyperlink>
    </w:p>
    <w:p>
      <w:pPr>
        <w:spacing w:before="0" w:after="80"/>
      </w:pPr>
      <w:r>
        <w:rPr>
          <w:i/>
          <w:sz w:val="20"/>
        </w:rPr>
        <w:t>EN: Nitrogen–TOR targets a bivalent chromatin reader to modulate floral transition</w:t>
      </w:r>
    </w:p>
    <w:p>
      <w:pPr>
        <w:spacing w:before="0" w:after="120"/>
      </w:pPr>
      <w:r>
        <w:rPr>
          <w:b/>
        </w:rPr>
        <w:t xml:space="preserve">Source: </w:t>
      </w:r>
      <w:r>
        <w:t>Proceedings of the National Academy of Sciences: Keyword search for query</w:t>
      </w:r>
      <w:r>
        <w:t xml:space="preserve">    </w:t>
      </w:r>
      <w:r>
        <w:rPr>
          <w:b/>
        </w:rPr>
        <w:t xml:space="preserve">Pub date: </w:t>
      </w:r>
      <w:r>
        <w:t>2026-07-01 07:00:00+00:00</w:t>
      </w:r>
      <w:r>
        <w:t xml:space="preserve">    </w:t>
      </w:r>
      <w:r>
        <w:rPr>
          <w:b/>
        </w:rPr>
        <w:t xml:space="preserve">DOI: </w:t>
      </w:r>
      <w:hyperlink r:id="rId937">
        <w:r>
          <w:rPr>
            <w:color w:val="1155CC"/>
            <w:u w:val="single"/>
          </w:rPr>
          <w:t>10.1073/pnas.2530341123</w:t>
        </w:r>
      </w:hyperlink>
    </w:p>
    <w:p>
      <w:pPr>
        <w:spacing w:before="0" w:after="120"/>
      </w:pPr>
      <w:r>
        <w:rPr>
          <w:b/>
        </w:rPr>
        <w:t xml:space="preserve">Notes: </w:t>
      </w:r>
      <w:r>
        <w:t>abstract_source=crossref</w:t>
      </w:r>
    </w:p>
    <w:p>
      <w:pPr>
        <w:spacing w:before="0" w:after="80" w:lineRule="auto" w:line="276"/>
      </w:pPr>
      <w:r>
        <w:rPr>
          <w:b/>
        </w:rPr>
        <w:t xml:space="preserve">摘要（ZH）: </w:t>
      </w:r>
      <w:r>
        <w:t>氮是对植物健康和生产力至关重要的必需营养素。植物如何整合营养信号和表观基因组动力学来调节转录和发育转变仍然很大程度上未知。在这里，我们揭示了短日早期抽苔（EBS）稳态在控制响应氮缺乏的花转变中的关键作用。 EBS 是一种二价组蛋白阅读器，能够识别 H3K27me3 和 H3K4me3 组蛋白标记，可以改变其结合偏好来调节营养到生殖的转变。我们证明氮和雷帕霉素靶标 (TOR) 信号通过直接 TOR-EBS 相互作用调节 EBS 蛋白丰度。 TOR 在 S195 和 S196 残基处磷酸化 EBS，从而促进 EBS 稳定性并抑制</w:t>
      </w:r>
      <w:r>
        <w:t xml:space="preserve"> </w:t>
      </w:r>
      <w:r>
        <w:t>金融时报</w:t>
      </w:r>
      <w:r>
        <w:t xml:space="preserve"> </w:t>
      </w:r>
      <w:r>
        <w:t>和其他开花基因，从而防止过早的花转变。总的来说，这项研究将 EBS 确定为 TOR 的直接底物，并揭示了营养信号、表观基因组动力学和植物发育转变之间的机制联系。我们的研究结果为复杂的营养物-TOR-染色质相互作用提供了重要的见解，并强调了植物根据营养物可用性调整其生长和发育过程的复杂机制。</w:t>
      </w:r>
    </w:p>
    <w:p>
      <w:pPr>
        <w:spacing w:before="0" w:after="200" w:lineRule="auto" w:line="276"/>
      </w:pPr>
      <w:r>
        <w:rPr>
          <w:b/>
        </w:rPr>
        <w:t xml:space="preserve">Abstract (EN): </w:t>
      </w:r>
      <w:r>
        <w:t>Nitrogen is an essential nutrient vital for plant health and productivity. How plants integrate nutrient signals and epigenome dynamics to modulate transcription and developmental transition remains largely unknown. Here, we uncover the crucial role of EARLY BOLTING IN SHORT DAYS (EBS) homeostasis in controlling floral transitions in response to nitrogen deficiency. EBS, a bivalent histone reader capable of recognizing both H3K27me3 and H3K4me3 histone marks, can switch its binding preference to regulate the vegetative-to-reproductive transition. We demonstrate that nitrogen and Target of Rapamycin (TOR) signaling regulate EBS protein abundance through a direct TOR–EBS interaction. TOR phosphorylates EBS at the S195 and S196 residues, which promotes EBS stability and represses the transcription of</w:t>
      </w:r>
      <w:r>
        <w:t xml:space="preserve"> </w:t>
      </w:r>
      <w:r>
        <w:t>FT</w:t>
      </w:r>
      <w:r>
        <w:t xml:space="preserve"> </w:t>
      </w:r>
      <w:r>
        <w:t>and other flowering genes, thereby preventing premature floral transition. Collectively, this study identifies EBS as a direct substrate of TOR and reveals a mechanistic link between nutrient signaling, epigenome dynamics, and plant developmental transition. Our findings provide important insights into complex nutrient–TOR–chromatin interplays and highlight the intricate mechanisms by which plants adapt their growth and developmental processes based on nutrient availability.</w:t>
      </w:r>
    </w:p>
    <w:p>
      <w:pPr>
        <w:spacing w:before="120" w:after="120"/>
      </w:pPr>
      <w:r>
        <w:rPr>
          <w:sz w:val="18"/>
        </w:rPr>
        <w:t>——————————————————————————————————————————————————————————————————————</w:t>
      </w:r>
    </w:p>
    <w:p>
      <w:pPr>
        <w:spacing w:before="160" w:after="40" w:line="240" w:lineRule="auto"/>
      </w:pPr>
      <w:r>
        <w:rPr>
          <w:b/>
        </w:rPr>
        <w:t xml:space="preserve">[430] </w:t>
      </w:r>
      <w:hyperlink r:id="rId938">
        <w:r>
          <w:rPr>
            <w:color w:val="1155CC"/>
            <w:u w:val="single"/>
          </w:rPr>
          <w:t>多组分表面凝聚物驱动的组合决策</w:t>
        </w:r>
      </w:hyperlink>
    </w:p>
    <w:p>
      <w:pPr>
        <w:spacing w:before="0" w:after="80"/>
      </w:pPr>
      <w:r>
        <w:rPr>
          <w:i/>
          <w:sz w:val="20"/>
        </w:rPr>
        <w:t>EN: Combinatorial decision-making driven by multicomponent surface condensates</w:t>
      </w:r>
    </w:p>
    <w:p>
      <w:pPr>
        <w:spacing w:before="0" w:after="120"/>
      </w:pPr>
      <w:r>
        <w:rPr>
          <w:b/>
        </w:rPr>
        <w:t xml:space="preserve">Source: </w:t>
      </w:r>
      <w:r>
        <w:t>Proceedings of the National Academy of Sciences: Keyword search for query</w:t>
      </w:r>
      <w:r>
        <w:t xml:space="preserve">    </w:t>
      </w:r>
      <w:r>
        <w:rPr>
          <w:b/>
        </w:rPr>
        <w:t xml:space="preserve">Pub date: </w:t>
      </w:r>
      <w:r>
        <w:t>2026-07-01 07:00:00+00:00</w:t>
      </w:r>
      <w:r>
        <w:t xml:space="preserve">    </w:t>
      </w:r>
      <w:r>
        <w:rPr>
          <w:b/>
        </w:rPr>
        <w:t xml:space="preserve">DOI: </w:t>
      </w:r>
      <w:hyperlink r:id="rId939">
        <w:r>
          <w:rPr>
            <w:color w:val="1155CC"/>
            <w:u w:val="single"/>
          </w:rPr>
          <w:t>10.1073/pnas.2527873123</w:t>
        </w:r>
      </w:hyperlink>
    </w:p>
    <w:p>
      <w:pPr>
        <w:spacing w:before="0" w:after="120"/>
      </w:pPr>
      <w:r>
        <w:rPr>
          <w:b/>
        </w:rPr>
        <w:t xml:space="preserve">Notes: </w:t>
      </w:r>
      <w:r>
        <w:t>abstract_source=crossref</w:t>
      </w:r>
    </w:p>
    <w:p>
      <w:pPr>
        <w:spacing w:before="0" w:after="80" w:lineRule="auto" w:line="276"/>
      </w:pPr>
      <w:r>
        <w:rPr>
          <w:b/>
        </w:rPr>
        <w:t xml:space="preserve">摘要（ZH）: </w:t>
      </w:r>
      <w:r>
        <w:t>生物体依靠分子网络（例如基因电路和信号通路）在拥挤、嘈杂的环境中进行信息处理和稳健的决策。最近的进展表明，相互作用的生物分子通过相变自组织成称为冷凝物的共存空间隔室，通常位于细胞表面，例如染色质和细胞膜。在本文中，我们证明多组分流体可以被设计为将不同的冷凝物补充到具有不同成分的表面，通过冷凝来执行某种形式的表面分类。我们与机器学习中的多维分类进行类比，并探索隐藏物种（类似于隐藏节点）如何扩展这些相互作用的集合的表现力和容量，以促进复杂的决策边界。通过简单地改变单个物种的水平，我们发现可以重新编程相同的分子库来解决新任务。总之，我们的研究结果表明，生物分子凝聚物背后的物理过程可以编码并驱动适应性信息处理，超越分区化。</w:t>
      </w:r>
    </w:p>
    <w:p>
      <w:pPr>
        <w:spacing w:before="0" w:after="200" w:lineRule="auto" w:line="276"/>
      </w:pPr>
      <w:r>
        <w:rPr>
          <w:b/>
        </w:rPr>
        <w:t xml:space="preserve">Abstract (EN): </w:t>
      </w:r>
      <w:r>
        <w:t>Living organisms rely on molecular networks, such as gene circuits and signaling pathways, for information processing and robust decision-making in crowded, noisy environments. Recent advances show that interacting biomolecules self-organize by phase transitions into coexisting spatial compartments called condensates, often on cellular surfaces such as chromatin and membranes. In this paper, we demonstrate that multicomponent fluids can be designed to recruit distinct condensates to surfaces with differing compositions, performing a form of surface classification by condensation. We draw an analogy to multidimensional classification in machine learning and explore how hidden species, analogous to hidden nodes, expand the expressivity and capacity of these interacting ensembles to facilitate complex decision boundaries. By simply changing levels of individual species, we find that the same molecular repertoire can be reprogrammed to solve new tasks. Together, our findings suggest that the physical processes underlying biomolecular condensates can encode and drive adaptive information processing beyond compartmentalization.</w:t>
      </w:r>
    </w:p>
    <w:p>
      <w:pPr>
        <w:spacing w:before="120" w:after="120"/>
      </w:pPr>
      <w:r>
        <w:rPr>
          <w:sz w:val="18"/>
        </w:rPr>
        <w:t>——————————————————————————————————————————————————————————————————————</w:t>
      </w:r>
    </w:p>
    <w:p>
      <w:pPr>
        <w:spacing w:before="160" w:after="40" w:line="240" w:lineRule="auto"/>
      </w:pPr>
      <w:r>
        <w:rPr>
          <w:b/>
        </w:rPr>
        <w:t xml:space="preserve">[431] </w:t>
      </w:r>
      <w:hyperlink r:id="rId940">
        <w:r>
          <w:rPr>
            <w:color w:val="1155CC"/>
            <w:u w:val="single"/>
          </w:rPr>
          <w:t>人类溶酶体贮积症工具包，用于解码皮质样和多巴胺能样诱导神经元中的蛋白质组景观</w:t>
        </w:r>
      </w:hyperlink>
    </w:p>
    <w:p>
      <w:pPr>
        <w:spacing w:before="0" w:after="80"/>
      </w:pPr>
      <w:r>
        <w:rPr>
          <w:i/>
          <w:sz w:val="20"/>
        </w:rPr>
        <w:t>EN: A human lysosomal storage disorder toolkit for decoding proteome landscapes in cortical-like and dopaminergic-like induced neurons</w:t>
      </w:r>
    </w:p>
    <w:p>
      <w:pPr>
        <w:spacing w:before="0" w:after="120"/>
      </w:pPr>
      <w:r>
        <w:rPr>
          <w:b/>
        </w:rPr>
        <w:t xml:space="preserve">Source: </w:t>
      </w:r>
      <w:r>
        <w:t>Proceedings of the National Academy of Sciences: Keyword search for query</w:t>
      </w:r>
      <w:r>
        <w:t xml:space="preserve">    </w:t>
      </w:r>
      <w:r>
        <w:rPr>
          <w:b/>
        </w:rPr>
        <w:t xml:space="preserve">Pub date: </w:t>
      </w:r>
      <w:r>
        <w:t>2026-07-01 07:00:00+00:00</w:t>
      </w:r>
      <w:r>
        <w:t xml:space="preserve">    </w:t>
      </w:r>
      <w:r>
        <w:rPr>
          <w:b/>
        </w:rPr>
        <w:t xml:space="preserve">DOI: </w:t>
      </w:r>
      <w:hyperlink r:id="rId941">
        <w:r>
          <w:rPr>
            <w:color w:val="1155CC"/>
            <w:u w:val="single"/>
          </w:rPr>
          <w:t>10.1073/pnas.2609132123</w:t>
        </w:r>
      </w:hyperlink>
    </w:p>
    <w:p>
      <w:pPr>
        <w:spacing w:before="0" w:after="120"/>
      </w:pPr>
      <w:r>
        <w:rPr>
          <w:b/>
        </w:rPr>
        <w:t xml:space="preserve">Notes: </w:t>
      </w:r>
      <w:r>
        <w:t>abstract_source=crossref</w:t>
      </w:r>
    </w:p>
    <w:p>
      <w:pPr>
        <w:spacing w:before="0" w:after="80" w:lineRule="auto" w:line="276"/>
      </w:pPr>
      <w:r>
        <w:rPr>
          <w:b/>
        </w:rPr>
        <w:t xml:space="preserve">摘要（ZH）: </w:t>
      </w:r>
      <w:r>
        <w:t>溶酶体通过降解通过内吞作用和自噬传递的蛋白质以及回收细胞器生物发生的构建块来维持细胞稳态。溶酶体贮积症 (LSD) 包括一组影响不同溶酶体功能的疾病。为了促进不同 LSD 基因类别的分子表型分析，我们正在开发一个人类胚胎干细胞文库，该文库被设计为缺乏单个 LSD 基因，作为该领域的资源。在这里，我们报告了我们最初的干细胞工具包缺乏 23 个 LSD 基因之一，包括与鞘脂沉积症和神经元蜡样脂褐质沉积症相关的大多数基因，以及它在生成诱导皮质样和中脑多巴胺能样神经元的蛋白质组资源中的用途。跨细胞器和亚细胞器成分的深入丰度和相关性分析揭示了潜在的脆弱性，反映了基因型和神经元细胞类型之间蛋白质组改变的不同模式。我们描述了与 GBA1 和 ASAH1 缺陷相关的线粒体蛋白质组的变化，并鉴定了突触和线粒体缺陷</w:t>
      </w:r>
      <w:r>
        <w:t xml:space="preserve"> </w:t>
      </w:r>
      <w:r>
        <w:t>ASAH1</w:t>
      </w:r>
      <w:r>
        <w:t xml:space="preserve"> </w:t>
      </w:r>
      <w:r>
        <w:t>−/−</w:t>
      </w:r>
      <w:r>
        <w:t>诱导神经元与神经元放电率缺陷相关。此外，我们开发了一个信息管道，用于在蛋白质组范围内识别单个蛋白质-蛋白质相互作用和蛋白质复合物，这些蛋白质复合物可能因 LSD 基因缺陷而被破坏。最后，我们可视化了结构变化</w:t>
      </w:r>
      <w:r>
        <w:t xml:space="preserve"> </w:t>
      </w:r>
      <w:r>
        <w:t>ASAH1</w:t>
      </w:r>
      <w:r>
        <w:t xml:space="preserve"> </w:t>
      </w:r>
      <w:r>
        <w:t>- 内溶酶体缺陷</w:t>
      </w:r>
    </w:p>
    <w:p>
      <w:pPr>
        <w:spacing w:before="0" w:after="200" w:lineRule="auto" w:line="276"/>
      </w:pPr>
      <w:r>
        <w:rPr>
          <w:b/>
        </w:rPr>
        <w:t xml:space="preserve">Abstract (EN): </w:t>
      </w:r>
      <w:r>
        <w:t>Lysosomes maintain cellular homeostasis by degrading proteins delivered via endocytosis and autophagy and by recycling building blocks for organelle biogenesis. Lysosomal storage disorders (LSDs) comprise a group of diseases affecting diverse lysosomal functions. To facilitate molecular phenotyping across diverse LSD gene classes, we are developing a library of human embryonic stem cells engineered to lack individual LSD genes as a resource for the field. Here, we report our initial stem cell toolkit lacking one of 23 LSD genes, including the majority of genes associated with sphingolipidoses and neuronal ceroid lipofuscinoses, and its use in the generation of a proteomic resource for induced cortical-like and midbrain dopaminergic-like neurons. In-depth abundance and correlation profiling across organelles and suborganelle components revealed potential vulnerabilities that reflect distinct patterns of proteome alterations across both genotypes and neuronal cell types. We characterize alterations in the mitochondrial proteome associated with GBA1 and ASAH1 deficiency and identify synaptic and mitochondrial defects in</w:t>
      </w:r>
      <w:r>
        <w:t xml:space="preserve"> </w:t>
      </w:r>
      <w:r>
        <w:t>ASAH1</w:t>
      </w:r>
      <w:r>
        <w:t xml:space="preserve"> </w:t>
      </w:r>
      <w:r>
        <w:t>−/−</w:t>
      </w:r>
      <w:r>
        <w:t>induced neurons that correlate with defects in neuronal firing rates. Moreover, we developed an informatic pipeline for proteome-wide identification of individual protein-protein interactions and protein complexes that may be disrupted as a result of LSD gene deficiency. Finally, we visualized structural alterations of</w:t>
      </w:r>
      <w:r>
        <w:t xml:space="preserve"> </w:t>
      </w:r>
      <w:r>
        <w:t>ASAH1</w:t>
      </w:r>
      <w:r>
        <w:t xml:space="preserve"> </w:t>
      </w:r>
      <w:r>
        <w:t>-deficient endolysosomes in situ using cryoelectron tomography, revealing swollen organelles that were largely devoid of dense internal membranes characteristic of wild-type cells, but containing numerous intralumenal vesicle compartments. This toolkit and associated proteomic landscapes provide a resource for defining molecular signatures associated with LSD gene dysfunction and organelle vulnerability.</w:t>
      </w:r>
    </w:p>
    <w:p>
      <w:pPr>
        <w:spacing w:before="120" w:after="120"/>
      </w:pPr>
      <w:r>
        <w:rPr>
          <w:sz w:val="18"/>
        </w:rPr>
        <w:t>——————————————————————————————————————————————————————————————————————</w:t>
      </w:r>
    </w:p>
    <w:p>
      <w:pPr>
        <w:spacing w:before="160" w:after="40" w:line="240" w:lineRule="auto"/>
      </w:pPr>
      <w:r>
        <w:rPr>
          <w:b/>
        </w:rPr>
        <w:t xml:space="preserve">[432] </w:t>
      </w:r>
      <w:hyperlink r:id="rId942">
        <w:r>
          <w:rPr>
            <w:color w:val="1155CC"/>
            <w:u w:val="single"/>
          </w:rPr>
          <w:t>侏罗纪阿维兰揭示了鸟类骨尾的逐步进化</w:t>
        </w:r>
      </w:hyperlink>
    </w:p>
    <w:p>
      <w:pPr>
        <w:spacing w:before="0" w:after="80"/>
      </w:pPr>
      <w:r>
        <w:rPr>
          <w:i/>
          <w:sz w:val="20"/>
        </w:rPr>
        <w:t>EN: Jurassic avialan reveals stepwise evolution of bony tail in birds</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943">
        <w:r>
          <w:rPr>
            <w:color w:val="1155CC"/>
            <w:u w:val="single"/>
          </w:rPr>
          <w:t>10.1126/sciadv.aeb5202</w:t>
        </w:r>
      </w:hyperlink>
    </w:p>
    <w:p>
      <w:pPr>
        <w:spacing w:before="0" w:after="120"/>
      </w:pPr>
      <w:r>
        <w:rPr>
          <w:b/>
        </w:rPr>
        <w:t xml:space="preserve">Notes: </w:t>
      </w:r>
      <w:r>
        <w:t>abstract_source=crossref</w:t>
      </w:r>
    </w:p>
    <w:p>
      <w:pPr>
        <w:spacing w:before="0" w:after="80" w:lineRule="auto" w:line="276"/>
      </w:pPr>
      <w:r>
        <w:rPr>
          <w:b/>
        </w:rPr>
        <w:t xml:space="preserve">摘要（ZH）: </w:t>
      </w:r>
      <w:r>
        <w:t>适应飞行的鸟类身体计划的进化组合包含了陆地脊椎动物历史上一些最深刻的形态变化。除了有羽毛的翅膀之外，带有尾综骨的短尾对于该进化枝的生态成功至关重要。然而，从长骨尾到短尾综尾的转变仍然是一个谜，由于具有过渡形态的早期分枝鸟类的稀缺阻碍了这一过程。在这里，我们报道了一种新的 avialan，</w:t>
      </w:r>
      <w:r>
        <w:t xml:space="preserve"> </w:t>
      </w:r>
      <w:r>
        <w:t>布羽正鸟</w:t>
      </w:r>
      <w:r>
        <w:t xml:space="preserve"> </w:t>
      </w:r>
      <w:r>
        <w:t>，将军等11月，来自中国东南部上侏罗统的研究表明，在早期鸟类进化中，椎骨的减少和缩短先于尾综骨融合，为鸟类尾巴的逐步进化提供了关键证据。</w:t>
      </w:r>
      <w:r>
        <w:t xml:space="preserve"> </w:t>
      </w:r>
      <w:r>
        <w:t>Z.布尤</w:t>
      </w:r>
      <w:r>
        <w:t xml:space="preserve"> </w:t>
      </w:r>
      <w:r>
        <w:t>比所有已知的非尾茎近鸟类都要小，扩大了干类群的物种和体型多样性。</w:t>
      </w:r>
    </w:p>
    <w:p>
      <w:pPr>
        <w:spacing w:before="0" w:after="200" w:lineRule="auto" w:line="276"/>
      </w:pPr>
      <w:r>
        <w:rPr>
          <w:b/>
        </w:rPr>
        <w:t xml:space="preserve">Abstract (EN): </w:t>
      </w:r>
      <w:r>
        <w:t>The evolutionary assembly of the flight-adapted bird body plan encompasses some of the most profound morphological changes in terrestrial vertebrate history. Beyond feathered wings, the short pygostyle-bearing tail has been pivotal to the clade’s ecological success. However, transition from the long bony tail to the short pygostyle-bearing tail remains a mystery, hindered by the scarcity of early branching avialans with transitional morphologies. Here, we report on a new avialan,</w:t>
      </w:r>
      <w:r>
        <w:t xml:space="preserve"> </w:t>
      </w:r>
      <w:r>
        <w:t>Zhengheornis buyu</w:t>
      </w:r>
      <w:r>
        <w:t xml:space="preserve"> </w:t>
      </w:r>
      <w:r>
        <w:t>, gen. et sp. nov., from the Upper Jurassic of southeastern China, suggesting that the vertebral reduction and shortening preceded pygostyle fusion in early avialan evolution, providing critical evidence for the stepwise evolution of the bird tail.</w:t>
      </w:r>
      <w:r>
        <w:t xml:space="preserve"> </w:t>
      </w:r>
      <w:r>
        <w:t>Z. buyu</w:t>
      </w:r>
      <w:r>
        <w:t xml:space="preserve"> </w:t>
      </w:r>
      <w:r>
        <w:t>is smaller than all known non-pygostylian paravians, expanding the species and body size diversity of stemward taxa.</w:t>
      </w:r>
    </w:p>
    <w:p>
      <w:pPr>
        <w:spacing w:before="120" w:after="120"/>
      </w:pPr>
      <w:r>
        <w:rPr>
          <w:sz w:val="18"/>
        </w:rPr>
        <w:t>——————————————————————————————————————————————————————————————————————</w:t>
      </w:r>
    </w:p>
    <w:p>
      <w:pPr>
        <w:spacing w:before="160" w:after="40" w:line="240" w:lineRule="auto"/>
      </w:pPr>
      <w:r>
        <w:rPr>
          <w:b/>
        </w:rPr>
        <w:t xml:space="preserve">[433] </w:t>
      </w:r>
      <w:hyperlink r:id="rId944">
        <w:r>
          <w:rPr>
            <w:color w:val="1155CC"/>
            <w:u w:val="single"/>
          </w:rPr>
          <w:t>复杂系统失控的预警信号</w:t>
        </w:r>
      </w:hyperlink>
    </w:p>
    <w:p>
      <w:pPr>
        <w:spacing w:before="0" w:after="80"/>
      </w:pPr>
      <w:r>
        <w:rPr>
          <w:i/>
          <w:sz w:val="20"/>
        </w:rPr>
        <w:t>EN: Early warning signals for loss of control in complex systems</w:t>
      </w:r>
    </w:p>
    <w:p>
      <w:pPr>
        <w:spacing w:before="0" w:after="120"/>
      </w:pPr>
      <w:r>
        <w:rPr>
          <w:b/>
        </w:rPr>
        <w:t xml:space="preserve">Source: </w:t>
      </w:r>
      <w:r>
        <w:t>Proceedings of the National Academy of Sciences: Keyword search for query</w:t>
      </w:r>
      <w:r>
        <w:t xml:space="preserve">    </w:t>
      </w:r>
      <w:r>
        <w:rPr>
          <w:b/>
        </w:rPr>
        <w:t xml:space="preserve">Pub date: </w:t>
      </w:r>
      <w:r>
        <w:t>2026-07-01 07:00:00+00:00</w:t>
      </w:r>
      <w:r>
        <w:t xml:space="preserve">    </w:t>
      </w:r>
      <w:r>
        <w:rPr>
          <w:b/>
        </w:rPr>
        <w:t xml:space="preserve">DOI: </w:t>
      </w:r>
      <w:hyperlink r:id="rId945">
        <w:r>
          <w:rPr>
            <w:color w:val="1155CC"/>
            <w:u w:val="single"/>
          </w:rPr>
          <w:t>10.1073/pnas.2608847123</w:t>
        </w:r>
      </w:hyperlink>
    </w:p>
    <w:p>
      <w:pPr>
        <w:spacing w:before="0" w:after="120"/>
      </w:pPr>
      <w:r>
        <w:rPr>
          <w:b/>
        </w:rPr>
        <w:t xml:space="preserve">Notes: </w:t>
      </w:r>
      <w:r>
        <w:t>abstract_source=crossref</w:t>
      </w:r>
    </w:p>
    <w:p>
      <w:pPr>
        <w:spacing w:before="0" w:after="80" w:lineRule="auto" w:line="276"/>
      </w:pPr>
      <w:r>
        <w:rPr>
          <w:b/>
        </w:rPr>
        <w:t xml:space="preserve">摘要（ZH）: </w:t>
      </w:r>
      <w:r>
        <w:t>从飞机和自主机器人到生物和生理系统，维持反馈系统的稳定性依赖于监控它们的行为并不断调整它们的输入。渐进的损害会使这种控制变得脆弱。这往往会被忽视，直到一个小的扰动导致不稳定（即失去控制）。工程领域的传统方法依赖于准确的系统模型来计算一组安全的操作指令，当可能损坏的系统偏离其模型时，这些指令就会变得无效。在这里，我们证明了这种反馈系统对不稳定性的影响仍然可以通过弹性的动态指标来监控。这种整体系统安全监控器不依赖于系统模型，而是基于临界减速的一般现象，这种现象已被证明发生在气候、生物和其他接近临界的复杂非线性系统中。我们对工程设备的研究结果开辟了广泛的应用，涉及实时预警系统以及弹性系统设计探索或“修补”的经验指导。虽然我们使用无人机证明了有效性，但基本原理的通用性质表明这些指标可以适用于更广泛的受控系统，包括反应堆、飞机和自动驾驶汽车。</w:t>
      </w:r>
    </w:p>
    <w:p>
      <w:pPr>
        <w:spacing w:before="0" w:after="200" w:lineRule="auto" w:line="276"/>
      </w:pPr>
      <w:r>
        <w:rPr>
          <w:b/>
        </w:rPr>
        <w:t xml:space="preserve">Abstract (EN): </w:t>
      </w:r>
      <w:r>
        <w:t>Maintaining stability in feedback systems, from aircraft and autonomous robots to biological and physiological systems, relies on monitoring their behavior and continuously adjusting their inputs. Incremental damage can make such control fragile. This tends to go unnoticed until a small perturbation induces instability (i.e., loss of control). Traditional methods in the field of engineering rely on accurate system models to compute a safe set of operating instructions, which become invalid when the, possibly damaged, system diverges from its model. Here we demonstrate that the approach of such a feedback system toward instability can nonetheless be monitored through dynamical indicators of resilience. This holistic system safety monitor does not rely on a system model and is based on the generic phenomenon of critical slowing down, shown to occur in the climate, biology, and other complex nonlinear systems approaching criticality. Our findings for engineered devices opens up a wide range of applications involving real-time early warning systems as well as an empirical guidance of resilient system design exploration, or “tinkering.” While we demonstrate the validity using drones, the generic nature of the underlying principles suggest that these indicators could apply across a wider class of controlled systems including reactors, aircraft, and self-driving cars.</w:t>
      </w:r>
    </w:p>
    <w:p>
      <w:pPr>
        <w:spacing w:before="120" w:after="120"/>
      </w:pPr>
      <w:r>
        <w:rPr>
          <w:sz w:val="18"/>
        </w:rPr>
        <w:t>——————————————————————————————————————————————————————————————————————</w:t>
      </w:r>
    </w:p>
    <w:p>
      <w:pPr>
        <w:spacing w:before="160" w:after="40" w:line="240" w:lineRule="auto"/>
      </w:pPr>
      <w:r>
        <w:rPr>
          <w:b/>
        </w:rPr>
        <w:t xml:space="preserve">[434] </w:t>
      </w:r>
      <w:hyperlink r:id="rId946">
        <w:r>
          <w:rPr>
            <w:color w:val="1155CC"/>
            <w:u w:val="single"/>
          </w:rPr>
          <w:t>注释全基因组揭示了代谢酶遗传基础的多样性</w:t>
        </w:r>
      </w:hyperlink>
    </w:p>
    <w:p>
      <w:pPr>
        <w:spacing w:before="0" w:after="80"/>
      </w:pPr>
      <w:r>
        <w:rPr>
          <w:i/>
          <w:sz w:val="20"/>
        </w:rPr>
        <w:t>EN: Annotating the pangenome reveals the diversity in the genetic basis for metabolic enzymes</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947">
        <w:r>
          <w:rPr>
            <w:color w:val="1155CC"/>
            <w:u w:val="single"/>
          </w:rPr>
          <w:t>10.1126/sciadv.aeb3363</w:t>
        </w:r>
      </w:hyperlink>
    </w:p>
    <w:p>
      <w:pPr>
        <w:spacing w:before="0" w:after="120"/>
      </w:pPr>
      <w:r>
        <w:rPr>
          <w:b/>
        </w:rPr>
        <w:t xml:space="preserve">Notes: </w:t>
      </w:r>
      <w:r>
        <w:t>abstract_source=crossref</w:t>
      </w:r>
    </w:p>
    <w:p>
      <w:pPr>
        <w:spacing w:before="0" w:after="80" w:lineRule="auto" w:line="276"/>
      </w:pPr>
      <w:r>
        <w:rPr>
          <w:b/>
        </w:rPr>
        <w:t xml:space="preserve">摘要（ZH）: </w:t>
      </w:r>
      <w:r>
        <w:t>经济实惠的测序已经让公共数据库充斥着细菌基因组；然而，将基因内容变异与生物技术/系统生物学所必需的代谢功能联系起来的物种尺度图谱仍然很少。 [第 2377 章]</w:t>
      </w:r>
      <w:r>
        <w:t xml:space="preserve"> </w:t>
      </w:r>
      <w:r>
        <w:t>大肠杆菌</w:t>
      </w:r>
      <w:r>
        <w:t xml:space="preserve"> </w:t>
      </w:r>
      <w:r>
        <w:t>基因组来重建泛基因组规模的代谢模型（panGEM）。我们根据 Biolog 碳源利用分析验证了 panGEM，在生长/不生长预测中实现了约 0.99 的精度。使用 panGEM，我们鉴定了超过 11,000 个稀有代谢基因，但只有 35 个代谢反应是罕见的。为了解释这种不匹配，我们检查了稀有基因，发现大多数是假基因或通过水平基因转移（HGT）获得的不同直系同源物。结果表明，一个反复的丢失-重新获得循环，其中核心等位基因丢失/假化，其功能通过 HGT 恢复，保留功能而不扩大反应组，在一小部分反应中产生遗传异质性（~3.6%），标志着代谢的选择压力热点。因此，全基因组注释揭示了塑造新陈代谢遗传基础的进化动力学。</w:t>
      </w:r>
    </w:p>
    <w:p>
      <w:pPr>
        <w:spacing w:before="0" w:after="200" w:lineRule="auto" w:line="276"/>
      </w:pPr>
      <w:r>
        <w:rPr>
          <w:b/>
        </w:rPr>
        <w:t xml:space="preserve">Abstract (EN): </w:t>
      </w:r>
      <w:r>
        <w:t>Affordable sequencing has flooded public databases with bacterial genomes; yet, species-scale maps that connect gene content variation to metabolic functions essential to biotechnology/system biology remain scarce. We address this gap by building a pangenome-wide gene-protein-reaction association and applying it to 2377</w:t>
      </w:r>
      <w:r>
        <w:t xml:space="preserve"> </w:t>
      </w:r>
      <w:r>
        <w:t>Escherichia coli</w:t>
      </w:r>
      <w:r>
        <w:t xml:space="preserve"> </w:t>
      </w:r>
      <w:r>
        <w:t>genomes to reconstruct a pangenome-scale metabolic model (panGEM). We validate panGEM against Biolog carbon source utilization assays, achieving ≈0.99 precision in growth/no-growth predictions. Using panGEM, we identify &amp;gt;11,000 rare metabolic genes, yet only 35 metabolic reactions are rare. To explain the mismatch, we examined rare genes and found that most are pseudogenes or diverged orthologs acquired by horizontal gene transfer (HGT). Results indicate a recurrent loss-reacquisition cycle in which a core allele is lost/pseudogenized and its function is restored by HGT, preserving function without expanding the reactome, generating genetic heterogeneity in a small subset (~3.6%) of reactions, marking selection pressure hotspots of metabolism. Thus, pangenome annotation reveals the evolutionary dynamics that shape the genetic basis of metabolism.</w:t>
      </w:r>
    </w:p>
    <w:p>
      <w:pPr>
        <w:spacing w:before="120" w:after="120"/>
      </w:pPr>
      <w:r>
        <w:rPr>
          <w:sz w:val="18"/>
        </w:rPr>
        <w:t>——————————————————————————————————————————————————————————————————————</w:t>
      </w:r>
    </w:p>
    <w:p>
      <w:pPr>
        <w:spacing w:before="160" w:after="40" w:line="240" w:lineRule="auto"/>
      </w:pPr>
      <w:r>
        <w:rPr>
          <w:b/>
        </w:rPr>
        <w:t xml:space="preserve">[435] </w:t>
      </w:r>
      <w:hyperlink r:id="rId948">
        <w:r>
          <w:rPr>
            <w:color w:val="1155CC"/>
            <w:u w:val="single"/>
          </w:rPr>
          <w:t>温带山脉冰川加速退缩与岩石冰川稳定性形成鲜明对比</w:t>
        </w:r>
      </w:hyperlink>
    </w:p>
    <w:p>
      <w:pPr>
        <w:spacing w:before="0" w:after="80"/>
      </w:pPr>
      <w:r>
        <w:rPr>
          <w:i/>
          <w:sz w:val="20"/>
        </w:rPr>
        <w:t>EN: Accelerating glacier recession contrasts rock glacier stability in a temperate mountain range</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949">
        <w:r>
          <w:rPr>
            <w:color w:val="1155CC"/>
            <w:u w:val="single"/>
          </w:rPr>
          <w:t>10.1126/sciadv.aee5865</w:t>
        </w:r>
      </w:hyperlink>
    </w:p>
    <w:p>
      <w:pPr>
        <w:spacing w:before="0" w:after="120"/>
      </w:pPr>
      <w:r>
        <w:rPr>
          <w:b/>
        </w:rPr>
        <w:t xml:space="preserve">Notes: </w:t>
      </w:r>
      <w:r>
        <w:t>abstract_source=crossref</w:t>
      </w:r>
    </w:p>
    <w:p>
      <w:pPr>
        <w:spacing w:before="0" w:after="80" w:lineRule="auto" w:line="276"/>
      </w:pPr>
      <w:r>
        <w:rPr>
          <w:b/>
        </w:rPr>
        <w:t xml:space="preserve">摘要（ZH）: </w:t>
      </w:r>
      <w:r>
        <w:t>冰冻圈地貌在高山水文和生态系统中发挥着至关重要的作用。利用跨越近六十年（1967-2024）的历史和当代数据，我们评估了美国怀俄明州提顿山脉的冰川、岩石冰川和常年雪原的海拔变化以及溪流的热响应。冰川和雪地每年变薄 -0.84 ± 0.07 米（米年</w:t>
      </w:r>
      <w:r>
        <w:t xml:space="preserve"> </w:t>
      </w:r>
      <w:r>
        <w:t>−1</w:t>
      </w:r>
      <w:r>
        <w:t xml:space="preserve"> </w:t>
      </w:r>
      <w:r>
        <w:t>) 和 −0.59 ± 0.04 m 年</w:t>
      </w:r>
      <w:r>
        <w:t xml:space="preserve"> </w:t>
      </w:r>
      <w:r>
        <w:t>−1</w:t>
      </w:r>
      <w:r>
        <w:t xml:space="preserve"> </w:t>
      </w:r>
      <w:r>
        <w:t>2014 年至 2022 年间，由于夏季气温变暖，较 1967 年至 2014 年增加了约 7 倍。相比之下，岩石冰川接近平衡（−0.05 ± 0.05 m 年）</w:t>
      </w:r>
      <w:r>
        <w:t xml:space="preserve"> </w:t>
      </w:r>
      <w:r>
        <w:t>−1</w:t>
      </w:r>
      <w:r>
        <w:t xml:space="preserve"> </w:t>
      </w:r>
      <w:r>
        <w:t>）并且速率没有变化。自 2015 年以来，雪地供水的溪流迅速升温（+3.4°C），而冰川和岩石冰川供水的溪流升温幅度较小（分别为 +0.9° 和 +0.6°C）。我们的研究结果表明，岩石冰川对大气变暖具有更大的适应能力，突显了这些特征在冰川和常年雪原消失时将发挥的关键作用。</w:t>
      </w:r>
    </w:p>
    <w:p>
      <w:pPr>
        <w:spacing w:before="0" w:after="200" w:lineRule="auto" w:line="276"/>
      </w:pPr>
      <w:r>
        <w:rPr>
          <w:b/>
        </w:rPr>
        <w:t xml:space="preserve">Abstract (EN): </w:t>
      </w:r>
      <w:r>
        <w:t>Cryospheric landforms play a critical role in alpine hydrology and ecosystems. Using historical and contemporary data spanning nearly six decades (1967–2024), we assessed elevation change for glaciers, rock glaciers, and perennial snowfields and the thermal response of streams in the Teton Range, Wyoming, United States. Glaciers and snowfields thinned at −0.84 ± 0.07 meters per year (m year</w:t>
      </w:r>
      <w:r>
        <w:t xml:space="preserve"> </w:t>
      </w:r>
      <w:r>
        <w:t>−1</w:t>
      </w:r>
      <w:r>
        <w:t xml:space="preserve"> </w:t>
      </w:r>
      <w:r>
        <w:t>) and −0.59 ± 0.04 m year</w:t>
      </w:r>
      <w:r>
        <w:t xml:space="preserve"> </w:t>
      </w:r>
      <w:r>
        <w:t>−1</w:t>
      </w:r>
      <w:r>
        <w:t xml:space="preserve"> </w:t>
      </w:r>
      <w:r>
        <w:t>between 2014 and 2022, a ~7-fold increase relative to 1967–2014, driven by warming summer temperatures. In contrast, rock glaciers are near equilibrium (−0.05 ± 0.05 m year</w:t>
      </w:r>
      <w:r>
        <w:t xml:space="preserve"> </w:t>
      </w:r>
      <w:r>
        <w:t>−1</w:t>
      </w:r>
      <w:r>
        <w:t xml:space="preserve"> </w:t>
      </w:r>
      <w:r>
        <w:t>) and saw no change in rate. Since 2015, snowfield-fed streams have warmed rapidly (+3.4°C), whereas glacier- and rock glacier–fed streams have warmed at lower magnitudes (+0.9° and +0.6°C, respectively). Our results demonstrate the greater resilience of rock glaciers to atmospheric warming, highlighting the critical role that these features will play as glaciers and perennial snowfields are lost.</w:t>
      </w:r>
    </w:p>
    <w:p>
      <w:pPr>
        <w:spacing w:before="120" w:after="120"/>
      </w:pPr>
      <w:r>
        <w:rPr>
          <w:sz w:val="18"/>
        </w:rPr>
        <w:t>——————————————————————————————————————————————————————————————————————</w:t>
      </w:r>
    </w:p>
    <w:p>
      <w:pPr>
        <w:spacing w:before="160" w:after="40" w:line="240" w:lineRule="auto"/>
      </w:pPr>
      <w:r>
        <w:rPr>
          <w:b/>
        </w:rPr>
        <w:t xml:space="preserve">[436] </w:t>
      </w:r>
      <w:hyperlink r:id="rId950">
        <w:r>
          <w:rPr>
            <w:color w:val="1155CC"/>
            <w:u w:val="single"/>
          </w:rPr>
          <w:t>超低角度断层产生大地震</w:t>
        </w:r>
      </w:hyperlink>
    </w:p>
    <w:p>
      <w:pPr>
        <w:spacing w:before="0" w:after="80"/>
      </w:pPr>
      <w:r>
        <w:rPr>
          <w:i/>
          <w:sz w:val="20"/>
        </w:rPr>
        <w:t>EN: Ultralow-angle faults produce giant earthquakes</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951">
        <w:r>
          <w:rPr>
            <w:color w:val="1155CC"/>
            <w:u w:val="single"/>
          </w:rPr>
          <w:t>10.1126/sciadv.aee3921</w:t>
        </w:r>
      </w:hyperlink>
    </w:p>
    <w:p>
      <w:pPr>
        <w:spacing w:before="0" w:after="120"/>
      </w:pPr>
      <w:r>
        <w:rPr>
          <w:b/>
        </w:rPr>
        <w:t xml:space="preserve">Notes: </w:t>
      </w:r>
      <w:r>
        <w:t>abstract_source=crossref</w:t>
      </w:r>
    </w:p>
    <w:p>
      <w:pPr>
        <w:spacing w:before="0" w:after="80" w:lineRule="auto" w:line="276"/>
      </w:pPr>
      <w:r>
        <w:rPr>
          <w:b/>
        </w:rPr>
        <w:t xml:space="preserve">摘要（ZH）: </w:t>
      </w:r>
      <w:r>
        <w:t>是什么控制着大地震的发生仍然是地震学的一个中心问题。我们揭示了地震规模和俯冲带断层倾角之间的一个非常简单但之前被忽视的关系。全球地震统计数据显示，地震规模对断层倾角有很强的依赖性，极端事件的概率在超低角度断层上达到峰值。通过三个案例研究，我们证明当断层几何形状与区域应力场一致时，地震往往会变得更大。我们进一步讨论了如何沿着俯冲界面产生这种有利的应力配置，并强调监测俯冲带应力的时间演化对于更好地预测未来特大地震的至关重要性。</w:t>
      </w:r>
    </w:p>
    <w:p>
      <w:pPr>
        <w:spacing w:before="0" w:after="200" w:lineRule="auto" w:line="276"/>
      </w:pPr>
      <w:r>
        <w:rPr>
          <w:b/>
        </w:rPr>
        <w:t xml:space="preserve">Abstract (EN): </w:t>
      </w:r>
      <w:r>
        <w:t>What controls the occurrence of giant earthquakes remains a central question in seismology. We reveal a notably simple—but previously overlooked—relationship between earthquake size and fault dip in subduction zones. Global earthquake statistics show a robust dependence of earthquake size on fault dip, with the probability of extreme events peaking on ultralow-angle faults. Through three case studies, we demonstrate that earthquakes tend to grow larger when the fault geometry is aligned with the regional stress field. We further discuss how such favorable stress configurations are generated along subduction interfaces and emphasize the critical importance of monitoring the temporal evolution of stress in subduction zones to better forecast future megaearthquakes.</w:t>
      </w:r>
    </w:p>
    <w:p>
      <w:pPr>
        <w:spacing w:before="120" w:after="120"/>
      </w:pPr>
      <w:r>
        <w:rPr>
          <w:sz w:val="18"/>
        </w:rPr>
        <w:t>——————————————————————————————————————————————————————————————————————</w:t>
      </w:r>
    </w:p>
    <w:p>
      <w:pPr>
        <w:spacing w:before="160" w:after="40" w:line="240" w:lineRule="auto"/>
      </w:pPr>
      <w:r>
        <w:rPr>
          <w:b/>
        </w:rPr>
        <w:t xml:space="preserve">[437] </w:t>
      </w:r>
      <w:hyperlink r:id="rId952">
        <w:r>
          <w:rPr>
            <w:color w:val="1155CC"/>
            <w:u w:val="single"/>
          </w:rPr>
          <w:t>wbbL 突变导致 O 抗原丢失很常见，并且与大肠杆菌血流感染死亡率增加相关</w:t>
        </w:r>
      </w:hyperlink>
    </w:p>
    <w:p>
      <w:pPr>
        <w:spacing w:before="0" w:after="80"/>
      </w:pPr>
      <w:r>
        <w:rPr>
          <w:i/>
          <w:sz w:val="20"/>
        </w:rPr>
        <w:t>EN: Loss of O-antigen due to wbbL mutations is common and associated with increased mortality in Escherichia coli bloodstream infections</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953">
        <w:r>
          <w:rPr>
            <w:color w:val="1155CC"/>
            <w:u w:val="single"/>
          </w:rPr>
          <w:t>10.1126/sciadv.aec4661</w:t>
        </w:r>
      </w:hyperlink>
    </w:p>
    <w:p>
      <w:pPr>
        <w:spacing w:before="0" w:after="120"/>
      </w:pPr>
      <w:r>
        <w:rPr>
          <w:b/>
        </w:rPr>
        <w:t xml:space="preserve">Notes: </w:t>
      </w:r>
      <w:r>
        <w:t>abstract_source=crossref</w:t>
      </w:r>
    </w:p>
    <w:p>
      <w:pPr>
        <w:spacing w:before="0" w:after="80" w:lineRule="auto" w:line="276"/>
      </w:pPr>
      <w:r>
        <w:rPr>
          <w:b/>
        </w:rPr>
        <w:t xml:space="preserve">摘要（ZH）: </w:t>
      </w:r>
      <w:r>
        <w:t>大肠杆菌</w:t>
      </w:r>
      <w:r>
        <w:t xml:space="preserve"> </w:t>
      </w:r>
      <w:r>
        <w:t>血流感染很常见，死亡率很高。一个关键特征是</w:t>
      </w:r>
      <w:r>
        <w:t xml:space="preserve"> </w:t>
      </w:r>
      <w:r>
        <w:t>大肠杆菌</w:t>
      </w:r>
      <w:r>
        <w:t xml:space="preserve"> </w:t>
      </w:r>
      <w:r>
        <w:t>是脂多糖 (LPS) O 抗原，有助于侵袭性感染期间的免疫逃避。我们分析了复发患者的系列分离株</w:t>
      </w:r>
      <w:r>
        <w:t xml:space="preserve"> </w:t>
      </w:r>
      <w:r>
        <w:t>大肠杆菌</w:t>
      </w:r>
      <w:r>
        <w:t xml:space="preserve"> </w:t>
      </w:r>
      <w:r>
        <w:t>菌血症并发现由于基因突变导致 O 抗原合成频繁中断</w:t>
      </w:r>
      <w:r>
        <w:t xml:space="preserve"> </w:t>
      </w:r>
      <w:r>
        <w:t>西伯利亚</w:t>
      </w:r>
      <w:r>
        <w:t xml:space="preserve"> </w:t>
      </w:r>
      <w:r>
        <w:t>，导致粗略的 LPS 表型。粗脂多糖分离物对小鼠的血清更敏感且致病性更小。尽管有这种明显的衰减，61 个中的 11 个 (18%)</w:t>
      </w:r>
      <w:r>
        <w:t xml:space="preserve"> </w:t>
      </w:r>
      <w:r>
        <w:t>大肠杆菌</w:t>
      </w:r>
      <w:r>
        <w:t xml:space="preserve"> </w:t>
      </w:r>
      <w:r>
        <w:t>我们队列中的 131 型血流分离株序列具有破坏性</w:t>
      </w:r>
      <w:r>
        <w:t xml:space="preserve"> </w:t>
      </w:r>
      <w:r>
        <w:t>西伯利亚</w:t>
      </w:r>
      <w:r>
        <w:t xml:space="preserve"> </w:t>
      </w:r>
      <w:r>
        <w:t>突变并与显着较差的临床结果相关，包括败血性休克和死亡率。使用复发性菌血症的小鼠模型，我们发现粗糙的 LPS 分离物部分逃避了针对平滑 LPS 产生的保护性免疫</w:t>
      </w:r>
      <w:r>
        <w:t xml:space="preserve"> </w:t>
      </w:r>
      <w:r>
        <w:t>大肠杆菌</w:t>
      </w:r>
      <w:r>
        <w:t xml:space="preserve"> </w:t>
      </w:r>
      <w:r>
        <w:t>，强调了宿主免疫环境在侵袭性疾病中的重要性。</w:t>
      </w:r>
    </w:p>
    <w:p>
      <w:pPr>
        <w:spacing w:before="0" w:after="200" w:lineRule="auto" w:line="276"/>
      </w:pPr>
      <w:r>
        <w:rPr>
          <w:b/>
        </w:rPr>
        <w:t xml:space="preserve">Abstract (EN): </w:t>
      </w:r>
      <w:r>
        <w:t>Escherichia coli</w:t>
      </w:r>
      <w:r>
        <w:t xml:space="preserve"> </w:t>
      </w:r>
      <w:r>
        <w:t>bloodstream infections are common and associated with high mortality. A key feature of</w:t>
      </w:r>
      <w:r>
        <w:t xml:space="preserve"> </w:t>
      </w:r>
      <w:r>
        <w:t>E. coli</w:t>
      </w:r>
      <w:r>
        <w:t xml:space="preserve"> </w:t>
      </w:r>
      <w:r>
        <w:t>is the lipopolysaccharide (LPS) O-antigen, which contributes to immune evasion during invasive infection. We analyzed serial isolates from patients with relapsed</w:t>
      </w:r>
      <w:r>
        <w:t xml:space="preserve"> </w:t>
      </w:r>
      <w:r>
        <w:t>E. coli</w:t>
      </w:r>
      <w:r>
        <w:t xml:space="preserve"> </w:t>
      </w:r>
      <w:r>
        <w:t>bacteremia and identified frequent disruption of O-antigen synthesis due to mutations in</w:t>
      </w:r>
      <w:r>
        <w:t xml:space="preserve"> </w:t>
      </w:r>
      <w:r>
        <w:t>wbbL</w:t>
      </w:r>
      <w:r>
        <w:t xml:space="preserve"> </w:t>
      </w:r>
      <w:r>
        <w:t>, resulting in a rough LPS phenotype. Rough LPS isolates were more serum sensitive and less pathogenic in mice. Despite this apparent attenuation, 11 of 61 (18%)</w:t>
      </w:r>
      <w:r>
        <w:t xml:space="preserve"> </w:t>
      </w:r>
      <w:r>
        <w:t>E. coli</w:t>
      </w:r>
      <w:r>
        <w:t xml:space="preserve"> </w:t>
      </w:r>
      <w:r>
        <w:t>sequence type 131 bloodstream isolates in our cohort harbored disruptive</w:t>
      </w:r>
      <w:r>
        <w:t xml:space="preserve"> </w:t>
      </w:r>
      <w:r>
        <w:t>wbbL</w:t>
      </w:r>
      <w:r>
        <w:t xml:space="preserve"> </w:t>
      </w:r>
      <w:r>
        <w:t>mutations and were associated with significantly worse clinical outcomes, including septic shock and mortality. Using a murine model of recurrent bacteremia, we show that rough LPS isolates partially evade protective immunity generated against smooth LPS</w:t>
      </w:r>
      <w:r>
        <w:t xml:space="preserve"> </w:t>
      </w:r>
      <w:r>
        <w:t>E. coli</w:t>
      </w:r>
      <w:r>
        <w:t xml:space="preserve"> </w:t>
      </w:r>
      <w:r>
        <w:t>, highlighting the importance of host immune context in invasive disease.</w:t>
      </w:r>
    </w:p>
    <w:p>
      <w:pPr>
        <w:spacing w:before="120" w:after="120"/>
      </w:pPr>
      <w:r>
        <w:rPr>
          <w:sz w:val="18"/>
        </w:rPr>
        <w:t>——————————————————————————————————————————————————————————————————————</w:t>
      </w:r>
    </w:p>
    <w:p>
      <w:pPr>
        <w:spacing w:before="160" w:after="40" w:line="240" w:lineRule="auto"/>
      </w:pPr>
      <w:r>
        <w:rPr>
          <w:b/>
        </w:rPr>
        <w:t xml:space="preserve">[438] </w:t>
      </w:r>
      <w:hyperlink r:id="rId954">
        <w:r>
          <w:rPr>
            <w:color w:val="1155CC"/>
            <w:u w:val="single"/>
          </w:rPr>
          <w:t>具有泛音超宽带磁电天线的生物集成 μBot，用于无线遥测</w:t>
        </w:r>
      </w:hyperlink>
    </w:p>
    <w:p>
      <w:pPr>
        <w:spacing w:before="0" w:after="80"/>
      </w:pPr>
      <w:r>
        <w:rPr>
          <w:i/>
          <w:sz w:val="20"/>
        </w:rPr>
        <w:t>EN: Bio-integrated μBots with overtone ultrawideband magnetoelectric antennas for wireless telemetry</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955">
        <w:r>
          <w:rPr>
            <w:color w:val="1155CC"/>
            <w:u w:val="single"/>
          </w:rPr>
          <w:t>10.1126/sciadv.aec7011</w:t>
        </w:r>
      </w:hyperlink>
    </w:p>
    <w:p>
      <w:pPr>
        <w:spacing w:before="0" w:after="120"/>
      </w:pPr>
      <w:r>
        <w:rPr>
          <w:b/>
        </w:rPr>
        <w:t xml:space="preserve">Notes: </w:t>
      </w:r>
      <w:r>
        <w:t>abstract_source=crossref</w:t>
      </w:r>
    </w:p>
    <w:p>
      <w:pPr>
        <w:spacing w:before="0" w:after="80" w:lineRule="auto" w:line="276"/>
      </w:pPr>
      <w:r>
        <w:rPr>
          <w:b/>
        </w:rPr>
        <w:t xml:space="preserve">摘要（ZH）: </w:t>
      </w:r>
      <w:r>
        <w:t>植入式和可穿戴设备需要小型化且高效的天线，但传统设计受到窄带宽和方向敏感性的限制。我们报告了泛音超宽带磁电 (OUWB-ME) 天线，它利用抛光硅基板中的高阶声学模式来实现 22.6 GHz -10 分贝带宽和 3 至 4 GHz 范围内的泛音能力。这些与银纳米颗粒墨水结合的磁电异质结构被封装在“μBots”中，在生物负载下保持稳定运行。体外测定证实了氮化铝的生物相容性以及聚对二甲苯封装对铁镓的保护作用。离体大鼠和人体组织重塑透射和反射光谱，具有接近 3.3 和 3.9 GHz 的可重复频率窗口。 μBot 使用软件定义的无线电实现实时视听遥测，并表现出与 7 特斯拉磁共振成像的兼容性。通过结合宽带响应、对错位的鲁棒性和生物相容性封装，OUWB-ME μBot 为无线生物集成通信和遥测提供了一个可扩展的平台。</w:t>
      </w:r>
    </w:p>
    <w:p>
      <w:pPr>
        <w:spacing w:before="0" w:after="200" w:lineRule="auto" w:line="276"/>
      </w:pPr>
      <w:r>
        <w:rPr>
          <w:b/>
        </w:rPr>
        <w:t xml:space="preserve">Abstract (EN): </w:t>
      </w:r>
      <w:r>
        <w:t>Implantable and wearable devices require antennas that are both miniaturized and efficient, yet conventional designs are constrained by narrow bandwidth and orientation sensitivity. We report overtone ultrawideband magnetoelectric (OUWB-ME) antennas that exploit higher-order acoustic modes in polished silicon substrates to achieve a 22.6-gigahertz −10-decibel bandwidth and overtone capability in the 3- to 4-gigahertz range. Packaged into “μBots,” these magnetoelectric heterostructures bonded with silver nanoparticle inks maintain stable operation under biological loading. In vitro assays confirm the biocompatibility of aluminum nitride and the protective role of parylene encapsulation for iron-gallium. Ex vivo rat and human tissues reshape transmission and reflection spectra, with reproducible frequency windows near 3.3 and 3.9 gigahertz. μBots enable real-time audiovisual telemetry using software-defined radios and exhibit compatibility with 7-tesla magnetic resonance imaging. By combining wideband response, robustness to misalignment, and biocompatible packaging, OUWB-ME μBots provide a scalable platform for wireless bio-integrated communication and telemetry.</w:t>
      </w:r>
    </w:p>
    <w:p>
      <w:pPr>
        <w:spacing w:before="120" w:after="120"/>
      </w:pPr>
      <w:r>
        <w:rPr>
          <w:sz w:val="18"/>
        </w:rPr>
        <w:t>——————————————————————————————————————————————————————————————————————</w:t>
      </w:r>
    </w:p>
    <w:p>
      <w:pPr>
        <w:spacing w:before="160" w:after="40" w:line="240" w:lineRule="auto"/>
      </w:pPr>
      <w:r>
        <w:rPr>
          <w:b/>
        </w:rPr>
        <w:t xml:space="preserve">[439] </w:t>
      </w:r>
      <w:hyperlink r:id="rId956">
        <w:r>
          <w:rPr>
            <w:color w:val="1155CC"/>
            <w:u w:val="single"/>
          </w:rPr>
          <w:t>成肌细胞身份的时空控制驱动果蝇腿部的肌肉多样性</w:t>
        </w:r>
      </w:hyperlink>
    </w:p>
    <w:p>
      <w:pPr>
        <w:spacing w:before="0" w:after="80"/>
      </w:pPr>
      <w:r>
        <w:rPr>
          <w:i/>
          <w:sz w:val="20"/>
        </w:rPr>
        <w:t>EN: Spatiotemporal control of myoblast identity drives muscle diversity in the Drosophila leg</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957">
        <w:r>
          <w:rPr>
            <w:color w:val="1155CC"/>
            <w:u w:val="single"/>
          </w:rPr>
          <w:t>10.1126/sciadv.aed0910</w:t>
        </w:r>
      </w:hyperlink>
    </w:p>
    <w:p>
      <w:pPr>
        <w:spacing w:before="0" w:after="120"/>
      </w:pPr>
      <w:r>
        <w:rPr>
          <w:b/>
        </w:rPr>
        <w:t xml:space="preserve">Notes: </w:t>
      </w:r>
      <w:r>
        <w:t>abstract_source=crossref</w:t>
      </w:r>
    </w:p>
    <w:p>
      <w:pPr>
        <w:spacing w:before="0" w:after="80" w:lineRule="auto" w:line="276"/>
      </w:pPr>
      <w:r>
        <w:rPr>
          <w:b/>
        </w:rPr>
        <w:t xml:space="preserve">摘要（ZH）: </w:t>
      </w:r>
      <w:r>
        <w:t>骨骼肌表现出显着的形态多样性，但指定不同身份的发育机制尚不清楚。使用</w:t>
      </w:r>
      <w:r>
        <w:t xml:space="preserve"> </w:t>
      </w:r>
      <w:r>
        <w:t>果蝇</w:t>
      </w:r>
      <w:r>
        <w:t xml:space="preserve"> </w:t>
      </w:r>
      <w:r>
        <w:t>在腿部肌肉中，我们发现幼稚的中胚层前体经历了由上皮形态发生素精心策划的逐步规范。 Wg/Wnt1 和 Dpp/BMP 首先将多能前体限制为近端和远端谱系。在远端谱系中，连续的命运分叉产生不同的肌肉亚型和神经元板层细胞的单独的非肌肉谱系。着眼于一个谱系，我们证明 Wg 和 Dpp 再次发挥作用来控制转录因子的时空部署，确保注定要融合产生特定肌肉的成肌细胞群共享协调的转录身份。因此，上皮形态发生素不仅使上皮形成图案，而且使成肌细胞规范同步，从而使合胞体纤维能够出现不同的肌肉。我们的研究结果为四肢肌肉的发育和进化起源提供了一个框架，并可能有助于解释肌营养不良症中特定肌肉的选择性脆弱性。</w:t>
      </w:r>
    </w:p>
    <w:p>
      <w:pPr>
        <w:spacing w:before="0" w:after="200" w:lineRule="auto" w:line="276"/>
      </w:pPr>
      <w:r>
        <w:rPr>
          <w:b/>
        </w:rPr>
        <w:t xml:space="preserve">Abstract (EN): </w:t>
      </w:r>
      <w:r>
        <w:t>Skeletal muscles exhibit notable morphological diversity, yet the developmental mechanisms specifying distinct identities are unclear. Using</w:t>
      </w:r>
      <w:r>
        <w:t xml:space="preserve"> </w:t>
      </w:r>
      <w:r>
        <w:t>Drosophila</w:t>
      </w:r>
      <w:r>
        <w:t xml:space="preserve"> </w:t>
      </w:r>
      <w:r>
        <w:t>leg muscles, we show that naïve mesodermal precursors undergo stepwise specification orchestrated by epithelial morphogens. Wg/Wnt1 and Dpp/BMP first restrict multipotent precursors into proximal and distal lineages. Within the distal lineage, successive fate bifurcations generate distinct muscle subtypes and a separate nonmuscle lineage of neuronal lamella cells. Focusing on one lineage, we demonstrate that Wg and Dpp act again to control the spatiotemporal deployment of transcription factors, ensuring that groups of myoblasts destined to fuse to produce a specific muscle share a coordinated transcriptional identity. Thus, epithelial morphogens not only pattern the epithelium but also synchronize myoblast specification, enabling the emergence of diverse muscles from syncytial fibers. Our findings provide a framework for the developmental and evolutionary origins of appendicular muscles and may help explain the selective vulnerability of specific muscles in muscular dystrophies.</w:t>
      </w:r>
    </w:p>
    <w:p>
      <w:pPr>
        <w:spacing w:before="120" w:after="120"/>
      </w:pPr>
      <w:r>
        <w:rPr>
          <w:sz w:val="18"/>
        </w:rPr>
        <w:t>——————————————————————————————————————————————————————————————————————</w:t>
      </w:r>
    </w:p>
    <w:p>
      <w:pPr>
        <w:spacing w:before="160" w:after="40" w:line="240" w:lineRule="auto"/>
      </w:pPr>
      <w:r>
        <w:rPr>
          <w:b/>
        </w:rPr>
        <w:t xml:space="preserve">[440] </w:t>
      </w:r>
      <w:hyperlink r:id="rId958">
        <w:r>
          <w:rPr>
            <w:color w:val="1155CC"/>
            <w:u w:val="single"/>
          </w:rPr>
          <w:t>基于尿液SERS光谱和颈动脉B超的缺血性脑卒中双模式分析</w:t>
        </w:r>
      </w:hyperlink>
    </w:p>
    <w:p>
      <w:pPr>
        <w:spacing w:before="0" w:after="80"/>
      </w:pPr>
      <w:r>
        <w:rPr>
          <w:i/>
          <w:sz w:val="20"/>
        </w:rPr>
        <w:t>EN: Dual-mode analysis of ischemic stroke based on urine SERS spectra and carotid B-ultrasound</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959">
        <w:r>
          <w:rPr>
            <w:color w:val="1155CC"/>
            <w:u w:val="single"/>
          </w:rPr>
          <w:t>10.1126/sciadv.aee3487</w:t>
        </w:r>
      </w:hyperlink>
    </w:p>
    <w:p>
      <w:pPr>
        <w:spacing w:before="0" w:after="120"/>
      </w:pPr>
      <w:r>
        <w:rPr>
          <w:b/>
        </w:rPr>
        <w:t xml:space="preserve">Notes: </w:t>
      </w:r>
      <w:r>
        <w:t>abstract_source=crossref</w:t>
      </w:r>
    </w:p>
    <w:p>
      <w:pPr>
        <w:spacing w:before="0" w:after="80" w:lineRule="auto" w:line="276"/>
      </w:pPr>
      <w:r>
        <w:rPr>
          <w:b/>
        </w:rPr>
        <w:t xml:space="preserve">摘要（ZH）: </w:t>
      </w:r>
      <w:r>
        <w:t>实现缺血性脑卒中（IS）的无创高频监测仍然是及时干预和精准二级预防的主要临床挑战。建立患者全身微观分子指纹与局部宏观器官病理事件之间的精确关联对于克服单一模式检测的局限性并提高临床风险评估的有效性至关重要。然而，由于异构数据的复杂性，有效整合跨维度的“分子成像”数据仍然是实现这一目标的关键瓶颈。在这里，我们提出了一种概念验证方法，用于区分确诊 IS 患者与健康对照 (HC)，该方法使用基于机器学习 (ML) 的方法进行尿液表面增强拉曼光谱 (SERS)（一维）和颈动脉 B 超声成像 (CBI)（二维）。在由 101 名参与者组成的探索性队列中，该方法分析了 10,100 个 SERS 光谱和 481 个 CBI 图像，实现了 92% 的分类准确度和 0.95 的曲线下面积 (AUC)。此外，本研究结合SERS光谱和液相色谱-质谱技术，初步探讨了HC/IS组之间尿液生物标志物的差异。本研究提出的多维数据融合策略通过系统地将微流控生物标志物与宏观器官成像特征相关联，有效地弥合了传统分子检测和临床表型之间的信息差距。这种方法提供了一种以前未探索过的、非 inv</w:t>
      </w:r>
    </w:p>
    <w:p>
      <w:pPr>
        <w:spacing w:before="0" w:after="200" w:lineRule="auto" w:line="276"/>
      </w:pPr>
      <w:r>
        <w:rPr>
          <w:b/>
        </w:rPr>
        <w:t xml:space="preserve">Abstract (EN): </w:t>
      </w:r>
      <w:r>
        <w:t>Achieving noninvasive high-frequency monitoring of ischemic stroke (IS) remains a major clinical challenge for timely intervention and precise secondary prevention. Establishing precise correlations between patients’ systemic microscopic molecular fingerprints and localized macroscopic organ pathological events is essential to overcome the limitations of single-modal detection and enhance the efficacy of clinical risk assessment. However, because of the complexity of heterogeneous data, effectively integrating the cross-dimensional “molecular imaging” data remains a critical bottleneck in achieving this goal. Here, we present a proof-of-concept method to distinguish patients with confirmed IS from healthy controls (HCs) that used machine learning (ML)–based methods to surface-enhanced Raman spectroscopy (SERS) of urine (one-dimensional) and carotid artery B-ultrasound imaging (CBI) (two-dimensional). In an exploratory cohort of 101 participants, this approach analyzed 10,100 SERS spectra and 481 CBI images, achieving 92% classification accuracy and an area under the curve (AUC) of 0.95. Furthermore, by combined SERS spectra and liquid chromatography–mass spectrometry technology, this study preliminarily explored the urinary biomarker differences between HC/IS groups. The multidimensional data fusion strategy proposed in this study effectively bridges the information gap between traditional molecular detection and clinical phenotypes by systematically correlating microfluidic biomarkers with macro-organ imaging features. This approach provides a previously unexplored, noninvasive, and highly accurate tool for risk stratification and clinical decision-making in classifying HC/IS groups.</w:t>
      </w:r>
    </w:p>
    <w:p>
      <w:pPr>
        <w:spacing w:before="120" w:after="120"/>
      </w:pPr>
      <w:r>
        <w:rPr>
          <w:sz w:val="18"/>
        </w:rPr>
        <w:t>——————————————————————————————————————————————————————————————————————</w:t>
      </w:r>
    </w:p>
    <w:p>
      <w:pPr>
        <w:spacing w:before="160" w:after="40" w:line="240" w:lineRule="auto"/>
      </w:pPr>
      <w:r>
        <w:rPr>
          <w:b/>
        </w:rPr>
        <w:t xml:space="preserve">[441] </w:t>
      </w:r>
      <w:hyperlink r:id="rId960">
        <w:r>
          <w:rPr>
            <w:color w:val="1155CC"/>
            <w:u w:val="single"/>
          </w:rPr>
          <w:t>罗伯氏绿僵菌的代谢广度将昆虫致病性与植物关联联系起来</w:t>
        </w:r>
      </w:hyperlink>
    </w:p>
    <w:p>
      <w:pPr>
        <w:spacing w:before="0" w:after="80"/>
      </w:pPr>
      <w:r>
        <w:rPr>
          <w:i/>
          <w:sz w:val="20"/>
        </w:rPr>
        <w:t>EN: Metabolic breadth links insect pathogenicity and plant association in Metarhizium robertsii</w:t>
      </w:r>
    </w:p>
    <w:p>
      <w:pPr>
        <w:spacing w:before="0" w:after="120"/>
      </w:pPr>
      <w:r>
        <w:rPr>
          <w:b/>
        </w:rPr>
        <w:t xml:space="preserve">Source: </w:t>
      </w:r>
      <w:r>
        <w:t>Proceedings of the National Academy of Sciences: Keyword search for query</w:t>
      </w:r>
      <w:r>
        <w:t xml:space="preserve">    </w:t>
      </w:r>
      <w:r>
        <w:rPr>
          <w:b/>
        </w:rPr>
        <w:t xml:space="preserve">Pub date: </w:t>
      </w:r>
      <w:r>
        <w:t>2026-07-01 07:00:00+00:00</w:t>
      </w:r>
      <w:r>
        <w:t xml:space="preserve">    </w:t>
      </w:r>
      <w:r>
        <w:rPr>
          <w:b/>
        </w:rPr>
        <w:t xml:space="preserve">DOI: </w:t>
      </w:r>
      <w:hyperlink r:id="rId961">
        <w:r>
          <w:rPr>
            <w:color w:val="1155CC"/>
            <w:u w:val="single"/>
          </w:rPr>
          <w:t>10.1073/pnas.2608694123</w:t>
        </w:r>
      </w:hyperlink>
    </w:p>
    <w:p>
      <w:pPr>
        <w:spacing w:before="0" w:after="120"/>
      </w:pPr>
      <w:r>
        <w:rPr>
          <w:b/>
        </w:rPr>
        <w:t xml:space="preserve">Notes: </w:t>
      </w:r>
      <w:r>
        <w:t>abstract_source=crossref</w:t>
      </w:r>
    </w:p>
    <w:p>
      <w:pPr>
        <w:spacing w:before="0" w:after="80" w:lineRule="auto" w:line="276"/>
      </w:pPr>
      <w:r>
        <w:rPr>
          <w:b/>
        </w:rPr>
        <w:t xml:space="preserve">摘要（ZH）: </w:t>
      </w:r>
      <w:r>
        <w:t>真菌经常在致病、内生和腐生生活方式之间转变，但实现这些生态转变的功能特征仍不清楚。早期和最近分化的谱系的比较分析</w:t>
      </w:r>
      <w:r>
        <w:t xml:space="preserve"> </w:t>
      </w:r>
      <w:r>
        <w:t>罗氏绿僵菌</w:t>
      </w:r>
      <w:r>
        <w:t xml:space="preserve"> </w:t>
      </w:r>
      <w:r>
        <w:t>揭示对比的生活史策略。早期分化的菌株表现出有限的植物根关联、较慢的昆虫致死性、广泛的宿主内增殖和高孢子形成，而最近分化的菌株表现出昆虫角质层和植物根部的快速发芽、加速的宿主杀死以及从尸体到植物根部的菌丝生长；大多数还表现出去斯特鲁辛活性。 95 种底物的碳利用分析表明，扩大的代谢广度可以有力地预测角质层和植物响应性发芽、多种昆虫宿主的毒力以及根部定植效率，从而将跨界表现与营养广度联系起来。宿主免疫激活进一步调节菌株特异性毒力，但不会掩盖代谢灵活性的核心作用。总的来说，这些发现将代谢能力确定为将营养获取与生态多样化相结合的功能轴，为理解宿主相关真菌的生态可塑性提供了机制框架。</w:t>
      </w:r>
    </w:p>
    <w:p>
      <w:pPr>
        <w:spacing w:before="0" w:after="200" w:lineRule="auto" w:line="276"/>
      </w:pPr>
      <w:r>
        <w:rPr>
          <w:b/>
        </w:rPr>
        <w:t xml:space="preserve">Abstract (EN): </w:t>
      </w:r>
      <w:r>
        <w:t>Fungi frequently transition between pathogenic, endophytic, and saprophytic lifestyles, yet the functional traits enabling these ecological shifts remain unclear. Comparative analyses of early and recently diverged lineages of</w:t>
      </w:r>
      <w:r>
        <w:t xml:space="preserve"> </w:t>
      </w:r>
      <w:r>
        <w:t>Metarhizium robertsii</w:t>
      </w:r>
      <w:r>
        <w:t xml:space="preserve"> </w:t>
      </w:r>
      <w:r>
        <w:t>reveal contrasting life-history strategies. Early diverged strains exhibit limited plant root association, slower insect lethality, extensive within-host proliferation, and high sporulation, whereas recently diverged strains display rapid germination on insect cuticle and plant roots, accelerated host killing, and hyphal growth from cadavers to plant roots; most also exhibit destruxin activity. Carbon utilization profiling across 95 substrates demonstrates that expanded metabolic breadth strongly predicts cuticle and plant-responsive germination, virulence across multiple insect hosts, and root colonization efficiency, linking cross-kingdom performance to nutritional breadth. Host immune activation further modulates strain-specific virulence but does not obscure the central role of metabolic flexibility. Collectively, these findings identify metabolic capacity as a functional axis coupling nutrient acquisition to ecological diversification, providing a mechanistic framework for understanding ecological plasticity in host-associated fungi.</w:t>
      </w:r>
    </w:p>
    <w:p>
      <w:pPr>
        <w:spacing w:before="120" w:after="120"/>
      </w:pPr>
      <w:r>
        <w:rPr>
          <w:sz w:val="18"/>
        </w:rPr>
        <w:t>——————————————————————————————————————————————————————————————————————</w:t>
      </w:r>
    </w:p>
    <w:p>
      <w:pPr>
        <w:spacing w:before="160" w:after="40" w:line="240" w:lineRule="auto"/>
      </w:pPr>
      <w:r>
        <w:rPr>
          <w:b/>
        </w:rPr>
        <w:t xml:space="preserve">[442] </w:t>
      </w:r>
      <w:hyperlink r:id="rId962">
        <w:r>
          <w:rPr>
            <w:color w:val="1155CC"/>
            <w:u w:val="single"/>
          </w:rPr>
          <w:t>粘附 GPCR 的系留激动剂和 GAIN 结构域独立信号传导</w:t>
        </w:r>
      </w:hyperlink>
    </w:p>
    <w:p>
      <w:pPr>
        <w:spacing w:before="0" w:after="80"/>
      </w:pPr>
      <w:r>
        <w:rPr>
          <w:i/>
          <w:sz w:val="20"/>
        </w:rPr>
        <w:t>EN: Tethered agonist– and GAIN domain–independent signaling of an adhesion GPCR</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963">
        <w:r>
          <w:rPr>
            <w:color w:val="1155CC"/>
            <w:u w:val="single"/>
          </w:rPr>
          <w:t>10.1126/sciadv.adu3822</w:t>
        </w:r>
      </w:hyperlink>
    </w:p>
    <w:p>
      <w:pPr>
        <w:spacing w:before="0" w:after="120"/>
      </w:pPr>
      <w:r>
        <w:rPr>
          <w:b/>
        </w:rPr>
        <w:t xml:space="preserve">Notes: </w:t>
      </w:r>
      <w:r>
        <w:t>abstract_source=crossref</w:t>
      </w:r>
    </w:p>
    <w:p>
      <w:pPr>
        <w:spacing w:before="0" w:after="80" w:lineRule="auto" w:line="276"/>
      </w:pPr>
      <w:r>
        <w:rPr>
          <w:b/>
        </w:rPr>
        <w:t xml:space="preserve">摘要（ZH）: </w:t>
      </w:r>
      <w:r>
        <w:t>在转染细胞中，粘附 G 蛋白偶联受体 (GPCR) 被嵌入其典型自蛋白水解 GAIN 结构域的束缚激动剂激活。然而，尚不清楚系留激动剂依赖性激活机制是否普遍介导粘附 GPCR 的生理功能。在这里，我们展示了 BAI3 的 G 蛋白信号传导（</w:t>
      </w:r>
      <w:r>
        <w:t xml:space="preserve"> </w:t>
      </w:r>
      <w:r>
        <w:t>Adgrb3</w:t>
      </w:r>
      <w:r>
        <w:t xml:space="preserve"> </w:t>
      </w:r>
      <w:r>
        <w:t>），一种大脑特异性粘附 GPCR，对于控制轴突和树突生长以及促进突触形成的功能至关重要。此外，我们的信号转导测定证实，BAI3 的束缚激动剂的持续暴露会大量刺激（约 5 倍）其 GPCR 活性。然而，通过删除其细胞外结构域而产生的 BAI3 束缚激动剂的组成性暴露，阻断而不是激活 BAI3 调节轴突和树突生长以及促进突触形成的功能。此外，BAI3 束缚激动剂的失活突变或 BAI3 组成 GAIN 结构域的删除并没有明显损害 BAI3 的生理功能。因此，BAI3 的 GPCR 活性在功能上是必需的，而拴系激动剂介导的 GPCR 活性刺激则不是。</w:t>
      </w:r>
    </w:p>
    <w:p>
      <w:pPr>
        <w:spacing w:before="0" w:after="200" w:lineRule="auto" w:line="276"/>
      </w:pPr>
      <w:r>
        <w:rPr>
          <w:b/>
        </w:rPr>
        <w:t xml:space="preserve">Abstract (EN): </w:t>
      </w:r>
      <w:r>
        <w:t>In transfected cells, adhesion G protein–coupled receptors (GPCRs) are activated by tethered agonists that are embedded in their canonical autoproteolytic GAIN domain. It is unknown, however, whether a tethered agonist–dependent activation mechanism generally mediates the physiological functions of adhesion GPCRs. Here, we show that G protein signaling by BAI3 (</w:t>
      </w:r>
      <w:r>
        <w:t xml:space="preserve"> </w:t>
      </w:r>
      <w:r>
        <w:t>Adgrb3</w:t>
      </w:r>
      <w:r>
        <w:t xml:space="preserve"> </w:t>
      </w:r>
      <w:r>
        <w:t>), a brain-specific adhesion GPCR, is essential for its functions in controlling axon and dendrite growth and promoting synapse formation. Moreover, our signal transduction assays confirm that constitutive exposure of BAI3’s tethered agonist massively stimulates (~5-fold) its GPCR activity. However, the constitutive exposure of BAI3’s tethered agonist, produced by deletion of its extracellular domains, blocked instead of activating BAI3’s functions in regulating axonal and dendritic growth and promoting synapse formation. Moreover, inactivating mutations of BAI3’s tethered agonist or deletion of BAI3’s constituent GAIN domain did not detectably impair BAI3’s physiological functions. Thus, the GPCR activity of BAI3 is functionally required, whereas tethered agonist–mediated stimulation of its GPCR activity is not.</w:t>
      </w:r>
    </w:p>
    <w:p>
      <w:pPr>
        <w:spacing w:before="120" w:after="120"/>
      </w:pPr>
      <w:r>
        <w:rPr>
          <w:sz w:val="18"/>
        </w:rPr>
        <w:t>——————————————————————————————————————————————————————————————————————</w:t>
      </w:r>
    </w:p>
    <w:p>
      <w:pPr>
        <w:spacing w:before="160" w:after="40" w:line="240" w:lineRule="auto"/>
      </w:pPr>
      <w:r>
        <w:rPr>
          <w:b/>
        </w:rPr>
        <w:t xml:space="preserve">[443] </w:t>
      </w:r>
      <w:hyperlink r:id="rId964">
        <w:r>
          <w:rPr>
            <w:color w:val="1155CC"/>
            <w:u w:val="single"/>
          </w:rPr>
          <w:t>强关联二维蜂窝硼的实现</w:t>
        </w:r>
      </w:hyperlink>
    </w:p>
    <w:p>
      <w:pPr>
        <w:spacing w:before="0" w:after="80"/>
      </w:pPr>
      <w:r>
        <w:rPr>
          <w:i/>
          <w:sz w:val="20"/>
        </w:rPr>
        <w:t>EN: Realization of strongly correlated 2D honeycomb boron</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965">
        <w:r>
          <w:rPr>
            <w:color w:val="1155CC"/>
            <w:u w:val="single"/>
          </w:rPr>
          <w:t>10.1126/sciadv.aee3116</w:t>
        </w:r>
      </w:hyperlink>
    </w:p>
    <w:p>
      <w:pPr>
        <w:spacing w:before="0" w:after="120"/>
      </w:pPr>
      <w:r>
        <w:rPr>
          <w:b/>
        </w:rPr>
        <w:t xml:space="preserve">Notes: </w:t>
      </w:r>
      <w:r>
        <w:t>abstract_source=crossref</w:t>
      </w:r>
    </w:p>
    <w:p>
      <w:pPr>
        <w:spacing w:before="0" w:after="80" w:lineRule="auto" w:line="276"/>
      </w:pPr>
      <w:r>
        <w:rPr>
          <w:b/>
        </w:rPr>
        <w:t xml:space="preserve">摘要（ZH）: </w:t>
      </w:r>
      <w:r>
        <w:t>硼烯是一种二维（2D）硼片，由于其独特的性质，如固有的金属特性、最轻的元素单层结构和高频声子，最近作为后石墨烯材料受到了广泛的关注。这些特征，加上理论上预测的高态密度，使硼烯成为研究各种量子现象的绝佳平台。然而，新兴现象的实现受到制造挑战和固有的微弱电子相关性的阻碍。</w:t>
      </w:r>
      <w:r>
        <w:t xml:space="preserve"> </w:t>
      </w:r>
      <w:r>
        <w:t>s</w:t>
      </w:r>
      <w:r>
        <w:t xml:space="preserve"> </w:t>
      </w:r>
      <w:r>
        <w:t>和</w:t>
      </w:r>
      <w:r>
        <w:t xml:space="preserve"> </w:t>
      </w:r>
      <w:r>
        <w:t>p</w:t>
      </w:r>
      <w:r>
        <w:t xml:space="preserve"> </w:t>
      </w:r>
      <w:r>
        <w:t>电子系统。在这里，我们展示了源自三元硼化物 LaRh 表面暴露的蜂窝硼晶格的强相关二维电子态</w:t>
      </w:r>
      <w:r>
        <w:rPr>
          <w:vertAlign w:val="subscript"/>
        </w:rPr>
        <w:t>3</w:t>
      </w:r>
      <w:r>
        <w:t>乙</w:t>
      </w:r>
      <w:r>
        <w:rPr>
          <w:vertAlign w:val="subscript"/>
        </w:rPr>
        <w:t>2</w:t>
      </w:r>
      <w:r>
        <w:t>。使用角分辨光电子能谱，我们发现了费米能级附近扩展的鞍点范霍夫奇点，这与大量的晶格膨胀和多体相互作用有关。此外，扫描隧道显微镜揭示了电子向列性，这可能源于鞍点不稳定性。我们的研究结果为探索硼基二维系统中的奇异相关现象开辟了一条途径。</w:t>
      </w:r>
    </w:p>
    <w:p>
      <w:pPr>
        <w:spacing w:before="0" w:after="200" w:lineRule="auto" w:line="276"/>
      </w:pPr>
      <w:r>
        <w:rPr>
          <w:b/>
        </w:rPr>
        <w:t xml:space="preserve">Abstract (EN): </w:t>
      </w:r>
      <w:r>
        <w:t>Borophene, a two-dimensional (2D) boron sheet, has recently gained considerable attention as a postgraphene material owing to its unique properties, such as intrinsic metallic character, lightest element monolayer structure, and high-frequency phonons. These features, together with its theoretically predicted high density of states, make borophene an excellent platform for investigating various quantum phenomena. However, the realization of emergent phenomena is hindered by fabrication challenges and inherently weak electronic correlations within the</w:t>
      </w:r>
      <w:r>
        <w:t xml:space="preserve"> </w:t>
      </w:r>
      <w:r>
        <w:t>s</w:t>
      </w:r>
      <w:r>
        <w:t xml:space="preserve"> </w:t>
      </w:r>
      <w:r>
        <w:t>and</w:t>
      </w:r>
      <w:r>
        <w:t xml:space="preserve"> </w:t>
      </w:r>
      <w:r>
        <w:t>p</w:t>
      </w:r>
      <w:r>
        <w:t xml:space="preserve"> </w:t>
      </w:r>
      <w:r>
        <w:t>electron system. Here, we demonstrate a strongly correlated 2D electronic state derived from a honeycomb boron lattice exposed at the surface of ternary boride LaRh</w:t>
      </w:r>
      <w:r>
        <w:rPr>
          <w:vertAlign w:val="subscript"/>
        </w:rPr>
        <w:t>3</w:t>
      </w:r>
      <w:r>
        <w:t>B</w:t>
      </w:r>
      <w:r>
        <w:rPr>
          <w:vertAlign w:val="subscript"/>
        </w:rPr>
        <w:t>2</w:t>
      </w:r>
      <w:r>
        <w:t>. Using angle-resolved photoemission spectroscopy, we uncover the extended saddle-point van Hove singularity near the Fermi level, which is linked to the substantial lattice expansion and many-body interaction. Moreover, scanning tunneling microscopy reveals the electronic nematicity, which likely originates from the saddle-point instability. Our findings open a pathway to exploring the exotic correlated phenomena in boron-based 2D systems.</w:t>
      </w:r>
    </w:p>
    <w:p>
      <w:pPr>
        <w:spacing w:before="120" w:after="120"/>
      </w:pPr>
      <w:r>
        <w:rPr>
          <w:sz w:val="18"/>
        </w:rPr>
        <w:t>——————————————————————————————————————————————————————————————————————</w:t>
      </w:r>
    </w:p>
    <w:p>
      <w:pPr>
        <w:spacing w:before="160" w:after="40" w:line="240" w:lineRule="auto"/>
      </w:pPr>
      <w:r>
        <w:rPr>
          <w:b/>
        </w:rPr>
        <w:t xml:space="preserve">[444] </w:t>
      </w:r>
      <w:hyperlink r:id="rId966">
        <w:r>
          <w:rPr>
            <w:color w:val="1155CC"/>
            <w:u w:val="single"/>
          </w:rPr>
          <w:t>具有铬分子功能化的大面积光可编程二维半导体</w:t>
        </w:r>
      </w:hyperlink>
    </w:p>
    <w:p>
      <w:pPr>
        <w:spacing w:before="0" w:after="80"/>
      </w:pPr>
      <w:r>
        <w:rPr>
          <w:i/>
          <w:sz w:val="20"/>
        </w:rPr>
        <w:t>EN: Large-area, photo-programmable 2D semiconductors with chromic molecular functionalization</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967">
        <w:r>
          <w:rPr>
            <w:color w:val="1155CC"/>
            <w:u w:val="single"/>
          </w:rPr>
          <w:t>10.1126/sciadv.aee1510</w:t>
        </w:r>
      </w:hyperlink>
    </w:p>
    <w:p>
      <w:pPr>
        <w:spacing w:before="0" w:after="120"/>
      </w:pPr>
      <w:r>
        <w:rPr>
          <w:b/>
        </w:rPr>
        <w:t xml:space="preserve">Notes: </w:t>
      </w:r>
      <w:r>
        <w:t>abstract_source=crossref</w:t>
      </w:r>
    </w:p>
    <w:p>
      <w:pPr>
        <w:spacing w:before="0" w:after="80" w:lineRule="auto" w:line="276"/>
      </w:pPr>
      <w:r>
        <w:rPr>
          <w:b/>
        </w:rPr>
        <w:t xml:space="preserve">摘要（ZH）: </w:t>
      </w:r>
      <w:r>
        <w:t>由于通道层特性可以动态控制，可重构电子器件扩展了设备功能，并有望实现以前未知的计算范例。二维半导体与光响应铬分子结合提供了一条引人注目的途径，因为原子级薄通道对分子构象变化高度敏感。然而，大多数演示仅限于微型单片器件，限制了可扩展性和技术相关性。在这里，我们报告了一种集成厘米级单层 WS 的光学可重构平台</w:t>
      </w:r>
      <w:r>
        <w:rPr>
          <w:vertAlign w:val="subscript"/>
        </w:rPr>
        <w:t>2</w:t>
      </w:r>
      <w:r>
        <w:t>和硒化钨</w:t>
      </w:r>
      <w:r>
        <w:rPr>
          <w:vertAlign w:val="subscript"/>
        </w:rPr>
        <w:t>2</w:t>
      </w:r>
      <w:r>
        <w:t>具有偶氮苯（Azo）覆盖层。波长选择性反式-顺式偶氮光异构化产生可逆界面偶极子，充当光闸，从而能够精确、均匀地调制电子和空穴密度（~2.5 × 10</w:t>
      </w:r>
      <w:r>
        <w:rPr>
          <w:vertAlign w:val="subscript"/>
        </w:rPr>
        <w:t>12</w:t>
      </w:r>
      <w:r>
        <w:t>厘米</w:t>
      </w:r>
      <w:r>
        <w:t xml:space="preserve"> </w:t>
      </w:r>
      <w:r>
        <w:t>−2</w:t>
      </w:r>
      <w:r>
        <w:t xml:space="preserve"> </w:t>
      </w:r>
      <w:r>
        <w:t>）大面积。这种光学驱动进一步支持光电特性的空间可编程图案，并在大型晶体管阵列上提供可重复的调制。这些结果共同建立了一个可扩展的智能材料平台，用于光可编程的可重构光电器件。</w:t>
      </w:r>
    </w:p>
    <w:p>
      <w:pPr>
        <w:spacing w:before="0" w:after="200" w:lineRule="auto" w:line="276"/>
      </w:pPr>
      <w:r>
        <w:rPr>
          <w:b/>
        </w:rPr>
        <w:t xml:space="preserve">Abstract (EN): </w:t>
      </w:r>
      <w:r>
        <w:t>Reconfigurable electronics expands device functionality and promises previously unknown computing paradigms, as the channel layer characteristics can be dynamically controlled. Two-dimensional semiconductors coupled with photo-responsive chromic molecules offer a compelling route as atomically thin channels are highly sensitive to molecular conformation changes. However, most demonstrations have been limited to microscale single-flake devices, limiting scalability and technological relevance. Here, we report an optically reconfigurable platform integrating centimeter-scale monolayer WS</w:t>
      </w:r>
      <w:r>
        <w:rPr>
          <w:vertAlign w:val="subscript"/>
        </w:rPr>
        <w:t>2</w:t>
      </w:r>
      <w:r>
        <w:t>and WSe</w:t>
      </w:r>
      <w:r>
        <w:rPr>
          <w:vertAlign w:val="subscript"/>
        </w:rPr>
        <w:t>2</w:t>
      </w:r>
      <w:r>
        <w:t>with an azobenzene (Azo) overlayer. Wavelength-selective trans-cis Azo photoisomerization generates a reversible interfacial dipole that serves as an optical gate, enabling precise and uniform modulation of both electron and hole densities (~2.5 × 10</w:t>
      </w:r>
      <w:r>
        <w:rPr>
          <w:vertAlign w:val="subscript"/>
        </w:rPr>
        <w:t>12</w:t>
      </w:r>
      <w:r>
        <w:t>cm</w:t>
      </w:r>
      <w:r>
        <w:t xml:space="preserve"> </w:t>
      </w:r>
      <w:r>
        <w:t>−2</w:t>
      </w:r>
      <w:r>
        <w:t xml:space="preserve"> </w:t>
      </w:r>
      <w:r>
        <w:t>) over large areas. This optical actuation further supports spatially programmable patterning of optoelectronic properties and delivers repeatable modulation across large transistor arrays. Together, these results establish a scalable smart materials platform for reconfigurable optoelectronics that is light-programmable.</w:t>
      </w:r>
    </w:p>
    <w:p>
      <w:pPr>
        <w:spacing w:before="120" w:after="120"/>
      </w:pPr>
      <w:r>
        <w:rPr>
          <w:sz w:val="18"/>
        </w:rPr>
        <w:t>——————————————————————————————————————————————————————————————————————</w:t>
      </w:r>
    </w:p>
    <w:p>
      <w:pPr>
        <w:spacing w:before="160" w:after="40" w:line="240" w:lineRule="auto"/>
      </w:pPr>
      <w:r>
        <w:rPr>
          <w:b/>
        </w:rPr>
        <w:t xml:space="preserve">[445] </w:t>
      </w:r>
      <w:hyperlink r:id="rId968">
        <w:r>
          <w:rPr>
            <w:color w:val="1155CC"/>
            <w:u w:val="single"/>
          </w:rPr>
          <w:t>蓝光传感器组氨酸激酶信号传导中的二聚体不对称性</w:t>
        </w:r>
      </w:hyperlink>
    </w:p>
    <w:p>
      <w:pPr>
        <w:spacing w:before="0" w:after="80"/>
      </w:pPr>
      <w:r>
        <w:rPr>
          <w:i/>
          <w:sz w:val="20"/>
        </w:rPr>
        <w:t>EN: Dimer asymmetry in signaling of blue light sensor histidine kinases</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969">
        <w:r>
          <w:rPr>
            <w:color w:val="1155CC"/>
            <w:u w:val="single"/>
          </w:rPr>
          <w:t>10.1126/sciadv.aed8943</w:t>
        </w:r>
      </w:hyperlink>
    </w:p>
    <w:p>
      <w:pPr>
        <w:spacing w:before="0" w:after="120"/>
      </w:pPr>
      <w:r>
        <w:rPr>
          <w:b/>
        </w:rPr>
        <w:t xml:space="preserve">Notes: </w:t>
      </w:r>
      <w:r>
        <w:t>abstract_source=crossref</w:t>
      </w:r>
    </w:p>
    <w:p>
      <w:pPr>
        <w:spacing w:before="0" w:after="80" w:lineRule="auto" w:line="276"/>
      </w:pPr>
      <w:r>
        <w:rPr>
          <w:b/>
        </w:rPr>
        <w:t xml:space="preserve">摘要（ZH）: </w:t>
      </w:r>
      <w:r>
        <w:t>光感受器感觉组氨酸激酶 (SHK) 将光吸收与调节双组分信号传导的构象变化结合起来。尽管它们在光遗传学中很重要且广泛使用，但其潜在的结构信号机制仍然知之甚少。在这里，我们基于</w:t>
      </w:r>
      <w:r>
        <w:t xml:space="preserve"> </w:t>
      </w:r>
      <w:r>
        <w:t>恶臭假单胞菌</w:t>
      </w:r>
      <w:r>
        <w:t xml:space="preserve"> </w:t>
      </w:r>
      <w:r>
        <w:t>短光氧电压（LOV）蛋白，确定了它们的晶体结构，并研究了它们的信号传导机制。无论光照如何，该结构都采用光态，如具有对称/直激酶模块的 LOV-LOV 二聚体。相比之下，小角度 X 射线散射与功能测定一起揭示了溶液中明显的光依赖性重排，并允许将激酶-ON 暗态分配为不对称/扭结构象，而亮态采用对称/直结构。对天然和工程 SHK 的比较分析发现了将光诱导的 LOV 结构域旋转与激酶活性联系起来的保守基序。这些发现强调了二聚体不对称性和灵活性在 SHK 信号传导中的核心作用，从而为新的光响应信号系统的工程设计提供了重要信息。</w:t>
      </w:r>
    </w:p>
    <w:p>
      <w:pPr>
        <w:spacing w:before="0" w:after="200" w:lineRule="auto" w:line="276"/>
      </w:pPr>
      <w:r>
        <w:rPr>
          <w:b/>
        </w:rPr>
        <w:t xml:space="preserve">Abstract (EN): </w:t>
      </w:r>
      <w:r>
        <w:t>Photoreceptor sensory histidine kinases (SHKs) couple light absorption to conformational changes regulating two-component signaling. Despite their importance and widespread use in optogenetics, the underlying structural signaling mechanisms remain poorly understood. Here, we engineered dimeric SHKs based on</w:t>
      </w:r>
      <w:r>
        <w:t xml:space="preserve"> </w:t>
      </w:r>
      <w:r>
        <w:t>Pseudomonas putida</w:t>
      </w:r>
      <w:r>
        <w:t xml:space="preserve"> </w:t>
      </w:r>
      <w:r>
        <w:t>short light-oxygen-voltage (LOV) proteins, determined their crystal structures, and investigated their signaling mechanisms. Regardless of illumination, the structures adopted a light-state like LOV-LOV dimer with symmetric/straight kinase modules. In contrast, small-angle x-ray scattering together with functional assays revealed pronounced light-dependent rearrangements in solution and allowed the assignment of the kinase-ON dark state to an asymmetric/kinked conformation, whereas the light state adopts a symmetric/straight structure. Comparative analyses of natural and engineered SHKs identified conserved motifs linking light-induced LOV domain rotation to kinase activity. The findings highlight the central role of dimer asymmetry and flexibility in SHK signaling, thereby not least informing the engineering of new light-responsive signaling systems.</w:t>
      </w:r>
    </w:p>
    <w:p>
      <w:pPr>
        <w:spacing w:before="120" w:after="120"/>
      </w:pPr>
      <w:r>
        <w:rPr>
          <w:sz w:val="18"/>
        </w:rPr>
        <w:t>——————————————————————————————————————————————————————————————————————</w:t>
      </w:r>
    </w:p>
    <w:p>
      <w:pPr>
        <w:spacing w:before="160" w:after="40" w:line="240" w:lineRule="auto"/>
      </w:pPr>
      <w:r>
        <w:rPr>
          <w:b/>
        </w:rPr>
        <w:t xml:space="preserve">[446] </w:t>
      </w:r>
      <w:hyperlink r:id="rId970">
        <w:r>
          <w:rPr>
            <w:color w:val="1155CC"/>
            <w:u w:val="single"/>
          </w:rPr>
          <w:t>全球大脑不对称性的变化与衰老和相关疾病有关</w:t>
        </w:r>
      </w:hyperlink>
    </w:p>
    <w:p>
      <w:pPr>
        <w:spacing w:before="0" w:after="80"/>
      </w:pPr>
      <w:r>
        <w:rPr>
          <w:i/>
          <w:sz w:val="20"/>
        </w:rPr>
        <w:t>EN: Variations of global brain asymmetry are associated with aging and related diseases</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971">
        <w:r>
          <w:rPr>
            <w:color w:val="1155CC"/>
            <w:u w:val="single"/>
          </w:rPr>
          <w:t>10.1126/sciadv.adu9309</w:t>
        </w:r>
      </w:hyperlink>
    </w:p>
    <w:p>
      <w:pPr>
        <w:spacing w:before="0" w:after="120"/>
      </w:pPr>
      <w:r>
        <w:rPr>
          <w:b/>
        </w:rPr>
        <w:t xml:space="preserve">Notes: </w:t>
      </w:r>
      <w:r>
        <w:t>abstract_source=crossref</w:t>
      </w:r>
    </w:p>
    <w:p>
      <w:pPr>
        <w:spacing w:before="0" w:after="80" w:lineRule="auto" w:line="276"/>
      </w:pPr>
      <w:r>
        <w:rPr>
          <w:b/>
        </w:rPr>
        <w:t xml:space="preserve">摘要（ZH）: </w:t>
      </w:r>
      <w:r>
        <w:t>偏侧化是大脑组织的一个标志，但这种现象背后的结构基础仍然是认知和系统神经科学中一个关键的、尚未解决的问题。在这项研究中，我们应用多元机器学习技术，使用大规模数据集来研究全球大脑不对称性的变化及其与认知功能、衰老和衰老相关疾病的关联。我们的研究结果揭示了半球之间实质性的和以前未知的结构差异，并建立了结构不对称和侧化功能之间的关键关联。在人群层面，我们确定了大脑半球差异的独特衰老轨迹，并发现了阿尔茨海默病和帕金森病患者的诊断特异性差异，以及</w:t>
      </w:r>
      <w:r>
        <w:t xml:space="preserve"> </w:t>
      </w:r>
      <w:r>
        <w:t>APOE</w:t>
      </w:r>
      <w:r>
        <w:t xml:space="preserve"> </w:t>
      </w:r>
      <w:r>
        <w:t>具有遗传风险的ε4携带者。值得注意的是，我们发现了一种“左半脑衰老”模式，挑战了传统的“右半脑衰老”模型。总之，这些结果增进了我们对人脑功能偏侧化的理解，并强调了整体大脑不对称作为大脑衰老和相关疾病生物标志物的潜力。</w:t>
      </w:r>
    </w:p>
    <w:p>
      <w:pPr>
        <w:spacing w:before="0" w:after="200" w:lineRule="auto" w:line="276"/>
      </w:pPr>
      <w:r>
        <w:rPr>
          <w:b/>
        </w:rPr>
        <w:t xml:space="preserve">Abstract (EN): </w:t>
      </w:r>
      <w:r>
        <w:t>Lateralization is a hallmark of brain organization, yet the structural basis underlying this phenomenon remains a critical, unresolved question in cognitive and systems neuroscience. In this study, we applied multivariate machine learning techniques to investigate variations of global brain asymmetry and their associations with cognitive functions, aging, and aging-related diseases, using large-scale datasets. Our findings revealed substantial and previously unknown structural differences between the hemispheres, and established key associations between structural asymmetries and lateralized functions. At the population level, we identified unique aging trajectories of hemispheric differences and uncovered diagnosis-specific variations in patients with Alzheimer’s and Parkinson’s disease, and in</w:t>
      </w:r>
      <w:r>
        <w:t xml:space="preserve"> </w:t>
      </w:r>
      <w:r>
        <w:t>APOE</w:t>
      </w:r>
      <w:r>
        <w:t xml:space="preserve"> </w:t>
      </w:r>
      <w:r>
        <w:t>ε4 carriers at genetic risk. Notably, we identified a “left hemi-aging” pattern that challenges the conventional “right hemi-aging” model. Together, these results advance our understanding of functional lateralization in the human brain and highlight the potential of global brain asymmetry as a biomarker for brain aging and related diseases.</w:t>
      </w:r>
    </w:p>
    <w:p>
      <w:pPr>
        <w:spacing w:before="120" w:after="120"/>
      </w:pPr>
      <w:r>
        <w:rPr>
          <w:sz w:val="18"/>
        </w:rPr>
        <w:t>——————————————————————————————————————————————————————————————————————</w:t>
      </w:r>
    </w:p>
    <w:p>
      <w:pPr>
        <w:spacing w:before="160" w:after="40" w:line="240" w:lineRule="auto"/>
      </w:pPr>
      <w:r>
        <w:rPr>
          <w:b/>
        </w:rPr>
        <w:t xml:space="preserve">[447] </w:t>
      </w:r>
      <w:hyperlink r:id="rId972">
        <w:r>
          <w:rPr>
            <w:color w:val="1155CC"/>
            <w:u w:val="single"/>
          </w:rPr>
          <w:t>恒星反馈导致低质量星系中重子缺乏</w:t>
        </w:r>
      </w:hyperlink>
    </w:p>
    <w:p>
      <w:pPr>
        <w:spacing w:before="0" w:after="80"/>
      </w:pPr>
      <w:r>
        <w:rPr>
          <w:i/>
          <w:sz w:val="20"/>
        </w:rPr>
        <w:t>EN: Stellar feedback drives the baryon deficiency in low-mass galaxies</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973">
        <w:r>
          <w:rPr>
            <w:color w:val="1155CC"/>
            <w:u w:val="single"/>
          </w:rPr>
          <w:t>10.1126/sciadv.aed7506</w:t>
        </w:r>
      </w:hyperlink>
    </w:p>
    <w:p>
      <w:pPr>
        <w:spacing w:before="0" w:after="120"/>
      </w:pPr>
      <w:r>
        <w:rPr>
          <w:b/>
        </w:rPr>
        <w:t xml:space="preserve">Notes: </w:t>
      </w:r>
      <w:r>
        <w:t>abstract_source=crossref</w:t>
      </w:r>
    </w:p>
    <w:p>
      <w:pPr>
        <w:spacing w:before="0" w:after="80" w:lineRule="auto" w:line="276"/>
      </w:pPr>
      <w:r>
        <w:rPr>
          <w:b/>
        </w:rPr>
        <w:t xml:space="preserve">摘要（ZH）: </w:t>
      </w:r>
      <w:r>
        <w:t>恒星反馈作为调节重子循环的关键过程，被认为可以极大地重新分配暗物质晕（DMH）内外的重子物质；然而，缺乏观察证据。通过对暗能量光谱仪 (DESI) 约 400,000 个星系光谱的叠加分析，我们发现 Mg 中恒星形成驱动的冷流出</w:t>
      </w:r>
      <w:r>
        <w:t xml:space="preserve"> </w:t>
      </w:r>
      <w:r>
        <w:t>二、</w:t>
      </w:r>
      <w:r>
        <w:t xml:space="preserve"> </w:t>
      </w:r>
      <w:r>
        <w:t>吸收线。假设只有重力作用在发射的气体上，我们的计算表明，低质量星系的流出物（</w:t>
      </w:r>
      <w:r>
        <w:t xml:space="preserve"> </w:t>
      </w:r>
      <w:r>
        <w:t>中号</w:t>
      </w:r>
      <w:r>
        <w:t xml:space="preserve"> </w:t>
      </w:r>
      <w:r>
        <w:t>*</w:t>
      </w:r>
      <w:r>
        <w:t xml:space="preserve"> </w:t>
      </w:r>
      <w:r>
        <w:t>&lt;</w:t>
      </w:r>
      <w:r>
        <w:t xml:space="preserve"> </w:t>
      </w:r>
      <w:r>
        <w:rPr>
          <w:vertAlign w:val="subscript"/>
        </w:rPr>
        <w:t>10</w:t>
      </w:r>
      <w:r>
        <w:rPr>
          <w:vertAlign w:val="subscript"/>
        </w:rPr>
        <w:t>10</w:t>
      </w:r>
      <w:r>
        <w:t xml:space="preserve"> </w:t>
      </w:r>
      <w:r>
        <w:t>中号</w:t>
      </w:r>
      <w:r>
        <w:t xml:space="preserve"> </w:t>
      </w:r>
      <w:r>
        <w:t>⊙</w:t>
      </w:r>
      <w:r>
        <w:t xml:space="preserve"> </w:t>
      </w:r>
      <w:r>
        <w:t>）能够逃逸到 DMH 之外，这与我们使用背景类星体沿星系短轴的环河介质（CGM）吸收的发现非常吻合。这项研究提供了间接证据，表明恒星反馈导致低质量晕中的重子保留率较低，这表明星系内的重子过程与 DMH 之外的扩散物质有关。</w:t>
      </w:r>
    </w:p>
    <w:p>
      <w:pPr>
        <w:spacing w:before="0" w:after="200" w:lineRule="auto" w:line="276"/>
      </w:pPr>
      <w:r>
        <w:rPr>
          <w:b/>
        </w:rPr>
        <w:t xml:space="preserve">Abstract (EN): </w:t>
      </w:r>
      <w:r>
        <w:t>Stellar feedback, as a key process regulating the baryon cycle, is thought to greatly redistribute baryonic material inside and outside the dark matter halos (DMHs); however, the observational evidences are lacking. Through stacking analyses of ∼400,000 galaxy spectra from Dark Energy Spectroscopic Instrument (DESI), we find star formation–driven cool outflows in the Mg</w:t>
      </w:r>
      <w:r>
        <w:t xml:space="preserve"> </w:t>
      </w:r>
      <w:r>
        <w:t>ii</w:t>
      </w:r>
      <w:r>
        <w:t xml:space="preserve"> </w:t>
      </w:r>
      <w:r>
        <w:t>absorption line. Assuming only gravity acts on the launched gas, our calculations reveal that outflows from low-mass galaxies (</w:t>
      </w:r>
      <w:r>
        <w:t xml:space="preserve"> </w:t>
      </w:r>
      <w:r>
        <w:t>M</w:t>
      </w:r>
      <w:r>
        <w:t xml:space="preserve"> </w:t>
      </w:r>
      <w:r>
        <w:t>∗</w:t>
      </w:r>
      <w:r>
        <w:t xml:space="preserve"> </w:t>
      </w:r>
      <w:r>
        <w:t>&amp;lt;</w:t>
      </w:r>
      <w:r>
        <w:t xml:space="preserve"> </w:t>
      </w:r>
      <w:r>
        <w:rPr>
          <w:vertAlign w:val="subscript"/>
        </w:rPr>
        <w:t>10</w:t>
      </w:r>
      <w:r>
        <w:rPr>
          <w:vertAlign w:val="subscript"/>
        </w:rPr>
        <w:t>10</w:t>
      </w:r>
      <w:r>
        <w:t xml:space="preserve"> </w:t>
      </w:r>
      <w:r>
        <w:t>M</w:t>
      </w:r>
      <w:r>
        <w:t xml:space="preserve"> </w:t>
      </w:r>
      <w:r>
        <w:t>⊙</w:t>
      </w:r>
      <w:r>
        <w:t xml:space="preserve"> </w:t>
      </w:r>
      <w:r>
        <w:t>) are capable of escaping beyond the DMHs, which aligns well with our finding in the circumgalactic medium (CGM) absorption along the minor axes of galaxies using background quasars. This research offers indirect evidence that stellar feedback drives the low baryon retention rate in low-mass halos, implicating that baryonic processes within galaxies are connected with the diffuse matter beyond the DMHs.</w:t>
      </w:r>
    </w:p>
    <w:p>
      <w:pPr>
        <w:spacing w:before="120" w:after="120"/>
      </w:pPr>
      <w:r>
        <w:rPr>
          <w:sz w:val="18"/>
        </w:rPr>
        <w:t>——————————————————————————————————————————————————————————————————————</w:t>
      </w:r>
    </w:p>
    <w:p>
      <w:pPr>
        <w:spacing w:before="160" w:after="40" w:line="240" w:lineRule="auto"/>
      </w:pPr>
      <w:r>
        <w:rPr>
          <w:b/>
        </w:rPr>
        <w:t xml:space="preserve">[448] </w:t>
      </w:r>
      <w:hyperlink r:id="rId974">
        <w:r>
          <w:rPr>
            <w:color w:val="1155CC"/>
            <w:u w:val="single"/>
          </w:rPr>
          <w:t>社区指出，设计中的两极分化内容不足，在选举过程中造成风险</w:t>
        </w:r>
      </w:hyperlink>
    </w:p>
    <w:p>
      <w:pPr>
        <w:spacing w:before="0" w:after="80"/>
      </w:pPr>
      <w:r>
        <w:rPr>
          <w:i/>
          <w:sz w:val="20"/>
        </w:rPr>
        <w:t>EN: Community Notes undermoderate polarizing content by design creating risks in electoral processes</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975">
        <w:r>
          <w:rPr>
            <w:color w:val="1155CC"/>
            <w:u w:val="single"/>
          </w:rPr>
          <w:t>10.1126/sciadv.aee6932</w:t>
        </w:r>
      </w:hyperlink>
    </w:p>
    <w:p>
      <w:pPr>
        <w:spacing w:before="0" w:after="120"/>
      </w:pPr>
      <w:r>
        <w:rPr>
          <w:b/>
        </w:rPr>
        <w:t xml:space="preserve">Notes: </w:t>
      </w:r>
      <w:r>
        <w:t>abstract_source=crossref</w:t>
      </w:r>
    </w:p>
    <w:p>
      <w:pPr>
        <w:spacing w:before="0" w:after="80" w:lineRule="auto" w:line="276"/>
      </w:pPr>
      <w:r>
        <w:rPr>
          <w:b/>
        </w:rPr>
        <w:t xml:space="preserve">摘要（ZH）: </w:t>
      </w:r>
      <w:r>
        <w:t>X 的社区注释使用户能够协作调节误导性内容。为了解决冲突的温和性，社区笔记推断出潜在的意识形态维度，并选择获得跨党派​​支持的笔记。由于该系统现已在全球范围内部署，我们评估其在不同极化环境下的运行情况。我们分析了截至 2025 年 3 月收到 1.35 亿个评分的所有 190 万条审核笔记，交叉引用了 13 个国家的意识形态尺度数据。我们的结果表明，社区注释算法有效地捕捉了各国主要的两极分化维度，并呈现出获得跨党派​​支持的注释。这也意味着，在设计上，社区笔记系统地抑制了两极分化的内容。我们分析了与美国（2024 年）、英国（2024 年）、法国（2024 年）和德国（2025 年）最近四次选举相关的笔记，并证明与其他笔记相比，它们被系统性地低估了，对公民话语和选举进程构成了潜在风险。</w:t>
      </w:r>
    </w:p>
    <w:p>
      <w:pPr>
        <w:spacing w:before="0" w:after="200" w:lineRule="auto" w:line="276"/>
      </w:pPr>
      <w:r>
        <w:rPr>
          <w:b/>
        </w:rPr>
        <w:t xml:space="preserve">Abstract (EN): </w:t>
      </w:r>
      <w:r>
        <w:t>Community Notes of X enables users to collaboratively moderate misleading content. To resolve conflicting moderation, Community Notes infers a latent ideological dimension and selects notes garnering cross-partisan support. As this system is now deployed worldwide, we evaluate its operation across diverse polarization contexts. We analyze all 1.9 million moderation notes receiving 135 million ratings by March 2025, cross-referencing ideological scaling data on 13 countries. Our results show that the Community Notes algorithm effectively captures the main polarizing dimensions across countries, surfacing notes that garner cross-partisan support. This also means that, by design, Community Notes systematically undermoderate polarizing content. We analyze notes relating to four recent elections in the United States (2024), the United Kingdom (2024), France (2024), and Germany (2025) and demonstrate that they are systematically undermoderated when compared to other notes, posing potential risks to civic discourse and electoral processes.</w:t>
      </w:r>
    </w:p>
    <w:p>
      <w:pPr>
        <w:spacing w:before="120" w:after="120"/>
      </w:pPr>
      <w:r>
        <w:rPr>
          <w:sz w:val="18"/>
        </w:rPr>
        <w:t>——————————————————————————————————————————————————————————————————————</w:t>
      </w:r>
    </w:p>
    <w:p>
      <w:pPr>
        <w:spacing w:before="160" w:after="40" w:line="240" w:lineRule="auto"/>
      </w:pPr>
      <w:r>
        <w:rPr>
          <w:b/>
        </w:rPr>
        <w:t xml:space="preserve">[449] </w:t>
      </w:r>
      <w:hyperlink r:id="rId976">
        <w:r>
          <w:rPr>
            <w:color w:val="1155CC"/>
            <w:u w:val="single"/>
          </w:rPr>
          <w:t>结构和突变见解将 ERMA 定义为 ER Mg2+ ATP 酶和储库看门人</w:t>
        </w:r>
      </w:hyperlink>
    </w:p>
    <w:p>
      <w:pPr>
        <w:spacing w:before="0" w:after="80"/>
      </w:pPr>
      <w:r>
        <w:rPr>
          <w:i/>
          <w:sz w:val="20"/>
        </w:rPr>
        <w:t>EN: Structural and mutational insights define ERMA as the ER Mg2+ ATPase and reservoir gatekeeper</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977">
        <w:r>
          <w:rPr>
            <w:color w:val="1155CC"/>
            <w:u w:val="single"/>
          </w:rPr>
          <w:t>10.1126/sciadv.aef4971</w:t>
        </w:r>
      </w:hyperlink>
    </w:p>
    <w:p>
      <w:pPr>
        <w:spacing w:before="0" w:after="120"/>
      </w:pPr>
      <w:r>
        <w:rPr>
          <w:b/>
        </w:rPr>
        <w:t xml:space="preserve">Notes: </w:t>
      </w:r>
      <w:r>
        <w:t>abstract_source=crossref</w:t>
      </w:r>
    </w:p>
    <w:p>
      <w:pPr>
        <w:spacing w:before="0" w:after="80" w:lineRule="auto" w:line="276"/>
      </w:pPr>
      <w:r>
        <w:rPr>
          <w:b/>
        </w:rPr>
        <w:t xml:space="preserve">摘要（ZH）: </w:t>
      </w:r>
      <w:r>
        <w:t>镁（镁</w:t>
      </w:r>
      <w:r>
        <w:t xml:space="preserve"> </w:t>
      </w:r>
      <w:r>
        <w:t>2+</w:t>
      </w:r>
      <w:r>
        <w:t xml:space="preserve"> </w:t>
      </w:r>
      <w:r>
        <w:t>）是细胞中最丰富的二价阳离子，但介导其细胞器运输的机制仍不清楚。我们鉴定了内质网 (ER) 镁</w:t>
      </w:r>
      <w:r>
        <w:t xml:space="preserve"> </w:t>
      </w:r>
      <w:r>
        <w:t>2+</w:t>
      </w:r>
      <w:r>
        <w:t xml:space="preserve"> </w:t>
      </w:r>
      <w:r>
        <w:t>三磷酸腺苷酶 (ATPase) (ERMA) 作为驱动镁的转运蛋白</w:t>
      </w:r>
      <w:r>
        <w:t xml:space="preserve"> </w:t>
      </w:r>
      <w:r>
        <w:t>2+</w:t>
      </w:r>
      <w:r>
        <w:t xml:space="preserve"> </w:t>
      </w:r>
      <w:r>
        <w:t>摄取到 ER 腔中，将 ER 建立为双离子细胞内储库。针对 ER 的 MagFRET 生物传感器证明 ERMA 介导动态 ER Mg</w:t>
      </w:r>
      <w:r>
        <w:t xml:space="preserve"> </w:t>
      </w:r>
      <w:r>
        <w:t>2+</w:t>
      </w:r>
      <w:r>
        <w:t xml:space="preserve"> </w:t>
      </w:r>
      <w:r>
        <w:t>储存和稳定的腺苷 5'-三磷酸依赖性镁</w:t>
      </w:r>
      <w:r>
        <w:t xml:space="preserve"> </w:t>
      </w:r>
      <w:r>
        <w:t>2+</w:t>
      </w:r>
      <w:r>
        <w:t xml:space="preserve"> </w:t>
      </w:r>
      <w:r>
        <w:t>吸收量达到15至30毫摩尔。人类和小鼠 ERMA 的冷冻电镜结构揭示了 P 型 ATP 酶折叠，具有未缠绕的跨膜 4 (TM4)，可协调 Mg</w:t>
      </w:r>
      <w:r>
        <w:t xml:space="preserve"> </w:t>
      </w:r>
      <w:r>
        <w:t>2+</w:t>
      </w:r>
      <w:r>
        <w:t xml:space="preserve"> </w:t>
      </w:r>
      <w:r>
        <w:t>通过独特的 PILP 主链和 TM5 残基 Q1110，其突变显着损害 ERMA 介导的 Mg</w:t>
      </w:r>
      <w:r>
        <w:t xml:space="preserve"> </w:t>
      </w:r>
      <w:r>
        <w:t>2+</w:t>
      </w:r>
      <w:r>
        <w:t xml:space="preserve"> </w:t>
      </w:r>
      <w:r>
        <w:t>吸收。结构域突变体、ERMA-SERCA 嵌合体和致病性变异的功能重建证实 ERMA 是一种内质网驻留镁</w:t>
      </w:r>
      <w:r>
        <w:t xml:space="preserve"> </w:t>
      </w:r>
      <w:r>
        <w:t>2+</w:t>
      </w:r>
      <w:r>
        <w:t xml:space="preserve"> </w:t>
      </w:r>
      <w:r>
        <w:t>ER Mg 的泵和看门人</w:t>
      </w:r>
      <w:r>
        <w:t xml:space="preserve"> </w:t>
      </w:r>
      <w:r>
        <w:t>2+</w:t>
      </w:r>
      <w:r>
        <w:t xml:space="preserve"> </w:t>
      </w:r>
      <w:r>
        <w:t>离子平衡。</w:t>
      </w:r>
    </w:p>
    <w:p>
      <w:pPr>
        <w:spacing w:before="0" w:after="200" w:lineRule="auto" w:line="276"/>
      </w:pPr>
      <w:r>
        <w:rPr>
          <w:b/>
        </w:rPr>
        <w:t xml:space="preserve">Abstract (EN): </w:t>
      </w:r>
      <w:r>
        <w:t>Magnesium (Mg</w:t>
      </w:r>
      <w:r>
        <w:t xml:space="preserve"> </w:t>
      </w:r>
      <w:r>
        <w:t>2+</w:t>
      </w:r>
      <w:r>
        <w:t xml:space="preserve"> </w:t>
      </w:r>
      <w:r>
        <w:t>) is the most abundant divalent cation in cells, yet the mechanisms mediating its organellar transport remain poorly defined. We identify endoplasmic reticulum (ER) Mg</w:t>
      </w:r>
      <w:r>
        <w:t xml:space="preserve"> </w:t>
      </w:r>
      <w:r>
        <w:t>2+</w:t>
      </w:r>
      <w:r>
        <w:t xml:space="preserve"> </w:t>
      </w:r>
      <w:r>
        <w:t>adenosine triphosphatase (ATPase) (ERMA) as the transporter that drives Mg</w:t>
      </w:r>
      <w:r>
        <w:t xml:space="preserve"> </w:t>
      </w:r>
      <w:r>
        <w:t>2+</w:t>
      </w:r>
      <w:r>
        <w:t xml:space="preserve"> </w:t>
      </w:r>
      <w:r>
        <w:t>uptake into the ER lumen, establishing the ER as a bi-ionic intracellular reservoir. MagFRET biosensors targeted to the ER demonstrate that ERMA mediates dynamic ER Mg</w:t>
      </w:r>
      <w:r>
        <w:t xml:space="preserve"> </w:t>
      </w:r>
      <w:r>
        <w:t>2+</w:t>
      </w:r>
      <w:r>
        <w:t xml:space="preserve"> </w:t>
      </w:r>
      <w:r>
        <w:t>storage and robust adenosine 5′-triphosphate–dependent Mg</w:t>
      </w:r>
      <w:r>
        <w:t xml:space="preserve"> </w:t>
      </w:r>
      <w:r>
        <w:t>2+</w:t>
      </w:r>
      <w:r>
        <w:t xml:space="preserve"> </w:t>
      </w:r>
      <w:r>
        <w:t>uptake reaching 15 to 30 millimolar. Cryo–electron microscopy structures of human and mouse ERMA reveal a P-type ATPase fold with an unwound transmembrane 4 (TM4) that coordinates Mg</w:t>
      </w:r>
      <w:r>
        <w:t xml:space="preserve"> </w:t>
      </w:r>
      <w:r>
        <w:t>2+</w:t>
      </w:r>
      <w:r>
        <w:t xml:space="preserve"> </w:t>
      </w:r>
      <w:r>
        <w:t>via the unique PILP backbone and the TM5 residue Q1110, whose mutation markedly impairs ERMA-mediated Mg</w:t>
      </w:r>
      <w:r>
        <w:t xml:space="preserve"> </w:t>
      </w:r>
      <w:r>
        <w:t>2+</w:t>
      </w:r>
      <w:r>
        <w:t xml:space="preserve"> </w:t>
      </w:r>
      <w:r>
        <w:t>uptake. Functional reconstitution of domain mutants, ERMA-SERCA chimeras, and pathogenic variants confirm ERMA as an ER-resident Mg</w:t>
      </w:r>
      <w:r>
        <w:t xml:space="preserve"> </w:t>
      </w:r>
      <w:r>
        <w:t>2+</w:t>
      </w:r>
      <w:r>
        <w:t xml:space="preserve"> </w:t>
      </w:r>
      <w:r>
        <w:t>pump and gatekeeper of ER Mg</w:t>
      </w:r>
      <w:r>
        <w:t xml:space="preserve"> </w:t>
      </w:r>
      <w:r>
        <w:t>2+</w:t>
      </w:r>
      <w:r>
        <w:t xml:space="preserve"> </w:t>
      </w:r>
      <w:r>
        <w:t>ionic equilibrium.</w:t>
      </w:r>
    </w:p>
    <w:p>
      <w:pPr>
        <w:spacing w:before="120" w:after="120"/>
      </w:pPr>
      <w:r>
        <w:rPr>
          <w:sz w:val="18"/>
        </w:rPr>
        <w:t>——————————————————————————————————————————————————————————————————————</w:t>
      </w:r>
    </w:p>
    <w:p>
      <w:pPr>
        <w:spacing w:before="160" w:after="40" w:line="240" w:lineRule="auto"/>
      </w:pPr>
      <w:r>
        <w:rPr>
          <w:b/>
        </w:rPr>
        <w:t xml:space="preserve">[450] </w:t>
      </w:r>
      <w:hyperlink r:id="rId978">
        <w:r>
          <w:rPr>
            <w:color w:val="1155CC"/>
            <w:u w:val="single"/>
          </w:rPr>
          <w:t>珊瑚及其共生体的辅助进化增强了新成员的耐热性，但结果复杂</w:t>
        </w:r>
      </w:hyperlink>
    </w:p>
    <w:p>
      <w:pPr>
        <w:spacing w:before="0" w:after="80"/>
      </w:pPr>
      <w:r>
        <w:rPr>
          <w:i/>
          <w:sz w:val="20"/>
        </w:rPr>
        <w:t>EN: Assisted evolution of corals and their symbionts enhances recruit heat tolerance but with complex outcomes</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979">
        <w:r>
          <w:rPr>
            <w:color w:val="1155CC"/>
            <w:u w:val="single"/>
          </w:rPr>
          <w:t>10.1126/sciadv.aeb5575</w:t>
        </w:r>
      </w:hyperlink>
    </w:p>
    <w:p>
      <w:pPr>
        <w:spacing w:before="0" w:after="120"/>
      </w:pPr>
      <w:r>
        <w:rPr>
          <w:b/>
        </w:rPr>
        <w:t xml:space="preserve">Notes: </w:t>
      </w:r>
      <w:r>
        <w:t>abstract_source=crossref</w:t>
      </w:r>
    </w:p>
    <w:p>
      <w:pPr>
        <w:spacing w:before="0" w:after="80" w:lineRule="auto" w:line="276"/>
      </w:pPr>
      <w:r>
        <w:rPr>
          <w:b/>
        </w:rPr>
        <w:t xml:space="preserve">摘要（ZH）: </w:t>
      </w:r>
      <w:r>
        <w:t>耐热珊瑚种群可以为种群补充具有耐受性的等位基因，以应对不断上升的海面温度和海洋热浪。我们独立和串联地测试了珊瑚选择性育种和共生科实验进化，作为产生耐热种群的干预措施。使用快速热应激下的共生科光化学效率对来自两个地点的亲鱼进行排名，并杂交以从耐热群体（前 25 个百分位）和对照后代中产生后代。后代接种热进化或野生型共生体，并暴露在 28°C（环境温度）或 32°C（高温）下 2 个月。使用快速分析的选择性育种增强了戴维斯珊瑚礁在 32°C 下的存活和生长，但没有增强摩尔礁新珊瑚的存活和生长，这表明由于遗传、母体效应和/或环境适应，这种方法不能普遍产生耐热珊瑚。热演化的共生体在 32°C 下增强了存活率和漂白恢复能力，但在 28°C 下生长却降低了。组合干预措施会产生附加效益，但不会增强效果，或者导致一种干预措施削弱了另一种干预措施的影响。这些结果证明了辅助进化的潜力，同时警告不要对其结果进行概括。</w:t>
      </w:r>
    </w:p>
    <w:p>
      <w:pPr>
        <w:spacing w:before="0" w:after="200" w:lineRule="auto" w:line="276"/>
      </w:pPr>
      <w:r>
        <w:rPr>
          <w:b/>
        </w:rPr>
        <w:t xml:space="preserve">Abstract (EN): </w:t>
      </w:r>
      <w:r>
        <w:t>Heat-tolerant coral stock could supplement populations with tolerance-conferring alleles to combat rising sea surface temperatures and marine heat waves. We tested coral selective breeding and Symbiodiniaceae experimental evolution independently and in tandem as interventions for generating heat-tolerant stock. Broodstock from two sites were ranked using Symbiodiniaceae photochemical efficiency under rapid heat stress and crossed to produce offspring from heat-tolerant colonies (top 25th percentile) and control offspring. Offspring were inoculated with heat-evolved or wild-type symbionts and exposed to 28°C (ambient) or 32°C (elevated) for 2 months. Selective breeding using rapid assays enhanced Davies but not Moore Reef recruit survival and growth at 32°C, suggesting that this method does not universally generate heat-tolerant coral due to genetics, maternal effects, and/or acclimation. Heat-evolved symbionts enhanced survival and bleaching resilience at 32°C but reduced growth at 28°C. Combining interventions yielded additive benefits, no enhancement, or resulted in one intervention diminishing the other’s impact. These results demonstrate assisted evolution’s potential while cautioning against generalizing its outcomes.</w:t>
      </w:r>
    </w:p>
    <w:p>
      <w:pPr>
        <w:spacing w:before="120" w:after="120"/>
      </w:pPr>
      <w:r>
        <w:rPr>
          <w:sz w:val="18"/>
        </w:rPr>
        <w:t>——————————————————————————————————————————————————————————————————————</w:t>
      </w:r>
    </w:p>
    <w:p>
      <w:pPr>
        <w:spacing w:before="160" w:after="40" w:line="240" w:lineRule="auto"/>
      </w:pPr>
      <w:r>
        <w:rPr>
          <w:b/>
        </w:rPr>
        <w:t xml:space="preserve">[451] </w:t>
      </w:r>
      <w:hyperlink r:id="rId980">
        <w:r>
          <w:rPr>
            <w:color w:val="1155CC"/>
            <w:u w:val="single"/>
          </w:rPr>
          <w:t>lncRNA的快速进化为祖先癌症通路引入了新的调控输入</w:t>
        </w:r>
      </w:hyperlink>
    </w:p>
    <w:p>
      <w:pPr>
        <w:spacing w:before="0" w:after="80"/>
      </w:pPr>
      <w:r>
        <w:rPr>
          <w:i/>
          <w:sz w:val="20"/>
        </w:rPr>
        <w:t>EN: Rapid evolution of lncRNAs introduces novel regulatory inputs into ancestral cancer pathways</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981">
        <w:r>
          <w:rPr>
            <w:color w:val="1155CC"/>
            <w:u w:val="single"/>
          </w:rPr>
          <w:t>10.1126/sciadv.aeb5510</w:t>
        </w:r>
      </w:hyperlink>
    </w:p>
    <w:p>
      <w:pPr>
        <w:spacing w:before="0" w:after="120"/>
      </w:pPr>
      <w:r>
        <w:rPr>
          <w:b/>
        </w:rPr>
        <w:t xml:space="preserve">Notes: </w:t>
      </w:r>
      <w:r>
        <w:t>abstract_source=crossref</w:t>
      </w:r>
    </w:p>
    <w:p>
      <w:pPr>
        <w:spacing w:before="0" w:after="80" w:lineRule="auto" w:line="276"/>
      </w:pPr>
      <w:r>
        <w:rPr>
          <w:b/>
        </w:rPr>
        <w:t xml:space="preserve">摘要（ZH）: </w:t>
      </w:r>
      <w:r>
        <w:t>大部分人类长非编码 RNA (lncRNA) 具有谱系特异性，并且与癌症的关系越来越密切，但其致癌相关性的进化起源仍不清楚。目前尚不清楚这种作用是通过适应性精炼产生的，还是作为弱选择下转录组复杂性的偶然副产品。在这里，我们表明，新进化的癌症相关lncRNA（主要源自灵长类动物）是通过转录活性增加引发的逐步过程产生的。一旦表达超过阈值，这些 lncRNA 就会进行序列扩展，其中 73.3% 会整合外部或局部基因组片段，从而促进整合到深度保守的癌症相关通路中。我们通过以下方式验证该模型</w:t>
      </w:r>
      <w:r>
        <w:t xml:space="preserve"> </w:t>
      </w:r>
      <w:r>
        <w:t>米尔497HG</w:t>
      </w:r>
      <w:r>
        <w:t xml:space="preserve"> </w:t>
      </w:r>
      <w:r>
        <w:t>，它起源于人类猕猴祖先的 microRNA 附近，随后扩展并整合到人类古老的 AMPK（腺苷一磷酸激活蛋白激酶）/铁死亡网络中，影响肿瘤发生。总的来说，我们的研究结果支持一个模型，在该模型中，弱选择允许中性转录创新持续存在并逐渐渗透到古老的调控架构中，这与建设性中性进化一致。</w:t>
      </w:r>
    </w:p>
    <w:p>
      <w:pPr>
        <w:spacing w:before="0" w:after="200" w:lineRule="auto" w:line="276"/>
      </w:pPr>
      <w:r>
        <w:rPr>
          <w:b/>
        </w:rPr>
        <w:t xml:space="preserve">Abstract (EN): </w:t>
      </w:r>
      <w:r>
        <w:t>A substantial fraction of human long noncoding RNAs (lncRNAs) are lineage specific and increasingly implicated in cancer, yet the evolutionary origins of their oncogenic relevance remain unclear. It is unknown whether such roles arise through adaptive refinement or as incidental by-products of transcriptomic complexity under weak selection. Here, we show that newly evolved cancer-associated lncRNAs, predominantly of primate origin, arise through a stepwise process initiated by increased transcriptional activity. Once expression surpasses a threshold, these lncRNAs undergo sequence expansion, with 73.3% incorporating external or local genomic fragments, facilitating integration into deeply conserved cancer-related pathways. We validate this model through</w:t>
      </w:r>
      <w:r>
        <w:t xml:space="preserve"> </w:t>
      </w:r>
      <w:r>
        <w:t>MIR497HG</w:t>
      </w:r>
      <w:r>
        <w:t xml:space="preserve"> </w:t>
      </w:r>
      <w:r>
        <w:t>, which originated near a microRNA in the human-macaque ancestor, and subsequently expanded and integrated into the ancient AMPK (adenosine monophosphate–activated protein kinase)/ferroptosis network in humans, influencing oncogenesis. Collectively, our findings support a model in which weak selection permits neutral transcriptional innovations to persist and gradually infiltrate ancient regulatory architectures, consistent with constructive neutral evolution.</w:t>
      </w:r>
    </w:p>
    <w:p>
      <w:pPr>
        <w:spacing w:before="120" w:after="120"/>
      </w:pPr>
      <w:r>
        <w:rPr>
          <w:sz w:val="18"/>
        </w:rPr>
        <w:t>——————————————————————————————————————————————————————————————————————</w:t>
      </w:r>
    </w:p>
    <w:p>
      <w:pPr>
        <w:spacing w:before="160" w:after="40" w:line="240" w:lineRule="auto"/>
      </w:pPr>
      <w:r>
        <w:rPr>
          <w:b/>
        </w:rPr>
        <w:t xml:space="preserve">[452] </w:t>
      </w:r>
      <w:hyperlink r:id="rId982">
        <w:r>
          <w:rPr>
            <w:color w:val="1155CC"/>
            <w:u w:val="single"/>
          </w:rPr>
          <w:t>分层微拓扑和阶段​​特异性传递功能可恢复跨物种的超长神经连续性</w:t>
        </w:r>
      </w:hyperlink>
    </w:p>
    <w:p>
      <w:pPr>
        <w:spacing w:before="0" w:after="80"/>
      </w:pPr>
      <w:r>
        <w:rPr>
          <w:i/>
          <w:sz w:val="20"/>
        </w:rPr>
        <w:t>EN: Hierarchical microtopology and phase-specific delivery functionally restore ultralong nerve continuity across species</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983">
        <w:r>
          <w:rPr>
            <w:color w:val="1155CC"/>
            <w:u w:val="single"/>
          </w:rPr>
          <w:t>10.1126/sciadv.aeb7931</w:t>
        </w:r>
      </w:hyperlink>
    </w:p>
    <w:p>
      <w:pPr>
        <w:spacing w:before="0" w:after="120"/>
      </w:pPr>
      <w:r>
        <w:rPr>
          <w:b/>
        </w:rPr>
        <w:t xml:space="preserve">Notes: </w:t>
      </w:r>
      <w:r>
        <w:t>abstract_source=crossref</w:t>
      </w:r>
    </w:p>
    <w:p>
      <w:pPr>
        <w:spacing w:before="0" w:after="80" w:lineRule="auto" w:line="276"/>
      </w:pPr>
      <w:r>
        <w:rPr>
          <w:b/>
        </w:rPr>
        <w:t xml:space="preserve">摘要（ZH）: </w:t>
      </w:r>
      <w:r>
        <w:t>修复超长周围神经缺陷仍然是一个重大的临床挑战，这主要是因为再生平台需要能够将空间引导与时间分辨的生化线索相结合。为了解决这个问题，我们开发了一种临床可翻译的、完全合成的神经导管，通过分层微拓扑工程和阶段特异性分子传递与天然再生原理保持一致。该设计通过将结构线索与修复级联同步来创建一个再生微环境。受神经解剖学启发的核心模仿神经内膜和神经束膜，为轴突排列和束颤提供广泛的细胞尺度接触指导。双层护套确保机械完整性、代谢渗透性和选择性排除纤维化组织。该导管专为适应神经修复的不同阶段而设计，能够顺序释放亚精胺和抗坏血酸。亚精胺可以解决早期炎症，启动抗坏血酸介导的碎片清除、轴突伸长和髓鞘再生的生态位。在大鼠（2 厘米）和小猎犬（5 厘米）的临界尺寸坐骨神经缺陷模型中，导管支持与自体移植相当的结构和功能再生，同时在运动协调和自切抑制方面产生优异的结果。该策略提供了一种可扩展且机械化的解决方案，用于修复超长神经损伤，具有很高的转化前景。</w:t>
      </w:r>
    </w:p>
    <w:p>
      <w:pPr>
        <w:spacing w:before="0" w:after="200" w:lineRule="auto" w:line="276"/>
      </w:pPr>
      <w:r>
        <w:rPr>
          <w:b/>
        </w:rPr>
        <w:t xml:space="preserve">Abstract (EN): </w:t>
      </w:r>
      <w:r>
        <w:t>Repairing ultralong peripheral nerve defects remains a major clinical challenge, primarily due to the requirement for regenerative platforms to be capable of integrating spatial guidance with temporally resolved biochemical cues. To address this, we developed a clinically translatable, fully synthetic nerve conduit that aligns with native regenerative principles through hierarchical microtopological engineering and phase-specific molecular delivery. This design creates a proregenerative microenvironment by synchronizing structural cues with repair cascades. The neuroanatomically inspired core mimics the endoneurium and perineurium, providing extensive cell-scale contact guidance for axonal alignment and fasciculation. A dual-layered sheath ensures mechanical integrity, metabolic permeability, and selective exclusion of fibrotic tissue. Tailored to align with distinct phases of nerve repair, the conduit enables sequential release of spermidine and ascorbic acid. Spermidine resolves early inflammation, priming the niche for ascorbic acid–mediated debris clearance, axonal elongation, and remyelination. In both rat (2 centimeters) and beagle (5 centimeters) models of critical-sized sciatic nerve defects, the conduit supports structural and functional regeneration comparable to autografts while yielding superior outcomes in motor coordination and suppression of autotomy. This strategy offers a scalable and mechanistically informed solution for repairing ultralong nerve injuries with high translational promise.</w:t>
      </w:r>
    </w:p>
    <w:p>
      <w:pPr>
        <w:spacing w:before="120" w:after="120"/>
      </w:pPr>
      <w:r>
        <w:rPr>
          <w:sz w:val="18"/>
        </w:rPr>
        <w:t>——————————————————————————————————————————————————————————————————————</w:t>
      </w:r>
    </w:p>
    <w:p>
      <w:pPr>
        <w:spacing w:before="160" w:after="40" w:line="240" w:lineRule="auto"/>
      </w:pPr>
      <w:r>
        <w:rPr>
          <w:b/>
        </w:rPr>
        <w:t xml:space="preserve">[453] </w:t>
      </w:r>
      <w:hyperlink r:id="rId984">
        <w:r>
          <w:rPr>
            <w:color w:val="1155CC"/>
            <w:u w:val="single"/>
          </w:rPr>
          <w:t>基于四磷酸化酞菁的自组装单层稳定钙钛矿光伏电池</w:t>
        </w:r>
      </w:hyperlink>
    </w:p>
    <w:p>
      <w:pPr>
        <w:spacing w:before="0" w:after="80"/>
      </w:pPr>
      <w:r>
        <w:rPr>
          <w:i/>
          <w:sz w:val="20"/>
        </w:rPr>
        <w:t>EN: Tetraphosphorylated phthalocyanine–based self-assembled monolayer stabilizes perovskite photovoltaics</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985">
        <w:r>
          <w:rPr>
            <w:color w:val="1155CC"/>
            <w:u w:val="single"/>
          </w:rPr>
          <w:t>10.1126/sciadv.aee4175</w:t>
        </w:r>
      </w:hyperlink>
    </w:p>
    <w:p>
      <w:pPr>
        <w:spacing w:before="0" w:after="120"/>
      </w:pPr>
      <w:r>
        <w:rPr>
          <w:b/>
        </w:rPr>
        <w:t xml:space="preserve">Notes: </w:t>
      </w:r>
      <w:r>
        <w:t>abstract_source=crossref</w:t>
      </w:r>
    </w:p>
    <w:p>
      <w:pPr>
        <w:spacing w:before="0" w:after="80" w:lineRule="auto" w:line="276"/>
      </w:pPr>
      <w:r>
        <w:rPr>
          <w:b/>
        </w:rPr>
        <w:t xml:space="preserve">摘要（ZH）: </w:t>
      </w:r>
      <w:r>
        <w:t>自组装单层（SAM）推动了钙钛矿太阳能电池（PSC）功率转换效率（PCE）的快速提高。然而，这些 PSC 在实际条件下的运行稳定性仍然面临挑战。我们开发了一种基于酞菁的 SAM，它具有结构坚固的框架和化学稳定的键，可增强光稳定性。四磷酸化进一步使酞菁牢固锁定在界面处，从而提高热稳定性、电荷提取和组装均匀性。采用这种方法，在20.3平方厘米孔径面积上的钙钛矿太阳能组件的认证效率达到了23.1%（稳定为22.9%），并且按照ISOS-O-1协议进行了户外稳定性分析，在整个61天的户外老化测试中没有表现出性能下降，证明了在实际条件下可靠的耐用性。</w:t>
      </w:r>
    </w:p>
    <w:p>
      <w:pPr>
        <w:spacing w:before="0" w:after="200" w:lineRule="auto" w:line="276"/>
      </w:pPr>
      <w:r>
        <w:rPr>
          <w:b/>
        </w:rPr>
        <w:t xml:space="preserve">Abstract (EN): </w:t>
      </w:r>
      <w:r>
        <w:t>The self-assembled monolayer (SAM) has driven the rapid increase in the power conversion efficiency (PCE) of perovskite solar cells (PSCs). However, the operation stability of these PSCs under real conditions continues to be challenging. We developed an SAM based on phthalocyanine, which has a structurally robust framework with chemically stable bonds that enhance photostability. Tetraphosphorylation further enables the firmly locked phthalocyanine at the interface, which improves thermal stability, charge extraction, and assembly uniformity. Implementing this approach, a certified efficiency of 23.1% (stabilized 22.9%) for a perovskite solar module over a 20.3–square centimeter aperture area was achieved and the outdoor stability analysis was conducted following the ISOS-O-1 protocol, exhibiting no performance degradation throughout the entire outdoor aging test for 61 days, demonstrating reliable durability under real conditions.</w:t>
      </w:r>
    </w:p>
    <w:p>
      <w:pPr>
        <w:spacing w:before="120" w:after="120"/>
      </w:pPr>
      <w:r>
        <w:rPr>
          <w:sz w:val="18"/>
        </w:rPr>
        <w:t>——————————————————————————————————————————————————————————————————————</w:t>
      </w:r>
    </w:p>
    <w:p>
      <w:pPr>
        <w:spacing w:before="160" w:after="40" w:line="240" w:lineRule="auto"/>
      </w:pPr>
      <w:r>
        <w:rPr>
          <w:b/>
        </w:rPr>
        <w:t xml:space="preserve">[454] </w:t>
      </w:r>
      <w:hyperlink r:id="rId986">
        <w:r>
          <w:rPr>
            <w:color w:val="1155CC"/>
            <w:u w:val="single"/>
          </w:rPr>
          <w:t>可移动脂质产生的机械运动打破了内体屏障，增强了 mRNA 治疗效果</w:t>
        </w:r>
      </w:hyperlink>
    </w:p>
    <w:p>
      <w:pPr>
        <w:spacing w:before="0" w:after="80"/>
      </w:pPr>
      <w:r>
        <w:rPr>
          <w:i/>
          <w:sz w:val="20"/>
        </w:rPr>
        <w:t>EN: Mechanical movements generated by movable lipids break endosomal barriers for enhanced mRNA therapeutics</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987">
        <w:r>
          <w:rPr>
            <w:color w:val="1155CC"/>
            <w:u w:val="single"/>
          </w:rPr>
          <w:t>10.1126/sciadv.aef1695</w:t>
        </w:r>
      </w:hyperlink>
    </w:p>
    <w:p>
      <w:pPr>
        <w:spacing w:before="0" w:after="120"/>
      </w:pPr>
      <w:r>
        <w:rPr>
          <w:b/>
        </w:rPr>
        <w:t xml:space="preserve">Notes: </w:t>
      </w:r>
      <w:r>
        <w:t>abstract_source=crossref</w:t>
      </w:r>
    </w:p>
    <w:p>
      <w:pPr>
        <w:spacing w:before="0" w:after="80" w:lineRule="auto" w:line="276"/>
      </w:pPr>
      <w:r>
        <w:rPr>
          <w:b/>
        </w:rPr>
        <w:t xml:space="preserve">摘要（ZH）: </w:t>
      </w:r>
      <w:r>
        <w:t>脂质纳米颗粒 (LNP) 由可电离脂质、磷脂、胆固醇和聚乙二醇化脂质组成，已成功用于信使 RNA (mRNA) 疫苗的开发。尽管取得了实质性进展，细胞内化后的内体截留仍然是限制疫苗功效的关键瓶颈。在努力优化血脂的同时</w:t>
      </w:r>
      <w:r>
        <w:t xml:space="preserve"> </w:t>
      </w:r>
      <w:r>
        <w:t>K</w:t>
      </w:r>
      <w:r>
        <w:t xml:space="preserve"> </w:t>
      </w:r>
      <w:r>
        <w:t>一个</w:t>
      </w:r>
      <w:r>
        <w:t xml:space="preserve"> </w:t>
      </w:r>
      <w:r>
        <w:t>、空间构象和 LNP 组成已经确定，对这些参数的进一步微调显示出在提高有效性方面的收益递减。在这里，我们提出了一个先前未报告的参数，即可编程机械运动。 LNP 有望通过在特定输入下进行机械运动来破坏内体膜的稳定性，从而实现强大的内体逃逸。具体来说，我们展示了一种发光二极管（LED）驱动的可移动脂质（即苯基偶氮噻唑脂质）能够执行机械运动。我们将可移动脂质整合到 Pfizer-BioNTech 的 BNT162b2 配方中。在 LED 照射下，LNP 内的可移动脂质充当分子转子，从而促进内体膜不稳定。该策略在增强 mRNA-LNP 癌症疫苗功效方面取得了令人兴奋的临床前结果。</w:t>
      </w:r>
    </w:p>
    <w:p>
      <w:pPr>
        <w:spacing w:before="0" w:after="200" w:lineRule="auto" w:line="276"/>
      </w:pPr>
      <w:r>
        <w:rPr>
          <w:b/>
        </w:rPr>
        <w:t xml:space="preserve">Abstract (EN): </w:t>
      </w:r>
      <w:r>
        <w:t>Lipid nanoparticles (LNPs), composed of ionizable lipids, phospholipids, cholesterol, and PEGylated lipids, have been successfully used in messenger RNA (mRNA) vaccine development. Despite substantial progress, endosomal entrapment after cellular internalization is still a critical bottleneck limiting the vaccine efficacy. While the efforts to optimize lipid p</w:t>
      </w:r>
      <w:r>
        <w:t xml:space="preserve"> </w:t>
      </w:r>
      <w:r>
        <w:t>K</w:t>
      </w:r>
      <w:r>
        <w:t xml:space="preserve"> </w:t>
      </w:r>
      <w:r>
        <w:t>a</w:t>
      </w:r>
      <w:r>
        <w:t xml:space="preserve"> </w:t>
      </w:r>
      <w:r>
        <w:t>, spatial conformation, and LNP composition have been made, further fine-tuning of these parameters shows diminishing returns in improving effectiveness. Here, we propose a previously unreported parameter, programmable mechanical movement. LNPs are expected to destabilize endosomal membranes through conducting mechanical movements under specific inputs, achieving robust endosomal escape. Specifically, we demonstrate a light-emitting diode (LED)–driven movable lipid (i.e., phenylazothiazole lipid) capable of performing mechanical movements. We integrate the movable lipids into the BNT162b2 formulation from Pfizer-BioNTech. Upon LED irradiation, the movable lipids within LNPs function as molecular rotors, thereby facilitating endosomal membrane destabilization. This strategy has achieved exciting preclinical results in enhancing mRNA-LNP cancer vaccine efficacy.</w:t>
      </w:r>
    </w:p>
    <w:p>
      <w:pPr>
        <w:spacing w:before="120" w:after="120"/>
      </w:pPr>
      <w:r>
        <w:rPr>
          <w:sz w:val="18"/>
        </w:rPr>
        <w:t>——————————————————————————————————————————————————————————————————————</w:t>
      </w:r>
    </w:p>
    <w:p>
      <w:pPr>
        <w:spacing w:before="160" w:after="40" w:line="240" w:lineRule="auto"/>
      </w:pPr>
      <w:r>
        <w:rPr>
          <w:b/>
        </w:rPr>
        <w:t xml:space="preserve">[455] </w:t>
      </w:r>
      <w:hyperlink r:id="rId988">
        <w:r>
          <w:rPr>
            <w:color w:val="1155CC"/>
            <w:u w:val="single"/>
          </w:rPr>
          <w:t>腿部肌肉如何知道自己是谁</w:t>
        </w:r>
      </w:hyperlink>
    </w:p>
    <w:p>
      <w:pPr>
        <w:spacing w:before="0" w:after="80"/>
      </w:pPr>
      <w:r>
        <w:rPr>
          <w:i/>
          <w:sz w:val="20"/>
        </w:rPr>
        <w:t>EN: How leg muscles get to know who they are</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989">
        <w:r>
          <w:rPr>
            <w:color w:val="1155CC"/>
            <w:u w:val="single"/>
          </w:rPr>
          <w:t>10.1126/sciadv.aej2301</w:t>
        </w:r>
      </w:hyperlink>
    </w:p>
    <w:p>
      <w:pPr>
        <w:spacing w:before="0" w:after="120"/>
      </w:pPr>
      <w:r>
        <w:rPr>
          <w:b/>
        </w:rPr>
        <w:t xml:space="preserve">Notes: </w:t>
      </w:r>
      <w:r>
        <w:t>abstract_source=crossref</w:t>
      </w:r>
    </w:p>
    <w:p>
      <w:pPr>
        <w:spacing w:before="0" w:after="80" w:lineRule="auto" w:line="276"/>
      </w:pPr>
      <w:r>
        <w:rPr>
          <w:b/>
        </w:rPr>
        <w:t xml:space="preserve">摘要（ZH）: </w:t>
      </w:r>
      <w:r>
        <w:t>腿部使用不同的肌肉来执行运动。一项对昆虫腿部肌肉发育的研究表明，环境在肌肉形成之前指导细胞多样性。</w:t>
      </w:r>
    </w:p>
    <w:p>
      <w:pPr>
        <w:spacing w:before="0" w:after="200" w:lineRule="auto" w:line="276"/>
      </w:pPr>
      <w:r>
        <w:rPr>
          <w:b/>
        </w:rPr>
        <w:t xml:space="preserve">Abstract (EN): </w:t>
      </w:r>
      <w:r>
        <w:t>Legs use diverse muscles to perform movements. A study on insect leg muscle development shows that the environment instructs cellular diversity before muscles form.</w:t>
      </w:r>
    </w:p>
    <w:p>
      <w:pPr>
        <w:spacing w:before="120" w:after="120"/>
      </w:pPr>
      <w:r>
        <w:rPr>
          <w:sz w:val="18"/>
        </w:rPr>
        <w:t>——————————————————————————————————————————————————————————————————————</w:t>
      </w:r>
    </w:p>
    <w:p>
      <w:pPr>
        <w:spacing w:before="160" w:after="40" w:line="240" w:lineRule="auto"/>
      </w:pPr>
      <w:r>
        <w:rPr>
          <w:b/>
        </w:rPr>
        <w:t xml:space="preserve">[456] </w:t>
      </w:r>
      <w:hyperlink r:id="rId990">
        <w:r>
          <w:rPr>
            <w:color w:val="1155CC"/>
            <w:u w:val="single"/>
          </w:rPr>
          <w:t>迈向自主机器人辅助和微型机器人手术</w:t>
        </w:r>
      </w:hyperlink>
    </w:p>
    <w:p>
      <w:pPr>
        <w:spacing w:before="0" w:after="80"/>
      </w:pPr>
      <w:r>
        <w:rPr>
          <w:i/>
          <w:sz w:val="20"/>
        </w:rPr>
        <w:t>EN: Toward autonomous robotic-assisted and microrobotic surgery</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991">
        <w:r>
          <w:rPr>
            <w:color w:val="1155CC"/>
            <w:u w:val="single"/>
          </w:rPr>
          <w:t>10.1126/sciadv.aec4197</w:t>
        </w:r>
      </w:hyperlink>
    </w:p>
    <w:p>
      <w:pPr>
        <w:spacing w:before="0" w:after="120"/>
      </w:pPr>
      <w:r>
        <w:rPr>
          <w:b/>
        </w:rPr>
        <w:t xml:space="preserve">Notes: </w:t>
      </w:r>
      <w:r>
        <w:t>abstract_source=crossref</w:t>
      </w:r>
    </w:p>
    <w:p>
      <w:pPr>
        <w:spacing w:before="0" w:after="80" w:lineRule="auto" w:line="276"/>
      </w:pPr>
      <w:r>
        <w:rPr>
          <w:b/>
        </w:rPr>
        <w:t xml:space="preserve">摘要（ZH）: </w:t>
      </w:r>
      <w:r>
        <w:t>自主机器人辅助手术（RAS）已成为生物医学技术中一个有前途的目标，并通过微型机器人辅助手术（μ-RAS）的小型化得到进一步增强。这种规模的缩小有望实现微创、部分或完全自动化的外科手术，有可能减少患者的康复时间、降低医疗成本，并实现以前无法实现的手术选择。这一观点强调了 RAS 的具体进展，这些进展可能映射到微观尺度 (μ-RAS)，涵盖五个外科领域：血管内、腔内、腹腔镜、眼科和骨科。我们研究手术机器人的临床需求和技术进步，并确定这些手术领域取得进展所需的关键创新。我们的贡献是独特的，结合了外科专家和生物工程创新者的观点，概述了自主 RAS 和 μ-RAS 的发展和最终整合到主流外科实践中的路线图。</w:t>
      </w:r>
    </w:p>
    <w:p>
      <w:pPr>
        <w:spacing w:before="0" w:after="200" w:lineRule="auto" w:line="276"/>
      </w:pPr>
      <w:r>
        <w:rPr>
          <w:b/>
        </w:rPr>
        <w:t xml:space="preserve">Abstract (EN): </w:t>
      </w:r>
      <w:r>
        <w:t>Autonomous robotic-assisted surgery (RAS) has emerged as a promising objective in biomedical technology, further enhanced by miniaturization toward microrobotic-assisted surgery (μ-RAS). This reduction in scale promises minimally invasive, partially or fully automated surgical procedures, with the potential to reduce patient recovery times, lower medical costs, and enable previously unavailable procedural options. This perspective highlights the specific advances in RAS that potentially map to the microscale (μ-RAS), organized across five surgical domains: endovascular, endoluminal, laparoscopic, ophthalmic, and orthopedic. We examine both clinical demands and technological advances in surgical robotics and identify the key innovations required for progress across these surgical fields. Our contribution is distinct in combining the perspectives of both surgical experts and bioengineering innovators, outlining a roadmap for the advancement and eventual integration of autonomous RAS and μ-RAS into mainstream surgical practice.</w:t>
      </w:r>
    </w:p>
    <w:p>
      <w:pPr>
        <w:spacing w:before="120" w:after="120"/>
      </w:pPr>
      <w:r>
        <w:rPr>
          <w:sz w:val="18"/>
        </w:rPr>
        <w:t>——————————————————————————————————————————————————————————————————————</w:t>
      </w:r>
    </w:p>
    <w:p>
      <w:pPr>
        <w:spacing w:before="160" w:after="40" w:line="240" w:lineRule="auto"/>
      </w:pPr>
      <w:r>
        <w:rPr>
          <w:b/>
        </w:rPr>
        <w:t xml:space="preserve">[457] </w:t>
      </w:r>
      <w:hyperlink r:id="rId992">
        <w:r>
          <w:rPr>
            <w:color w:val="1155CC"/>
            <w:u w:val="single"/>
          </w:rPr>
          <w:t>通过界面锁定双分子接触解锁 27.3% 钙钛矿光伏</w:t>
        </w:r>
      </w:hyperlink>
    </w:p>
    <w:p>
      <w:pPr>
        <w:spacing w:before="0" w:after="80"/>
      </w:pPr>
      <w:r>
        <w:rPr>
          <w:i/>
          <w:sz w:val="20"/>
        </w:rPr>
        <w:t>EN: Unlocking 27.3% perovskite photovoltaics by interface-locked dual-molecule contact</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993">
        <w:r>
          <w:rPr>
            <w:color w:val="1155CC"/>
            <w:u w:val="single"/>
          </w:rPr>
          <w:t>10.1126/sciadv.aeg1456</w:t>
        </w:r>
      </w:hyperlink>
    </w:p>
    <w:p>
      <w:pPr>
        <w:spacing w:before="0" w:after="120"/>
      </w:pPr>
      <w:r>
        <w:rPr>
          <w:b/>
        </w:rPr>
        <w:t xml:space="preserve">Notes: </w:t>
      </w:r>
      <w:r>
        <w:t>abstract_source=crossref</w:t>
      </w:r>
    </w:p>
    <w:p>
      <w:pPr>
        <w:spacing w:before="0" w:after="80" w:lineRule="auto" w:line="276"/>
      </w:pPr>
      <w:r>
        <w:rPr>
          <w:b/>
        </w:rPr>
        <w:t xml:space="preserve">摘要（ZH）: </w:t>
      </w:r>
      <w:r>
        <w:t>倒置钙钛矿太阳能电池（PSC）仍然受到镍离子（Ni</w:t>
      </w:r>
      <w:r>
        <w:t xml:space="preserve"> </w:t>
      </w:r>
      <w:r>
        <w:t>3+</w:t>
      </w:r>
      <w:r>
        <w:t xml:space="preserve"> </w:t>
      </w:r>
      <w:r>
        <w:t>）——触发界面氧化还原化学和埋藏界面缺陷景观，导致非辐射损失并破坏运行稳定性。我们通过共组装[4-(3,6-二甲基-9</w:t>
      </w:r>
      <w:r>
        <w:t xml:space="preserve"> </w:t>
      </w:r>
      <w:r>
        <w:t>H</w:t>
      </w:r>
      <w:r>
        <w:t xml:space="preserve"> </w:t>
      </w:r>
      <w:r>
        <w:t>-咔唑-9-基)丁基]膦酸 (Me-4PACz) 与 9</w:t>
      </w:r>
      <w:r>
        <w:t xml:space="preserve"> </w:t>
      </w:r>
      <w:r>
        <w:t>H</w:t>
      </w:r>
      <w:r>
        <w:t xml:space="preserve"> </w:t>
      </w:r>
      <w:r>
        <w:t>-咔唑-2-基三氟甲磺酸盐（CzOTf），其中π-π稳定的共面堆积使分子取向硬化并增强界面电子耦合以实现有效的空穴提取，而磺酸盐末端提供更广泛的铅（Pb）相关缺陷配位并减轻界面拉伸应力，共同促进更高质量的结晶和化学稳定的埋入界面。通过这种协同调节，真空闪蒸 1.53 电子伏 PSC 的认证效率高达 27.31%。该策略还转化为钙钛矿/HJT-Si（硅异质结）串联，效率为 32.84%。此外，对应的766平方厘米大面积组件实现了21.54%的功率转换效率。经过 2000 小时的连续光浸泡 (ISOS-L-1) 后，CzOTf 调制的 PSC 仍保持其初始效率的 92%。 CzOTf调制的大面积组件在户外稳定运行35天无衰减。</w:t>
      </w:r>
    </w:p>
    <w:p>
      <w:pPr>
        <w:spacing w:before="0" w:after="200" w:lineRule="auto" w:line="276"/>
      </w:pPr>
      <w:r>
        <w:rPr>
          <w:b/>
        </w:rPr>
        <w:t xml:space="preserve">Abstract (EN): </w:t>
      </w:r>
      <w:r>
        <w:t>Inverted perovskite solar cells (PSCs) remain constrained by nickel ion (Ni</w:t>
      </w:r>
      <w:r>
        <w:t xml:space="preserve"> </w:t>
      </w:r>
      <w:r>
        <w:t>3+</w:t>
      </w:r>
      <w:r>
        <w:t xml:space="preserve"> </w:t>
      </w:r>
      <w:r>
        <w:t>)–triggered interfacial redox chemistry and buried-interface defect landscapes that drive nonradiative loss and undermine operational stability. We report an interface-locked dual-molecule contact by coassembling [4-(3,6-dimethyl-9</w:t>
      </w:r>
      <w:r>
        <w:t xml:space="preserve"> </w:t>
      </w:r>
      <w:r>
        <w:t>H</w:t>
      </w:r>
      <w:r>
        <w:t xml:space="preserve"> </w:t>
      </w:r>
      <w:r>
        <w:t>-carbazol-9-yl)butyl]phosphonic acid (Me-4PACz) with 9</w:t>
      </w:r>
      <w:r>
        <w:t xml:space="preserve"> </w:t>
      </w:r>
      <w:r>
        <w:t>H</w:t>
      </w:r>
      <w:r>
        <w:t xml:space="preserve"> </w:t>
      </w:r>
      <w:r>
        <w:t>-carbazol-2-yl trifluoromethanesulfonate (CzOTf), in which π-π–stabilized cofacial packing rigidifies molecular orientation and strengthens interfacial electronic coupling for efficient hole extraction, whereas the sulfonate terminus offers broader lead (Pb)–related defect coordination and relieves interfacial tensile stress, collectively promoting higher-quality crystallization and a chemically stabilized buried interface. Enabled by this synergistic regulation, vacuum-flash-evaporated 1.53–electron volt PSCs deliver certified efficiencies up to 27.31%. The strategy also translates to perovskite/HJT-Si (silicon heterojunction) tandems with an efficiency of 32.84%. Furthermore, the corresponding 766–square centimeter large-area module achieved a power conversion efficiency of 21.54%. The CzOTf-modulated PSCs retain 92% of their initial efficiency after 2000 hours of continuous light soaking (ISOS-L-1). The CzOTf-modulated large-area module operated stably outdoors for 35 days without degradation.</w:t>
      </w:r>
    </w:p>
    <w:p>
      <w:pPr>
        <w:spacing w:before="120" w:after="120"/>
      </w:pPr>
      <w:r>
        <w:rPr>
          <w:sz w:val="18"/>
        </w:rPr>
        <w:t>——————————————————————————————————————————————————————————————————————</w:t>
      </w:r>
    </w:p>
    <w:p>
      <w:pPr>
        <w:spacing w:before="160" w:after="40" w:line="240" w:lineRule="auto"/>
      </w:pPr>
      <w:r>
        <w:rPr>
          <w:b/>
        </w:rPr>
        <w:t xml:space="preserve">[458] </w:t>
      </w:r>
      <w:hyperlink r:id="rId994">
        <w:r>
          <w:rPr>
            <w:color w:val="1155CC"/>
            <w:u w:val="single"/>
          </w:rPr>
          <w:t>涡轮增压突触传递：需要 12 个 SNAREpin 来快速释放重建的突触小泡</w:t>
        </w:r>
      </w:hyperlink>
    </w:p>
    <w:p>
      <w:pPr>
        <w:spacing w:before="0" w:after="80"/>
      </w:pPr>
      <w:r>
        <w:rPr>
          <w:i/>
          <w:sz w:val="20"/>
        </w:rPr>
        <w:t>EN: Turbocharging synaptic transmission: 12 SNAREpins are required for rapid release of reconstituted synaptic vesicles</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995">
        <w:r>
          <w:rPr>
            <w:color w:val="1155CC"/>
            <w:u w:val="single"/>
          </w:rPr>
          <w:t>10.1126/sciadv.aea0592</w:t>
        </w:r>
      </w:hyperlink>
    </w:p>
    <w:p>
      <w:pPr>
        <w:spacing w:before="0" w:after="120"/>
      </w:pPr>
      <w:r>
        <w:rPr>
          <w:b/>
        </w:rPr>
        <w:t xml:space="preserve">Notes: </w:t>
      </w:r>
      <w:r>
        <w:t>abstract_source=crossref</w:t>
      </w:r>
    </w:p>
    <w:p>
      <w:pPr>
        <w:spacing w:before="0" w:after="80" w:lineRule="auto" w:line="276"/>
      </w:pPr>
      <w:r>
        <w:rPr>
          <w:b/>
        </w:rPr>
        <w:t xml:space="preserve">摘要（ZH）: </w:t>
      </w:r>
      <w:r>
        <w:t>突触传递与现实世界事件同步发生，远远快于激素释放或膜生物发生的囊泡融合，所有这些都由可溶性介导</w:t>
      </w:r>
      <w:r>
        <w:t xml:space="preserve"> </w:t>
      </w:r>
      <w:r>
        <w:t>氮</w:t>
      </w:r>
      <w:r>
        <w:t xml:space="preserve"> </w:t>
      </w:r>
      <w:r>
        <w:t>-乙基马来酰亚胺-敏感因子附着蛋白受体（SNARE）复合物。 SNARE 如何合作实现同步神经递质释放一直是个谜。快速释放（&lt;7 毫秒）是由纯化的突触 SNARE、SNARE 组装伴侣和钙离子传感器在一个完全定义的、经过基因验证的系统中重建的，该系统能够在释放前对停靠的囊泡进行单分子计数。在每个此类预释放囊泡中都发现了 SNAREpin 复合物 (12 ± 0.3)，表明其结构规则。几种遗传条件（包括来自突触病患者的突触小泡蛋白 Synaptophysin 的点突变以及突触小泡蛋白囊泡相关膜蛋白 2 (VAMP2) 的人类和小鼠疾病突变）将 SNAREpin 的数量减少至 6 ± 0.3，并导致释放深度延迟超过 0.1 至 1 秒。省略 Synaptophylin，其六聚体预组装了 12 个拷贝VAMP2 还产生约 6 个 SNARE 引脚并延迟释放。</w:t>
      </w:r>
    </w:p>
    <w:p>
      <w:pPr>
        <w:spacing w:before="0" w:after="200" w:lineRule="auto" w:line="276"/>
      </w:pPr>
      <w:r>
        <w:rPr>
          <w:b/>
        </w:rPr>
        <w:t xml:space="preserve">Abstract (EN): </w:t>
      </w:r>
      <w:r>
        <w:t>Synaptic transmission occurs synchronously with real-world events, far faster than vesicle fusion for hormone release or membrane biogenesis, all mediated by soluble</w:t>
      </w:r>
      <w:r>
        <w:t xml:space="preserve"> </w:t>
      </w:r>
      <w:r>
        <w:t>N</w:t>
      </w:r>
      <w:r>
        <w:t xml:space="preserve"> </w:t>
      </w:r>
      <w:r>
        <w:t>-ethylmaleimide–sensitive factor attachment protein receptor (SNARE) complexes. How SNAREs cooperate to achieve synchronous neurotransmitter release is a long-standing mystery. Rapid release (&amp;lt;7 milliseconds) has been reconstituted from purified synaptic SNAREs, SNARE-assembling chaperones, and calcium ion sensors in a fully-defined, genetically validated system that enables single-molecule counting in docked vesicles before release. SNAREpin complexes (12 ± 0.3) are found in each such ready-release vesicle, suggesting a regular structure. Several genetic conditions (including point mutation of the synaptic vesicle protein Synaptophysin from a Synaptopathy patient and human and mouse disease mutations of the synaptic vesicle protein vesicle-associated membrane protein-2 (VAMP2) reduce the number of SNAREpins to 6 ± 0.3 and result in profoundly delayed release over 0.1 to 1 seconds. Omitting Synaptophysin, whose hexamers preassemble 12 copies of VAMP2, also yields ~6 SNAREpins and delays release.</w:t>
      </w:r>
    </w:p>
    <w:p>
      <w:pPr>
        <w:spacing w:before="120" w:after="120"/>
      </w:pPr>
      <w:r>
        <w:rPr>
          <w:sz w:val="18"/>
        </w:rPr>
        <w:t>——————————————————————————————————————————————————————————————————————</w:t>
      </w:r>
    </w:p>
    <w:p>
      <w:pPr>
        <w:spacing w:before="160" w:after="40" w:line="240" w:lineRule="auto"/>
      </w:pPr>
      <w:r>
        <w:rPr>
          <w:b/>
        </w:rPr>
        <w:t xml:space="preserve">[459] </w:t>
      </w:r>
      <w:hyperlink r:id="rId996">
        <w:r>
          <w:rPr>
            <w:color w:val="1155CC"/>
            <w:u w:val="single"/>
          </w:rPr>
          <w:t>O-甲基转移酶变异使水稻发出特定的挥发性警报</w:t>
        </w:r>
      </w:hyperlink>
    </w:p>
    <w:p>
      <w:pPr>
        <w:spacing w:before="0" w:after="80"/>
      </w:pPr>
      <w:r>
        <w:rPr>
          <w:i/>
          <w:sz w:val="20"/>
        </w:rPr>
        <w:t>EN: O-methyltransferase variation enables a specific volatile alarm call in rice</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997">
        <w:r>
          <w:rPr>
            <w:color w:val="1155CC"/>
            <w:u w:val="single"/>
          </w:rPr>
          <w:t>10.1126/sciadv.aeg6081</w:t>
        </w:r>
      </w:hyperlink>
    </w:p>
    <w:p>
      <w:pPr>
        <w:spacing w:before="0" w:after="120"/>
      </w:pPr>
      <w:r>
        <w:rPr>
          <w:b/>
        </w:rPr>
        <w:t xml:space="preserve">Notes: </w:t>
      </w:r>
      <w:r>
        <w:t>abstract_source=crossref</w:t>
      </w:r>
    </w:p>
    <w:p>
      <w:pPr>
        <w:spacing w:before="0" w:after="80" w:lineRule="auto" w:line="276"/>
      </w:pPr>
      <w:r>
        <w:rPr>
          <w:b/>
        </w:rPr>
        <w:t xml:space="preserve">摘要（ZH）: </w:t>
      </w:r>
      <w:r>
        <w:t>植物释放出挥发性化合物，协调复杂的生态相互作用，相互作用诱导的植物激素的甲基化分解代谢物是常见的例子。水杨酸 (SA) 介导植物抗病原体反应，而其甲基化衍生物 MeSA 广泛介导植物与昆虫的相互作用，但没有特异性。在这里，我们鉴定出了水杨酸二甲酯 (DMSA)，这是一种未被充分利用的二甲基化 SA 分解代谢物，当水稻受到主要破坏性害虫褐飞虱的攻击时，会释放出这种物质。 DMSA 生物合成需要</w:t>
      </w:r>
      <w:r>
        <w:t xml:space="preserve"> </w:t>
      </w:r>
      <w:r>
        <w:t>氧</w:t>
      </w:r>
      <w:r>
        <w:t xml:space="preserve"> </w:t>
      </w:r>
      <w:r>
        <w:t>-甲基转移酶级联，BSMT1（苯甲酸/水杨酸羧基甲基转移酶1）–MSOMT（水杨酸甲酯）</w:t>
      </w:r>
      <w:r>
        <w:t xml:space="preserve"> </w:t>
      </w:r>
      <w:r>
        <w:t>氧</w:t>
      </w:r>
      <w:r>
        <w:t xml:space="preserve"> </w:t>
      </w:r>
      <w:r>
        <w:t>-甲基转移酶），它由茉莉酸（JA）响应的 MYC2-JAMYB 转录级联直接激活。自然变异</w:t>
      </w:r>
      <w:r>
        <w:t xml:space="preserve"> </w:t>
      </w:r>
      <w:r>
        <w:t>MSOMT</w:t>
      </w:r>
      <w:r>
        <w:t xml:space="preserve"> </w:t>
      </w:r>
      <w:r>
        <w:t>启动子赋予其食草诱导的表达</w:t>
      </w:r>
      <w:r>
        <w:t xml:space="preserve"> </w:t>
      </w:r>
      <w:r>
        <w:t>籼稻</w:t>
      </w:r>
      <w:r>
        <w:t xml:space="preserve"> </w:t>
      </w:r>
      <w:r>
        <w:t>但不是</w:t>
      </w:r>
      <w:r>
        <w:t xml:space="preserve"> </w:t>
      </w:r>
      <w:r>
        <w:t>粳稻</w:t>
      </w:r>
      <w:r>
        <w:t xml:space="preserve"> </w:t>
      </w:r>
      <w:r>
        <w:t>品种。从功能上讲，DMSA 作为一种特定的挥发性信号，吸引褐飞虱 (BPH) 的卵寄生蜂，而不介导直接抗性，这明显抑制了稻田中的褐飞虱种群。 DMSA 是 SA 信号衍生植物“警报信号”的优化进步，在可持续水稻害虫治理方面具有巨大潜力。</w:t>
      </w:r>
    </w:p>
    <w:p>
      <w:pPr>
        <w:spacing w:before="0" w:after="200" w:lineRule="auto" w:line="276"/>
      </w:pPr>
      <w:r>
        <w:rPr>
          <w:b/>
        </w:rPr>
        <w:t xml:space="preserve">Abstract (EN): </w:t>
      </w:r>
      <w:r>
        <w:t>Plants emit volatile compounds that orchestrate complex ecological interactions, with methylated catabolites of interaction-induced phytohormones being common examples. Salicylic acid (SA) mediates plant antipathogen responses, while its methylated derivative, MeSA, broadly mediates plant-insect interactions without specificity. Here, we identified dimethyl salicylate (DMSA), an unappreciated dimethylated SA catabolite, emitted by rice when attacked by the major destructive pest, the brown planthopper. DMSA biosynthesis requires an</w:t>
      </w:r>
      <w:r>
        <w:t xml:space="preserve"> </w:t>
      </w:r>
      <w:r>
        <w:t>O</w:t>
      </w:r>
      <w:r>
        <w:t xml:space="preserve"> </w:t>
      </w:r>
      <w:r>
        <w:t>-methyltransferase cascade, BSMT1 (benzoic acid/salicylic acid carboxyl methyltransferase 1)–MSOMT (methyl salicylate</w:t>
      </w:r>
      <w:r>
        <w:t xml:space="preserve"> </w:t>
      </w:r>
      <w:r>
        <w:t>O</w:t>
      </w:r>
      <w:r>
        <w:t xml:space="preserve"> </w:t>
      </w:r>
      <w:r>
        <w:t>-methyltransferase), which is directly activated by a jasmonate (JA)–responsive MYC2-JAMYB transcriptional cascade. Natural variation in the</w:t>
      </w:r>
      <w:r>
        <w:t xml:space="preserve"> </w:t>
      </w:r>
      <w:r>
        <w:t>MSOMT</w:t>
      </w:r>
      <w:r>
        <w:t xml:space="preserve"> </w:t>
      </w:r>
      <w:r>
        <w:t>promoter confers its herbivory-induced expression in</w:t>
      </w:r>
      <w:r>
        <w:t xml:space="preserve"> </w:t>
      </w:r>
      <w:r>
        <w:t>indica</w:t>
      </w:r>
      <w:r>
        <w:t xml:space="preserve"> </w:t>
      </w:r>
      <w:r>
        <w:t>but not</w:t>
      </w:r>
      <w:r>
        <w:t xml:space="preserve"> </w:t>
      </w:r>
      <w:r>
        <w:t>japonica</w:t>
      </w:r>
      <w:r>
        <w:t xml:space="preserve"> </w:t>
      </w:r>
      <w:r>
        <w:t>cultivars. Functionally, DMSA acts as a specific volatile signal attracting the egg-parasitoid wasps of brown planthoppers (BPHs) without mediating direct resistance, which demonstrably suppresses BPH populations in paddy fields. DMSA is an optimized advance in SA signaling derived plant “alarm calls” with great potential in sustainable rice pest management.</w:t>
      </w:r>
    </w:p>
    <w:p>
      <w:pPr>
        <w:spacing w:before="120" w:after="120"/>
      </w:pPr>
      <w:r>
        <w:rPr>
          <w:sz w:val="18"/>
        </w:rPr>
        <w:t>——————————————————————————————————————————————————————————————————————</w:t>
      </w:r>
    </w:p>
    <w:p>
      <w:pPr>
        <w:spacing w:before="160" w:after="40" w:line="240" w:lineRule="auto"/>
      </w:pPr>
      <w:r>
        <w:rPr>
          <w:b/>
        </w:rPr>
        <w:t xml:space="preserve">[460] </w:t>
      </w:r>
      <w:hyperlink r:id="rId998">
        <w:r>
          <w:rPr>
            <w:color w:val="1155CC"/>
            <w:u w:val="single"/>
          </w:rPr>
          <w:t>远程同源性和功能遗传学揭示了后生动物中深层保存的 Scm3/HJURP 直向同源物</w:t>
        </w:r>
      </w:hyperlink>
    </w:p>
    <w:p>
      <w:pPr>
        <w:spacing w:before="0" w:after="80"/>
      </w:pPr>
      <w:r>
        <w:rPr>
          <w:i/>
          <w:sz w:val="20"/>
        </w:rPr>
        <w:t>EN: Remote homology and functional genetics unmask deeply preserved Scm3/HJURP orthologs in metazoans</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999">
        <w:r>
          <w:rPr>
            <w:color w:val="1155CC"/>
            <w:u w:val="single"/>
          </w:rPr>
          <w:t>10.1126/sciadv.aeg5356</w:t>
        </w:r>
      </w:hyperlink>
    </w:p>
    <w:p>
      <w:pPr>
        <w:spacing w:before="0" w:after="120"/>
      </w:pPr>
      <w:r>
        <w:rPr>
          <w:b/>
        </w:rPr>
        <w:t xml:space="preserve">Notes: </w:t>
      </w:r>
      <w:r>
        <w:t>abstract_source=crossref</w:t>
      </w:r>
    </w:p>
    <w:p>
      <w:pPr>
        <w:spacing w:before="0" w:after="80" w:lineRule="auto" w:line="276"/>
      </w:pPr>
      <w:r>
        <w:rPr>
          <w:b/>
        </w:rPr>
        <w:t xml:space="preserve">摘要（ZH）: </w:t>
      </w:r>
      <w:r>
        <w:t>在大多数动物和真菌中，着丝粒的身份和功能取决于 Scm3/霍利迪连接识别蛋白 (HJURP) 伴侣，它将 CENPA 沉积在着丝粒上。然而，Scm3/HJURP 直向同源物似乎在昆虫、线虫、许多脊椎动物和其他后生动物中缺失，这表明这些谱系中的分子伴侣被彻底替代。在这里，我们将远程同源检测、基于 AlphaFold 的结构建模以及斑马鱼和</w:t>
      </w:r>
      <w:r>
        <w:t xml:space="preserve"> </w:t>
      </w:r>
      <w:r>
        <w:t>秀丽隐杆线虫</w:t>
      </w:r>
      <w:r>
        <w:t xml:space="preserve"> </w:t>
      </w:r>
      <w:r>
        <w:t>鉴定以前未知的 Scm3/HJURP 直向同源物，这些直向同源物定位于着丝粒，其丢失会导致灾难性的有丝分裂失败。我们进一步表明</w:t>
      </w:r>
      <w:r>
        <w:t xml:space="preserve"> </w:t>
      </w:r>
      <w:r>
        <w:t>果蝇</w:t>
      </w:r>
      <w:r>
        <w:t xml:space="preserve"> </w:t>
      </w:r>
      <w:r>
        <w:t>CAL1 长期以来被认为是功能类似物，但实际上是高度分化的 Scm3/HJURP 直向同源物。尽管初级序列快速分歧，预测的和已知的结构揭示了真菌、脊椎动物、线虫、昆虫和大多数后生动物中广泛保守的 CENPA-H4 结合 scm3 折叠。我们的工作证明了快速分歧如何掩盖重要着丝粒机制的广泛保守性，并为揭示缺失的直系同源物提供了一种通用的策略。</w:t>
      </w:r>
    </w:p>
    <w:p>
      <w:pPr>
        <w:spacing w:before="0" w:after="200" w:lineRule="auto" w:line="276"/>
      </w:pPr>
      <w:r>
        <w:rPr>
          <w:b/>
        </w:rPr>
        <w:t xml:space="preserve">Abstract (EN): </w:t>
      </w:r>
      <w:r>
        <w:t>In most animals and fungi, centromere identity and function depend on the Scm3/Holliday junction recognition protein (HJURP) chaperone, which deposits CENPA at centromeres. However, Scm3/HJURP orthologs appeared to be missing in insects, nematodes, many vertebrates, and other metazoans, suggesting radical chaperone replacement in these lineages. Here, we combine remote homology detection, AlphaFold-based structural modeling, and functional genetics in zebrafish and</w:t>
      </w:r>
      <w:r>
        <w:t xml:space="preserve"> </w:t>
      </w:r>
      <w:r>
        <w:t>Caenorhabditis elegans</w:t>
      </w:r>
      <w:r>
        <w:t xml:space="preserve"> </w:t>
      </w:r>
      <w:r>
        <w:t>to identify previously unknown Scm3/HJURP orthologs that localize to centromeres and whose loss causes catastrophic mitotic failure. We further show that</w:t>
      </w:r>
      <w:r>
        <w:t xml:space="preserve"> </w:t>
      </w:r>
      <w:r>
        <w:t>Drosophila</w:t>
      </w:r>
      <w:r>
        <w:t xml:space="preserve"> </w:t>
      </w:r>
      <w:r>
        <w:t>CAL1, long considered a functional analog, is instead a highly diverged Scm3/HJURP ortholog. Despite rapid primary-sequence divergence, predicted and known structures reveal a broadly conserved CENPA-H4–binding scm3 fold across fungi, vertebrates, nematodes, insects, and most metazoans. Our work demonstrates how rapid divergence can obscure the broad conservation of essential centromere machinery and provides a generalizable strategy for unmasking missing orthologs.</w:t>
      </w:r>
    </w:p>
    <w:p>
      <w:pPr>
        <w:spacing w:before="120" w:after="120"/>
      </w:pPr>
      <w:r>
        <w:rPr>
          <w:sz w:val="18"/>
        </w:rPr>
        <w:t>——————————————————————————————————————————————————————————————————————</w:t>
      </w:r>
    </w:p>
    <w:p>
      <w:pPr>
        <w:spacing w:before="160" w:after="40" w:line="240" w:lineRule="auto"/>
      </w:pPr>
      <w:r>
        <w:rPr>
          <w:b/>
        </w:rPr>
        <w:t xml:space="preserve">[461] </w:t>
      </w:r>
      <w:hyperlink r:id="rId1000">
        <w:r>
          <w:rPr>
            <w:color w:val="1155CC"/>
            <w:u w:val="single"/>
          </w:rPr>
          <w:t>早期古印度大型食草动物专业化的半球证据</w:t>
        </w:r>
      </w:hyperlink>
    </w:p>
    <w:p>
      <w:pPr>
        <w:spacing w:before="0" w:after="80"/>
      </w:pPr>
      <w:r>
        <w:rPr>
          <w:i/>
          <w:sz w:val="20"/>
        </w:rPr>
        <w:t>EN: Hemisphere-wide evidence of Early Paleoindian megaherbivore specialization</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1001">
        <w:r>
          <w:rPr>
            <w:color w:val="1155CC"/>
            <w:u w:val="single"/>
          </w:rPr>
          <w:t>10.1126/sciadv.aef9628</w:t>
        </w:r>
      </w:hyperlink>
    </w:p>
    <w:p>
      <w:pPr>
        <w:spacing w:before="0" w:after="120"/>
      </w:pPr>
      <w:r>
        <w:rPr>
          <w:b/>
        </w:rPr>
        <w:t xml:space="preserve">Notes: </w:t>
      </w:r>
      <w:r>
        <w:t>abstract_source=crossref</w:t>
      </w:r>
    </w:p>
    <w:p>
      <w:pPr>
        <w:spacing w:before="0" w:after="80" w:lineRule="auto" w:line="276"/>
      </w:pPr>
      <w:r>
        <w:rPr>
          <w:b/>
        </w:rPr>
        <w:t xml:space="preserve">摘要（ZH）: </w:t>
      </w:r>
      <w:r>
        <w:t>早期古印第安人的适应策略与美洲克洛维斯和相关鱼尾射弹点（FPP）复合体在整个大陆的快速扩张有关，一直受到不同的解释。早期古印第安人是巨型动物专家还是饮食通才？这些替代模型对早期古印第安人的猎物选择、流动性和技术提供了截然不同的影响。我们综合并评估了东白令海峡[距今约14,000至13,300年校准年（cal B.P.）]、北美（克洛维斯复合体，~13,400/13,050至12,800 cal B.P.）和南美洲（FPP复合体，~12,900至11,600 cal B.P.）最早广泛传播的文化表现的动物考古记录。 B.P.）并总结了他们的适应性策略。动物考古、技术和流动性数据有力地支持了巨型动物专业化模型。这三个群体的大部分食物都来自巨型食草动物（&gt; 1000公斤）：白令海峡的长毛猛犸象、北美的哥伦比亚猛犸象以及南美洲的巨型地懒和嵌齿象。对巨型食草动物的关注促进了人类快速扩张到不同的生态系统，然后巨型动物群的时间超越性灭绝通过适应当地可用资源导致区域多样化。</w:t>
      </w:r>
    </w:p>
    <w:p>
      <w:pPr>
        <w:spacing w:before="0" w:after="200" w:lineRule="auto" w:line="276"/>
      </w:pPr>
      <w:r>
        <w:rPr>
          <w:b/>
        </w:rPr>
        <w:t xml:space="preserve">Abstract (EN): </w:t>
      </w:r>
      <w:r>
        <w:t>The adaptive strategies of Early Paleoindians associated with the rapid and continent-wide expansions of Clovis and related Fishtail Projectile Point (FPP) complexes in the Americas have been subject to differing interpretations. Were Early Paleoindians megafauna specialists or dietary generalists? These alternative models offer profoundly different implications for Early Paleoindian prey choice, mobility, and technology. We synthesize and evaluate the zooarchaeological records of the earliest widespread cultural manifestations in Eastern Beringia [~14,000 to 13,300 calibrated years before the present (cal B.P.)], North America (Clovis complex, ~13,400/13,050 to 12,800 cal B.P.), and South America (FPP complex, ~12,900 to 11,600 cal B.P.) and summarize their adaptive strategies. Zooarchaeological, technological, and mobility data strongly support the megafauna specialization model. All three groups obtained most of their food from megaherbivores (&amp;gt;1000 kg): woolly mammoth in Beringia, Columbian mammoth in North America, and giant ground sloths and gomphotheres in South America. Focus on megaherbivores facilitated rapid human expansion into different ecosystems before the time-transgressive extinction of megafauna led to regional diversification through adaptations to locally available resources.</w:t>
      </w:r>
    </w:p>
    <w:p>
      <w:pPr>
        <w:spacing w:before="120" w:after="120"/>
      </w:pPr>
      <w:r>
        <w:rPr>
          <w:sz w:val="18"/>
        </w:rPr>
        <w:t>——————————————————————————————————————————————————————————————————————</w:t>
      </w:r>
    </w:p>
    <w:p>
      <w:pPr>
        <w:spacing w:before="160" w:after="40" w:line="240" w:lineRule="auto"/>
      </w:pPr>
      <w:r>
        <w:rPr>
          <w:b/>
        </w:rPr>
        <w:t xml:space="preserve">[462] </w:t>
      </w:r>
      <w:hyperlink r:id="rId1002">
        <w:r>
          <w:rPr>
            <w:color w:val="1155CC"/>
            <w:u w:val="single"/>
          </w:rPr>
          <w:t>B7-H4 靶向放射治疗能够在实体瘤模型中实现精确成像和有效治疗</w:t>
        </w:r>
      </w:hyperlink>
    </w:p>
    <w:p>
      <w:pPr>
        <w:spacing w:before="0" w:after="80"/>
      </w:pPr>
      <w:r>
        <w:rPr>
          <w:i/>
          <w:sz w:val="20"/>
        </w:rPr>
        <w:t>EN: B7-H4–targeted radiotheranostics enable precise imaging and potent therapy across solid tumor models</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1003">
        <w:r>
          <w:rPr>
            <w:color w:val="1155CC"/>
            <w:u w:val="single"/>
          </w:rPr>
          <w:t>10.1126/sciadv.aef8428</w:t>
        </w:r>
      </w:hyperlink>
    </w:p>
    <w:p>
      <w:pPr>
        <w:spacing w:before="0" w:after="120"/>
      </w:pPr>
      <w:r>
        <w:rPr>
          <w:b/>
        </w:rPr>
        <w:t xml:space="preserve">Notes: </w:t>
      </w:r>
      <w:r>
        <w:t>abstract_source=crossref</w:t>
      </w:r>
    </w:p>
    <w:p>
      <w:pPr>
        <w:spacing w:before="0" w:after="80" w:lineRule="auto" w:line="276"/>
      </w:pPr>
      <w:r>
        <w:rPr>
          <w:b/>
        </w:rPr>
        <w:t xml:space="preserve">摘要（ZH）: </w:t>
      </w:r>
      <w:r>
        <w:t>B7-H4 是一种新兴的免疫调节检查点，在实体瘤中广泛过表达，在正常组织中很少存在，使其成为靶向成像和治疗的有吸引力的候选者。在这里，我们开发并评估了标记有 [ 的 B7-H4 定向放射治疗抗体</w:t>
      </w:r>
      <w:r>
        <w:rPr>
          <w:vertAlign w:val="subscript"/>
        </w:rPr>
        <w:t>89</w:t>
      </w:r>
      <w:r>
        <w:t>Zr] 用于 PET 成像并且具有 [</w:t>
      </w:r>
      <w:r>
        <w:rPr>
          <w:vertAlign w:val="subscript"/>
        </w:rPr>
        <w:t>177</w:t>
      </w:r>
      <w:r>
        <w:t>卢]或[</w:t>
      </w:r>
      <w:r>
        <w:rPr>
          <w:vertAlign w:val="subscript"/>
        </w:rPr>
        <w:t>225</w:t>
      </w:r>
      <w:r>
        <w:t>Ac]分别用于β-或α-粒子治疗。 [</w:t>
      </w:r>
      <w:r>
        <w:rPr>
          <w:vertAlign w:val="subscript"/>
        </w:rPr>
        <w:t>89</w:t>
      </w:r>
      <w:r>
        <w:t>Zr]-immunoPET 能够对 B7-H4 表达进行定量、全身可视化，并可靠地区分高表达、中表达和阴性表达的肿瘤。放射治疗[</w:t>
      </w:r>
      <w:r>
        <w:rPr>
          <w:vertAlign w:val="subscript"/>
        </w:rPr>
        <w:t>177</w:t>
      </w:r>
      <w:r>
        <w:t>卢]-或[</w:t>
      </w:r>
      <w:r>
        <w:rPr>
          <w:vertAlign w:val="subscript"/>
        </w:rPr>
        <w:t>225</w:t>
      </w:r>
      <w:r>
        <w:t>Ac]-缀合抗体表现出有效的、抗原依赖性抗肿瘤活性，包括单次给药后 B7-H4 高表达异种移植物的完全和持久消退，同时对 B7-H4 阴性肿瘤的影响最小。两种治疗结构均具有良好的耐受性，仅引起短暂的、可逆的骨髓抑制，而没有持续的肝、肾或组织病理学毒性。这些发现将 B7-H4 确定为综合成像和放射性核素治疗的有希望的靶点，并为 B7-H4 定向放射治疗策略的未来发展提供了临床前基础。</w:t>
      </w:r>
    </w:p>
    <w:p>
      <w:pPr>
        <w:spacing w:before="0" w:after="200" w:lineRule="auto" w:line="276"/>
      </w:pPr>
      <w:r>
        <w:rPr>
          <w:b/>
        </w:rPr>
        <w:t xml:space="preserve">Abstract (EN): </w:t>
      </w:r>
      <w:r>
        <w:t>B7-H4 is an emerging immunoregulatory checkpoint broadly overexpressed across solid tumors and minimally present in normal tissues, making it an attractive candidate for targeted imaging and therapy. Here, we develop and evaluate a B7-H4–directed radiotheranostic antibody labeled with [</w:t>
      </w:r>
      <w:r>
        <w:rPr>
          <w:vertAlign w:val="subscript"/>
        </w:rPr>
        <w:t>89</w:t>
      </w:r>
      <w:r>
        <w:t>Zr] for PET imaging and with either [</w:t>
      </w:r>
      <w:r>
        <w:rPr>
          <w:vertAlign w:val="subscript"/>
        </w:rPr>
        <w:t>177</w:t>
      </w:r>
      <w:r>
        <w:t>Lu] or [</w:t>
      </w:r>
      <w:r>
        <w:rPr>
          <w:vertAlign w:val="subscript"/>
        </w:rPr>
        <w:t>225</w:t>
      </w:r>
      <w:r>
        <w:t>Ac] for β- or α-particle therapy, respectively. [</w:t>
      </w:r>
      <w:r>
        <w:rPr>
          <w:vertAlign w:val="subscript"/>
        </w:rPr>
        <w:t>89</w:t>
      </w:r>
      <w:r>
        <w:t>Zr]-immunoPET enabled quantitative, whole-body visualization of B7-H4 expression and reliably distinguished high, intermediate, and negative-expressing tumors. Radiotherapy with [</w:t>
      </w:r>
      <w:r>
        <w:rPr>
          <w:vertAlign w:val="subscript"/>
        </w:rPr>
        <w:t>177</w:t>
      </w:r>
      <w:r>
        <w:t>Lu]- or [</w:t>
      </w:r>
      <w:r>
        <w:rPr>
          <w:vertAlign w:val="subscript"/>
        </w:rPr>
        <w:t>225</w:t>
      </w:r>
      <w:r>
        <w:t>Ac]-conjugated antibody exhibited potent, antigen-dependent antitumor activity, including complete and durable regressions in B7-H4–high expressing xenografts after a single administration, while having a minimal effect on B7-H4–negative tumors. Both therapeutic constructs were well tolerated, causing only transient, reversible myelosuppression without sustained hepatic, renal, or histopathologic toxicity. These findings identify B7-H4 as a promising target for integrated imaging and radionuclide therapy and provide a preclinical foundation for the future development of B7-H4–directed radiotheranostic strategies.</w:t>
      </w:r>
    </w:p>
    <w:p>
      <w:pPr>
        <w:spacing w:before="120" w:after="120"/>
      </w:pPr>
      <w:r>
        <w:rPr>
          <w:sz w:val="18"/>
        </w:rPr>
        <w:t>——————————————————————————————————————————————————————————————————————</w:t>
      </w:r>
    </w:p>
    <w:p>
      <w:pPr>
        <w:spacing w:before="160" w:after="40" w:line="240" w:lineRule="auto"/>
      </w:pPr>
      <w:r>
        <w:rPr>
          <w:b/>
        </w:rPr>
        <w:t xml:space="preserve">[463] </w:t>
      </w:r>
      <w:hyperlink r:id="rId1004">
        <w:r>
          <w:rPr>
            <w:color w:val="1155CC"/>
            <w:u w:val="single"/>
          </w:rPr>
          <w:t>用多模态光学代谢成像阐明衰老</w:t>
        </w:r>
      </w:hyperlink>
    </w:p>
    <w:p>
      <w:pPr>
        <w:spacing w:before="0" w:after="80"/>
      </w:pPr>
      <w:r>
        <w:rPr>
          <w:i/>
          <w:sz w:val="20"/>
        </w:rPr>
        <w:t>EN: Illuminating aging with multimodal optical metabolic imaging</w:t>
      </w:r>
    </w:p>
    <w:p>
      <w:pPr>
        <w:spacing w:before="0" w:after="120"/>
      </w:pPr>
      <w:r>
        <w:rPr>
          <w:b/>
        </w:rPr>
        <w:t xml:space="preserve">Source: </w:t>
      </w:r>
      <w:r>
        <w:t>AAAS: Science Advances: Table of Contents</w:t>
      </w:r>
      <w:r>
        <w:t xml:space="preserve">    </w:t>
      </w:r>
      <w:r>
        <w:rPr>
          <w:b/>
        </w:rPr>
        <w:t xml:space="preserve">Pub date: </w:t>
      </w:r>
      <w:r>
        <w:t>2026-07-01 07:00:00+00:00</w:t>
      </w:r>
      <w:r>
        <w:t xml:space="preserve">    </w:t>
      </w:r>
      <w:r>
        <w:rPr>
          <w:b/>
        </w:rPr>
        <w:t xml:space="preserve">DOI: </w:t>
      </w:r>
      <w:hyperlink r:id="rId1005">
        <w:r>
          <w:rPr>
            <w:color w:val="1155CC"/>
            <w:u w:val="single"/>
          </w:rPr>
          <w:t>10.1126/sciadv.aed9156</w:t>
        </w:r>
      </w:hyperlink>
    </w:p>
    <w:p>
      <w:pPr>
        <w:spacing w:before="0" w:after="120"/>
      </w:pPr>
      <w:r>
        <w:rPr>
          <w:b/>
        </w:rPr>
        <w:t xml:space="preserve">Notes: </w:t>
      </w:r>
      <w:r>
        <w:t>abstract_source=crossref</w:t>
      </w:r>
    </w:p>
    <w:p>
      <w:pPr>
        <w:spacing w:before="0" w:after="80" w:lineRule="auto" w:line="276"/>
      </w:pPr>
      <w:r>
        <w:rPr>
          <w:b/>
        </w:rPr>
        <w:t xml:space="preserve">摘要（ZH）: </w:t>
      </w:r>
      <w:r>
        <w:t>衰老与协调能量产生、生物合成和分子周转的代谢途径的重新编程密切相关。然而，在空间和时间背景下可视化和理解这些代谢基础仍然是一个重大挑战。代谢成像已成为一种变革性方法，可以在分子或细胞和有机体水平上实现代谢动力学的空间分辨可视化。在这篇综述中，我们总结了代谢成像在探测衰老生物学中的最新进展和应用，特别强调多模态非线性光学成像技术及其在不同衰老模型中的应用。光学代谢成像通过捕获从细胞器水平相互作用到组织尺度重塑的代谢变化，为衰老机制提供了独特的见解。光学代谢成像能够实现体内早期代谢变化的无标记检测，代表了衰老研究的新兴前沿。展望未来，光学代谢成像作为临床转化、推进精准医学、增强衰老过程的诊断、监测和评估的实用而强大的工具，具有广阔的前景，以促进人类的健康寿命和寿命。</w:t>
      </w:r>
    </w:p>
    <w:p>
      <w:pPr>
        <w:spacing w:before="0" w:after="200" w:lineRule="auto" w:line="276"/>
      </w:pPr>
      <w:r>
        <w:rPr>
          <w:b/>
        </w:rPr>
        <w:t xml:space="preserve">Abstract (EN): </w:t>
      </w:r>
      <w:r>
        <w:t>Aging is intimately entangled with the reprogramming of metabolic pathways that coordinate energy production, biosynthesis, and molecular turnover. However, visualizing and understanding these metabolic underpinnings within their spatial and temporal contexts remains a major challenge. Metabolic imaging has emerged as a transformative approach that enables spatially resolved visualization of metabolic dynamics both at the molecular or cellular and organismal levels. In this review, we summarize recent advances and applications of metabolic imaging in probing aging biology, with particular emphasis on multimodal nonlinear optical imaging techniques and their applications across diverse aging models. Optical metabolic imaging provides unique insights into the mechanisms of aging by capturing metabolic alterations that span from organelle-level interactions to tissue-scale remodeling. Optical metabolic imaging enables the label-free detection of early metabolic shifts in vivo, representing an emerging frontier in aging research. Looking ahead, optical metabolic imaging holds great promise as a practical and powerful tool for clinical translation, advancing precision medicine and enhancing the diagnosis, monitoring, and evaluation of aging processes to promote human health span and longevity.</w:t>
      </w:r>
    </w:p>
    <w:p>
      <w:pPr>
        <w:spacing w:before="120" w:after="120"/>
      </w:pPr>
      <w:r>
        <w:rPr>
          <w:sz w:val="18"/>
        </w:rPr>
        <w:t>——————————————————————————————————————————————————————————————————————</w:t>
      </w:r>
    </w:p>
    <w:p>
      <w:pPr>
        <w:spacing w:before="160" w:after="40" w:line="240" w:lineRule="auto"/>
      </w:pPr>
      <w:r>
        <w:rPr>
          <w:b/>
        </w:rPr>
        <w:t xml:space="preserve">[464] </w:t>
      </w:r>
      <w:hyperlink r:id="rId1006">
        <w:r>
          <w:rPr>
            <w:color w:val="1155CC"/>
            <w:u w:val="single"/>
          </w:rPr>
          <w:t>通过季铵调节网络的抗冲击水凝胶</w:t>
        </w:r>
      </w:hyperlink>
    </w:p>
    <w:p>
      <w:pPr>
        <w:spacing w:before="0" w:after="80"/>
      </w:pPr>
      <w:r>
        <w:rPr>
          <w:i/>
          <w:sz w:val="20"/>
        </w:rPr>
        <w:t>EN: Impact‐Resistant Hydrogels Via Quaternary Ammonium‐Regulated Networks</w:t>
      </w:r>
    </w:p>
    <w:p>
      <w:pPr>
        <w:spacing w:before="0" w:after="120"/>
      </w:pPr>
      <w:r>
        <w:rPr>
          <w:b/>
        </w:rPr>
        <w:t xml:space="preserve">Source: </w:t>
      </w:r>
      <w:r>
        <w:t>Wiley: Advanced Materials: Table of Contents</w:t>
      </w:r>
      <w:r>
        <w:t xml:space="preserve">    </w:t>
      </w:r>
      <w:r>
        <w:rPr>
          <w:b/>
        </w:rPr>
        <w:t xml:space="preserve">Pub date: </w:t>
      </w:r>
      <w:r>
        <w:t>2026-07-01 08:45:32+00:00</w:t>
      </w:r>
      <w:r>
        <w:t xml:space="preserve">    </w:t>
      </w:r>
      <w:r>
        <w:rPr>
          <w:b/>
        </w:rPr>
        <w:t xml:space="preserve">DOI: </w:t>
      </w:r>
      <w:hyperlink r:id="rId1007">
        <w:r>
          <w:rPr>
            <w:color w:val="1155CC"/>
            <w:u w:val="single"/>
          </w:rPr>
          <w:t>10.1002/adma.73787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水凝胶具有生物相容性、柔软性和设计多功能性，因此越来越多地被探索作为冲击缓解和保护系统的结构候选材料。然而，传统的水凝胶通常存在机械性能不足和环境不稳定的问题，这严重阻碍了其实际应用。在这里，我们报告使用季铵调节网络来克服这些限制，而不需要繁琐的后处理或高能耗。该方法能够在含有规则间隔的极性基团（例如聚乙烯醇、聚丙烯酸和聚丙烯酰胺）的聚合物中实现受控的结构组织，将大的、密集的刚性域转变为动态的、适应性强的超分子结构。这是由强季铵聚合物缔合引起的，季铵聚合物缔合限制了局部链的流动性并促进有序的链段堆积。因此，通过调整聚合物成分，水凝胶具有从脆性到延性行为的广泛可调力学性能，极限应力为 32.9–101.9 MPa，应变为 29%–1670%，韧性值为 22.7–434.1 MJ m</w:t>
      </w:r>
      <w:r>
        <w:t xml:space="preserve"> </w:t>
      </w:r>
      <w:r>
        <w:t>-</w:t>
      </w:r>
      <w:r>
        <w:rPr>
          <w:vertAlign w:val="subscript"/>
        </w:rPr>
        <w:t>3</w:t>
      </w:r>
      <w:r>
        <w:t>。它们还表现出卓越的抗冲击性能（426.7 MPa），以及高能量耗散（96.02%）和抗穿刺性能（1.3 J），这与其他坚韧水凝胶甚至天然材料相比毫不逊色。所提出的策略可推广到其他聚合物，并可以扩展应用范围</w:t>
      </w:r>
    </w:p>
    <w:p>
      <w:pPr>
        <w:spacing w:before="0" w:after="200" w:lineRule="auto" w:line="276"/>
      </w:pPr>
      <w:r>
        <w:rPr>
          <w:b/>
        </w:rPr>
        <w:t xml:space="preserve">Abstract (EN): </w:t>
      </w:r>
      <w:r>
        <w:t>Hydrogels are increasingly explored as structural candidates for impact‐mitigation and protection systems because of their biocompatibility, softness, and design versatility. However, conventional hydrogels typically suffer from inadequate mechanical properties and environmental instability, which severely hamper their practical applications. Here we report the use of quaternary ammonium‐regulated networks to overcome these limitations, without the need for cumbersome postprocessing or high energy consumption. The approach enables controlled structural organization in polymers containing regularly spaced polar groups (e.g., polyvinyl alcohol, poly(acrylic acid), and polyacrylamide), transforming large, densely packed rigid domains into dynamic, adaptable supramolecular architectures. This arises from strong quaternary‐ammonium–polymer associations that restrict local chain mobility and promote ordered segmental packing. Consequently, by tuning polymer composition, the hydrogels have widely tunable mechanics from brittle to ductile behavior, with ultimate stresses of 32.9–101.9 MPa, strains of 29%–1670%, and toughness values of 22.7–434.1 MJ m</w:t>
      </w:r>
      <w:r>
        <w:t xml:space="preserve"> </w:t>
      </w:r>
      <w:r>
        <w:t>−</w:t>
      </w:r>
      <w:r>
        <w:rPr>
          <w:vertAlign w:val="subscript"/>
        </w:rPr>
        <w:t>3</w:t>
      </w:r>
      <w:r>
        <w:t>. They also show exceptional impact‐resistant performance (426.7 MPa), combined with high energy dissipation (96.02%) and puncture resistance (1.3 J), which compares favorably to those of other tough hydrogels and even natural materials. The presented strategy is generalizable to other polymers, and could expand the applicability of structural hydrogels to more mechanically demanding conditions.</w:t>
      </w:r>
    </w:p>
    <w:p>
      <w:pPr>
        <w:spacing w:before="120" w:after="120"/>
      </w:pPr>
      <w:r>
        <w:rPr>
          <w:sz w:val="18"/>
        </w:rPr>
        <w:t>——————————————————————————————————————————————————————————————————————</w:t>
      </w:r>
    </w:p>
    <w:p>
      <w:pPr>
        <w:spacing w:before="160" w:after="40" w:line="240" w:lineRule="auto"/>
      </w:pPr>
      <w:r>
        <w:rPr>
          <w:b/>
        </w:rPr>
        <w:t xml:space="preserve">[465] </w:t>
      </w:r>
      <w:hyperlink r:id="rId1008">
        <w:r>
          <w:rPr>
            <w:color w:val="1155CC"/>
            <w:u w:val="single"/>
          </w:rPr>
          <w:t>搜索 $3α$ 阈值附近的 Efimov 态</w:t>
        </w:r>
      </w:hyperlink>
    </w:p>
    <w:p>
      <w:pPr>
        <w:spacing w:before="0" w:after="80"/>
      </w:pPr>
      <w:r>
        <w:rPr>
          <w:i/>
          <w:sz w:val="20"/>
        </w:rPr>
        <w:t>EN: Search for the Efimov state near the $3α$ threshold</w:t>
      </w:r>
    </w:p>
    <w:p>
      <w:pPr>
        <w:spacing w:before="0" w:after="120"/>
      </w:pPr>
      <w:r>
        <w:rPr>
          <w:b/>
        </w:rPr>
        <w:t xml:space="preserve">Source: </w:t>
      </w:r>
      <w:r>
        <w:t>Recent Articles in Phys. Rev. C</w:t>
      </w:r>
      <w:r>
        <w:t xml:space="preserve">    </w:t>
      </w:r>
      <w:r>
        <w:rPr>
          <w:b/>
        </w:rPr>
        <w:t xml:space="preserve">Pub date: </w:t>
      </w:r>
      <w:r>
        <w:t>2026-07-01 10:00:00+00:00</w:t>
      </w:r>
      <w:r>
        <w:t xml:space="preserve">    </w:t>
      </w:r>
      <w:r>
        <w:rPr>
          <w:b/>
        </w:rPr>
        <w:t xml:space="preserve">DOI: </w:t>
      </w:r>
      <w:hyperlink r:id="rId1009">
        <w:r>
          <w:rPr>
            <w:color w:val="1155CC"/>
            <w:u w:val="single"/>
          </w:rPr>
          <w:t>10.1103/zdpd-v5fp</w:t>
        </w:r>
      </w:hyperlink>
    </w:p>
    <w:p>
      <w:pPr>
        <w:spacing w:before="0" w:after="120"/>
      </w:pPr>
      <w:r>
        <w:rPr>
          <w:b/>
        </w:rPr>
        <w:t xml:space="preserve">Notes: </w:t>
      </w:r>
      <w:r>
        <w:t>abstract_source=rss_description</w:t>
      </w:r>
    </w:p>
    <w:p>
      <w:pPr>
        <w:spacing w:before="0" w:after="80" w:lineRule="auto" w:line="276"/>
      </w:pPr>
      <w:r>
        <w:rPr>
          <w:b/>
        </w:rPr>
        <w:t xml:space="preserve">摘要（ZH）: </w:t>
      </w:r>
      <w:r>
        <w:t>作者：A. Baishya、S. Santra、T. Singh、P. C. Rout、A. Pal、H. Kumawat、T. Santhosh、P. Taya、M. Meher 和 Jyotisankar Das 进行了高精度实验，以寻找 7.458 MeV 激发能下 $^{12}\mathrm{C}$ 中预测的 Efimov 态。使用最先进的探测器系统和新颖的分析技术，可以在高于……[Phys. Rev. C 114, 014602] 2026 年 7 月 1 日星期三发布</w:t>
      </w:r>
    </w:p>
    <w:p>
      <w:pPr>
        <w:spacing w:before="0" w:after="200" w:lineRule="auto" w:line="276"/>
      </w:pPr>
      <w:r>
        <w:rPr>
          <w:b/>
        </w:rPr>
        <w:t xml:space="preserve">Abstract (EN): </w:t>
      </w:r>
      <w:r>
        <w:t>Author(s): A. Baishya, S. Santra, T. Singh, P. C. Rout, A. Pal, H. Kumawat, T. Santhosh, P. Taya, M. Meher, and Jyotisankar DasA high-precision experiment in search of the predicted Efimov state in $^{12}\mathrm{C}$ at 7.458 MeV excitation energy was performed. Using a state-of-the-art detector system and novel analysis techniques, it was possible to isolate potential Efimov state events at the predicted energy level above …[Phys. Rev. C 114, 014602] Published Wed Jul 01, 2026</w:t>
      </w:r>
    </w:p>
    <w:p>
      <w:pPr>
        <w:spacing w:before="120" w:after="120"/>
      </w:pPr>
      <w:r>
        <w:rPr>
          <w:sz w:val="18"/>
        </w:rPr>
        <w:t>——————————————————————————————————————————————————————————————————————</w:t>
      </w:r>
    </w:p>
    <w:p>
      <w:pPr>
        <w:spacing w:before="160" w:after="40" w:line="240" w:lineRule="auto"/>
      </w:pPr>
      <w:r>
        <w:rPr>
          <w:b/>
        </w:rPr>
        <w:t xml:space="preserve">[466] </w:t>
      </w:r>
      <w:hyperlink r:id="rId1010">
        <w:r>
          <w:rPr>
            <w:color w:val="1155CC"/>
            <w:u w:val="single"/>
          </w:rPr>
          <w:t>BNL 相对论重离子对撞机可用能量下质子和反质子的压缩光谱和背靠背相关性</w:t>
        </w:r>
      </w:hyperlink>
    </w:p>
    <w:p>
      <w:pPr>
        <w:spacing w:before="0" w:after="80"/>
      </w:pPr>
      <w:r>
        <w:rPr>
          <w:i/>
          <w:sz w:val="20"/>
        </w:rPr>
        <w:t>EN: Squeezed spectra and back-to-back correlations of protons and antiprotons at energies available at the BNL Relativistic Heavy Ion Collider</w:t>
      </w:r>
    </w:p>
    <w:p>
      <w:pPr>
        <w:spacing w:before="0" w:after="120"/>
      </w:pPr>
      <w:r>
        <w:rPr>
          <w:b/>
        </w:rPr>
        <w:t xml:space="preserve">Source: </w:t>
      </w:r>
      <w:r>
        <w:t>Recent Articles in Phys. Rev. C</w:t>
      </w:r>
      <w:r>
        <w:t xml:space="preserve">    </w:t>
      </w:r>
      <w:r>
        <w:rPr>
          <w:b/>
        </w:rPr>
        <w:t xml:space="preserve">Pub date: </w:t>
      </w:r>
      <w:r>
        <w:t>2026-07-01 10:00:00+00:00</w:t>
      </w:r>
      <w:r>
        <w:t xml:space="preserve">    </w:t>
      </w:r>
      <w:r>
        <w:rPr>
          <w:b/>
        </w:rPr>
        <w:t xml:space="preserve">DOI: </w:t>
      </w:r>
      <w:hyperlink r:id="rId1011">
        <w:r>
          <w:rPr>
            <w:color w:val="1155CC"/>
            <w:u w:val="single"/>
          </w:rPr>
          <w:t>10.1103/mtjg-rff8</w:t>
        </w:r>
      </w:hyperlink>
    </w:p>
    <w:p>
      <w:pPr>
        <w:spacing w:before="0" w:after="120"/>
      </w:pPr>
      <w:r>
        <w:rPr>
          <w:b/>
        </w:rPr>
        <w:t xml:space="preserve">Notes: </w:t>
      </w:r>
      <w:r>
        <w:t>abstract_source=rss_description</w:t>
      </w:r>
    </w:p>
    <w:p>
      <w:pPr>
        <w:spacing w:before="0" w:after="80" w:lineRule="auto" w:line="276"/>
      </w:pPr>
      <w:r>
        <w:rPr>
          <w:b/>
        </w:rPr>
        <w:t xml:space="preserve">摘要（ZH）: </w:t>
      </w:r>
      <w:r>
        <w:t>作者：张勇本研究通过理论计算与实验横向动量谱以及质子和反质子的屈服比$\overline{p}/p$的比较，限制了中等质量改性的范围。基于约束范围和具有径向流的高斯源模型，……[Phys。 Rev. C 114, 014901] 2026 年 7 月 1 日星期三发布</w:t>
      </w:r>
    </w:p>
    <w:p>
      <w:pPr>
        <w:spacing w:before="0" w:after="200" w:lineRule="auto" w:line="276"/>
      </w:pPr>
      <w:r>
        <w:rPr>
          <w:b/>
        </w:rPr>
        <w:t xml:space="preserve">Abstract (EN): </w:t>
      </w:r>
      <w:r>
        <w:t>Author(s): Yong ZhangThis study constrains the range of in-medium mass modification through a comparison of theoretical calculations with experimental transverse momentum spectra and the yield ratio $\overline{p}/p$ of protons and antiprotons. Based on the constrained range and a Gaussian source model with radial flow, …[Phys. Rev. C 114, 014901] Published Wed Jul 01, 2026</w:t>
      </w:r>
    </w:p>
    <w:p>
      <w:pPr>
        <w:spacing w:before="120" w:after="120"/>
      </w:pPr>
      <w:r>
        <w:rPr>
          <w:sz w:val="18"/>
        </w:rPr>
        <w:t>——————————————————————————————————————————————————————————————————————</w:t>
      </w:r>
    </w:p>
    <w:p>
      <w:pPr>
        <w:spacing w:before="160" w:after="40" w:line="240" w:lineRule="auto"/>
      </w:pPr>
      <w:r>
        <w:rPr>
          <w:b/>
        </w:rPr>
        <w:t xml:space="preserve">[467] </w:t>
      </w:r>
      <w:hyperlink r:id="rId1012">
        <w:r>
          <w:rPr>
            <w:color w:val="1155CC"/>
            <w:u w:val="single"/>
          </w:rPr>
          <w:t>直接观察${\mathrm{BaTiO}}_{3}$晶体中临界点附近的结构无序</w:t>
        </w:r>
      </w:hyperlink>
    </w:p>
    <w:p>
      <w:pPr>
        <w:spacing w:before="0" w:after="80"/>
      </w:pPr>
      <w:r>
        <w:rPr>
          <w:i/>
          <w:sz w:val="20"/>
        </w:rPr>
        <w:t>EN: Direct Observation of Structural Disorder Near Critical Point in ${\mathrm{BaTiO}}_{3}$ Crystal</w:t>
      </w:r>
    </w:p>
    <w:p>
      <w:pPr>
        <w:spacing w:before="0" w:after="120"/>
      </w:pPr>
      <w:r>
        <w:rPr>
          <w:b/>
        </w:rPr>
        <w:t xml:space="preserve">Source: </w:t>
      </w:r>
      <w:r>
        <w:t>Recent Articles in Phys. Rev. Lett.</w:t>
      </w:r>
      <w:r>
        <w:t xml:space="preserve">    </w:t>
      </w:r>
      <w:r>
        <w:rPr>
          <w:b/>
        </w:rPr>
        <w:t xml:space="preserve">Pub date: </w:t>
      </w:r>
      <w:r>
        <w:t>2026-07-01 10:00:00+00:00</w:t>
      </w:r>
      <w:r>
        <w:t xml:space="preserve">    </w:t>
      </w:r>
      <w:r>
        <w:rPr>
          <w:b/>
        </w:rPr>
        <w:t xml:space="preserve">DOI: </w:t>
      </w:r>
      <w:hyperlink r:id="rId1013">
        <w:r>
          <w:rPr>
            <w:color w:val="1155CC"/>
            <w:u w:val="single"/>
          </w:rPr>
          <w:t>10.1103/qhn9-42d5</w:t>
        </w:r>
      </w:hyperlink>
    </w:p>
    <w:p>
      <w:pPr>
        <w:spacing w:before="0" w:after="120"/>
      </w:pPr>
      <w:r>
        <w:rPr>
          <w:b/>
        </w:rPr>
        <w:t xml:space="preserve">Notes: </w:t>
      </w:r>
      <w:r>
        <w:t>abstract_source=rss_description</w:t>
      </w:r>
    </w:p>
    <w:p>
      <w:pPr>
        <w:spacing w:before="0" w:after="80" w:lineRule="auto" w:line="276"/>
      </w:pPr>
      <w:r>
        <w:rPr>
          <w:b/>
        </w:rPr>
        <w:t xml:space="preserve">摘要（ZH）: </w:t>
      </w:r>
      <w:r>
        <w:t>作者：Min-Chul Kang、Joshua Townsend、Sergey Lisenkov、Inna Ponomareva、Xiaoli Tan 和 Lin Zhou 铁电体中的临界点 (CP) 以其与巨大介电和机电响应的关联而闻名，但其结构起源，尤其是在非弛豫系统中，仍不清楚。我们将原位偏压加热透射电子显微镜与第一原理结合起来……[物理。莱特牧师。 137, 016102] 2026 年 7 月 1 日星期三发布</w:t>
      </w:r>
    </w:p>
    <w:p>
      <w:pPr>
        <w:spacing w:before="0" w:after="200" w:lineRule="auto" w:line="276"/>
      </w:pPr>
      <w:r>
        <w:rPr>
          <w:b/>
        </w:rPr>
        <w:t xml:space="preserve">Abstract (EN): </w:t>
      </w:r>
      <w:r>
        <w:t>Author(s): Min-Chul Kang, Joshua Townsend, Sergey Lisenkov, Inna Ponomareva, Xiaoli Tan, and Lin ZhouCritical points (CPs) in ferroelectrics are known for their association with giant dielectric and electromechanical responses, yet their structural origin, especially in nonrelaxor systems, remains unclear. We combine in situ biasing-heating transmission electron microscopy with first-principles-bas…[Phys. Rev. Lett. 137, 016102] Published Wed Jul 01, 2026</w:t>
      </w:r>
    </w:p>
    <w:p>
      <w:pPr>
        <w:spacing w:before="120" w:after="120"/>
      </w:pPr>
      <w:r>
        <w:rPr>
          <w:sz w:val="18"/>
        </w:rPr>
        <w:t>——————————————————————————————————————————————————————————————————————</w:t>
      </w:r>
    </w:p>
    <w:p>
      <w:pPr>
        <w:spacing w:before="160" w:after="40" w:line="240" w:lineRule="auto"/>
      </w:pPr>
      <w:r>
        <w:rPr>
          <w:b/>
        </w:rPr>
        <w:t xml:space="preserve">[468] </w:t>
      </w:r>
      <w:hyperlink r:id="rId1014">
        <w:r>
          <w:rPr>
            <w:color w:val="1155CC"/>
            <w:u w:val="single"/>
          </w:rPr>
          <w:t>自洽多电子理论中误导性收敛的起源：基本方面和实际意义</w:t>
        </w:r>
      </w:hyperlink>
    </w:p>
    <w:p>
      <w:pPr>
        <w:spacing w:before="0" w:after="80"/>
      </w:pPr>
      <w:r>
        <w:rPr>
          <w:i/>
          <w:sz w:val="20"/>
        </w:rPr>
        <w:t>EN: Origin of Misleading Convergence in Self-Consistent Many-Electron Theories: Fundamental Aspects and Practical Implications</w:t>
      </w:r>
    </w:p>
    <w:p>
      <w:pPr>
        <w:spacing w:before="0" w:after="120"/>
      </w:pPr>
      <w:r>
        <w:rPr>
          <w:b/>
        </w:rPr>
        <w:t xml:space="preserve">Source: </w:t>
      </w:r>
      <w:r>
        <w:t>Recent Articles in Phys. Rev. Lett.</w:t>
      </w:r>
      <w:r>
        <w:t xml:space="preserve">    </w:t>
      </w:r>
      <w:r>
        <w:rPr>
          <w:b/>
        </w:rPr>
        <w:t xml:space="preserve">Pub date: </w:t>
      </w:r>
      <w:r>
        <w:t>2026-07-01 10:00:00+00:00</w:t>
      </w:r>
      <w:r>
        <w:t xml:space="preserve">    </w:t>
      </w:r>
      <w:r>
        <w:rPr>
          <w:b/>
        </w:rPr>
        <w:t xml:space="preserve">DOI: </w:t>
      </w:r>
      <w:hyperlink r:id="rId1015">
        <w:r>
          <w:rPr>
            <w:color w:val="1155CC"/>
            <w:u w:val="single"/>
          </w:rPr>
          <w:t>10.1103/zjy7-4jqd</w:t>
        </w:r>
      </w:hyperlink>
    </w:p>
    <w:p>
      <w:pPr>
        <w:spacing w:before="0" w:after="120"/>
      </w:pPr>
      <w:r>
        <w:rPr>
          <w:b/>
        </w:rPr>
        <w:t xml:space="preserve">Notes: </w:t>
      </w:r>
      <w:r>
        <w:t>abstract_source=rss_description</w:t>
      </w:r>
    </w:p>
    <w:p>
      <w:pPr>
        <w:spacing w:before="0" w:after="80" w:lineRule="auto" w:line="276"/>
      </w:pPr>
      <w:r>
        <w:rPr>
          <w:b/>
        </w:rPr>
        <w:t xml:space="preserve">摘要（ZH）: </w:t>
      </w:r>
      <w:r>
        <w:t>作者：Herbert Eßl、Matthias Reitner、Evgeny Kozik 和 Alessandro Toschi 从 Luttinger-Ward 泛函的分支中正式解开迭代多体方案中观察到的误导性收敛问题，提供了一种严格的、与模型无关的收敛到物理解决方案的过程。莱特牧师。 137, 016502] 2026 年 7 月 1 日星期三发布</w:t>
      </w:r>
    </w:p>
    <w:p>
      <w:pPr>
        <w:spacing w:before="0" w:after="200" w:lineRule="auto" w:line="276"/>
      </w:pPr>
      <w:r>
        <w:rPr>
          <w:b/>
        </w:rPr>
        <w:t xml:space="preserve">Abstract (EN): </w:t>
      </w:r>
      <w:r>
        <w:t>Author(s): Herbert Eßl, Matthias Reitner, Evgeny Kozik, and Alessandro ToschiFormally disentangling the issue of misleading convergence observed in iterative many-body schemes from the branching of the Luttinger-Ward functional provides a rigorous, model-independent procedure converging to a physical solution.[Phys. Rev. Lett. 137, 016502] Published Wed Jul 01, 2026</w:t>
      </w:r>
    </w:p>
    <w:p>
      <w:pPr>
        <w:spacing w:before="120" w:after="120"/>
      </w:pPr>
      <w:r>
        <w:rPr>
          <w:sz w:val="18"/>
        </w:rPr>
        <w:t>——————————————————————————————————————————————————————————————————————</w:t>
      </w:r>
    </w:p>
    <w:p>
      <w:pPr>
        <w:spacing w:before="160" w:after="40" w:line="240" w:lineRule="auto"/>
      </w:pPr>
      <w:r>
        <w:rPr>
          <w:b/>
        </w:rPr>
        <w:t xml:space="preserve">[469] </w:t>
      </w:r>
      <w:hyperlink r:id="rId1016">
        <w:r>
          <w:rPr>
            <w:color w:val="1155CC"/>
            <w:u w:val="single"/>
          </w:rPr>
          <w:t>用于耦合离子电子转移的从头算自由能表面</w:t>
        </w:r>
      </w:hyperlink>
    </w:p>
    <w:p>
      <w:pPr>
        <w:spacing w:before="0" w:after="80"/>
      </w:pPr>
      <w:r>
        <w:rPr>
          <w:i/>
          <w:sz w:val="20"/>
        </w:rPr>
        <w:t>EN: Ab Initio Free-Energy Surfaces for Coupled Ion-Electron Transfer</w:t>
      </w:r>
    </w:p>
    <w:p>
      <w:pPr>
        <w:spacing w:before="0" w:after="120"/>
      </w:pPr>
      <w:r>
        <w:rPr>
          <w:b/>
        </w:rPr>
        <w:t xml:space="preserve">Source: </w:t>
      </w:r>
      <w:r>
        <w:t>Recent Articles in Phys. Rev. Lett.</w:t>
      </w:r>
      <w:r>
        <w:t xml:space="preserve">    </w:t>
      </w:r>
      <w:r>
        <w:rPr>
          <w:b/>
        </w:rPr>
        <w:t xml:space="preserve">Pub date: </w:t>
      </w:r>
      <w:r>
        <w:t>2026-07-01 10:00:00+00:00</w:t>
      </w:r>
      <w:r>
        <w:t xml:space="preserve">    </w:t>
      </w:r>
      <w:r>
        <w:rPr>
          <w:b/>
        </w:rPr>
        <w:t xml:space="preserve">DOI: </w:t>
      </w:r>
      <w:hyperlink r:id="rId1017">
        <w:r>
          <w:rPr>
            <w:color w:val="1155CC"/>
            <w:u w:val="single"/>
          </w:rPr>
          <w:t>10.1103/dct7-q652</w:t>
        </w:r>
      </w:hyperlink>
    </w:p>
    <w:p>
      <w:pPr>
        <w:spacing w:before="0" w:after="120"/>
      </w:pPr>
      <w:r>
        <w:rPr>
          <w:b/>
        </w:rPr>
        <w:t xml:space="preserve">Notes: </w:t>
      </w:r>
      <w:r>
        <w:t>abstract_source=rss_description</w:t>
      </w:r>
    </w:p>
    <w:p>
      <w:pPr>
        <w:spacing w:before="0" w:after="80" w:lineRule="auto" w:line="276"/>
      </w:pPr>
      <w:r>
        <w:rPr>
          <w:b/>
        </w:rPr>
        <w:t xml:space="preserve">摘要（ZH）: </w:t>
      </w:r>
      <w:r>
        <w:t>作者：Ethan Abraham、Martin Z. Bazant 和 Troy Van Voorhis 物理上一致的形式主义通过从受约束的从头开始轨迹计算有限温度耦合离子电子转移自由能表面，为电化学电流-超电势关系提供了第一原理途径。莱特牧师。 137, 018001] 2026 年 7 月 1 日星期三发布</w:t>
      </w:r>
    </w:p>
    <w:p>
      <w:pPr>
        <w:spacing w:before="0" w:after="200" w:lineRule="auto" w:line="276"/>
      </w:pPr>
      <w:r>
        <w:rPr>
          <w:b/>
        </w:rPr>
        <w:t xml:space="preserve">Abstract (EN): </w:t>
      </w:r>
      <w:r>
        <w:t>Author(s): Ethan Abraham, Martin Z. Bazant, and Troy Van VoorhisA physically consistent formalism provides a first-principles route to electrochemical current-overpotential relations by computing finite-temperature coupled ion-electron transfer free-energy surfaces from constrained ab initio trajectories.[Phys. Rev. Lett. 137, 018001] Published Wed Jul 01, 2026</w:t>
      </w:r>
    </w:p>
    <w:p>
      <w:pPr>
        <w:spacing w:before="120" w:after="120"/>
      </w:pPr>
      <w:r>
        <w:rPr>
          <w:sz w:val="18"/>
        </w:rPr>
        <w:t>——————————————————————————————————————————————————————————————————————</w:t>
      </w:r>
    </w:p>
    <w:p>
      <w:pPr>
        <w:spacing w:before="160" w:after="40" w:line="240" w:lineRule="auto"/>
      </w:pPr>
      <w:r>
        <w:rPr>
          <w:b/>
        </w:rPr>
        <w:t xml:space="preserve">[470] </w:t>
      </w:r>
      <w:hyperlink r:id="rId1018">
        <w:r>
          <w:rPr>
            <w:color w:val="1155CC"/>
            <w:u w:val="single"/>
          </w:rPr>
          <w:t>各向同性带间耦合引起的单向引导谐振的连续环</w:t>
        </w:r>
      </w:hyperlink>
    </w:p>
    <w:p>
      <w:pPr>
        <w:spacing w:before="0" w:after="80"/>
      </w:pPr>
      <w:r>
        <w:rPr>
          <w:i/>
          <w:sz w:val="20"/>
        </w:rPr>
        <w:t>EN: Continuous Ring of Unidirectional Guided Resonances Induced by Isotropic Interband Coupling</w:t>
      </w:r>
    </w:p>
    <w:p>
      <w:pPr>
        <w:spacing w:before="0" w:after="120"/>
      </w:pPr>
      <w:r>
        <w:rPr>
          <w:b/>
        </w:rPr>
        <w:t xml:space="preserve">Source: </w:t>
      </w:r>
      <w:r>
        <w:t>Recent Articles in Phys. Rev. Lett.</w:t>
      </w:r>
      <w:r>
        <w:t xml:space="preserve">    </w:t>
      </w:r>
      <w:r>
        <w:rPr>
          <w:b/>
        </w:rPr>
        <w:t xml:space="preserve">Pub date: </w:t>
      </w:r>
      <w:r>
        <w:t>2026-07-01 10:00:00+00:00</w:t>
      </w:r>
      <w:r>
        <w:t xml:space="preserve">    </w:t>
      </w:r>
      <w:r>
        <w:rPr>
          <w:b/>
        </w:rPr>
        <w:t xml:space="preserve">DOI: </w:t>
      </w:r>
      <w:hyperlink r:id="rId1019">
        <w:r>
          <w:rPr>
            <w:color w:val="1155CC"/>
            <w:u w:val="single"/>
          </w:rPr>
          <w:t>10.1103/qlgy-fj7k</w:t>
        </w:r>
      </w:hyperlink>
    </w:p>
    <w:p>
      <w:pPr>
        <w:spacing w:before="0" w:after="120"/>
      </w:pPr>
      <w:r>
        <w:rPr>
          <w:b/>
        </w:rPr>
        <w:t xml:space="preserve">Notes: </w:t>
      </w:r>
      <w:r>
        <w:t>abstract_source=rss_description</w:t>
      </w:r>
    </w:p>
    <w:p>
      <w:pPr>
        <w:spacing w:before="0" w:after="80" w:lineRule="auto" w:line="276"/>
      </w:pPr>
      <w:r>
        <w:rPr>
          <w:b/>
        </w:rPr>
        <w:t xml:space="preserve">摘要（ZH）: </w:t>
      </w:r>
      <w:r>
        <w:t>作者：Zengping Su、Wei Li、Jue Li、Haoyeqin、Yongkang Wang、Wenjing Lv、Mengyao Li、Bo Li 和 Qinghua Song 通过在双层光子晶体中设计各向同性带间耦合，构建了拓扑保护的单向引导谐振连续环，将涡旋激光发射锁定在单一方向。莱特牧师。 137, 016201] 2026 年 7 月 1 日星期三发布</w:t>
      </w:r>
    </w:p>
    <w:p>
      <w:pPr>
        <w:spacing w:before="0" w:after="200" w:lineRule="auto" w:line="276"/>
      </w:pPr>
      <w:r>
        <w:rPr>
          <w:b/>
        </w:rPr>
        <w:t xml:space="preserve">Abstract (EN): </w:t>
      </w:r>
      <w:r>
        <w:t>Author(s): Zengping Su, Wei Li, Jue Li, Haoye Qin, Yongkang Wang, Wenjing Lv, Mengyao Li, Bo Li, and Qinghua SongTopologically protected, continuous ring of unidirectional guided resonances that locks vortex laser emission into a single direction is constructed by engineering isotropic interband coupling in a bilayer photonic crystal.[Phys. Rev. Lett. 137, 016201] Published Wed Jul 01, 2026</w:t>
      </w:r>
    </w:p>
    <w:p>
      <w:pPr>
        <w:spacing w:before="120" w:after="120"/>
      </w:pPr>
      <w:r>
        <w:rPr>
          <w:sz w:val="18"/>
        </w:rPr>
        <w:t>——————————————————————————————————————————————————————————————————————</w:t>
      </w:r>
    </w:p>
    <w:p>
      <w:pPr>
        <w:spacing w:before="160" w:after="40" w:line="240" w:lineRule="auto"/>
      </w:pPr>
      <w:r>
        <w:rPr>
          <w:b/>
        </w:rPr>
        <w:t xml:space="preserve">[471] </w:t>
      </w:r>
      <w:hyperlink r:id="rId1020">
        <w:r>
          <w:rPr>
            <w:color w:val="1155CC"/>
            <w:u w:val="single"/>
          </w:rPr>
          <w:t>用光镊操纵显微里德伯电子轨道</w:t>
        </w:r>
      </w:hyperlink>
    </w:p>
    <w:p>
      <w:pPr>
        <w:spacing w:before="0" w:after="80"/>
      </w:pPr>
      <w:r>
        <w:rPr>
          <w:i/>
          <w:sz w:val="20"/>
        </w:rPr>
        <w:t>EN: Microscopic Rydberg Electron Orbit Manipulation with Optical Tweezers</w:t>
      </w:r>
    </w:p>
    <w:p>
      <w:pPr>
        <w:spacing w:before="0" w:after="120"/>
      </w:pPr>
      <w:r>
        <w:rPr>
          <w:b/>
        </w:rPr>
        <w:t xml:space="preserve">Source: </w:t>
      </w:r>
      <w:r>
        <w:t>Recent Articles in Phys. Rev. Lett.</w:t>
      </w:r>
      <w:r>
        <w:t xml:space="preserve">    </w:t>
      </w:r>
      <w:r>
        <w:rPr>
          <w:b/>
        </w:rPr>
        <w:t xml:space="preserve">Pub date: </w:t>
      </w:r>
      <w:r>
        <w:t>2026-07-01 10:00:00+00:00</w:t>
      </w:r>
      <w:r>
        <w:t xml:space="preserve">    </w:t>
      </w:r>
      <w:r>
        <w:rPr>
          <w:b/>
        </w:rPr>
        <w:t xml:space="preserve">DOI: </w:t>
      </w:r>
      <w:hyperlink r:id="rId1021">
        <w:r>
          <w:rPr>
            <w:color w:val="1155CC"/>
            <w:u w:val="single"/>
          </w:rPr>
          <w:t>10.1103/3tq7-ywf6</w:t>
        </w:r>
      </w:hyperlink>
    </w:p>
    <w:p>
      <w:pPr>
        <w:spacing w:before="0" w:after="120"/>
      </w:pPr>
      <w:r>
        <w:rPr>
          <w:b/>
        </w:rPr>
        <w:t xml:space="preserve">Notes: </w:t>
      </w:r>
      <w:r>
        <w:t>abstract_source=rss_description</w:t>
      </w:r>
    </w:p>
    <w:p>
      <w:pPr>
        <w:spacing w:before="0" w:after="80" w:lineRule="auto" w:line="276"/>
      </w:pPr>
      <w:r>
        <w:rPr>
          <w:b/>
        </w:rPr>
        <w:t xml:space="preserve">摘要（ZH）: </w:t>
      </w:r>
      <w:r>
        <w:t>作者：Homar Rivera-Rodríguez、Matthew T. Eiles、Tilman Pfau 和 Florian Meinert 光学势中原子物质波的激光冷却和捕获使量子科学取得了快速进展，特别是与原子的里德伯激发相结合以诱导长程相互作用时。在这里，我们提出了电的局部操纵和时空雕刻……[物理。莱特牧师。 137, 013401] 2026 年 7 月 1 日星期三发布</w:t>
      </w:r>
    </w:p>
    <w:p>
      <w:pPr>
        <w:spacing w:before="0" w:after="200" w:lineRule="auto" w:line="276"/>
      </w:pPr>
      <w:r>
        <w:rPr>
          <w:b/>
        </w:rPr>
        <w:t xml:space="preserve">Abstract (EN): </w:t>
      </w:r>
      <w:r>
        <w:t>Author(s): Homar Rivera-Rodríguez, Matthew T. Eiles, Tilman Pfau, and Florian MeinertLaser cooling and trapping of atomic matter waves in optical potentials has enabled rapid progress in quantum science, particularly when combined with Rydberg excitation of the atoms to induce long-range interactions. Here, we propose the local manipulation and spatiotemporal sculpting of the electr…[Phys. Rev. Lett. 137, 013401] Published Wed Jul 01, 2026</w:t>
      </w:r>
    </w:p>
    <w:p>
      <w:pPr>
        <w:spacing w:before="120" w:after="120"/>
      </w:pPr>
      <w:r>
        <w:rPr>
          <w:sz w:val="18"/>
        </w:rPr>
        <w:t>——————————————————————————————————————————————————————————————————————</w:t>
      </w:r>
    </w:p>
    <w:p>
      <w:pPr>
        <w:spacing w:before="160" w:after="40" w:line="240" w:lineRule="auto"/>
      </w:pPr>
      <w:r>
        <w:rPr>
          <w:b/>
        </w:rPr>
        <w:t xml:space="preserve">[472] </w:t>
      </w:r>
      <w:hyperlink r:id="rId1022">
        <w:r>
          <w:rPr>
            <w:color w:val="1155CC"/>
            <w:u w:val="single"/>
          </w:rPr>
          <w:t>通过远红外振动光谱解决小阳离子铁簇的自旋态差异</w:t>
        </w:r>
      </w:hyperlink>
    </w:p>
    <w:p>
      <w:pPr>
        <w:spacing w:before="0" w:after="80"/>
      </w:pPr>
      <w:r>
        <w:rPr>
          <w:i/>
          <w:sz w:val="20"/>
        </w:rPr>
        <w:t>EN: Resolving Spin State Discrepancies of Small Cationic Iron Clusters by Far-Infrared Vibrational Spectroscopy</w:t>
      </w:r>
    </w:p>
    <w:p>
      <w:pPr>
        <w:spacing w:before="0" w:after="120"/>
      </w:pPr>
      <w:r>
        <w:rPr>
          <w:b/>
        </w:rPr>
        <w:t xml:space="preserve">Source: </w:t>
      </w:r>
      <w:r>
        <w:t>Recent Articles in Phys. Rev. Lett.</w:t>
      </w:r>
      <w:r>
        <w:t xml:space="preserve">    </w:t>
      </w:r>
      <w:r>
        <w:rPr>
          <w:b/>
        </w:rPr>
        <w:t xml:space="preserve">Pub date: </w:t>
      </w:r>
      <w:r>
        <w:t>2026-07-01 10:00:00+00:00</w:t>
      </w:r>
      <w:r>
        <w:t xml:space="preserve">    </w:t>
      </w:r>
      <w:r>
        <w:rPr>
          <w:b/>
        </w:rPr>
        <w:t xml:space="preserve">DOI: </w:t>
      </w:r>
      <w:hyperlink r:id="rId1023">
        <w:r>
          <w:rPr>
            <w:color w:val="1155CC"/>
            <w:u w:val="single"/>
          </w:rPr>
          <w:t>10.1103/sqvn-3n9g</w:t>
        </w:r>
      </w:hyperlink>
    </w:p>
    <w:p>
      <w:pPr>
        <w:spacing w:before="0" w:after="120"/>
      </w:pPr>
      <w:r>
        <w:rPr>
          <w:b/>
        </w:rPr>
        <w:t xml:space="preserve">Notes: </w:t>
      </w:r>
      <w:r>
        <w:t>abstract_source=rss_description</w:t>
      </w:r>
    </w:p>
    <w:p>
      <w:pPr>
        <w:spacing w:before="0" w:after="80" w:lineRule="auto" w:line="276"/>
      </w:pPr>
      <w:r>
        <w:rPr>
          <w:b/>
        </w:rPr>
        <w:t xml:space="preserve">摘要（ZH）: </w:t>
      </w:r>
      <w:r>
        <w:t>作者：Kevin Anthony Kaw、Ozan Lacinbala、Deepak Pradeep、Joost M. Bakker、Ewald Janssens、Peter Lievens 和 Piero Ferrari 结合光谱学和计算模拟的技术可以更精确地确定铁纳米团簇的几何形状和自旋磁矩。莱特牧师。 137, 013002] 2026 年 7 月 1 日星期三发布</w:t>
      </w:r>
    </w:p>
    <w:p>
      <w:pPr>
        <w:spacing w:before="0" w:after="200" w:lineRule="auto" w:line="276"/>
      </w:pPr>
      <w:r>
        <w:rPr>
          <w:b/>
        </w:rPr>
        <w:t xml:space="preserve">Abstract (EN): </w:t>
      </w:r>
      <w:r>
        <w:t>Author(s): Kevin Anthony Kaw, Ozan Lacinbala, Deepak Pradeep, Joost M. Bakker, Ewald Janssens, Peter Lievens, and Piero FerrariA technique combining spectroscopy and computational simulations allows the geometry and spin magnetic moment of iron nanoclusters to be determined more precisely.[Phys. Rev. Lett. 137, 013002] Published Wed Jul 01, 2026</w:t>
      </w:r>
    </w:p>
    <w:p>
      <w:pPr>
        <w:spacing w:before="120" w:after="120"/>
      </w:pPr>
      <w:r>
        <w:rPr>
          <w:sz w:val="18"/>
        </w:rPr>
        <w:t>——————————————————————————————————————————————————————————————————————</w:t>
      </w:r>
    </w:p>
    <w:p>
      <w:pPr>
        <w:spacing w:before="160" w:after="40" w:line="240" w:lineRule="auto"/>
      </w:pPr>
      <w:r>
        <w:rPr>
          <w:b/>
        </w:rPr>
        <w:t xml:space="preserve">[473] </w:t>
      </w:r>
      <w:hyperlink r:id="rId1024">
        <w:r>
          <w:rPr>
            <w:color w:val="1155CC"/>
            <w:u w:val="single"/>
          </w:rPr>
          <w:t>使用双振荡器红外自由电子激光器控制异构体数量</w:t>
        </w:r>
      </w:hyperlink>
    </w:p>
    <w:p>
      <w:pPr>
        <w:spacing w:before="0" w:after="80"/>
      </w:pPr>
      <w:r>
        <w:rPr>
          <w:i/>
          <w:sz w:val="20"/>
        </w:rPr>
        <w:t>EN: Controlling Isomer Population Using a Dual-Oscillator Infrared Free-Electron Laser</w:t>
      </w:r>
    </w:p>
    <w:p>
      <w:pPr>
        <w:spacing w:before="0" w:after="120"/>
      </w:pPr>
      <w:r>
        <w:rPr>
          <w:b/>
        </w:rPr>
        <w:t xml:space="preserve">Source: </w:t>
      </w:r>
      <w:r>
        <w:t>Recent Articles in Phys. Rev. Lett.</w:t>
      </w:r>
      <w:r>
        <w:t xml:space="preserve">    </w:t>
      </w:r>
      <w:r>
        <w:rPr>
          <w:b/>
        </w:rPr>
        <w:t xml:space="preserve">Pub date: </w:t>
      </w:r>
      <w:r>
        <w:t>2026-07-01 10:00:00+00:00</w:t>
      </w:r>
      <w:r>
        <w:t xml:space="preserve">    </w:t>
      </w:r>
      <w:r>
        <w:rPr>
          <w:b/>
        </w:rPr>
        <w:t xml:space="preserve">DOI: </w:t>
      </w:r>
      <w:hyperlink r:id="rId1025">
        <w:r>
          <w:rPr>
            <w:color w:val="1155CC"/>
            <w:u w:val="single"/>
          </w:rPr>
          <w:t>10.1103/2hy7-w3qb</w:t>
        </w:r>
      </w:hyperlink>
    </w:p>
    <w:p>
      <w:pPr>
        <w:spacing w:before="0" w:after="120"/>
      </w:pPr>
      <w:r>
        <w:rPr>
          <w:b/>
        </w:rPr>
        <w:t xml:space="preserve">Notes: </w:t>
      </w:r>
      <w:r>
        <w:t>abstract_source=rss_description</w:t>
      </w:r>
    </w:p>
    <w:p>
      <w:pPr>
        <w:spacing w:before="0" w:after="80" w:lineRule="auto" w:line="276"/>
      </w:pPr>
      <w:r>
        <w:rPr>
          <w:b/>
        </w:rPr>
        <w:t xml:space="preserve">摘要（ZH）: </w:t>
      </w:r>
      <w:r>
        <w:t>作者：América Y. Torres-Boy、Anoushka Ghosh、Myles B. T. Osenton、Akash C. Behera、Sandy Gewinner、Marco De Pas、Heinz Junkes、Wieland Schöllkopf、Alexander Paarmann、Gert von Helden 和 Gerard Meijer我们报告了超流氦内离子异构体群的控制和表征纳米液滴，使用双振荡器红外自由电子激光器的双色操作。两种激光器的定时高度同步，并且它们的频率（或“颜色”）可以独立调整……[Phys.莱特牧师。 137, 013001] 2026 年 7 月 1 日星期三发布</w:t>
      </w:r>
    </w:p>
    <w:p>
      <w:pPr>
        <w:spacing w:before="0" w:after="200" w:lineRule="auto" w:line="276"/>
      </w:pPr>
      <w:r>
        <w:rPr>
          <w:b/>
        </w:rPr>
        <w:t xml:space="preserve">Abstract (EN): </w:t>
      </w:r>
      <w:r>
        <w:t>Author(s): América Y. Torres-Boy, Anoushka Ghosh, Myles B. T. Osenton, Akash C. Behera, Sandy Gewinner, Marco De Pas, Heinz Junkes, Wieland Schöllkopf, Alexander Paarmann, Gert von Helden, and Gerard MeijerWe report on the control and characterization of the isomer population of ions inside superfluid helium nanodroplets, using two-color operation of a dual-oscillator infrared free-electron laser. The timing of both lasers is highly synchronized and their frequencies (or “colors”) can be tuned indepen…[Phys. Rev. Lett. 137, 013001] Published Wed Jul 01, 2026</w:t>
      </w:r>
    </w:p>
    <w:p>
      <w:pPr>
        <w:spacing w:before="120" w:after="120"/>
      </w:pPr>
      <w:r>
        <w:rPr>
          <w:sz w:val="18"/>
        </w:rPr>
        <w:t>——————————————————————————————————————————————————————————————————————</w:t>
      </w:r>
    </w:p>
    <w:p>
      <w:pPr>
        <w:spacing w:before="160" w:after="40" w:line="240" w:lineRule="auto"/>
      </w:pPr>
      <w:r>
        <w:rPr>
          <w:b/>
        </w:rPr>
        <w:t xml:space="preserve">[474] </w:t>
      </w:r>
      <w:hyperlink r:id="rId1026">
        <w:r>
          <w:rPr>
            <w:color w:val="1155CC"/>
            <w:u w:val="single"/>
          </w:rPr>
          <w:t>通过两端口零差检测对两通道光网络进行海森堡标度表征</w:t>
        </w:r>
      </w:hyperlink>
    </w:p>
    <w:p>
      <w:pPr>
        <w:spacing w:before="0" w:after="80"/>
      </w:pPr>
      <w:r>
        <w:rPr>
          <w:i/>
          <w:sz w:val="20"/>
        </w:rPr>
        <w:t>EN: Heisenberg-Scaling Characterization of a Two-Channel Optical Network via Two-Port Homodyne Detection</w:t>
      </w:r>
    </w:p>
    <w:p>
      <w:pPr>
        <w:spacing w:before="0" w:after="120"/>
      </w:pPr>
      <w:r>
        <w:rPr>
          <w:b/>
        </w:rPr>
        <w:t xml:space="preserve">Source: </w:t>
      </w:r>
      <w:r>
        <w:t>Recent Articles in Phys. Rev. Lett.</w:t>
      </w:r>
      <w:r>
        <w:t xml:space="preserve">    </w:t>
      </w:r>
      <w:r>
        <w:rPr>
          <w:b/>
        </w:rPr>
        <w:t xml:space="preserve">Pub date: </w:t>
      </w:r>
      <w:r>
        <w:t>2026-07-01 10:00:00+00:00</w:t>
      </w:r>
      <w:r>
        <w:t xml:space="preserve">    </w:t>
      </w:r>
      <w:r>
        <w:rPr>
          <w:b/>
        </w:rPr>
        <w:t xml:space="preserve">DOI: </w:t>
      </w:r>
      <w:hyperlink r:id="rId1027">
        <w:r>
          <w:rPr>
            <w:color w:val="1155CC"/>
            <w:u w:val="single"/>
          </w:rPr>
          <w:t>10.1103/y9wq-hhg2</w:t>
        </w:r>
      </w:hyperlink>
    </w:p>
    <w:p>
      <w:pPr>
        <w:spacing w:before="0" w:after="120"/>
      </w:pPr>
      <w:r>
        <w:rPr>
          <w:b/>
        </w:rPr>
        <w:t xml:space="preserve">Notes: </w:t>
      </w:r>
      <w:r>
        <w:t>abstract_source=rss_description</w:t>
      </w:r>
    </w:p>
    <w:p>
      <w:pPr>
        <w:spacing w:before="0" w:after="80" w:lineRule="auto" w:line="276"/>
      </w:pPr>
      <w:r>
        <w:rPr>
          <w:b/>
        </w:rPr>
        <w:t xml:space="preserve">摘要（ZH）: </w:t>
      </w:r>
      <w:r>
        <w:t>作者：Atmadev Rai、Paolo Facchi 和 Vincenzo Tamma 我们提出了一种完全高斯且实验可行的方案，用于同时估计表征双通道光网络的四个实数参数。该方案在两个输出端口均采用双模式压缩探头和平衡零差检测，为此我们推导了计算公式...[Phys.莱特牧师。 137, 010801] 2026 年 7 月 1 日星期三发布</w:t>
      </w:r>
    </w:p>
    <w:p>
      <w:pPr>
        <w:spacing w:before="0" w:after="200" w:lineRule="auto" w:line="276"/>
      </w:pPr>
      <w:r>
        <w:rPr>
          <w:b/>
        </w:rPr>
        <w:t xml:space="preserve">Abstract (EN): </w:t>
      </w:r>
      <w:r>
        <w:t>Author(s): Atmadev Rai, Paolo Facchi, and Vincenzo TammaWe present a fully Gaussian and experimentally feasible scheme for the simultaneous estimation of the four real parameters that characterize a two-channel optical network. The scheme utilizes a two-mode squeezed probe and balanced homodyne detection at both output ports, for which we derive the comp…[Phys. Rev. Lett. 137, 010801] Published Wed Jul 01, 2026</w:t>
      </w:r>
    </w:p>
    <w:p>
      <w:pPr>
        <w:spacing w:before="120" w:after="120"/>
      </w:pPr>
      <w:r>
        <w:rPr>
          <w:sz w:val="18"/>
        </w:rPr>
        <w:t>——————————————————————————————————————————————————————————————————————</w:t>
      </w:r>
    </w:p>
    <w:p>
      <w:pPr>
        <w:spacing w:before="160" w:after="40" w:line="240" w:lineRule="auto"/>
      </w:pPr>
      <w:r>
        <w:rPr>
          <w:b/>
        </w:rPr>
        <w:t xml:space="preserve">[475] </w:t>
      </w:r>
      <w:hyperlink r:id="rId1028">
        <w:r>
          <w:rPr>
            <w:color w:val="1155CC"/>
            <w:u w:val="single"/>
          </w:rPr>
          <w:t>约束天体物理$γ$过程中的$^{85}\mathrm{Rb}$分支点</w:t>
        </w:r>
      </w:hyperlink>
    </w:p>
    <w:p>
      <w:pPr>
        <w:spacing w:before="0" w:after="80"/>
      </w:pPr>
      <w:r>
        <w:rPr>
          <w:i/>
          <w:sz w:val="20"/>
        </w:rPr>
        <w:t>EN: Constraining the $^{85}\mathrm{Rb}$ branching point in the astrophysical $γ$ process</w:t>
      </w:r>
    </w:p>
    <w:p>
      <w:pPr>
        <w:spacing w:before="0" w:after="120"/>
      </w:pPr>
      <w:r>
        <w:rPr>
          <w:b/>
        </w:rPr>
        <w:t xml:space="preserve">Source: </w:t>
      </w:r>
      <w:r>
        <w:t>Recent Articles in Phys. Rev. C</w:t>
      </w:r>
      <w:r>
        <w:t xml:space="preserve">    </w:t>
      </w:r>
      <w:r>
        <w:rPr>
          <w:b/>
        </w:rPr>
        <w:t xml:space="preserve">Pub date: </w:t>
      </w:r>
      <w:r>
        <w:t>2026-07-01 10:00:00+00:00</w:t>
      </w:r>
      <w:r>
        <w:t xml:space="preserve">    </w:t>
      </w:r>
      <w:r>
        <w:rPr>
          <w:b/>
        </w:rPr>
        <w:t xml:space="preserve">DOI: </w:t>
      </w:r>
      <w:hyperlink r:id="rId1029">
        <w:r>
          <w:rPr>
            <w:color w:val="1155CC"/>
            <w:u w:val="single"/>
          </w:rPr>
          <w:t>10.1103/lqw3-gdvb</w:t>
        </w:r>
      </w:hyperlink>
    </w:p>
    <w:p>
      <w:pPr>
        <w:spacing w:before="0" w:after="120"/>
      </w:pPr>
      <w:r>
        <w:rPr>
          <w:b/>
        </w:rPr>
        <w:t xml:space="preserve">Notes: </w:t>
      </w:r>
      <w:r>
        <w:t>abstract_source=rss_description</w:t>
      </w:r>
    </w:p>
    <w:p>
      <w:pPr>
        <w:spacing w:before="0" w:after="80" w:lineRule="auto" w:line="276"/>
      </w:pPr>
      <w:r>
        <w:rPr>
          <w:b/>
        </w:rPr>
        <w:t xml:space="preserve">摘要（ZH）: </w:t>
      </w:r>
      <w:r>
        <w:t>作者：K. Bosmpotinis、A. Spyrou、A. Tsantiri、H. C. Berg、P. A. DeYoung、A. C. Doombos、P. Giuliani、S. N. Liddick、S. M. Lyons、P. Mohr、O. Olivas-Gomez、A. Palmisano-Kyle、J. Pereira、A. L. Richard、A. Simon 和 R. G. T. Zegers在目前的工作中，我们关注与天体物理$γ$过程相关的$^{85}\mathrm{Rb}$周围的反应，其中反应流由两个通道$(γ,n)$和$(γ,p)$之间的竞争定义。 $(γ,p)$ 通道在之前的 $^{84}\mathrm{Kr}…[Phys. Rev. C 114, 015801] 2026 年 7 月 1 日星期三发布</w:t>
      </w:r>
    </w:p>
    <w:p>
      <w:pPr>
        <w:spacing w:before="0" w:after="200" w:lineRule="auto" w:line="276"/>
      </w:pPr>
      <w:r>
        <w:rPr>
          <w:b/>
        </w:rPr>
        <w:t xml:space="preserve">Abstract (EN): </w:t>
      </w:r>
      <w:r>
        <w:t>Author(s): K. Bosmpotinis, A. Spyrou, A. Tsantiri, H. C. Berg, P. A. DeYoung, A. C. Dombos, P. Giuliani, S. N. Liddick, S. M. Lyons, P. Mohr, O. Olivas-Gomez, A. Palmisano-Kyle, J. Pereira, A. L. Richard, A. Simon, and R. G. T. ZegersIn the present work, we focus on reactions around $^{85}\mathrm{Rb}$, relevant to the astrophysical $γ$ process, where reaction flow is defined by the competition between two channels, the $(γ,n)$ and the $(γ,p)$. The $(γ,p)$ channel was constrained in a previous measurement of the $^{84}\mathrm{Kr}…[Phys. Rev. C 114, 015801] Published Wed Jul 01, 2026</w:t>
      </w:r>
    </w:p>
    <w:p>
      <w:pPr>
        <w:spacing w:before="120" w:after="120"/>
      </w:pPr>
      <w:r>
        <w:rPr>
          <w:sz w:val="18"/>
        </w:rPr>
        <w:t>——————————————————————————————————————————————————————————————————————</w:t>
      </w:r>
    </w:p>
    <w:p>
      <w:pPr>
        <w:spacing w:before="160" w:after="40" w:line="240" w:lineRule="auto"/>
      </w:pPr>
      <w:r>
        <w:rPr>
          <w:b/>
        </w:rPr>
        <w:t xml:space="preserve">[476] </w:t>
      </w:r>
      <w:hyperlink r:id="rId1030">
        <w:r>
          <w:rPr>
            <w:color w:val="1155CC"/>
            <w:u w:val="single"/>
          </w:rPr>
          <w:t>一种平面位阻共平衡策略，用于开发用于 I 型光动力疗法的具有最小吸光度蓝移的反平行 H 聚集体</w:t>
        </w:r>
      </w:hyperlink>
    </w:p>
    <w:p>
      <w:pPr>
        <w:spacing w:before="0" w:after="80"/>
      </w:pPr>
      <w:r>
        <w:rPr>
          <w:i/>
          <w:sz w:val="20"/>
        </w:rPr>
        <w:t>EN: A Planarity‐Hindrance Co‐Balance Strategy to Develop Antiparallel H‐Aggregates With Minimal Absorbance Blueshift for Type I Photodynamic Therapy</w:t>
      </w:r>
    </w:p>
    <w:p>
      <w:pPr>
        <w:spacing w:before="0" w:after="120"/>
      </w:pPr>
      <w:r>
        <w:rPr>
          <w:b/>
        </w:rPr>
        <w:t xml:space="preserve">Source: </w:t>
      </w:r>
      <w:r>
        <w:t>Wiley: Advanced Materials: Table of Contents</w:t>
      </w:r>
      <w:r>
        <w:t xml:space="preserve">    </w:t>
      </w:r>
      <w:r>
        <w:rPr>
          <w:b/>
        </w:rPr>
        <w:t xml:space="preserve">Pub date: </w:t>
      </w:r>
      <w:r>
        <w:t>2026-07-01 10:40:38+00:00</w:t>
      </w:r>
      <w:r>
        <w:t xml:space="preserve">    </w:t>
      </w:r>
      <w:r>
        <w:rPr>
          <w:b/>
        </w:rPr>
        <w:t xml:space="preserve">DOI: </w:t>
      </w:r>
      <w:hyperlink r:id="rId1031">
        <w:r>
          <w:rPr>
            <w:color w:val="1155CC"/>
            <w:u w:val="single"/>
          </w:rPr>
          <w:t>10.1002/adma.73868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H聚集体通过同时促进三重态形成和增强电荷转移能力，为I型光动力疗法（PDT）提供了内在特征。然而，它们的利用仍然受到传统平行堆积 H 聚集体中强 H 型激子耦合产生的固有大吸收蓝移（通常&gt;100 nm）的限制，迫使短波长激光激发组织穿透性差。在此，本研究报告了一种平面位阻共平衡策略，用于开发基于供体-π-受体的反平行堆积的H聚集体，用于I型PDT，具有最小的吸收蓝移。结果表明，π桥平面化驱动H堆积，而供体位点空间调节通过调节滑移角和π-π重叠程度来决定蓝移，并且确定了空间阈值（Me/OMe），超过该阈值蓝移变得不变。优化的 MTBSIC 分子形成 H 聚集体，其单体蓝移极小，为 15 nm。与具有相似单体光物理性质的无定形对应物相比，MTBSIC H-聚集体进一步显示出显着增强的 I 型 ROS 生成和改进的光热转换能力。机理分析表明，H-堆积促进系统间交叉和分子间电荷转移/分离，协同促进 I 型 ROS 的产生。 MTBSIC H-聚集体进一步实现了有效的肿瘤抑制作用，并且在体外和体内均具有高生物相容性。这项工作建立了一个可推广的分子设计范式</w:t>
      </w:r>
    </w:p>
    <w:p>
      <w:pPr>
        <w:spacing w:before="0" w:after="200" w:lineRule="auto" w:line="276"/>
      </w:pPr>
      <w:r>
        <w:rPr>
          <w:b/>
        </w:rPr>
        <w:t xml:space="preserve">Abstract (EN): </w:t>
      </w:r>
      <w:r>
        <w:t>H‐aggregates offer intrinsic features for type I photodynamic therapy (PDT) by concurrently promoting triplet state formation and strengthening charge transfer ability. However, their exploitation remains limited by the inherently large absorption blueshift (usually &amp;gt;100 nm) arising from strong H‐type excitonic coupling in conventional parallel‐packed H‐aggregates, forcing short‐wavelength laser excitation with poor tissue penetration. Herein, this study reports a planarity‐hindrance co‐balance strategy to develop donor‐π‐acceptor‐based antiparallel‐packed H‐aggregates with minimal absorption blueshift for type I PDT. The results demonstrate that π‐bridge planarization drives H‐packing, while donor‐site steric tuning dictates the blueshift by modulating slipping angles and π‐π overlapping degree, and a steric threshold (Me/OMe) is identified beyond which blueshift becomes invariant. The optimized MTBSIC molecules form H‐aggregates with an exceptionally small blueshift of 15 nm over its monomers. MTBSIC H‐aggregates further display markedly enhanced type I ROS generation and improved photothermal conversion ability over their amorphous counterparts possessing similar monomeric photophysical properties. Mechanistic analyses reveal that H‐packing promotes both intersystem crossing and intermolecular charge transfer/separation, synergistically boosting type I ROS production. MTBSIC H‐aggregates further achieve potent tumor inhibition with high biocompatibility both in vitro and in vivo. This work establishes a generalizable molecular design paradigm for near‐monomer‐like H‐aggregates for high‐performance phototheranostics.</w:t>
      </w:r>
    </w:p>
    <w:p>
      <w:pPr>
        <w:spacing w:before="120" w:after="120"/>
      </w:pPr>
      <w:r>
        <w:rPr>
          <w:sz w:val="18"/>
        </w:rPr>
        <w:t>——————————————————————————————————————————————————————————————————————</w:t>
      </w:r>
    </w:p>
    <w:p>
      <w:pPr>
        <w:spacing w:before="160" w:after="40" w:line="240" w:lineRule="auto"/>
      </w:pPr>
      <w:r>
        <w:rPr>
          <w:b/>
        </w:rPr>
        <w:t xml:space="preserve">[477] </w:t>
      </w:r>
      <w:hyperlink r:id="rId1032">
        <w:r>
          <w:rPr>
            <w:color w:val="1155CC"/>
            <w:u w:val="single"/>
          </w:rPr>
          <w:t>共组装混合中间层工程可增强倒置钙钛矿太阳能电池上界面的稳定性</w:t>
        </w:r>
      </w:hyperlink>
    </w:p>
    <w:p>
      <w:pPr>
        <w:spacing w:before="0" w:after="80"/>
      </w:pPr>
      <w:r>
        <w:rPr>
          <w:i/>
          <w:sz w:val="20"/>
        </w:rPr>
        <w:t>EN: Co‐Assembled Hybrid Interlayer Engineering for Enhanced Upper Interface Stability in Inverted Perovskite Solar Cells</w:t>
      </w:r>
    </w:p>
    <w:p>
      <w:pPr>
        <w:spacing w:before="0" w:after="120"/>
      </w:pPr>
      <w:r>
        <w:rPr>
          <w:b/>
        </w:rPr>
        <w:t xml:space="preserve">Source: </w:t>
      </w:r>
      <w:r>
        <w:t>Wiley: Advanced Materials: Table of Contents</w:t>
      </w:r>
      <w:r>
        <w:t xml:space="preserve">    </w:t>
      </w:r>
      <w:r>
        <w:rPr>
          <w:b/>
        </w:rPr>
        <w:t xml:space="preserve">Pub date: </w:t>
      </w:r>
      <w:r>
        <w:t>2026-07-01 10:45:07+00:00</w:t>
      </w:r>
      <w:r>
        <w:t xml:space="preserve">    </w:t>
      </w:r>
      <w:r>
        <w:rPr>
          <w:b/>
        </w:rPr>
        <w:t xml:space="preserve">DOI: </w:t>
      </w:r>
      <w:hyperlink r:id="rId1033">
        <w:r>
          <w:rPr>
            <w:color w:val="1155CC"/>
            <w:u w:val="single"/>
          </w:rPr>
          <w:t>10.1002/adma.73886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工程电子传输层（ETL）界面对于倒置钙钛矿太阳能电池（PSC）的高效率和长期稳定性至关重要，但很少针对该上界面探索共组装混合中间层。这项工作将 4-氨基苯甲酸盐酸盐 (4AA) 与二苯并-18-冠-6 (DB18C6) 集成，在 ETL 界面构建混合中间层。 4AA 分子插入 DB18C6 聚集体中，使单层均质化并提高表面覆盖率（从 0.57 到 0.79）并增强界面偶极矩（从 2 到 7 德拜）。该中间层提供双重钝化，其中 ─NH</w:t>
      </w:r>
      <w:r>
        <w:rPr>
          <w:vertAlign w:val="subscript"/>
        </w:rPr>
        <w:t>3</w:t>
      </w:r>
      <w:r>
        <w:t>+</w:t>
      </w:r>
      <w:r>
        <w:t xml:space="preserve"> </w:t>
      </w:r>
      <w:r>
        <w:t>─4AA 的 COOH 基团中和离子缺陷，而 DB18C6 优化钙钛矿结晶度和能级排列。因此，修改后的器件在高开路电压（V</w:t>
      </w:r>
      <w:r>
        <w:t xml:space="preserve"> </w:t>
      </w:r>
      <w:r>
        <w:t>奥克</w:t>
      </w:r>
      <w:r>
        <w:t xml:space="preserve"> </w:t>
      </w:r>
      <w:r>
        <w:t>）为 1.167 V，填充因子 (FF) 为 86.05%（与对照的 1.130 V 和 80.38% 相比）。更重要的是，共组装的混合中间层可以作为防止环境和离子降解的屏障。该未封装器件表现出出色的运行稳定性，在最大功率点跟踪 1000 小时后仍保持 93.2% 的初始效率。这项工作展示了一种联合组装策略，可解决 ETL 接口的效率和稳定性挑战，为实现高性能和稳定的倒置 PSC 铺平可靠的道路</w:t>
      </w:r>
    </w:p>
    <w:p>
      <w:pPr>
        <w:spacing w:before="0" w:after="200" w:lineRule="auto" w:line="276"/>
      </w:pPr>
      <w:r>
        <w:rPr>
          <w:b/>
        </w:rPr>
        <w:t xml:space="preserve">Abstract (EN): </w:t>
      </w:r>
      <w:r>
        <w:t>Engineering electron transport layer (ETL) interface is critical for high‐efficiency and long‐term stability in inverted perovskite solar cells (PSCs), yet co‐assembled hybrid interlayer are rarely explored for this upper interface. This work integrates 4‐aminobenzoate acid hydrochloride (4AA) with a dibenzo‐18‐crown‐6 (DB18C6) to construct a hybrid interlayer at ETL interface. The 4AA molecules intercalate into DB18C6 aggregates, homogenizing the monolayer and boosting surface coverage (from 0.57 to 0.79) and strengthening the interfacial dipole moment (from 2 to 7 Debye). This interlayer provides dual passivation, in which the ─NH</w:t>
      </w:r>
      <w:r>
        <w:rPr>
          <w:vertAlign w:val="subscript"/>
        </w:rPr>
        <w:t>3</w:t>
      </w:r>
      <w:r>
        <w:t>+</w:t>
      </w:r>
      <w:r>
        <w:t xml:space="preserve"> </w:t>
      </w:r>
      <w:r>
        <w:t>and ─COOH groups of 4AA neutralize ionic defects, while DB18C6 optimizes perovskite crystallinity and energy level alignment. Therefore, modified devices achieve an efficiency of 26.33% (exceeding 22.92% of the control) with high open‐circuit voltage (V</w:t>
      </w:r>
      <w:r>
        <w:t xml:space="preserve"> </w:t>
      </w:r>
      <w:r>
        <w:t>OC</w:t>
      </w:r>
      <w:r>
        <w:t xml:space="preserve"> </w:t>
      </w:r>
      <w:r>
        <w:t>) of 1.167 V and fill factor (FF) of 86.05% (compared to 1.130 V and 80.38% of the control). More importantly, the co‐assembled hybrid interlayer serves as a barrier against environmental and ionic degradation. The unencapsulated device demonstrates outstanding operational stability, retaining 93.2% of initial efficiency after 1000 h of maximum power point tracking. This work demonstrates a co‐assembly strategy to address efficiency and stability challenges at ETL interface, paving a reliable path toward high‐performance and stable inverted PSCs.</w:t>
      </w:r>
    </w:p>
    <w:p>
      <w:pPr>
        <w:spacing w:before="120" w:after="120"/>
      </w:pPr>
      <w:r>
        <w:rPr>
          <w:sz w:val="18"/>
        </w:rPr>
        <w:t>——————————————————————————————————————————————————————————————————————</w:t>
      </w:r>
    </w:p>
    <w:p>
      <w:pPr>
        <w:spacing w:before="160" w:after="40" w:line="240" w:lineRule="auto"/>
      </w:pPr>
      <w:r>
        <w:rPr>
          <w:b/>
        </w:rPr>
        <w:t xml:space="preserve">[478] </w:t>
      </w:r>
      <w:hyperlink r:id="rId1034">
        <w:r>
          <w:rPr>
            <w:color w:val="1155CC"/>
            <w:u w:val="single"/>
          </w:rPr>
          <w:t>玉米醇溶蛋白-二氧化铈混合微粒能够实现成骨微组织工程的长期ROS清除氧合</w:t>
        </w:r>
      </w:hyperlink>
    </w:p>
    <w:p>
      <w:pPr>
        <w:spacing w:before="0" w:after="80"/>
      </w:pPr>
      <w:r>
        <w:rPr>
          <w:i/>
          <w:sz w:val="20"/>
        </w:rPr>
        <w:t>EN: Zein‐Ceria Hybrid Microparticles Enable Long‐Term ROS‐Scavenging Oxygenation for Osteogenic Microtissues Engineering</w:t>
      </w:r>
    </w:p>
    <w:p>
      <w:pPr>
        <w:spacing w:before="0" w:after="120"/>
      </w:pPr>
      <w:r>
        <w:rPr>
          <w:b/>
        </w:rPr>
        <w:t xml:space="preserve">Source: </w:t>
      </w:r>
      <w:r>
        <w:t>Wiley: Advanced Materials: Table of Contents</w:t>
      </w:r>
      <w:r>
        <w:t xml:space="preserve">    </w:t>
      </w:r>
      <w:r>
        <w:rPr>
          <w:b/>
        </w:rPr>
        <w:t xml:space="preserve">Pub date: </w:t>
      </w:r>
      <w:r>
        <w:t>2026-07-01 11:30:49+00:00</w:t>
      </w:r>
      <w:r>
        <w:t xml:space="preserve">    </w:t>
      </w:r>
      <w:r>
        <w:rPr>
          <w:b/>
        </w:rPr>
        <w:t xml:space="preserve">DOI: </w:t>
      </w:r>
      <w:hyperlink r:id="rId1035">
        <w:r>
          <w:rPr>
            <w:color w:val="1155CC"/>
            <w:u w:val="single"/>
          </w:rPr>
          <w:t>10.1002/adma.73849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组织再生过程中形成的缺乏氧气和生物线索的微环境严重限制了细胞的存活和分化，导致长期的结构和功能缺陷。然而，传统的释氧生物材料经常表现出爆发式释放，绝大多数氧气在最初几天内释放，这与高水平的伴随活性氧（ROS）衍生的氧化应激和生物活性因子的缺乏有关。在这里，我们报告了一种分层设计的玉米醇溶蛋白-二氧化铈混合微粒，它能够持续 ROS-中性氧合超过 40 天，并提供骨诱导因子。疏水性玉米醇溶蛋白核心可稳定氧源并抑制爆发释放，而二氧化铈纳米酶集成外壳则通过氧化还原循环不断清除多余的ROS。生物相容性表面工程使这些微粒能够无缝整合到干细胞球体内，从而显着提高细胞在缺氧条件下的存活率。它们的生物功能表面支持生理条件下酶蛋白的固定，从而实现工程骨微组织的自发成骨。在严重缺氧的小鼠颅骨缺损模型中，工程微组织加速了骨再生。我们的生物材料设计能够控制突发氧气释放、ROS 调节和生长因子释放，建立在玉米醇溶蛋白-二氧化铈双层结构之上，提供了一个模块化平台，扩大了充氧和生物活性微材料在再生医学中的应用。</w:t>
      </w:r>
    </w:p>
    <w:p>
      <w:pPr>
        <w:spacing w:before="0" w:after="200" w:lineRule="auto" w:line="276"/>
      </w:pPr>
      <w:r>
        <w:rPr>
          <w:b/>
        </w:rPr>
        <w:t xml:space="preserve">Abstract (EN): </w:t>
      </w:r>
      <w:r>
        <w:t>Oxygen‐ and biological cue‐deprived microenvironments formed during tissue regeneration severely limit cell survival and differentiation, resulting in long‐term structural and functional deficits. However, conventional oxygen‐releasing biomaterials often exhibit burst releases, with the vast majority of oxygen released during the first few days, which is associated with high levels of concomitant reactive oxygen species (ROS)‐derived oxidative stress and a lack of bioactive factors. Here, we report a hierarchically engineered zein‐ceria hybrid microparticle that enables sustained ROS‐neutral oxygenation for over 40 days and supplies an osteoinductive factor. A hydrophobic zein core stabilizes the oxygen source and suppresses burst release, while a ceria nanozyme‐integrated shell continuously scavenges excess ROS via redox cycling. Biocompatible surface engineering enables the seamless integration of these microparticles within stem cell spheroids, which markedly enhances cell survival under anoxia. Their biofunctional surface supports enzymatic protein immobilization under physiological conditions, enabling spontaneous osteogenesis of engineered bone microtissues. In a severely oxygen‐deprived mouse calvarial defect model, the engineered microtissues accelerated bone regeneration. Our biomaterial design enables control of burst oxygen release, ROS modulation, and growth factor release, built on a zein‐ceria double‐layer architecture, offering a modular platform that broadens the utility of oxygenating and bioactive micromaterials in regenerative medicine.</w:t>
      </w:r>
    </w:p>
    <w:p>
      <w:pPr>
        <w:spacing w:before="120" w:after="120"/>
      </w:pPr>
      <w:r>
        <w:rPr>
          <w:sz w:val="18"/>
        </w:rPr>
        <w:t>——————————————————————————————————————————————————————————————————————</w:t>
      </w:r>
    </w:p>
    <w:p>
      <w:pPr>
        <w:spacing w:before="160" w:after="40" w:line="240" w:lineRule="auto"/>
      </w:pPr>
      <w:r>
        <w:rPr>
          <w:b/>
        </w:rPr>
        <w:t xml:space="preserve">[479] </w:t>
      </w:r>
      <w:hyperlink r:id="rId1036">
        <w:r>
          <w:rPr>
            <w:color w:val="1155CC"/>
            <w:u w:val="single"/>
          </w:rPr>
          <w:t>用于钙钛矿光伏发电的电沉积自组装分子</w:t>
        </w:r>
      </w:hyperlink>
    </w:p>
    <w:p>
      <w:pPr>
        <w:spacing w:before="0" w:after="80"/>
      </w:pPr>
      <w:r>
        <w:rPr>
          <w:i/>
          <w:sz w:val="20"/>
        </w:rPr>
        <w:t>EN: Electrodeposited self-assembled molecules for perovskite photovoltaics</w:t>
      </w:r>
    </w:p>
    <w:p>
      <w:pPr>
        <w:spacing w:before="0" w:after="120"/>
      </w:pPr>
      <w:r>
        <w:rPr>
          <w:b/>
        </w:rPr>
        <w:t xml:space="preserve">Source: </w:t>
      </w:r>
      <w:r>
        <w:t>Nature</w:t>
      </w:r>
      <w:r>
        <w:t xml:space="preserve">    </w:t>
      </w:r>
      <w:r>
        <w:rPr>
          <w:b/>
        </w:rPr>
        <w:t xml:space="preserve">Pub date: </w:t>
      </w:r>
      <w:r>
        <w:t>2026-07-02 00:00:00+00:00</w:t>
      </w:r>
      <w:r>
        <w:t xml:space="preserve">    </w:t>
      </w:r>
      <w:r>
        <w:rPr>
          <w:b/>
        </w:rPr>
        <w:t xml:space="preserve">DOI: </w:t>
      </w:r>
      <w:hyperlink r:id="rId1037">
        <w:r>
          <w:rPr>
            <w:color w:val="1155CC"/>
            <w:u w:val="single"/>
          </w:rPr>
          <w:t>10.1038/s41586-026-10844-6</w:t>
        </w:r>
      </w:hyperlink>
    </w:p>
    <w:p>
      <w:pPr>
        <w:spacing w:before="0" w:after="120"/>
      </w:pPr>
      <w:r>
        <w:rPr>
          <w:b/>
        </w:rPr>
        <w:t xml:space="preserve">Notes: </w:t>
      </w:r>
      <w:r>
        <w:t>abstract_source=nature_html</w:t>
      </w:r>
    </w:p>
    <w:p>
      <w:pPr>
        <w:spacing w:before="0" w:after="80" w:lineRule="auto" w:line="276"/>
      </w:pPr>
      <w:r>
        <w:rPr>
          <w:b/>
        </w:rPr>
        <w:t xml:space="preserve">摘要（ZH）: </w:t>
      </w:r>
      <w:r>
        <w:t>防止自组装分子（SAM）脱离并增强其对钙钛矿的钝化效果是提高钙钛矿太阳能电池（PSC）性能和稳定性的关键挑战1-3。电沉积 SAM 提供了一种提高导电基底上的覆盖均匀性和锚定稳健性的途径，超越了传统溶液处理的限制。在这里，我们使用电位循环电沉积来促进 SAM 的分子重排和重新锚定，从而在氧化铟锡 (ITO) 基板上形成均匀致密的层，并增强锚定能力。在此基础 SAM 的基础上，功能单元通过电化学氧化耦合生长，形成定制的耦合咔唑膦 SAM，实验室规模的太阳能电池的功率转换效率为 26.8%，太阳能模块 (65 cm2) 的功率转换效率为 21.3%。</w:t>
      </w:r>
    </w:p>
    <w:p>
      <w:pPr>
        <w:spacing w:before="0" w:after="200" w:lineRule="auto" w:line="276"/>
      </w:pPr>
      <w:r>
        <w:rPr>
          <w:b/>
        </w:rPr>
        <w:t xml:space="preserve">Abstract (EN): </w:t>
      </w:r>
      <w:r>
        <w:t>Preventing the detachment of self-assembled molecules (SAMs) and enhancing their passivation effect on perovskites are critical challenges for improving the performance and stability of perovskite solar cells (PSCs)1–3. Electrodeposited SAMs provide a route to improve coverage uniformity and anchoring robustness on conductive substrates beyond the limitations of conventional solution processing. Here, we use potential-cycled electrodeposition to promote molecular rearrangement and re-anchoring of SAMs, resulting in a uniform and dense layer on an indium tin oxide (ITO) substrate with enhanced anchoring capability. Building on this base SAM, functional units are grown via electrochemical oxidative coupling to form tailored coupled carbazole phosphonic SAMs, yielding power conversion efficiencies of 26.8% for lab-scale solar cells and 21.3% for solar modules (65 cm2).</w:t>
      </w:r>
    </w:p>
    <w:p>
      <w:pPr>
        <w:spacing w:before="120" w:after="120"/>
      </w:pPr>
      <w:r>
        <w:rPr>
          <w:sz w:val="18"/>
        </w:rPr>
        <w:t>——————————————————————————————————————————————————————————————————————</w:t>
      </w:r>
    </w:p>
    <w:p>
      <w:pPr>
        <w:spacing w:before="160" w:after="40" w:line="240" w:lineRule="auto"/>
      </w:pPr>
      <w:r>
        <w:rPr>
          <w:b/>
        </w:rPr>
        <w:t xml:space="preserve">[480] </w:t>
      </w:r>
      <w:hyperlink r:id="rId1038">
        <w:r>
          <w:rPr>
            <w:color w:val="1155CC"/>
            <w:u w:val="single"/>
          </w:rPr>
          <w:t>地衣真菌 Xanthoria parietina 产生的铁载体支持其藻类共生体</w:t>
        </w:r>
      </w:hyperlink>
    </w:p>
    <w:p>
      <w:pPr>
        <w:spacing w:before="0" w:after="80"/>
      </w:pPr>
      <w:r>
        <w:rPr>
          <w:i/>
          <w:sz w:val="20"/>
        </w:rPr>
        <w:t>EN: Siderophore production by the lichen fungus Xanthoria parietina supports its algal symbiont</w:t>
      </w:r>
    </w:p>
    <w:p>
      <w:pPr>
        <w:spacing w:before="0" w:after="120"/>
      </w:pPr>
      <w:r>
        <w:rPr>
          <w:b/>
        </w:rPr>
        <w:t xml:space="preserve">Source: </w:t>
      </w:r>
      <w:r>
        <w:t>Biological sciences : Nature Communications subject feeds</w:t>
      </w:r>
      <w:r>
        <w:t xml:space="preserve">    </w:t>
      </w:r>
      <w:r>
        <w:rPr>
          <w:b/>
        </w:rPr>
        <w:t xml:space="preserve">Pub date: </w:t>
      </w:r>
      <w:r>
        <w:t>2026-07-02 00:00:00+00:00</w:t>
      </w:r>
    </w:p>
    <w:p>
      <w:pPr>
        <w:spacing w:before="0" w:after="120"/>
      </w:pPr>
      <w:r>
        <w:rPr>
          <w:b/>
        </w:rPr>
        <w:t xml:space="preserve">Notes: </w:t>
      </w:r>
      <w:r>
        <w:t>abstract_source=nature_html</w:t>
      </w:r>
    </w:p>
    <w:p>
      <w:pPr>
        <w:spacing w:before="0" w:after="80" w:lineRule="auto" w:line="276"/>
      </w:pPr>
      <w:r>
        <w:rPr>
          <w:b/>
        </w:rPr>
        <w:t xml:space="preserve">摘要（ZH）: </w:t>
      </w:r>
      <w:r>
        <w:t>地衣是真菌真菌生物体和光合光生物体之间的共生关联。它们在营养贫乏的环境中茁壮成长；然而，它们适应铁限制的机制仍然很大程度上未知。在这里，我们描述了 Xanthoria parietina 的铁获取系统，Xanthoria parietina 是一种全球分布的地衣形成真菌，与微藻光生物 Trebouxia decolorans 相关。我们证明，真菌生物体产生铁载体铁色素，并拥有完整的遗传库，不仅用于铁载体生物合成，还包括还原性铁同化、铁解毒和调节。铁红合成非核糖体肽合成酶表现出地衣特异性的紧凑结构，但在非地衣化子囊菌中异源表达时保留功能。转录组分析和铁色素定量揭示了铁载体系统的底物依赖性调节。重要的是，铁铬促进光生物生长，独立于细胞外铁的还原，表明直接利用。这些发现提供了地衣共生中铁载体介导的铁获取的功能证据，并强调铁铬作为互利养分交换的关键介质。</w:t>
      </w:r>
    </w:p>
    <w:p>
      <w:pPr>
        <w:spacing w:before="0" w:after="200" w:lineRule="auto" w:line="276"/>
      </w:pPr>
      <w:r>
        <w:rPr>
          <w:b/>
        </w:rPr>
        <w:t xml:space="preserve">Abstract (EN): </w:t>
      </w:r>
      <w:r>
        <w:t>Lichens are symbiotic associations between a fungal mycobiont and a photosynthetic photobiont. They thrive in nutrient-poor environments; yet the mechanisms underlying their adaptation to iron limitation remained largely unknown. Here, we characterize the iron acquisition system of Xanthoria parietina, a globally distributed lichen-forming fungus associated with the microalgal photobiont Trebouxia decolorans. We demonstrate that the mycobiont produces the siderophore ferrichrome and possesses the full genetic repertoire not only for siderophore biosynthesis, but also reductive iron assimilation, iron detoxification, and regulation. The ferrichrome-synthesizing non-ribosomal peptides synthetase exhibits a lichen-specific compact architecture but retains functionality when heterologously expressed in a non-lichenized ascomycete. Transcriptomic analysis and ferrichrome quantification reveal substrate-dependent regulation of the siderophore system. Importantly, ferrichrome promotes photobiont growth independent of extracellular iron reduction, indicating direct utilization. These findings provide the functional evidence of siderophore-mediated iron acquisition in a lichen symbiosis and highlight ferrichrome as a key mediator of mutualistic nutrient exchange.</w:t>
      </w:r>
    </w:p>
    <w:p>
      <w:pPr>
        <w:spacing w:before="120" w:after="120"/>
      </w:pPr>
      <w:r>
        <w:rPr>
          <w:sz w:val="18"/>
        </w:rPr>
        <w:t>——————————————————————————————————————————————————————————————————————</w:t>
      </w:r>
    </w:p>
    <w:p>
      <w:pPr>
        <w:spacing w:before="160" w:after="40" w:line="240" w:lineRule="auto"/>
      </w:pPr>
      <w:r>
        <w:rPr>
          <w:b/>
        </w:rPr>
        <w:t xml:space="preserve">[481] </w:t>
      </w:r>
      <w:hyperlink r:id="rId1039">
        <w:r>
          <w:rPr>
            <w:color w:val="1155CC"/>
            <w:u w:val="single"/>
          </w:rPr>
          <w:t>秘鲁亚马逊地区高速公路铺设后登革热传播增加</w:t>
        </w:r>
      </w:hyperlink>
    </w:p>
    <w:p>
      <w:pPr>
        <w:spacing w:before="0" w:after="80"/>
      </w:pPr>
      <w:r>
        <w:rPr>
          <w:i/>
          <w:sz w:val="20"/>
        </w:rPr>
        <w:t>EN: Increased dengue transmission following highway paving in the Peruvian Amazon</w:t>
      </w:r>
    </w:p>
    <w:p>
      <w:pPr>
        <w:spacing w:before="0" w:after="120"/>
      </w:pPr>
      <w:r>
        <w:rPr>
          <w:b/>
        </w:rPr>
        <w:t xml:space="preserve">Source: </w:t>
      </w:r>
      <w:r>
        <w:t>Nature Sustainability</w:t>
      </w:r>
      <w:r>
        <w:t xml:space="preserve">    </w:t>
      </w:r>
      <w:r>
        <w:rPr>
          <w:b/>
        </w:rPr>
        <w:t xml:space="preserve">Pub date: </w:t>
      </w:r>
      <w:r>
        <w:t>2026-07-02 00:00:00+00:00</w:t>
      </w:r>
      <w:r>
        <w:t xml:space="preserve">    </w:t>
      </w:r>
      <w:r>
        <w:rPr>
          <w:b/>
        </w:rPr>
        <w:t xml:space="preserve">DOI: </w:t>
      </w:r>
      <w:hyperlink r:id="rId1040">
        <w:r>
          <w:rPr>
            <w:color w:val="1155CC"/>
            <w:u w:val="single"/>
          </w:rPr>
          <w:t>10.1038/s41893-026-01879-8</w:t>
        </w:r>
      </w:hyperlink>
    </w:p>
    <w:p>
      <w:pPr>
        <w:spacing w:before="0" w:after="120"/>
      </w:pPr>
      <w:r>
        <w:rPr>
          <w:b/>
        </w:rPr>
        <w:t xml:space="preserve">Notes: </w:t>
      </w:r>
      <w:r>
        <w:t>abstract_source=nature_html</w:t>
      </w:r>
    </w:p>
    <w:p>
      <w:pPr>
        <w:spacing w:before="0" w:after="80" w:lineRule="auto" w:line="276"/>
      </w:pPr>
      <w:r>
        <w:rPr>
          <w:b/>
        </w:rPr>
        <w:t xml:space="preserve">摘要（ZH）: </w:t>
      </w:r>
      <w:r>
        <w:t>交通基础设施的快速扩张正在改变热带环境，但这些变化对健康的影响仍然知之甚少，并且很少在影响评估中予以考虑。我们采用准实验方法来量化高速公路铺设对传染病传播的影响。 The 2009 paving of the Interoceanic Highway through the previously isolated Madre de Dios region of the Peruvian Amazon offered a natural experiment to evaluate how highway paving influences transmission of dengue virus, a high-burden mosquito-borne disease. We compared dengue incidence data from healthcare facilities in Madre de Dios near versus far from the highway before and after paving, while controlling for observable and unobservable confounding variables (a difference-in-differences causal inference approach). Paving led to an additional 10,950 (95% confidence interval of 3,186–18,715) dengue cases since 2009, a 403% (117–689%) increase in incidence rates in facilities near the highway in the 14 years since paving (2009–2022), compared with their pre-paving incidence rates. Our findings demonstrate the impact that infrastructure can have on dengue transmission, likely via its effects on human mobility and vector dispersal.热带地区未来的道路建设计划应在影响评估期间考虑到登革热传播的潜在增加。</w:t>
      </w:r>
    </w:p>
    <w:p>
      <w:pPr>
        <w:spacing w:before="0" w:after="200" w:lineRule="auto" w:line="276"/>
      </w:pPr>
      <w:r>
        <w:rPr>
          <w:b/>
        </w:rPr>
        <w:t xml:space="preserve">Abstract (EN): </w:t>
      </w:r>
      <w:r>
        <w:t>Rapid expansion of transportation infrastructure is transforming tropical environments, yet the health impacts of these changes remain poorly understood and are rarely accounted for in impact assessments. We apply a quasi-experimental approach to quantify the impact of highway paving on infectious disease transmission. The 2009 paving of the Interoceanic Highway through the previously isolated Madre de Dios region of the Peruvian Amazon offered a natural experiment to evaluate how highway paving influences transmission of dengue virus, a high-burden mosquito-borne disease. We compared dengue incidence data from healthcare facilities in Madre de Dios near versus far from the highway before and after paving, while controlling for observable and unobservable confounding variables (a difference-in-differences causal inference approach). Paving led to an additional 10,950 (95% confidence interval of 3,186–18,715) dengue cases since 2009, a 403% (117–689%) increase in incidence rates in facilities near the highway in the 14 years since paving (2009–2022), compared with their pre-paving incidence rates. Our findings demonstrate the impact that infrastructure can have on dengue transmission, likely via its effects on human mobility and vector dispersal. Future road construction plans in tropical regions should account for potential increases in dengue transmission during impact assessments.</w:t>
      </w:r>
    </w:p>
    <w:p>
      <w:pPr>
        <w:spacing w:before="120" w:after="120"/>
      </w:pPr>
      <w:r>
        <w:rPr>
          <w:sz w:val="18"/>
        </w:rPr>
        <w:t>——————————————————————————————————————————————————————————————————————</w:t>
      </w:r>
    </w:p>
    <w:p>
      <w:pPr>
        <w:spacing w:before="160" w:after="40" w:line="240" w:lineRule="auto"/>
      </w:pPr>
      <w:r>
        <w:rPr>
          <w:b/>
        </w:rPr>
        <w:t xml:space="preserve">[482] </w:t>
      </w:r>
      <w:hyperlink r:id="rId1041">
        <w:r>
          <w:rPr>
            <w:color w:val="1155CC"/>
            <w:u w:val="single"/>
          </w:rPr>
          <w:t>即将上任的美国科学院院长誓言“加倍努力”研究</w:t>
        </w:r>
      </w:hyperlink>
    </w:p>
    <w:p>
      <w:pPr>
        <w:spacing w:before="0" w:after="80"/>
      </w:pPr>
      <w:r>
        <w:rPr>
          <w:i/>
          <w:sz w:val="20"/>
        </w:rPr>
        <w:t>EN: Incoming US science academy chief vows to ‘double down’ on research</w:t>
      </w:r>
    </w:p>
    <w:p>
      <w:pPr>
        <w:spacing w:before="0" w:after="120"/>
      </w:pPr>
      <w:r>
        <w:rPr>
          <w:b/>
        </w:rPr>
        <w:t xml:space="preserve">Source: </w:t>
      </w:r>
      <w:r>
        <w:t>Nature</w:t>
      </w:r>
      <w:r>
        <w:t xml:space="preserve">    </w:t>
      </w:r>
      <w:r>
        <w:rPr>
          <w:b/>
        </w:rPr>
        <w:t xml:space="preserve">Pub date: </w:t>
      </w:r>
      <w:r>
        <w:t>2026-07-02 00:00:00+00:00</w:t>
      </w:r>
      <w:r>
        <w:t xml:space="preserve">    </w:t>
      </w:r>
      <w:r>
        <w:rPr>
          <w:b/>
        </w:rPr>
        <w:t xml:space="preserve">DOI: </w:t>
      </w:r>
      <w:hyperlink r:id="rId1042">
        <w:r>
          <w:rPr>
            <w:color w:val="1155CC"/>
            <w:u w:val="single"/>
          </w:rPr>
          <w:t>10.1038/d41586-026-02088-1</w:t>
        </w:r>
      </w:hyperlink>
    </w:p>
    <w:p>
      <w:pPr>
        <w:spacing w:before="0" w:after="120"/>
      </w:pPr>
      <w:r>
        <w:rPr>
          <w:b/>
        </w:rPr>
        <w:t xml:space="preserve">Notes: </w:t>
      </w:r>
      <w:r>
        <w:t>abstract_source=nature_html</w:t>
      </w:r>
    </w:p>
    <w:p>
      <w:pPr>
        <w:spacing w:before="0" w:after="80" w:lineRule="auto" w:line="276"/>
      </w:pPr>
      <w:r>
        <w:rPr>
          <w:b/>
        </w:rPr>
        <w:t xml:space="preserve">摘要（ZH）: </w:t>
      </w:r>
      <w:r>
        <w:t>美国国家科学院新任院长尼尔·舒宾警告说：“一个失去科学的社会就失去了未来”。美国国家科学院新任院长尼尔·舒宾警告说：“一个失去科学的社会就失去了未来”。</w:t>
      </w:r>
    </w:p>
    <w:p>
      <w:pPr>
        <w:spacing w:before="0" w:after="200" w:lineRule="auto" w:line="276"/>
      </w:pPr>
      <w:r>
        <w:rPr>
          <w:b/>
        </w:rPr>
        <w:t xml:space="preserve">Abstract (EN): </w:t>
      </w:r>
      <w:r>
        <w:t>New leader of the National Academy of Sciences Neil Shubin warns: ‘a society that loses science loses the future’. New leader of the National Academy of Sciences Neil Shubin warns: ‘a society that loses science loses the future’.</w:t>
      </w:r>
    </w:p>
    <w:p>
      <w:pPr>
        <w:spacing w:before="120" w:after="120"/>
      </w:pPr>
      <w:r>
        <w:rPr>
          <w:sz w:val="18"/>
        </w:rPr>
        <w:t>——————————————————————————————————————————————————————————————————————</w:t>
      </w:r>
    </w:p>
    <w:p>
      <w:pPr>
        <w:spacing w:before="160" w:after="40" w:line="240" w:lineRule="auto"/>
      </w:pPr>
      <w:r>
        <w:rPr>
          <w:b/>
        </w:rPr>
        <w:t xml:space="preserve">[483] </w:t>
      </w:r>
      <w:hyperlink r:id="rId1043">
        <w:r>
          <w:rPr>
            <w:color w:val="1155CC"/>
            <w:u w:val="single"/>
          </w:rPr>
          <w:t>巨噬细胞 INSIG1 缺陷通过 SREBP2-STAT1 轴驱动银屑病皮炎</w:t>
        </w:r>
      </w:hyperlink>
    </w:p>
    <w:p>
      <w:pPr>
        <w:spacing w:before="0" w:after="80"/>
      </w:pPr>
      <w:r>
        <w:rPr>
          <w:i/>
          <w:sz w:val="20"/>
        </w:rPr>
        <w:t>EN: Macrophage INSIG1 deficiency drives psoriasiform dermatitis via the SREBP2-STAT1 axis</w:t>
      </w:r>
    </w:p>
    <w:p>
      <w:pPr>
        <w:spacing w:before="0" w:after="120"/>
      </w:pPr>
      <w:r>
        <w:rPr>
          <w:b/>
        </w:rPr>
        <w:t xml:space="preserve">Source: </w:t>
      </w:r>
      <w:r>
        <w:t>Biological sciences : Nature Communications subject feeds</w:t>
      </w:r>
      <w:r>
        <w:t xml:space="preserve">    </w:t>
      </w:r>
      <w:r>
        <w:rPr>
          <w:b/>
        </w:rPr>
        <w:t xml:space="preserve">Pub date: </w:t>
      </w:r>
      <w:r>
        <w:t>2026-07-02 00:00:00+00:00</w:t>
      </w:r>
    </w:p>
    <w:p>
      <w:pPr>
        <w:spacing w:before="0" w:after="120"/>
      </w:pPr>
      <w:r>
        <w:rPr>
          <w:b/>
        </w:rPr>
        <w:t xml:space="preserve">Notes: </w:t>
      </w:r>
      <w:r>
        <w:t>abstract_source=nature_html</w:t>
      </w:r>
    </w:p>
    <w:p>
      <w:pPr>
        <w:spacing w:before="0" w:after="80" w:lineRule="auto" w:line="276"/>
      </w:pPr>
      <w:r>
        <w:rPr>
          <w:b/>
        </w:rPr>
        <w:t xml:space="preserve">摘要（ZH）: </w:t>
      </w:r>
      <w:r>
        <w:t>牛皮癣是一种自身免疫性皮肤病，其发病机制尚不完全清楚。作为连接先天免疫和适应性免疫的银屑病发病机制的核心驱动因素，巨噬细胞的功能受到胰岛素诱导基因 1 (INSIG1)（胆固醇合成的调节因子）的调节。对人类银屑病皮损的生物信息分析显示，INSIG1 表达与促炎细胞因子水平（IL-23、IL-17A）之间存在显着负相关。单细胞 RNA 测序 (scRNA-seq) 和免疫荧光证实 INSIG1 表达显着降低，特别是在银屑病皮肤巨噬细胞中。在体内，骨髓特异性 Insig1 缺陷会加剧咪喹莫特 (IMQ) 诱导的银屑病样皮炎，其特征是表皮增厚和免疫浸润增加。通过激活甾醇调节元件结合蛋白 2 (SREBP2)，INSIG1 缺陷导致 STAT1 转录上调，从而驱动 M1 巨噬细胞极化并最终放大银屑病炎症。这项研究揭示了巨噬细胞INSIG1在调节炎症反应和脂质代谢中的重要作用，有助于深入了解银屑病的发病机制和潜在的治疗靶点。</w:t>
      </w:r>
    </w:p>
    <w:p>
      <w:pPr>
        <w:spacing w:before="0" w:after="200" w:lineRule="auto" w:line="276"/>
      </w:pPr>
      <w:r>
        <w:rPr>
          <w:b/>
        </w:rPr>
        <w:t xml:space="preserve">Abstract (EN): </w:t>
      </w:r>
      <w:r>
        <w:t>Psoriasis is an autoimmune skin disease, and its pathogenesis remains incompletely understood. As central drivers of psoriasis pathogenesis that bridge innate and adaptive immunity, macrophages are known to be modulated in their function by insulin-induced gene 1 (INSIG1), a regulator of cholesterol synthesis. Bioinformatic analysis of human psoriatic lesions reveals a significant negative correlation between INSIG1 expression and pro-inflammatory cytokine levels (IL-23, IL-17A). Single-cell RNA sequencing (scRNA-seq) and immunofluorescence confirm significantly reduced INSIG1 expression specifically in macrophages from psoriatic skin. In vivo, myeloid-specific Insig1 deficiency exacerbates imiquimod (IMQ)-induced psoriasiform dermatitis, characterized by increased epidermal thickening and immune infiltration. By activating sterol regulatory element-binding protein 2 (SREBP2), INSIG1 deficiency leads to the transcriptional upregulation of STAT1, which drives M1 macrophage polarization and ultimately amplifies psoriatic inflammation. This study reveals an important role of macrophage INSIG1 in regulating inflammatory responses and lipid metabolism, providing insight into the pathogenesis of psoriasis and potential therapeutic targets.</w:t>
      </w:r>
    </w:p>
    <w:p>
      <w:pPr>
        <w:spacing w:before="120" w:after="120"/>
      </w:pPr>
      <w:r>
        <w:rPr>
          <w:sz w:val="18"/>
        </w:rPr>
        <w:t>——————————————————————————————————————————————————————————————————————</w:t>
      </w:r>
    </w:p>
    <w:p>
      <w:pPr>
        <w:spacing w:before="160" w:after="40" w:line="240" w:lineRule="auto"/>
      </w:pPr>
      <w:r>
        <w:rPr>
          <w:b/>
        </w:rPr>
        <w:t xml:space="preserve">[484] </w:t>
      </w:r>
      <w:hyperlink r:id="rId1044">
        <w:r>
          <w:rPr>
            <w:color w:val="1155CC"/>
            <w:u w:val="single"/>
          </w:rPr>
          <w:t>剖析单细胞的自主酶促变异性</w:t>
        </w:r>
      </w:hyperlink>
    </w:p>
    <w:p>
      <w:pPr>
        <w:spacing w:before="0" w:after="80"/>
      </w:pPr>
      <w:r>
        <w:rPr>
          <w:i/>
          <w:sz w:val="20"/>
        </w:rPr>
        <w:t>EN: Dissecting autonomous enzymatic variability in single cells</w:t>
      </w:r>
    </w:p>
    <w:p>
      <w:pPr>
        <w:spacing w:before="0" w:after="120"/>
      </w:pPr>
      <w:r>
        <w:rPr>
          <w:b/>
        </w:rPr>
        <w:t xml:space="preserve">Source: </w:t>
      </w:r>
      <w:r>
        <w:t>Biological sciences : Nature Communications subject feeds</w:t>
      </w:r>
      <w:r>
        <w:t xml:space="preserve">    </w:t>
      </w:r>
      <w:r>
        <w:rPr>
          <w:b/>
        </w:rPr>
        <w:t xml:space="preserve">Pub date: </w:t>
      </w:r>
      <w:r>
        <w:t>2026-07-02 00:00:00+00:00</w:t>
      </w:r>
    </w:p>
    <w:p>
      <w:pPr>
        <w:spacing w:before="0" w:after="120"/>
      </w:pPr>
      <w:r>
        <w:rPr>
          <w:b/>
        </w:rPr>
        <w:t xml:space="preserve">Notes: </w:t>
      </w:r>
      <w:r>
        <w:t>abstract_source=nature_html</w:t>
      </w:r>
    </w:p>
    <w:p>
      <w:pPr>
        <w:spacing w:before="0" w:after="80" w:lineRule="auto" w:line="276"/>
      </w:pPr>
      <w:r>
        <w:rPr>
          <w:b/>
        </w:rPr>
        <w:t xml:space="preserve">摘要（ZH）: </w:t>
      </w:r>
      <w:r>
        <w:t>代谢酶在各种细胞区室中发挥维持生命的功能。有趣的是，观察到基因相同的细胞之间的代谢活动存在差异，这会影响耐药性、分化和免疫细胞激活。然而，不存在系统地报告代谢细胞异质性的大规模资源。在这里，我们利用基于成像的单细胞空间蛋白质组学来揭示人类酶蛋白质组的非遗传变异程度，作为代谢状态的代表。近五分之二的酶表现出细胞间的可变表达，其中一半定位于多个细胞区室。代谢异质性很大程度上独立于细胞周期而产生，并且单个细胞在几次细胞分裂中重建这些无数的代谢表型。我们通过多重成像揭示代谢状态是连续的，并且代谢途径之间的相关性是代谢状态依赖性的。这些结果将细胞间酶异质性确立为细胞生物学的组织原则，可能会重新认识我们对耐药性、治疗设计和医学其他方面的理解。</w:t>
      </w:r>
    </w:p>
    <w:p>
      <w:pPr>
        <w:spacing w:before="0" w:after="200" w:lineRule="auto" w:line="276"/>
      </w:pPr>
      <w:r>
        <w:rPr>
          <w:b/>
        </w:rPr>
        <w:t xml:space="preserve">Abstract (EN): </w:t>
      </w:r>
      <w:r>
        <w:t>Metabolic enzymes perform life-sustaining functions in various cellular compartments. Anecdotally, metabolic activity is observed to vary between genetically identical cells, which impacts drug resistance, differentiation, and immune cell activation. However, no large-scale resource systematically reporting metabolic cellular heterogeneity exists. Here, we leverage imaging-based single-cell spatial proteomics to reveal the extent of non-genetic variability of the human enzymatic proteome, as a proxy for metabolic states. Nearly two fifths of enzymes exhibit cell-to-cell variable expression, and half localize to multiple cellular compartments. Metabolic heterogeneity arises largely autonomously of cell cycling, and individual cells reestablish these myriad metabolic phenotypes over several cell divisions. We reveal through multiplexed imaging that metabolic states are continuous and that the correlation between metabolic pathways is metabolic state dependent. These results establish cell-to-cell enzymatic heterogeneity as an organizing principle of cell biology that may rewire our understanding of drug resistance, treatment design, and other aspects of medicine.</w:t>
      </w:r>
    </w:p>
    <w:p>
      <w:pPr>
        <w:spacing w:before="120" w:after="120"/>
      </w:pPr>
      <w:r>
        <w:rPr>
          <w:sz w:val="18"/>
        </w:rPr>
        <w:t>——————————————————————————————————————————————————————————————————————</w:t>
      </w:r>
    </w:p>
    <w:p>
      <w:pPr>
        <w:spacing w:before="160" w:after="40" w:line="240" w:lineRule="auto"/>
      </w:pPr>
      <w:r>
        <w:rPr>
          <w:b/>
        </w:rPr>
        <w:t xml:space="preserve">[485] </w:t>
      </w:r>
      <w:hyperlink r:id="rId1045">
        <w:r>
          <w:rPr>
            <w:color w:val="1155CC"/>
            <w:u w:val="single"/>
          </w:rPr>
          <w:t>用于细胞质对映选择性曼尼希反应的人工酶的细胞内组装</w:t>
        </w:r>
      </w:hyperlink>
    </w:p>
    <w:p>
      <w:pPr>
        <w:spacing w:before="0" w:after="80"/>
      </w:pPr>
      <w:r>
        <w:rPr>
          <w:i/>
          <w:sz w:val="20"/>
        </w:rPr>
        <w:t>EN: Intracellular assembly of artificial enzymes for cytoplasmic enantioselective Mannich reactions</w:t>
      </w:r>
    </w:p>
    <w:p>
      <w:pPr>
        <w:spacing w:before="0" w:after="120"/>
      </w:pPr>
      <w:r>
        <w:rPr>
          <w:b/>
        </w:rPr>
        <w:t xml:space="preserve">Source: </w:t>
      </w:r>
      <w:r>
        <w:t>Biological sciences : Nature Communications subject feeds</w:t>
      </w:r>
      <w:r>
        <w:t xml:space="preserve">    </w:t>
      </w:r>
      <w:r>
        <w:rPr>
          <w:b/>
        </w:rPr>
        <w:t xml:space="preserve">Pub date: </w:t>
      </w:r>
      <w:r>
        <w:t>2026-07-02 00:00:00+00:00</w:t>
      </w:r>
    </w:p>
    <w:p>
      <w:pPr>
        <w:spacing w:before="0" w:after="120"/>
      </w:pPr>
      <w:r>
        <w:rPr>
          <w:b/>
        </w:rPr>
        <w:t xml:space="preserve">Notes: </w:t>
      </w:r>
      <w:r>
        <w:t>abstract_source=nature_html</w:t>
      </w:r>
    </w:p>
    <w:p>
      <w:pPr>
        <w:spacing w:before="0" w:after="80" w:lineRule="auto" w:line="276"/>
      </w:pPr>
      <w:r>
        <w:rPr>
          <w:b/>
        </w:rPr>
        <w:t xml:space="preserve">摘要（ZH）: </w:t>
      </w:r>
      <w:r>
        <w:t>通过将非生物催化辅因子引入蛋白质支架而构建的人工酶正在成为有希望的生物催化剂，用于没有天然等同物的反应。然而，由于复杂的细胞环境带来的众多挑战，用于纤维素立体选择性生物合成的人工酶的设计在很大程度上仍未被探索。在这里，我们提出了一种通过共价锚定在细胞内组装人工酶的有效策略，通过以天然酶的方式孵育用合成催化辅因子表达靶蛋白的细胞。该人工酶通过细胞内位点特异性二硫键的形成进行有效组装，并在纤维素中催化不对称曼尼希反应，具有优异的对映选择性和反应活性。晶体学分析与计算研究相结合，提供了对立体选择性和催化能力的结构和机制见解。总体而言，这项工作建立了一种在纤维素中构建人工酶的通用且通用的方法，扩展了在细胞环境中定制合成应用的工具包。</w:t>
      </w:r>
    </w:p>
    <w:p>
      <w:pPr>
        <w:spacing w:before="0" w:after="200" w:lineRule="auto" w:line="276"/>
      </w:pPr>
      <w:r>
        <w:rPr>
          <w:b/>
        </w:rPr>
        <w:t xml:space="preserve">Abstract (EN): </w:t>
      </w:r>
      <w:r>
        <w:t>Artificial enzymes constructed by introducing abiological catalytic cofactors into protein scaffolds are emerging as promising biocatalysts for reactions that have no natural equivalents. However, the design of artificial enzymes for in cellulo stereoselective biosynthesis remains largely unexplored because of the numerous challenges posed by the complex cellular environment. Here, we present an efficient strategy for the intracellular assembly of artificial enzymes via covalent anchoring by incubating cells that are expressing target protein with a synthetic catalytic cofactor, in the manner of natural enzymes. The artificial enzyme is assembled efficiently via site-specific disulfide-bond formation in cells, and it catalyzes an asymmetric Mannich reaction in cellulo with excellent enantioselectivity and reactivity. Crystallographic analysis combined with computational studies provides structural and mechanistic insight into the stereoselectivity and catalytic proficiency. Overall, this work establishes a versatile and generalizable approach to construct artificial enzymes in cellulo, expanding the toolkit for tailored synthetic applications in cellular contexts.</w:t>
      </w:r>
    </w:p>
    <w:p>
      <w:pPr>
        <w:spacing w:before="120" w:after="120"/>
      </w:pPr>
      <w:r>
        <w:rPr>
          <w:sz w:val="18"/>
        </w:rPr>
        <w:t>——————————————————————————————————————————————————————————————————————</w:t>
      </w:r>
    </w:p>
    <w:p>
      <w:pPr>
        <w:spacing w:before="160" w:after="40" w:line="240" w:lineRule="auto"/>
      </w:pPr>
      <w:r>
        <w:rPr>
          <w:b/>
        </w:rPr>
        <w:t xml:space="preserve">[486] </w:t>
      </w:r>
      <w:hyperlink r:id="rId1046">
        <w:r>
          <w:rPr>
            <w:color w:val="1155CC"/>
            <w:u w:val="single"/>
          </w:rPr>
          <w:t>BRG1 介导的铁死亡抑制是 BTK 抑制剂耐药性的基础</w:t>
        </w:r>
      </w:hyperlink>
    </w:p>
    <w:p>
      <w:pPr>
        <w:spacing w:before="0" w:after="80"/>
      </w:pPr>
      <w:r>
        <w:rPr>
          <w:i/>
          <w:sz w:val="20"/>
        </w:rPr>
        <w:t>EN: BRG1-mediated suppression of ferroptosis underlies BTK inhibitor resistance</w:t>
      </w:r>
    </w:p>
    <w:p>
      <w:pPr>
        <w:spacing w:before="0" w:after="120"/>
      </w:pPr>
      <w:r>
        <w:rPr>
          <w:b/>
        </w:rPr>
        <w:t xml:space="preserve">Source: </w:t>
      </w:r>
      <w:r>
        <w:t>Biological sciences : Nature Communications subject feeds</w:t>
      </w:r>
      <w:r>
        <w:t xml:space="preserve">    </w:t>
      </w:r>
      <w:r>
        <w:rPr>
          <w:b/>
        </w:rPr>
        <w:t xml:space="preserve">Pub date: </w:t>
      </w:r>
      <w:r>
        <w:t>2026-07-02 00:00:00+00:00</w:t>
      </w:r>
    </w:p>
    <w:p>
      <w:pPr>
        <w:spacing w:before="0" w:after="120"/>
      </w:pPr>
      <w:r>
        <w:rPr>
          <w:b/>
        </w:rPr>
        <w:t xml:space="preserve">Notes: </w:t>
      </w:r>
      <w:r>
        <w:t>abstract_source=nature_html</w:t>
      </w:r>
    </w:p>
    <w:p>
      <w:pPr>
        <w:spacing w:before="0" w:after="80" w:lineRule="auto" w:line="276"/>
      </w:pPr>
      <w:r>
        <w:rPr>
          <w:b/>
        </w:rPr>
        <w:t xml:space="preserve">摘要（ZH）: </w:t>
      </w:r>
      <w:r>
        <w:t>对布鲁顿酪氨酸激酶抑制剂 (BTKi) 的耐药性仍然是 B 细胞恶性肿瘤的主要治疗挑战。在这里，我们发现染色质重塑蛋白 BRG1 介导的铁死亡抑制是套细胞淋巴瘤 (MCL) 中 BTKi 耐药的核心机制，其中异常的 BRG1 依赖性转录程序通过限制活性氧 (ROS) 和不稳定铁来保护细胞免受 BTKi 诱导的铁死亡。从机制上讲，BRG1 通过调节 BTK 依赖性生存信号和 BTK 独立转录程序来促进耐药性。后者是由 BRG1 驱动的 MEF2B 诱导介导的，MEF2B 上调非典型线粒体复合物 I 亚基 NDUFA4L2。 NDUFA4L2 增加会限制细胞呼吸，预先限制线粒体 ROS 生成并激活 AMPK 信号传导，从而降低脂质过氧化和铁死亡的易感性。 BRG1 的药理学抑制会破坏这些程序，恢复铁死亡敏感性，并在耐药性 MCL 模型中与 BTKi 协同作用。总之，我们的研究确立了 BRG1 作为 BTKi 耐药性的中心调节因子，并为 BRG1 和 BTK 共同靶向作为 B 细胞恶性肿瘤的治疗策略提供了理论基础。</w:t>
      </w:r>
    </w:p>
    <w:p>
      <w:pPr>
        <w:spacing w:before="0" w:after="200" w:lineRule="auto" w:line="276"/>
      </w:pPr>
      <w:r>
        <w:rPr>
          <w:b/>
        </w:rPr>
        <w:t xml:space="preserve">Abstract (EN): </w:t>
      </w:r>
      <w:r>
        <w:t>Resistance to Bruton’s tyrosine kinase inhibitors (BTKi) remains a major therapeutic challenge in B-cell malignancies. Here, we identify chromatin remodeler BRG1-mediated suppression of ferroptosis as a central mechanism of BTKi resistance in mantle cell lymphoma (MCL), in which aberrant BRG1-dependent transcription program protects cells from BTKi-induced ferroptosis by restricting reactive oxygen species (ROS) and labile iron. Mechanistically, BRG1 promotes resistance through regulation of both BTK-dependent survival signaling and a BTK-independent transcriptional program. The latter is mediated by BRG1-driven induction of MEF2B, which upregulates atypical mitochondrial complex I subunit NDUFA4L2. Increased NDUFA4L2 restricts cellular respiration, preemptively limiting mitochondrial ROS generation and activating AMPK signaling, together reducing susceptibility to lipid peroxidation and ferroptosis. Pharmacologic inhibition of BRG1 disrupts these programs, restoring ferroptotic sensitivity and synergizing with BTKi across resistant MCL models. Together, our study establishes BRG1 as a central regulator of BTKi resistance and provides a rationale for co-targeting BRG1 and BTK as a therapeutic strategy for B-cell malignancies.</w:t>
      </w:r>
    </w:p>
    <w:p>
      <w:pPr>
        <w:spacing w:before="120" w:after="120"/>
      </w:pPr>
      <w:r>
        <w:rPr>
          <w:sz w:val="18"/>
        </w:rPr>
        <w:t>——————————————————————————————————————————————————————————————————————</w:t>
      </w:r>
    </w:p>
    <w:p>
      <w:pPr>
        <w:spacing w:before="160" w:after="40" w:line="240" w:lineRule="auto"/>
      </w:pPr>
      <w:r>
        <w:rPr>
          <w:b/>
        </w:rPr>
        <w:t xml:space="preserve">[487] </w:t>
      </w:r>
      <w:hyperlink r:id="rId1047">
        <w:r>
          <w:rPr>
            <w:color w:val="1155CC"/>
            <w:u w:val="single"/>
          </w:rPr>
          <w:t>仿生催化：从化学到空间限制的工程微环境</w:t>
        </w:r>
      </w:hyperlink>
    </w:p>
    <w:p>
      <w:pPr>
        <w:spacing w:before="0" w:after="80"/>
      </w:pPr>
      <w:r>
        <w:rPr>
          <w:i/>
          <w:sz w:val="20"/>
        </w:rPr>
        <w:t>EN: Bioinspired catalysis: Engineering microenvironment from chemical to spatial confinement</w:t>
      </w:r>
    </w:p>
    <w:p>
      <w:pPr>
        <w:spacing w:before="0" w:after="120"/>
      </w:pPr>
      <w:r>
        <w:rPr>
          <w:b/>
        </w:rPr>
        <w:t xml:space="preserve">Source: </w:t>
      </w:r>
      <w:r>
        <w:t>Matter</w:t>
      </w:r>
      <w:r>
        <w:t xml:space="preserve">    </w:t>
      </w:r>
      <w:r>
        <w:rPr>
          <w:b/>
        </w:rPr>
        <w:t xml:space="preserve">Pub date: </w:t>
      </w:r>
      <w:r>
        <w:t>2026-07-02 00:00:00+00:00</w:t>
      </w:r>
      <w:r>
        <w:t xml:space="preserve">    </w:t>
      </w:r>
      <w:r>
        <w:rPr>
          <w:b/>
        </w:rPr>
        <w:t xml:space="preserve">DOI: </w:t>
      </w:r>
      <w:hyperlink r:id="rId1048">
        <w:r>
          <w:rPr>
            <w:color w:val="1155CC"/>
            <w:u w:val="single"/>
          </w:rPr>
          <w:t>10.1016/j.matt.2026.102907</w:t>
        </w:r>
      </w:hyperlink>
    </w:p>
    <w:p>
      <w:pPr>
        <w:spacing w:before="0" w:after="120"/>
      </w:pPr>
      <w:r>
        <w:rPr>
          <w:b/>
        </w:rPr>
        <w:t xml:space="preserve">Notes: </w:t>
      </w:r>
      <w:r>
        <w:t>abstract_source=rss_cell</w:t>
      </w:r>
    </w:p>
    <w:p>
      <w:pPr>
        <w:spacing w:before="0" w:after="80" w:lineRule="auto" w:line="276"/>
      </w:pPr>
      <w:r>
        <w:rPr>
          <w:b/>
        </w:rPr>
        <w:t xml:space="preserve">摘要（ZH）: </w:t>
      </w:r>
      <w:r>
        <w:t>这一观点强调了仿生协同约束催化，统一化学环境和空间结构，超越传统催化剂设计的局限性。通过解构限制机制并提出瓶颈驱动的部署策略，这项工作为材料科学家和化学家提供了一个设计框架，以设计高性能、多尺度的催化系统，以与天然酶的卓越效率和选择性相媲美。</w:t>
      </w:r>
    </w:p>
    <w:p>
      <w:pPr>
        <w:spacing w:before="0" w:after="200" w:lineRule="auto" w:line="276"/>
      </w:pPr>
      <w:r>
        <w:rPr>
          <w:b/>
        </w:rPr>
        <w:t xml:space="preserve">Abstract (EN): </w:t>
      </w:r>
      <w:r>
        <w:t>This perspective highlights bioinspired synergistic confinement catalysis, unifying chemical environments and spatial architectures to transcend the limitations of traditional catalyst design. By deconstructing confinement mechanisms and proposing a bottleneck-driven deployment strategy, this work offers a design framework for materials scientists and chemists to engineer high-performance, multiscale catalytic systems that rival the exceptional efficiency and selectivity of natural enzymes.</w:t>
      </w:r>
    </w:p>
    <w:p>
      <w:pPr>
        <w:spacing w:before="120" w:after="120"/>
      </w:pPr>
      <w:r>
        <w:rPr>
          <w:sz w:val="18"/>
        </w:rPr>
        <w:t>——————————————————————————————————————————————————————————————————————</w:t>
      </w:r>
    </w:p>
    <w:p>
      <w:pPr>
        <w:spacing w:before="160" w:after="40" w:line="240" w:lineRule="auto"/>
      </w:pPr>
      <w:r>
        <w:rPr>
          <w:b/>
        </w:rPr>
        <w:t xml:space="preserve">[488] </w:t>
      </w:r>
      <w:hyperlink r:id="rId1049">
        <w:r>
          <w:rPr>
            <w:color w:val="1155CC"/>
            <w:u w:val="single"/>
          </w:rPr>
          <w:t>纳米限制定向单原子催化剂中配位和位点距离的双重调节用于选择性催化</w:t>
        </w:r>
      </w:hyperlink>
    </w:p>
    <w:p>
      <w:pPr>
        <w:spacing w:before="0" w:after="80"/>
      </w:pPr>
      <w:r>
        <w:rPr>
          <w:i/>
          <w:sz w:val="20"/>
        </w:rPr>
        <w:t>EN: Nanoconfinement-directed dual modulation of coordination and inter-site distance in single-atom catalysts for selective catalysis</w:t>
      </w:r>
    </w:p>
    <w:p>
      <w:pPr>
        <w:spacing w:before="0" w:after="120"/>
      </w:pPr>
      <w:r>
        <w:rPr>
          <w:b/>
        </w:rPr>
        <w:t xml:space="preserve">Source: </w:t>
      </w:r>
      <w:r>
        <w:t>Matter</w:t>
      </w:r>
      <w:r>
        <w:t xml:space="preserve">    </w:t>
      </w:r>
      <w:r>
        <w:rPr>
          <w:b/>
        </w:rPr>
        <w:t xml:space="preserve">Pub date: </w:t>
      </w:r>
      <w:r>
        <w:t>2026-07-02 00:00:00+00:00</w:t>
      </w:r>
      <w:r>
        <w:t xml:space="preserve">    </w:t>
      </w:r>
      <w:r>
        <w:rPr>
          <w:b/>
        </w:rPr>
        <w:t xml:space="preserve">DOI: </w:t>
      </w:r>
      <w:hyperlink r:id="rId1050">
        <w:r>
          <w:rPr>
            <w:color w:val="1155CC"/>
            <w:u w:val="single"/>
          </w:rPr>
          <w:t>10.1016/j.matt.2026.102908</w:t>
        </w:r>
      </w:hyperlink>
    </w:p>
    <w:p>
      <w:pPr>
        <w:spacing w:before="0" w:after="120"/>
      </w:pPr>
      <w:r>
        <w:rPr>
          <w:b/>
        </w:rPr>
        <w:t xml:space="preserve">Notes: </w:t>
      </w:r>
      <w:r>
        <w:t>abstract_source=rss_cell</w:t>
      </w:r>
    </w:p>
    <w:p>
      <w:pPr>
        <w:spacing w:before="0" w:after="80" w:lineRule="auto" w:line="276"/>
      </w:pPr>
      <w:r>
        <w:rPr>
          <w:b/>
        </w:rPr>
        <w:t xml:space="preserve">摘要（ZH）: </w:t>
      </w:r>
      <w:r>
        <w:t>纳米限域工程同时调节单原子催化剂中的配位数和位点间距离，将催化途径转向高选择性形成高价铁氧（FeIV=O）物质。</w:t>
      </w:r>
    </w:p>
    <w:p>
      <w:pPr>
        <w:spacing w:before="0" w:after="200" w:lineRule="auto" w:line="276"/>
      </w:pPr>
      <w:r>
        <w:rPr>
          <w:b/>
        </w:rPr>
        <w:t xml:space="preserve">Abstract (EN): </w:t>
      </w:r>
      <w:r>
        <w:t>Nanoconfinement engineering simultaneously regulates the coordination number and inter-site distance in single-atom catalysts, redirecting the catalytic pathway toward highly selective formation of high-valent iron-oxo (FeIV=O) species.</w:t>
      </w:r>
    </w:p>
    <w:p>
      <w:pPr>
        <w:spacing w:before="120" w:after="120"/>
      </w:pPr>
      <w:r>
        <w:rPr>
          <w:sz w:val="18"/>
        </w:rPr>
        <w:t>——————————————————————————————————————————————————————————————————————</w:t>
      </w:r>
    </w:p>
    <w:p>
      <w:pPr>
        <w:spacing w:before="160" w:after="40" w:line="240" w:lineRule="auto"/>
      </w:pPr>
      <w:r>
        <w:rPr>
          <w:b/>
        </w:rPr>
        <w:t xml:space="preserve">[489] </w:t>
      </w:r>
      <w:hyperlink r:id="rId1051">
        <w:r>
          <w:rPr>
            <w:color w:val="1155CC"/>
            <w:u w:val="single"/>
          </w:rPr>
          <w:t>通用化学机械缩放定律控制活性软胶囊的自主形状选择</w:t>
        </w:r>
      </w:hyperlink>
    </w:p>
    <w:p>
      <w:pPr>
        <w:spacing w:before="0" w:after="80"/>
      </w:pPr>
      <w:r>
        <w:rPr>
          <w:i/>
          <w:sz w:val="20"/>
        </w:rPr>
        <w:t>EN: A universal chemo-mechanical scaling law governs autonomous shape selection in active soft capsules</w:t>
      </w:r>
    </w:p>
    <w:p>
      <w:pPr>
        <w:spacing w:before="0" w:after="120"/>
      </w:pPr>
      <w:r>
        <w:rPr>
          <w:b/>
        </w:rPr>
        <w:t xml:space="preserve">Source: </w:t>
      </w:r>
      <w:r>
        <w:t>Matter</w:t>
      </w:r>
      <w:r>
        <w:t xml:space="preserve">    </w:t>
      </w:r>
      <w:r>
        <w:rPr>
          <w:b/>
        </w:rPr>
        <w:t xml:space="preserve">Pub date: </w:t>
      </w:r>
      <w:r>
        <w:t>2026-07-02 00:00:00+00:00</w:t>
      </w:r>
      <w:r>
        <w:t xml:space="preserve">    </w:t>
      </w:r>
      <w:r>
        <w:rPr>
          <w:b/>
        </w:rPr>
        <w:t xml:space="preserve">DOI: </w:t>
      </w:r>
      <w:hyperlink r:id="rId1052">
        <w:r>
          <w:rPr>
            <w:color w:val="1155CC"/>
            <w:u w:val="single"/>
          </w:rPr>
          <w:t>10.1016/j.matt.2026.102909</w:t>
        </w:r>
      </w:hyperlink>
    </w:p>
    <w:p>
      <w:pPr>
        <w:spacing w:before="0" w:after="120"/>
      </w:pPr>
      <w:r>
        <w:rPr>
          <w:b/>
        </w:rPr>
        <w:t xml:space="preserve">Notes: </w:t>
      </w:r>
      <w:r>
        <w:t>abstract_source=rss_cell</w:t>
      </w:r>
    </w:p>
    <w:p>
      <w:pPr>
        <w:spacing w:before="0" w:after="80" w:lineRule="auto" w:line="276"/>
      </w:pPr>
      <w:r>
        <w:rPr>
          <w:b/>
        </w:rPr>
        <w:t xml:space="preserve">摘要（ZH）: </w:t>
      </w:r>
      <w:r>
        <w:t>由内部化学振荡器驱动的中空水凝胶胶囊可在轻微的形状波动和大规模屈曲之间自主切换。我们证明这种模式选择受化学和机械时间尺度之间的单一无量纲比率控制。这种缩放框架将不同的材料和反应条件折叠成预测相图，建立了活性软材料自主变形编程的设计原则。</w:t>
      </w:r>
    </w:p>
    <w:p>
      <w:pPr>
        <w:spacing w:before="0" w:after="200" w:lineRule="auto" w:line="276"/>
      </w:pPr>
      <w:r>
        <w:rPr>
          <w:b/>
        </w:rPr>
        <w:t xml:space="preserve">Abstract (EN): </w:t>
      </w:r>
      <w:r>
        <w:t>Hollow hydrogel capsules driven by an internal chemical oscillator autonomously switch between gentle shape fluctuations and large-scale buckling. We show that this mode selection is governed by a single dimensionless ratio between chemical and mechanical timescales. This scaling framework collapses diverse material and reaction conditions into a predictive phase diagram, establishing a design principle for programming autonomous deformation in active soft materials.</w:t>
      </w:r>
    </w:p>
    <w:p>
      <w:pPr>
        <w:spacing w:before="120" w:after="120"/>
      </w:pPr>
      <w:r>
        <w:rPr>
          <w:sz w:val="18"/>
        </w:rPr>
        <w:t>——————————————————————————————————————————————————————————————————————</w:t>
      </w:r>
    </w:p>
    <w:p>
      <w:pPr>
        <w:spacing w:before="160" w:after="40" w:line="240" w:lineRule="auto"/>
      </w:pPr>
      <w:r>
        <w:rPr>
          <w:b/>
        </w:rPr>
        <w:t xml:space="preserve">[490] </w:t>
      </w:r>
      <w:hyperlink r:id="rId1053">
        <w:r>
          <w:rPr>
            <w:color w:val="1155CC"/>
            <w:u w:val="single"/>
          </w:rPr>
          <w:t>细丝级编程和机器学习可实现超越材料限制的可调节释放动力学</w:t>
        </w:r>
      </w:hyperlink>
    </w:p>
    <w:p>
      <w:pPr>
        <w:spacing w:before="0" w:after="80"/>
      </w:pPr>
      <w:r>
        <w:rPr>
          <w:i/>
          <w:sz w:val="20"/>
        </w:rPr>
        <w:t>EN: Filament-level programming and machine learning enable tunable release kinetics beyond material limits</w:t>
      </w:r>
    </w:p>
    <w:p>
      <w:pPr>
        <w:spacing w:before="0" w:after="120"/>
      </w:pPr>
      <w:r>
        <w:rPr>
          <w:b/>
        </w:rPr>
        <w:t xml:space="preserve">Source: </w:t>
      </w:r>
      <w:r>
        <w:t>Matter</w:t>
      </w:r>
      <w:r>
        <w:t xml:space="preserve">    </w:t>
      </w:r>
      <w:r>
        <w:rPr>
          <w:b/>
        </w:rPr>
        <w:t xml:space="preserve">Pub date: </w:t>
      </w:r>
      <w:r>
        <w:t>2026-07-02 00:00:00+00:00</w:t>
      </w:r>
      <w:r>
        <w:t xml:space="preserve">    </w:t>
      </w:r>
      <w:r>
        <w:rPr>
          <w:b/>
        </w:rPr>
        <w:t xml:space="preserve">DOI: </w:t>
      </w:r>
      <w:hyperlink r:id="rId1054">
        <w:r>
          <w:rPr>
            <w:color w:val="1155CC"/>
            <w:u w:val="single"/>
          </w:rPr>
          <w:t>10.1016/j.matt.2026.102912</w:t>
        </w:r>
      </w:hyperlink>
    </w:p>
    <w:p>
      <w:pPr>
        <w:spacing w:before="0" w:after="120"/>
      </w:pPr>
      <w:r>
        <w:rPr>
          <w:b/>
        </w:rPr>
        <w:t xml:space="preserve">Notes: </w:t>
      </w:r>
      <w:r>
        <w:t>abstract_source=rss_cell</w:t>
      </w:r>
    </w:p>
    <w:p>
      <w:pPr>
        <w:spacing w:before="0" w:after="80" w:lineRule="auto" w:line="276"/>
      </w:pPr>
      <w:r>
        <w:rPr>
          <w:b/>
        </w:rPr>
        <w:t xml:space="preserve">摘要（ZH）: </w:t>
      </w:r>
      <w:r>
        <w:t>陈等人。表明药物释放动力学可以通过内部细丝结构而不是重复的配方变化来编程。多材料 3D 打印将载药、无药和屏障细丝组织到设计的运输路径中，而可解释的机器学习和 PBPK 建模将结构设计与可调释放和疾病相关的暴露控制联系起来。</w:t>
      </w:r>
    </w:p>
    <w:p>
      <w:pPr>
        <w:spacing w:before="0" w:after="200" w:lineRule="auto" w:line="276"/>
      </w:pPr>
      <w:r>
        <w:rPr>
          <w:b/>
        </w:rPr>
        <w:t xml:space="preserve">Abstract (EN): </w:t>
      </w:r>
      <w:r>
        <w:t>Chen et al. show that drug-release kinetics can be programmed by internal filament architecture rather than repeated formulation changes. Multimaterial 3D printing organizes drug-loaded, drug-free, and barrier filaments into designed transport pathways, while interpretable machine learning and PBPK modeling connect structural design to tunable release and disease-relevant exposure control.</w:t>
      </w:r>
    </w:p>
    <w:p>
      <w:pPr>
        <w:spacing w:before="120" w:after="120"/>
      </w:pPr>
      <w:r>
        <w:rPr>
          <w:sz w:val="18"/>
        </w:rPr>
        <w:t>——————————————————————————————————————————————————————————————————————</w:t>
      </w:r>
    </w:p>
    <w:p>
      <w:pPr>
        <w:spacing w:before="160" w:after="40" w:line="240" w:lineRule="auto"/>
      </w:pPr>
      <w:r>
        <w:rPr>
          <w:b/>
        </w:rPr>
        <w:t xml:space="preserve">[491] </w:t>
      </w:r>
      <w:hyperlink r:id="rId1055">
        <w:r>
          <w:rPr>
            <w:color w:val="1155CC"/>
            <w:u w:val="single"/>
          </w:rPr>
          <w:t>用于活性位点表征的 HAADF-HRSTEM 成像</w:t>
        </w:r>
      </w:hyperlink>
    </w:p>
    <w:p>
      <w:pPr>
        <w:spacing w:before="0" w:after="80"/>
      </w:pPr>
      <w:r>
        <w:rPr>
          <w:i/>
          <w:sz w:val="20"/>
        </w:rPr>
        <w:t>EN: HAADF-HRSTEM imaging for active site characterization</w:t>
      </w:r>
    </w:p>
    <w:p>
      <w:pPr>
        <w:spacing w:before="0" w:after="120"/>
      </w:pPr>
      <w:r>
        <w:rPr>
          <w:b/>
        </w:rPr>
        <w:t xml:space="preserve">Source: </w:t>
      </w:r>
      <w:r>
        <w:t>Nature Reviews Clean Technology</w:t>
      </w:r>
      <w:r>
        <w:t xml:space="preserve">    </w:t>
      </w:r>
      <w:r>
        <w:rPr>
          <w:b/>
        </w:rPr>
        <w:t xml:space="preserve">Pub date: </w:t>
      </w:r>
      <w:r>
        <w:t>2026-07-02 00:00:00+00:00</w:t>
      </w:r>
      <w:r>
        <w:t xml:space="preserve">    </w:t>
      </w:r>
      <w:r>
        <w:rPr>
          <w:b/>
        </w:rPr>
        <w:t xml:space="preserve">DOI: </w:t>
      </w:r>
      <w:hyperlink r:id="rId1056">
        <w:r>
          <w:rPr>
            <w:color w:val="1155CC"/>
            <w:u w:val="single"/>
          </w:rPr>
          <w:t>10.1038/s44359-026-00197-8</w:t>
        </w:r>
      </w:hyperlink>
    </w:p>
    <w:p>
      <w:pPr>
        <w:spacing w:before="0" w:after="120"/>
      </w:pPr>
      <w:r>
        <w:rPr>
          <w:b/>
        </w:rPr>
        <w:t xml:space="preserve">Notes: </w:t>
      </w:r>
      <w:r>
        <w:t>abstract_source=nature_html</w:t>
      </w:r>
    </w:p>
    <w:p>
      <w:pPr>
        <w:spacing w:before="0" w:after="80" w:lineRule="auto" w:line="276"/>
      </w:pPr>
      <w:r>
        <w:rPr>
          <w:b/>
        </w:rPr>
        <w:t xml:space="preserve">摘要（ZH）: </w:t>
      </w:r>
      <w:r>
        <w:t>Abbey Piatt Price 解释了如何使用高角度环形暗场高分辨率扫描透射电子显微镜来了解催化剂活性位点。</w:t>
      </w:r>
    </w:p>
    <w:p>
      <w:pPr>
        <w:spacing w:before="0" w:after="200" w:lineRule="auto" w:line="276"/>
      </w:pPr>
      <w:r>
        <w:rPr>
          <w:b/>
        </w:rPr>
        <w:t xml:space="preserve">Abstract (EN): </w:t>
      </w:r>
      <w:r>
        <w:t>Abbey Piatt Price explains how high-angle annular dark-field high-resolution scanning transmission electron microscopy can be used to understand catalyst active sites.</w:t>
      </w:r>
    </w:p>
    <w:p>
      <w:pPr>
        <w:spacing w:before="120" w:after="120"/>
      </w:pPr>
      <w:r>
        <w:rPr>
          <w:sz w:val="18"/>
        </w:rPr>
        <w:t>——————————————————————————————————————————————————————————————————————</w:t>
      </w:r>
    </w:p>
    <w:p>
      <w:pPr>
        <w:spacing w:before="160" w:after="40" w:line="240" w:lineRule="auto"/>
      </w:pPr>
      <w:r>
        <w:rPr>
          <w:b/>
        </w:rPr>
        <w:t xml:space="preserve">[492] </w:t>
      </w:r>
      <w:hyperlink r:id="rId1057">
        <w:r>
          <w:rPr>
            <w:color w:val="1155CC"/>
            <w:u w:val="single"/>
          </w:rPr>
          <w:t>单细胞空间转录组学追踪乳腺癌侵袭过程中的进化层次和微环境重塑</w:t>
        </w:r>
      </w:hyperlink>
    </w:p>
    <w:p>
      <w:pPr>
        <w:spacing w:before="0" w:after="80"/>
      </w:pPr>
      <w:r>
        <w:rPr>
          <w:i/>
          <w:sz w:val="20"/>
        </w:rPr>
        <w:t>EN: Single cell spatial transcriptomics track the evolutionary hierarchy and microenvironment remodeling during breast carcinoma invasion</w:t>
      </w:r>
    </w:p>
    <w:p>
      <w:pPr>
        <w:spacing w:before="0" w:after="120"/>
      </w:pPr>
      <w:r>
        <w:rPr>
          <w:b/>
        </w:rPr>
        <w:t xml:space="preserve">Source: </w:t>
      </w:r>
      <w:r>
        <w:t>Biological sciences : Nature Communications subject feeds</w:t>
      </w:r>
      <w:r>
        <w:t xml:space="preserve">    </w:t>
      </w:r>
      <w:r>
        <w:rPr>
          <w:b/>
        </w:rPr>
        <w:t xml:space="preserve">Pub date: </w:t>
      </w:r>
      <w:r>
        <w:t>2026-07-02 00:00:00+00:00</w:t>
      </w:r>
    </w:p>
    <w:p>
      <w:pPr>
        <w:spacing w:before="0" w:after="120"/>
      </w:pPr>
      <w:r>
        <w:rPr>
          <w:b/>
        </w:rPr>
        <w:t xml:space="preserve">Notes: </w:t>
      </w:r>
      <w:r>
        <w:t>abstract_source=nature_html</w:t>
      </w:r>
    </w:p>
    <w:p>
      <w:pPr>
        <w:spacing w:before="0" w:after="80" w:lineRule="auto" w:line="276"/>
      </w:pPr>
      <w:r>
        <w:rPr>
          <w:b/>
        </w:rPr>
        <w:t xml:space="preserve">摘要（ZH）: </w:t>
      </w:r>
      <w:r>
        <w:t>从导管原位癌 (DCIS) 到浸润性乳腺癌 (IBC) 的进展关键决定患者的预后，但其机制仍不完全清楚。通过整合 28 名同步 DCIS 和 IBC 患者的单细胞 RNA 测序、空间转录组学和基因组学，我们描绘了这一转变的空间分子层次结构。入侵主要是由预先存在的 DCIS 亚克隆的克隆扩张驱动的，强调转录重编程和肿瘤微环境 (TME) 重塑，而不是获得额外的驱动改变。 IBC 细胞表现出明显的上皮-间质转化和代谢重编程。我们发现了侵入前沿的动态 TME 重塑，识别了促进基底膜破坏、血管生成和免疫抑制的关键配体-受体相互作用（例如 PPIA-BSG、MDK-LRP1、CXCL12-CXCR4）。基底膜破裂的反卷积揭示了四个分子定义的阶段（NMFT1-NMFT4），患者生存率逐渐恶化。这项研究建立了 DCIS-IBC 进展的统一空间分子图谱，强调克隆扩张、转录可塑性和 TME 重塑是侵袭的关键驱动因素。</w:t>
      </w:r>
    </w:p>
    <w:p>
      <w:pPr>
        <w:spacing w:before="0" w:after="200" w:lineRule="auto" w:line="276"/>
      </w:pPr>
      <w:r>
        <w:rPr>
          <w:b/>
        </w:rPr>
        <w:t xml:space="preserve">Abstract (EN): </w:t>
      </w:r>
      <w:r>
        <w:t>The progression from ductal carcinoma in situ (DCIS) to invasive breast carcinoma (IBC) critically determines patient outcomes, yet its mechanisms remain incompletely understood. Integrating single-cell RNA sequencing, spatial transcriptomics, and genomics across 28 patients with synchronous DCIS and IBC, we delineate the spatial-molecular hierarchy of this transition. Invasion is primarily driven by clonal expansion of pre-existing DCIS subclones, emphasizing transcriptional reprogramming and tumor microenvironment (TME) remodeling over acquisition of additional driver alterations. IBC cells exhibit pronounced epithelial-mesenchymal transition and metabolic reprogramming. We uncover dynamic TME remodeling at the invasive front, identifying key ligand–receptor interactions (e.g., PPIA-BSG, MDK-LRP1, CXCL12-CXCR4) facilitating basement membrane disruption, angiogenesis and immunosuppression. Deconvolution of basement membrane breach reveals four molecularly defined stages (NMFT1–NMFT4) with progressively worsening patient survival. This study establishes a unified spatial-molecular atlas of DCIS-IBC progression, highlighting clonal expansion, transcriptional plasticity and TME remodeling as key drivers of invasion.</w:t>
      </w:r>
    </w:p>
    <w:p>
      <w:pPr>
        <w:spacing w:before="120" w:after="120"/>
      </w:pPr>
      <w:r>
        <w:rPr>
          <w:sz w:val="18"/>
        </w:rPr>
        <w:t>——————————————————————————————————————————————————————————————————————</w:t>
      </w:r>
    </w:p>
    <w:p>
      <w:pPr>
        <w:spacing w:before="160" w:after="40" w:line="240" w:lineRule="auto"/>
      </w:pPr>
      <w:r>
        <w:rPr>
          <w:b/>
        </w:rPr>
        <w:t xml:space="preserve">[493] </w:t>
      </w:r>
      <w:hyperlink r:id="rId1058">
        <w:r>
          <w:rPr>
            <w:color w:val="1155CC"/>
            <w:u w:val="single"/>
          </w:rPr>
          <w:t>结构引导的 DELLA 营业额重新编程，实现水稻可持续绿色革命</w:t>
        </w:r>
      </w:hyperlink>
    </w:p>
    <w:p>
      <w:pPr>
        <w:spacing w:before="0" w:after="80"/>
      </w:pPr>
      <w:r>
        <w:rPr>
          <w:i/>
          <w:sz w:val="20"/>
        </w:rPr>
        <w:t>EN: Structure-guided reprogramming of DELLA turnover for a sustainable Green Revolution in rice</w:t>
      </w:r>
    </w:p>
    <w:p>
      <w:pPr>
        <w:spacing w:before="0" w:after="120"/>
      </w:pPr>
      <w:r>
        <w:rPr>
          <w:b/>
        </w:rPr>
        <w:t xml:space="preserve">Source: </w:t>
      </w:r>
      <w:r>
        <w:t>Biological sciences : Nature Communications subject feeds</w:t>
      </w:r>
      <w:r>
        <w:t xml:space="preserve">    </w:t>
      </w:r>
      <w:r>
        <w:rPr>
          <w:b/>
        </w:rPr>
        <w:t xml:space="preserve">Pub date: </w:t>
      </w:r>
      <w:r>
        <w:t>2026-07-02 00:00:00+00:00</w:t>
      </w:r>
    </w:p>
    <w:p>
      <w:pPr>
        <w:spacing w:before="0" w:after="120"/>
      </w:pPr>
      <w:r>
        <w:rPr>
          <w:b/>
        </w:rPr>
        <w:t xml:space="preserve">Notes: </w:t>
      </w:r>
      <w:r>
        <w:t>abstract_source=nature_html</w:t>
      </w:r>
    </w:p>
    <w:p>
      <w:pPr>
        <w:spacing w:before="0" w:after="80" w:lineRule="auto" w:line="276"/>
      </w:pPr>
      <w:r>
        <w:rPr>
          <w:b/>
        </w:rPr>
        <w:t xml:space="preserve">摘要（ZH）: </w:t>
      </w:r>
      <w:r>
        <w:t>20世纪60年代的绿色革命显着提高了谷物产量，但由于过度依赖化肥投入而造成了巨大的环境成本；因此，未来农业的可持续发展需要提高氮肥利用效率（NUE）。以 DELLA 蛋白质积累增加为特征的半矮化绿色革命品种 (GRV) 引入了根本性的权衡，以降低单株生物量和谷物生产力为代价，提高抗倒伏性和收获指数，并且需要高氮肥投入才能在高种植密度下实现最大产量潜力。在这里，我们发现赤霉素（GA）结合的GA-INSENSITIVE DWARF1（GID1）诱导DELLA蛋白的多级构象变化，影响其N端DELLA和VHYN/DPT/S以及C端VVLV和SAW基序，从而促进SKP1-CULLIN-F-box（SCF）泛素连接酶复合物的识别和随后的蛋白酶体降解。我们还对水稻 SLENDER RICE1 (SLR1)-GID1-GID2 复合体进行了结构引导工程，并创建了一系列矮化等位基因，在优良品种中表现出连续的株高谱。值得注意的是，与传统的含有 sd1 的 GRV 相比，显性等位基因 slr1Y94A 和 slr1Y580A 实现了更高的产量和更高的 NUE。因此，重新规划 DELLA 营业额能够打破高产与化肥依赖之间长期存在的权衡，为实现更加可持续和高效的绿色革命提供战略。</w:t>
      </w:r>
    </w:p>
    <w:p>
      <w:pPr>
        <w:spacing w:before="0" w:after="200" w:lineRule="auto" w:line="276"/>
      </w:pPr>
      <w:r>
        <w:rPr>
          <w:b/>
        </w:rPr>
        <w:t xml:space="preserve">Abstract (EN): </w:t>
      </w:r>
      <w:r>
        <w:t>The Green Revolution of the 1960s significantly boosted cereal yields but incurred substantial environmental costs due to overreliance on chemical fertilizer inputs; thus, future agricultural sustainability demands improved nitrogen-use efficiency (NUE). The semi-dwarf Green Revolution varieties (GRVs) characterized by elevated DELLA protein accumulation introduce a fundamental trade-off, increasing lodging resistance and harvest index at the expense of diminished biomass and grain productivity per plant, and require high nitrogen fertilizer inputs to achieve maximum yield potential under high planting density. Here we show that gibberellin (GA)-bound GA-INSENSITIVE DWARF1 (GID1) induces multi-level conformational changes in DELLA protein, affecting its N-terminal DELLA and VHYN/DPT/S and C-terminal VVLV and SAW motifs, thereby facilitating recognition by the SKP1-CULLIN-F-box (SCF) ubiquitin ligase complex and subsequent proteasomal degradation. We also performed structure-guided engineering of the rice SLENDER RICE1 (SLR1)-GID1-GID2 complex and created a series of dwarf alleles exhibiting a continuous spectrum of plant heights in elite cultivars. Notably, the dominant alleles slr1Y94A and slr1Y580A achieved superior yield and enhanced NUE over conventional sd1-containing GRVs. Reprogramming DELLA turnover thus enables to break the long-standing trade-off between high yield and fertilizer dependency, offering a strategy toward a more sustainable and productive Green Revolution.</w:t>
      </w:r>
    </w:p>
    <w:p>
      <w:pPr>
        <w:spacing w:before="120" w:after="120"/>
      </w:pPr>
      <w:r>
        <w:rPr>
          <w:sz w:val="18"/>
        </w:rPr>
        <w:t>——————————————————————————————————————————————————————————————————————</w:t>
      </w:r>
    </w:p>
    <w:p>
      <w:pPr>
        <w:spacing w:before="160" w:after="40" w:line="240" w:lineRule="auto"/>
      </w:pPr>
      <w:r>
        <w:rPr>
          <w:b/>
        </w:rPr>
        <w:t xml:space="preserve">[494] </w:t>
      </w:r>
      <w:hyperlink r:id="rId1059">
        <w:r>
          <w:rPr>
            <w:color w:val="1155CC"/>
            <w:u w:val="single"/>
          </w:rPr>
          <w:t>通过触觉编码脑机接口同时控制自然肢体和机器人肢体</w:t>
        </w:r>
      </w:hyperlink>
    </w:p>
    <w:p>
      <w:pPr>
        <w:spacing w:before="0" w:after="80"/>
      </w:pPr>
      <w:r>
        <w:rPr>
          <w:i/>
          <w:sz w:val="20"/>
        </w:rPr>
        <w:t>EN: Concurrent control of natural and robotic limbs through a tactile-encoded brain-computer interface</w:t>
      </w:r>
    </w:p>
    <w:p>
      <w:pPr>
        <w:spacing w:before="0" w:after="120"/>
      </w:pPr>
      <w:r>
        <w:rPr>
          <w:b/>
        </w:rPr>
        <w:t xml:space="preserve">Source: </w:t>
      </w:r>
      <w:r>
        <w:t>Biological sciences : Nature Communications subject feeds</w:t>
      </w:r>
      <w:r>
        <w:t xml:space="preserve">    </w:t>
      </w:r>
      <w:r>
        <w:rPr>
          <w:b/>
        </w:rPr>
        <w:t xml:space="preserve">Pub date: </w:t>
      </w:r>
      <w:r>
        <w:t>2026-07-02 00:00:00+00:00</w:t>
      </w:r>
    </w:p>
    <w:p>
      <w:pPr>
        <w:spacing w:before="0" w:after="120"/>
      </w:pPr>
      <w:r>
        <w:rPr>
          <w:b/>
        </w:rPr>
        <w:t xml:space="preserve">Notes: </w:t>
      </w:r>
      <w:r>
        <w:t>abstract_source=nature_html</w:t>
      </w:r>
    </w:p>
    <w:p>
      <w:pPr>
        <w:spacing w:before="0" w:after="80" w:lineRule="auto" w:line="276"/>
      </w:pPr>
      <w:r>
        <w:rPr>
          <w:b/>
        </w:rPr>
        <w:t xml:space="preserve">摘要（ZH）: </w:t>
      </w:r>
      <w:r>
        <w:t>脑机接口（BCI）有望通过对多余效应器进行直接神经控制来扩展人类运动能力，但在不破坏自然运动的情况下将增强命令与多个自由度集成仍然是一个关键挑战。在这里，我们提出了一种触觉编码的 BCI，它通过触觉诱发的 P300 范式利用感觉传入，即使与自愿动作叠加，也可以可靠地解码多余的运动意图。该界面在为期多天的实验中进行了评估，其中包括验证基线 BCI 性能的单运动识别任务和评估 BCI 与自然人类运动之间潜在影响的双任务范例。该接口实现了四个多余自由度的实时可靠解码，经过三天的训练，性能显着提升。训练后，单任务和双任务条件下的表现没有显着差异，并且在并发额外控制期间自然运动保持不变。最后，该界面被部署在运动增强任务中，展示了其在双手任务期间指挥两个多余机械臂提供功能协助的能力。这些结果建立了一种神经接口范式，通过刺激感觉传入来增强运动，在不损害自然运动的情况下扩大运动自由度。</w:t>
      </w:r>
    </w:p>
    <w:p>
      <w:pPr>
        <w:spacing w:before="0" w:after="200" w:lineRule="auto" w:line="276"/>
      </w:pPr>
      <w:r>
        <w:rPr>
          <w:b/>
        </w:rPr>
        <w:t xml:space="preserve">Abstract (EN): </w:t>
      </w:r>
      <w:r>
        <w:t>Brain-computer interfaces (BCIs) promise to extend human movement capabilities by enabling direct neural control of supernumerary effectors, yet integrating augmented commands with multiple degrees of freedom without disrupting natural movement remains a key challenge. Here, we propose a tactile-encoded BCI that leverages sensory afferents through a tactile-evoked P300 paradigm, allowing reliable decoding of supernumerary motor intentions even when superimposed with voluntary actions. The interface was evaluated in a multi-day experiment comprising a single motor recognition task to validate baseline BCI performance and a dual-task paradigm to assess the potential influence between the BCI and natural human movement. The interface achieved real-time and reliable decoding of four supernumerary degrees of freedom, with significant performance improvements after three days of training. After training, performance did not differ significantly between the single-task and dual-task conditions, and natural movement remained unimpaired during concurrent supernumerary control. Lastly, the interface was deployed in a movement augmentation task, demonstrating its ability to command two supernumerary robotic arms for functional assistance during bimanual tasks. These results establish a neural interface paradigm for movement augmentation through stimulation of sensory afferents, expanding motor degrees of freedom without impairing natural movement.</w:t>
      </w:r>
    </w:p>
    <w:p>
      <w:pPr>
        <w:spacing w:before="120" w:after="120"/>
      </w:pPr>
      <w:r>
        <w:rPr>
          <w:sz w:val="18"/>
        </w:rPr>
        <w:t>——————————————————————————————————————————————————————————————————————</w:t>
      </w:r>
    </w:p>
    <w:p>
      <w:pPr>
        <w:spacing w:before="160" w:after="40" w:line="240" w:lineRule="auto"/>
      </w:pPr>
      <w:r>
        <w:rPr>
          <w:b/>
        </w:rPr>
        <w:t xml:space="preserve">[495] </w:t>
      </w:r>
      <w:hyperlink r:id="rId1060">
        <w:r>
          <w:rPr>
            <w:color w:val="1155CC"/>
            <w:u w:val="single"/>
          </w:rPr>
          <w:t>作者更正：通过生物催化去消旋化合成对映体富集的阻转异构体</w:t>
        </w:r>
      </w:hyperlink>
    </w:p>
    <w:p>
      <w:pPr>
        <w:spacing w:before="0" w:after="80"/>
      </w:pPr>
      <w:r>
        <w:rPr>
          <w:i/>
          <w:sz w:val="20"/>
        </w:rPr>
        <w:t>EN: Author Correction: Synthesis of enantioenriched atropisomers by biocatalytic deracemization</w:t>
      </w:r>
    </w:p>
    <w:p>
      <w:pPr>
        <w:spacing w:before="0" w:after="120"/>
      </w:pPr>
      <w:r>
        <w:rPr>
          <w:b/>
        </w:rPr>
        <w:t xml:space="preserve">Source: </w:t>
      </w:r>
      <w:r>
        <w:t>Nature</w:t>
      </w:r>
      <w:r>
        <w:t xml:space="preserve">    </w:t>
      </w:r>
      <w:r>
        <w:rPr>
          <w:b/>
        </w:rPr>
        <w:t xml:space="preserve">Pub date: </w:t>
      </w:r>
      <w:r>
        <w:t>2026-07-02 00:00:00+00:00</w:t>
      </w:r>
      <w:r>
        <w:t xml:space="preserve">    </w:t>
      </w:r>
      <w:r>
        <w:rPr>
          <w:b/>
        </w:rPr>
        <w:t xml:space="preserve">DOI: </w:t>
      </w:r>
      <w:hyperlink r:id="rId1061">
        <w:r>
          <w:rPr>
            <w:color w:val="1155CC"/>
            <w:u w:val="single"/>
          </w:rPr>
          <w:t>10.1038/s41586-026-10854-4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[496] </w:t>
      </w:r>
      <w:hyperlink r:id="rId1062">
        <w:r>
          <w:rPr>
            <w:color w:val="1155CC"/>
            <w:u w:val="single"/>
          </w:rPr>
          <w:t>酮类异构酶催化环烯酮加成反应的混杂和级联反应机制</w:t>
        </w:r>
      </w:hyperlink>
    </w:p>
    <w:p>
      <w:pPr>
        <w:spacing w:before="0" w:after="80"/>
      </w:pPr>
      <w:r>
        <w:rPr>
          <w:i/>
          <w:sz w:val="20"/>
        </w:rPr>
        <w:t>EN: Catalytic Promiscuity and Cascade Reaction Mechanism of Ketosteroid Isomerases for Addition Reactions of Cyclic Enones</w:t>
      </w:r>
    </w:p>
    <w:p>
      <w:pPr>
        <w:spacing w:before="0" w:after="120"/>
      </w:pPr>
      <w:r>
        <w:rPr>
          <w:b/>
        </w:rPr>
        <w:t xml:space="preserve">Source: </w:t>
      </w:r>
      <w:r>
        <w:t>Biological sciences : Nature Communications subject feeds</w:t>
      </w:r>
      <w:r>
        <w:t xml:space="preserve">    </w:t>
      </w:r>
      <w:r>
        <w:rPr>
          <w:b/>
        </w:rPr>
        <w:t xml:space="preserve">Pub date: </w:t>
      </w:r>
      <w:r>
        <w:t>2026-07-02 00:00:00+00:00</w:t>
      </w:r>
    </w:p>
    <w:p>
      <w:pPr>
        <w:spacing w:before="0" w:after="120"/>
      </w:pPr>
      <w:r>
        <w:rPr>
          <w:b/>
        </w:rPr>
        <w:t xml:space="preserve">Notes: </w:t>
      </w:r>
      <w:r>
        <w:t>abstract_source=nature_html</w:t>
      </w:r>
    </w:p>
    <w:p>
      <w:pPr>
        <w:spacing w:before="0" w:after="80" w:lineRule="auto" w:line="276"/>
      </w:pPr>
      <w:r>
        <w:rPr>
          <w:b/>
        </w:rPr>
        <w:t xml:space="preserve">摘要（ZH）: </w:t>
      </w:r>
      <w:r>
        <w:t>类固醇药物是一类重要的药物，其活性成分主要来源于天然类固醇。其生物合成的一个关键步骤涉及在酮类固醇异构酶 (KSI) 的催化下，将 Δ5−3-酮类固醇异构化为 Δ4−3-酮类固醇。在这项研究中，我们发现 KSI 表现出意想不到的催化混杂性，能够有效地将环烯酮转化为同聚和杂加成产物。 KSI 变体和诱变的晶体结构揭示了同源二聚体界面作为另一个活性中心。分子动力学模拟和量子力学/分子力学计算表明单酶的级联催化机制，其中异构化发生在单体口袋中，而加成反应由于空间位阻的减少而优先发生在同二聚体界面上。这些结果不仅为KSI的催化多样性提供了有价值的见解，而且激发了对酶的新颖和多样化催化特性的进一步探索，从而扩大了它们在生物催化和药物开发中的应用。</w:t>
      </w:r>
    </w:p>
    <w:p>
      <w:pPr>
        <w:spacing w:before="0" w:after="200" w:lineRule="auto" w:line="276"/>
      </w:pPr>
      <w:r>
        <w:rPr>
          <w:b/>
        </w:rPr>
        <w:t xml:space="preserve">Abstract (EN): </w:t>
      </w:r>
      <w:r>
        <w:t>Steroidal medicines are a vital class of pharmaceuticals, with their active ingredients primarily derived from natural steroids. A key step in their biosynthesis involves the isomerization of ∆5−3-ketosteroids to ∆4−3-ketosteroids, catalyzed by ketosteroid isomerase (KSI). In this study, we discover that KSI exhibits an unexpected catalytic promiscuity, efficiently converting cyclic enones into homo- and hetero-addition products. Crystal structures of KSI variants and mutagenesis reveal the homo-dimeric interface as another active center. Molecular dynamics simulations and quantum mechanics/molecular mechanics calculations suggest a cascade catalytic mechanism by a single enzyme, in which isomerization occurs in the monomeric pocket, while the addition reaction preferentially occurs at the homo-dimeric interface due to reduced steric hindrance. These results not only provide valuable insights into the catalytic diversity of KSIs, but also inspire further exploration of new-to-nature and diverse catalytic properties of enzymes, thus expanding their applications in biocatalysis and drug development.</w:t>
      </w:r>
    </w:p>
    <w:p>
      <w:pPr>
        <w:spacing w:before="120" w:after="120"/>
      </w:pPr>
      <w:r>
        <w:rPr>
          <w:sz w:val="18"/>
        </w:rPr>
        <w:t>——————————————————————————————————————————————————————————————————————</w:t>
      </w:r>
    </w:p>
    <w:p>
      <w:pPr>
        <w:spacing w:before="160" w:after="40" w:line="240" w:lineRule="auto"/>
      </w:pPr>
      <w:r>
        <w:rPr>
          <w:b/>
        </w:rPr>
        <w:t xml:space="preserve">[497] </w:t>
      </w:r>
      <w:hyperlink r:id="rId1063">
        <w:r>
          <w:rPr>
            <w:color w:val="1155CC"/>
            <w:u w:val="single"/>
          </w:rPr>
          <w:t>中微子的苗圃发现：“影子冲击波”</w:t>
        </w:r>
      </w:hyperlink>
    </w:p>
    <w:p>
      <w:pPr>
        <w:spacing w:before="0" w:after="80"/>
      </w:pPr>
      <w:r>
        <w:rPr>
          <w:i/>
          <w:sz w:val="20"/>
        </w:rPr>
        <w:t>EN: Neutrino’s nursery found: the ‘Shadow Blaster’</w:t>
      </w:r>
    </w:p>
    <w:p>
      <w:pPr>
        <w:spacing w:before="0" w:after="120"/>
      </w:pPr>
      <w:r>
        <w:rPr>
          <w:b/>
        </w:rPr>
        <w:t xml:space="preserve">Source: </w:t>
      </w:r>
      <w:r>
        <w:t>Nature</w:t>
      </w:r>
      <w:r>
        <w:t xml:space="preserve">    </w:t>
      </w:r>
      <w:r>
        <w:rPr>
          <w:b/>
        </w:rPr>
        <w:t xml:space="preserve">Pub date: </w:t>
      </w:r>
      <w:r>
        <w:t>2026-07-02 00:00:00+00:00</w:t>
      </w:r>
      <w:r>
        <w:t xml:space="preserve">    </w:t>
      </w:r>
      <w:r>
        <w:rPr>
          <w:b/>
        </w:rPr>
        <w:t xml:space="preserve">DOI: </w:t>
      </w:r>
      <w:hyperlink r:id="rId1064">
        <w:r>
          <w:rPr>
            <w:color w:val="1155CC"/>
            <w:u w:val="single"/>
          </w:rPr>
          <w:t>10.1038/d41586-026-02034-1</w:t>
        </w:r>
      </w:hyperlink>
    </w:p>
    <w:p>
      <w:pPr>
        <w:spacing w:before="0" w:after="120"/>
      </w:pPr>
      <w:r>
        <w:rPr>
          <w:b/>
        </w:rPr>
        <w:t xml:space="preserve">Notes: </w:t>
      </w:r>
      <w:r>
        <w:t>abstract_source=nature_html</w:t>
      </w:r>
    </w:p>
    <w:p>
      <w:pPr>
        <w:spacing w:before="0" w:after="80" w:lineRule="auto" w:line="276"/>
      </w:pPr>
      <w:r>
        <w:rPr>
          <w:b/>
        </w:rPr>
        <w:t xml:space="preserve">摘要（ZH）: </w:t>
      </w:r>
      <w:r>
        <w:t>在南极检测到的粒子诞生于宇宙年轻时产生恒星的星系中。在南极检测到的粒子诞生于宇宙年轻时产生恒星的星系中。</w:t>
      </w:r>
    </w:p>
    <w:p>
      <w:pPr>
        <w:spacing w:before="0" w:after="200" w:lineRule="auto" w:line="276"/>
      </w:pPr>
      <w:r>
        <w:rPr>
          <w:b/>
        </w:rPr>
        <w:t xml:space="preserve">Abstract (EN): </w:t>
      </w:r>
      <w:r>
        <w:t>A particle detected at the South Pole was born in a galaxy that churned out stars when the Universe was young. A particle detected at the South Pole was born in a galaxy that churned out stars when the Universe was young.</w:t>
      </w:r>
    </w:p>
    <w:p>
      <w:pPr>
        <w:spacing w:before="120" w:after="120"/>
      </w:pPr>
      <w:r>
        <w:rPr>
          <w:sz w:val="18"/>
        </w:rPr>
        <w:t>——————————————————————————————————————————————————————————————————————</w:t>
      </w:r>
    </w:p>
    <w:p>
      <w:pPr>
        <w:spacing w:before="160" w:after="40" w:line="240" w:lineRule="auto"/>
      </w:pPr>
      <w:r>
        <w:rPr>
          <w:b/>
        </w:rPr>
        <w:t xml:space="preserve">[498] </w:t>
      </w:r>
      <w:hyperlink r:id="rId1065">
        <w:r>
          <w:rPr>
            <w:color w:val="1155CC"/>
            <w:u w:val="single"/>
          </w:rPr>
          <w:t>异戊二烯如何将植物与全球气候联系起来</w:t>
        </w:r>
      </w:hyperlink>
    </w:p>
    <w:p>
      <w:pPr>
        <w:spacing w:before="0" w:after="80"/>
      </w:pPr>
      <w:r>
        <w:rPr>
          <w:i/>
          <w:sz w:val="20"/>
        </w:rPr>
        <w:t>EN: How isoprene connects plants to global climate</w:t>
      </w:r>
    </w:p>
    <w:p>
      <w:pPr>
        <w:spacing w:before="0" w:after="120"/>
      </w:pPr>
      <w:r>
        <w:rPr>
          <w:b/>
        </w:rPr>
        <w:t xml:space="preserve">Source: </w:t>
      </w:r>
      <w:r>
        <w:t>Nature Chemistry</w:t>
      </w:r>
      <w:r>
        <w:t xml:space="preserve">    </w:t>
      </w:r>
      <w:r>
        <w:rPr>
          <w:b/>
        </w:rPr>
        <w:t xml:space="preserve">Pub date: </w:t>
      </w:r>
      <w:r>
        <w:t>2026-07-02 00:00:00+00:00</w:t>
      </w:r>
      <w:r>
        <w:t xml:space="preserve">    </w:t>
      </w:r>
      <w:r>
        <w:rPr>
          <w:b/>
        </w:rPr>
        <w:t xml:space="preserve">DOI: </w:t>
      </w:r>
      <w:hyperlink r:id="rId1066">
        <w:r>
          <w:rPr>
            <w:color w:val="1155CC"/>
            <w:u w:val="single"/>
          </w:rPr>
          <w:t>10.1038/s41557-026-02192-9</w:t>
        </w:r>
      </w:hyperlink>
    </w:p>
    <w:p>
      <w:pPr>
        <w:spacing w:before="0" w:after="120"/>
      </w:pPr>
      <w:r>
        <w:rPr>
          <w:b/>
        </w:rPr>
        <w:t xml:space="preserve">Notes: </w:t>
      </w:r>
      <w:r>
        <w:t>abstract_source=nature_html</w:t>
      </w:r>
    </w:p>
    <w:p>
      <w:pPr>
        <w:spacing w:before="0" w:after="80" w:lineRule="auto" w:line="276"/>
      </w:pPr>
      <w:r>
        <w:rPr>
          <w:b/>
        </w:rPr>
        <w:t xml:space="preserve">摘要（ZH）: </w:t>
      </w:r>
      <w:r>
        <w:t>Nanna Myllys 和 Dominika Pasik 重点介绍了异戊二烯如何将生物圈和大气联系起来，并讨论了它在植物、人类、材料和气候中发挥的不同作用。</w:t>
      </w:r>
    </w:p>
    <w:p>
      <w:pPr>
        <w:spacing w:before="0" w:after="200" w:lineRule="auto" w:line="276"/>
      </w:pPr>
      <w:r>
        <w:rPr>
          <w:b/>
        </w:rPr>
        <w:t xml:space="preserve">Abstract (EN): </w:t>
      </w:r>
      <w:r>
        <w:t>Nanna Myllys and Dominika Pasik highlight how isoprene links the biosphere and atmosphere and discuss the diverse roles it plays across plants, humans, materials and climate.</w:t>
      </w:r>
    </w:p>
    <w:p>
      <w:pPr>
        <w:spacing w:before="120" w:after="120"/>
      </w:pPr>
      <w:r>
        <w:rPr>
          <w:sz w:val="18"/>
        </w:rPr>
        <w:t>——————————————————————————————————————————————————————————————————————</w:t>
      </w:r>
    </w:p>
    <w:p>
      <w:pPr>
        <w:spacing w:before="160" w:after="40" w:line="240" w:lineRule="auto"/>
      </w:pPr>
      <w:r>
        <w:rPr>
          <w:b/>
        </w:rPr>
        <w:t xml:space="preserve">[499] </w:t>
      </w:r>
      <w:hyperlink r:id="rId1067">
        <w:r>
          <w:rPr>
            <w:color w:val="1155CC"/>
            <w:u w:val="single"/>
          </w:rPr>
          <w:t>推动分子机器领域的发展</w:t>
        </w:r>
      </w:hyperlink>
    </w:p>
    <w:p>
      <w:pPr>
        <w:spacing w:before="0" w:after="80"/>
      </w:pPr>
      <w:r>
        <w:rPr>
          <w:i/>
          <w:sz w:val="20"/>
        </w:rPr>
        <w:t>EN: Driving movement in the field of molecular machines</w:t>
      </w:r>
    </w:p>
    <w:p>
      <w:pPr>
        <w:spacing w:before="0" w:after="120"/>
      </w:pPr>
      <w:r>
        <w:rPr>
          <w:b/>
        </w:rPr>
        <w:t xml:space="preserve">Source: </w:t>
      </w:r>
      <w:r>
        <w:t>Nature Chemistry</w:t>
      </w:r>
      <w:r>
        <w:t xml:space="preserve">    </w:t>
      </w:r>
      <w:r>
        <w:rPr>
          <w:b/>
        </w:rPr>
        <w:t xml:space="preserve">Pub date: </w:t>
      </w:r>
      <w:r>
        <w:t>2026-07-02 00:00:00+00:00</w:t>
      </w:r>
      <w:r>
        <w:t xml:space="preserve">    </w:t>
      </w:r>
      <w:r>
        <w:rPr>
          <w:b/>
        </w:rPr>
        <w:t xml:space="preserve">DOI: </w:t>
      </w:r>
      <w:hyperlink r:id="rId1068">
        <w:r>
          <w:rPr>
            <w:color w:val="1155CC"/>
            <w:u w:val="single"/>
          </w:rPr>
          <w:t>10.1038/s41557-026-02210-w</w:t>
        </w:r>
      </w:hyperlink>
    </w:p>
    <w:p>
      <w:pPr>
        <w:spacing w:before="0" w:after="120"/>
      </w:pPr>
      <w:r>
        <w:rPr>
          <w:b/>
        </w:rPr>
        <w:t xml:space="preserve">Notes: </w:t>
      </w:r>
      <w:r>
        <w:t>abstract_source=nature_html</w:t>
      </w:r>
    </w:p>
    <w:p>
      <w:pPr>
        <w:spacing w:before="0" w:after="80" w:lineRule="auto" w:line="276"/>
      </w:pPr>
      <w:r>
        <w:rPr>
          <w:b/>
        </w:rPr>
        <w:t xml:space="preserve">摘要（ZH）: </w:t>
      </w:r>
      <w:r>
        <w:t>为了纪念他因分子机器设计而获得诺贝尔奖 10 周年，本·费林加 (Ben Feringa) 向《自然化学》讲述了他的职业生涯、他在分子马达和光电开关方面的研究以及他对年轻研究人员的建议。</w:t>
      </w:r>
    </w:p>
    <w:p>
      <w:pPr>
        <w:spacing w:before="0" w:after="200" w:lineRule="auto" w:line="276"/>
      </w:pPr>
      <w:r>
        <w:rPr>
          <w:b/>
        </w:rPr>
        <w:t xml:space="preserve">Abstract (EN): </w:t>
      </w:r>
      <w:r>
        <w:t>To mark the 10th anniversary of his Nobel Prize for the design of molecular machines, Ben Feringa talks to Nature Chemistry about his career, his research on molecular motors and photoswitches, and his advice to young researchers.</w:t>
      </w:r>
    </w:p>
    <w:p>
      <w:pPr>
        <w:spacing w:before="120" w:after="120"/>
      </w:pPr>
      <w:r>
        <w:rPr>
          <w:sz w:val="18"/>
        </w:rPr>
        <w:t>——————————————————————————————————————————————————————————————————————</w:t>
      </w:r>
    </w:p>
    <w:p>
      <w:pPr>
        <w:spacing w:before="160" w:after="40" w:line="240" w:lineRule="auto"/>
      </w:pPr>
      <w:r>
        <w:rPr>
          <w:b/>
        </w:rPr>
        <w:t xml:space="preserve">[500] </w:t>
      </w:r>
      <w:hyperlink r:id="rId1069">
        <w:r>
          <w:rPr>
            <w:color w:val="1155CC"/>
            <w:u w:val="single"/>
          </w:rPr>
          <w:t>通过温度控制进行可编程一锅聚合酶介导的 DNA 合成</w:t>
        </w:r>
      </w:hyperlink>
    </w:p>
    <w:p>
      <w:pPr>
        <w:spacing w:before="0" w:after="80"/>
      </w:pPr>
      <w:r>
        <w:rPr>
          <w:i/>
          <w:sz w:val="20"/>
        </w:rPr>
        <w:t>EN: Programmable one-pot polymerase-mediated DNA synthesis via temperature control</w:t>
      </w:r>
    </w:p>
    <w:p>
      <w:pPr>
        <w:spacing w:before="0" w:after="120"/>
      </w:pPr>
      <w:r>
        <w:rPr>
          <w:b/>
        </w:rPr>
        <w:t xml:space="preserve">Source: </w:t>
      </w:r>
      <w:r>
        <w:t>Biological sciences : Nature Communications subject feeds</w:t>
      </w:r>
      <w:r>
        <w:t xml:space="preserve">    </w:t>
      </w:r>
      <w:r>
        <w:rPr>
          <w:b/>
        </w:rPr>
        <w:t xml:space="preserve">Pub date: </w:t>
      </w:r>
      <w:r>
        <w:t>2026-07-02 00:00:00+00:00</w:t>
      </w:r>
    </w:p>
    <w:p>
      <w:pPr>
        <w:spacing w:before="0" w:after="120"/>
      </w:pPr>
      <w:r>
        <w:rPr>
          <w:b/>
        </w:rPr>
        <w:t xml:space="preserve">Notes: </w:t>
      </w:r>
      <w:r>
        <w:t>abstract_source=nature_html</w:t>
      </w:r>
    </w:p>
    <w:p>
      <w:pPr>
        <w:spacing w:before="0" w:after="80" w:lineRule="auto" w:line="276"/>
      </w:pPr>
      <w:r>
        <w:rPr>
          <w:b/>
        </w:rPr>
        <w:t xml:space="preserve">摘要（ZH）: </w:t>
      </w:r>
      <w:r>
        <w:t>聚合酶介导的 DNA 合成是许多生物技术应用的基础，但现有的可编程合成方法依赖于交换 DNA 构建模块，从而增加了试剂的使用并使多步骤工作流程复杂化。在这里，我们介绍了 TEMperature 介导的引物交换反应 (TEMPER)，这是一个用于任意 DNA 合成的可编程平台，仅通过温度控制进行操作，无需溶液交换。 TEMPER 使用发夹 DNA 作为温度响应构建模块，定义 DNA 合成的特定温度范围。温度范围由发夹的长度设计决定，它调节 DNA 分子之间的热力学相互作用，并允许一锅选择性和顺序 DNA 合成。我们通过开发 DNA 数据存储写入器、比色温度指示器和温度数据记录器来验证其多功能性，突显其在纳米技术和生物技术应用中的广泛潜力。</w:t>
      </w:r>
    </w:p>
    <w:p>
      <w:pPr>
        <w:spacing w:before="0" w:after="200" w:lineRule="auto" w:line="276"/>
      </w:pPr>
      <w:r>
        <w:rPr>
          <w:b/>
        </w:rPr>
        <w:t xml:space="preserve">Abstract (EN): </w:t>
      </w:r>
      <w:r>
        <w:t>Polymerase-mediated DNA synthesis is fundamental to numerous biotechnology applications, but existing programmable synthesis methods depend on exchanging DNA building blocks, thereby increasing reagent use and complicating multistep workflows. Here, we introduce the TEmperature Mediated Primer Exchange Reaction (TEMPER), a programmable platform for arbitrary DNA synthesis that operates solely through temperature control without solution exchange. TEMPER uses hairpin DNA as temperature-responsive building blocks that define specific temperature range for DNA synthesis. The temperature range is determined by the length design of the hairpin, which regulates thermodynamic interactions between DNA molecules and allows selective and sequential DNA synthesis in one-pot. We validate its versatility by developing a DNA data storage writer, a colorimetric temperature indicator, and a temperature data logger, highlighting its broad potential in nanotechnology and biotechnology applications.</w:t>
      </w:r>
    </w:p>
    <w:p>
      <w:pPr>
        <w:spacing w:before="120" w:after="120"/>
      </w:pPr>
      <w:r>
        <w:rPr>
          <w:sz w:val="18"/>
        </w:rPr>
        <w:t>——————————————————————————————————————————————————————————————————————</w:t>
      </w:r>
    </w:p>
    <w:p>
      <w:pPr>
        <w:spacing w:before="160" w:after="40" w:line="240" w:lineRule="auto"/>
      </w:pPr>
      <w:r>
        <w:rPr>
          <w:b/>
        </w:rPr>
        <w:t xml:space="preserve">[501] </w:t>
      </w:r>
      <w:hyperlink r:id="rId1070">
        <w:r>
          <w:rPr>
            <w:color w:val="1155CC"/>
            <w:u w:val="single"/>
          </w:rPr>
          <w:t>ssNMR和原子模型揭示杨树次生细胞壁的保守大分子结构</w:t>
        </w:r>
      </w:hyperlink>
    </w:p>
    <w:p>
      <w:pPr>
        <w:spacing w:before="0" w:after="80"/>
      </w:pPr>
      <w:r>
        <w:rPr>
          <w:i/>
          <w:sz w:val="20"/>
        </w:rPr>
        <w:t>EN: Conserved macromolecular architecture of poplar secondary cell walls revealed by ssNMR and atomistic modeling</w:t>
      </w:r>
    </w:p>
    <w:p>
      <w:pPr>
        <w:spacing w:before="0" w:after="120"/>
      </w:pPr>
      <w:r>
        <w:rPr>
          <w:b/>
        </w:rPr>
        <w:t xml:space="preserve">Source: </w:t>
      </w:r>
      <w:r>
        <w:t>Biological sciences : Nature Communications subject feeds</w:t>
      </w:r>
      <w:r>
        <w:t xml:space="preserve">    </w:t>
      </w:r>
      <w:r>
        <w:rPr>
          <w:b/>
        </w:rPr>
        <w:t xml:space="preserve">Pub date: </w:t>
      </w:r>
      <w:r>
        <w:t>2026-07-02 00:00:00+00:00</w:t>
      </w:r>
    </w:p>
    <w:p>
      <w:pPr>
        <w:spacing w:before="0" w:after="120"/>
      </w:pPr>
      <w:r>
        <w:rPr>
          <w:b/>
        </w:rPr>
        <w:t xml:space="preserve">Notes: </w:t>
      </w:r>
      <w:r>
        <w:t>abstract_source=nature_html</w:t>
      </w:r>
    </w:p>
    <w:p>
      <w:pPr>
        <w:spacing w:before="0" w:after="80" w:lineRule="auto" w:line="276"/>
      </w:pPr>
      <w:r>
        <w:rPr>
          <w:b/>
        </w:rPr>
        <w:t xml:space="preserve">摘要（ZH）: </w:t>
      </w:r>
      <w:r>
        <w:t>植物次生细胞壁的大分子结构控制着木材的机械和生化特性，但其自然的种内变异性仍然很少被表征。在这里，我们结合了 13C 固态核磁共振 (ssNMR)、多元统计分析和分子建模来分析在富含 13C 的大气中生长的 13 种遗传多样性毛果杨基因型的纳米级结构。 SsNMR 衍生的表型涵盖组成、结构、迁移率和聚合物间的邻近性，揭示了一种保守的结构，具有微妙但协调的变化，组织成主要结构轴和次迁移率轴。代表性的原子模型捕获这些特征并重现实验指标。分子动力学模拟支持纤维素丰度和类晶体有序之间存在微弱但一致的正相关性，内部纤维素链富含 tg（反式高斯）构象，而不会扩展晶体核心。实验和模拟共同揭示了跨基因型的遗传缓冲、广泛保守的纳米级结构，其中纤维素成束和基质堆积的微妙微调平衡了机械性能和生物功能。</w:t>
      </w:r>
    </w:p>
    <w:p>
      <w:pPr>
        <w:spacing w:before="0" w:after="200" w:lineRule="auto" w:line="276"/>
      </w:pPr>
      <w:r>
        <w:rPr>
          <w:b/>
        </w:rPr>
        <w:t xml:space="preserve">Abstract (EN): </w:t>
      </w:r>
      <w:r>
        <w:t>The macromolecular architecture of plant secondary cell walls governs wood’s mechanical and biochemical properties, yet its natural intra-species variability remains poorly characterized. Here, we combined ¹³C solid-state NMR (ssNMR), multivariate statistical analysis, and molecular modeling to profile nanoscale structure across 13 genetically diverse Populus trichocarpa genotypes grown in ¹³C-enriched atmospheres. SsNMR-derived phenotypes spanning composition, structure, mobility, and inter-polymer proximities reveal a conserved architecture, with a subtle yet coordinated variation organizing into dominant structural and secondary mobility axes. A representative atomistic model captures these features and reproduces experimental metrics. Molecular dynamics simulations support a weak but consistent positive correlation between cellulose abundance and crystalline-like order, with interior cellulose chains enriched in tg (trans–gauche) conformations without expanding crystalline cores. Together, experiment and simulation reveal a genetically buffered, broadly conserved nanoscale architecture across genotypes, where subtle fine-tuning of cellulose bundling and matrix packing balances mechanical performance with biological function.</w:t>
      </w:r>
    </w:p>
    <w:p>
      <w:pPr>
        <w:spacing w:before="120" w:after="120"/>
      </w:pPr>
      <w:r>
        <w:rPr>
          <w:sz w:val="18"/>
        </w:rPr>
        <w:t>——————————————————————————————————————————————————————————————————————</w:t>
      </w:r>
    </w:p>
    <w:p>
      <w:pPr>
        <w:spacing w:before="160" w:after="40" w:line="240" w:lineRule="auto"/>
      </w:pPr>
      <w:r>
        <w:rPr>
          <w:b/>
        </w:rPr>
        <w:t xml:space="preserve">[502] </w:t>
      </w:r>
      <w:hyperlink r:id="rId1071">
        <w:r>
          <w:rPr>
            <w:color w:val="1155CC"/>
            <w:u w:val="single"/>
          </w:rPr>
          <w:t>全球变暖下的超闪寒事件</w:t>
        </w:r>
      </w:hyperlink>
    </w:p>
    <w:p>
      <w:pPr>
        <w:spacing w:before="0" w:after="80"/>
      </w:pPr>
      <w:r>
        <w:rPr>
          <w:i/>
          <w:sz w:val="20"/>
        </w:rPr>
        <w:t>EN: Ultra flash cold events under global warming</w:t>
      </w:r>
    </w:p>
    <w:p>
      <w:pPr>
        <w:spacing w:before="0" w:after="120"/>
      </w:pPr>
      <w:r>
        <w:rPr>
          <w:b/>
        </w:rPr>
        <w:t xml:space="preserve">Source: </w:t>
      </w:r>
      <w:r>
        <w:t>Earth and environmental sciences : Nature Communications subject feeds</w:t>
      </w:r>
      <w:r>
        <w:t xml:space="preserve">    </w:t>
      </w:r>
      <w:r>
        <w:rPr>
          <w:b/>
        </w:rPr>
        <w:t xml:space="preserve">Pub date: </w:t>
      </w:r>
      <w:r>
        <w:t>2026-07-02 00:00:00+00:00</w:t>
      </w:r>
    </w:p>
    <w:p>
      <w:pPr>
        <w:spacing w:before="0" w:after="120"/>
      </w:pPr>
      <w:r>
        <w:rPr>
          <w:b/>
        </w:rPr>
        <w:t xml:space="preserve">Notes: </w:t>
      </w:r>
      <w:r>
        <w:t>abstract_source=nature_html</w:t>
      </w:r>
    </w:p>
    <w:p>
      <w:pPr>
        <w:spacing w:before="0" w:after="80" w:lineRule="auto" w:line="276"/>
      </w:pPr>
      <w:r>
        <w:rPr>
          <w:b/>
        </w:rPr>
        <w:t xml:space="preserve">摘要（ZH）: </w:t>
      </w:r>
      <w:r>
        <w:t>人们普遍认为全球变暖将使冬季变得更加温和并减少极端寒冷。然而，这种假设与闪冷（FC）事件的反复发生相矛盾，骤冷（FC）事件是突然剧烈的气温下降，可以在数小时内冻结能源电网和基础设施。 2021 年北美的冰冻造成了超过 200 亿美元的损失，这是一个严厉的警告。在这里，我们发现，虽然世界变暖，但这些超级FC赛事的命运却出现了分歧：它们在欧亚大陆逐渐消失，但在北美却明显加剧。通过跟踪这些超FC事件的时空演化并表征其动态环境，我们揭示了这种对比是由特定的大气环流状况驱动的。在北美，越来越频繁的阿拉斯加-北极反气旋异常将冷空气直接向南输送。相反，乌拉尔-北极气旋异常的减弱正在切断冷源。至关重要的是，当前的气候模型无法重现这种洲际差异。模拟很大程度上忽略了这些特定的循环状况，导致模型低估了超 FC 风险。我们的研究结果揭示了一个区域变暖悖论：特定的大气环流异常可能会暂时压倒背景变暖，从而为能源安全造成关键盲点。</w:t>
      </w:r>
    </w:p>
    <w:p>
      <w:pPr>
        <w:spacing w:before="0" w:after="200" w:lineRule="auto" w:line="276"/>
      </w:pPr>
      <w:r>
        <w:rPr>
          <w:b/>
        </w:rPr>
        <w:t xml:space="preserve">Abstract (EN): </w:t>
      </w:r>
      <w:r>
        <w:t>It is widely assumed that global warming will make winters milder and reduce extreme cold. However, this assumption is contradicted by the recurrence of flash cold (FC) events—sudden, violent temperature drops that can freeze energy grids and infrastructure within hours. The 2021 North America freeze, which caused over $20 billion in losses, stands as a stark warning. Here, we find that while the world warms, the fate of these ultra FC events is diverging: they are fading over Eurasia but significantly intensifying over North America. By tracking the spatiotemporal evolution of these ultra FC events and characterizing their dynamic environment, we reveal that this contrast is driven by specific atmospheric circulation regimes. In North America, increasingly frequent Alaska–Arctic anticyclonic anomalies funnel cold air directly southward. Conversely, weakened Ural–Arctic cyclonic anomalies are cutting off the cold supply. Crucially, current climate models fail to reproduce this intercontinental divergence. Simulations largely miss these specific circulation regimes, leading models to underestimate the ultra FC risk. Our results expose a regional warming paradox: specific atmospheric circulation anomalies can transiently overwhelm background warming, creating a critical blind spot for energy security.</w:t>
      </w:r>
    </w:p>
    <w:p>
      <w:pPr>
        <w:spacing w:before="120" w:after="120"/>
      </w:pPr>
      <w:r>
        <w:rPr>
          <w:sz w:val="18"/>
        </w:rPr>
        <w:t>——————————————————————————————————————————————————————————————————————</w:t>
      </w:r>
    </w:p>
    <w:p>
      <w:pPr>
        <w:spacing w:before="160" w:after="40" w:line="240" w:lineRule="auto"/>
      </w:pPr>
      <w:r>
        <w:rPr>
          <w:b/>
        </w:rPr>
        <w:t xml:space="preserve">[503] </w:t>
      </w:r>
      <w:hyperlink r:id="rId1072">
        <w:r>
          <w:rPr>
            <w:color w:val="1155CC"/>
            <w:u w:val="single"/>
          </w:rPr>
          <w:t>原核 Schlafen 蛋白在 III 型 CRISPR 免疫期间切割 tRNA</w:t>
        </w:r>
      </w:hyperlink>
    </w:p>
    <w:p>
      <w:pPr>
        <w:spacing w:before="0" w:after="80"/>
      </w:pPr>
      <w:r>
        <w:rPr>
          <w:i/>
          <w:sz w:val="20"/>
        </w:rPr>
        <w:t>EN: Prokaryotic Schlafen proteins cleave tRNAs during type III CRISPR immunity</w:t>
      </w:r>
    </w:p>
    <w:p>
      <w:pPr>
        <w:spacing w:before="0" w:after="120"/>
      </w:pPr>
      <w:r>
        <w:rPr>
          <w:b/>
        </w:rPr>
        <w:t xml:space="preserve">Source: </w:t>
      </w:r>
      <w:r>
        <w:t>Biological sciences : Nature Communications subject feeds</w:t>
      </w:r>
      <w:r>
        <w:t xml:space="preserve">    </w:t>
      </w:r>
      <w:r>
        <w:rPr>
          <w:b/>
        </w:rPr>
        <w:t xml:space="preserve">Pub date: </w:t>
      </w:r>
      <w:r>
        <w:t>2026-07-02 00:00:00+00:00</w:t>
      </w:r>
    </w:p>
    <w:p>
      <w:pPr>
        <w:spacing w:before="0" w:after="120"/>
      </w:pPr>
      <w:r>
        <w:rPr>
          <w:b/>
        </w:rPr>
        <w:t xml:space="preserve">Notes: </w:t>
      </w:r>
      <w:r>
        <w:t>abstract_source=nature_html</w:t>
      </w:r>
    </w:p>
    <w:p>
      <w:pPr>
        <w:spacing w:before="0" w:after="80" w:lineRule="auto" w:line="276"/>
      </w:pPr>
      <w:r>
        <w:rPr>
          <w:b/>
        </w:rPr>
        <w:t xml:space="preserve">摘要（ZH）: </w:t>
      </w:r>
      <w:r>
        <w:t>Schlafen核酸酶通过切割自身RNA来限制哺乳动物中的病毒感染，然而，它们在原核免疫中的功能和机制尚不清楚。在这里，我们发现了 CRISPR 相关 Schlafen (Cash) 蛋白，其中包含与 Csx15 融合的 Schlafen 结构域，Csx15 是罗斯曼样核苷酸结合传感器的未表征成员。 Cash 被 III 型 CRISPR 干扰期间产生的环状四腺苷酸 (cA₄) 激活，并通过主要在 T 环中裂解 tRNA 来诱导细胞毒性。 Chloroflexi 细菌 Cash 的冷冻电镜结构揭示了一种无活性的十二聚体、cA₄ 结合对齐催化界面时形成的细丝，以及 tRNA 结合复合物中底物识别和裂解的分子基础。我们鉴定了许多与不同抗病毒防御系统相关的原核 Schlafen 蛋白家族，并具有独特的传感器域。这项工作强调了 Schlafen 核酸酶消耗 tRNA 作为一种进化重复的抗病毒策略，并揭示了 Cash 和人类 Schlafen 成员之间的机制差异。</w:t>
      </w:r>
    </w:p>
    <w:p>
      <w:pPr>
        <w:spacing w:before="0" w:after="200" w:lineRule="auto" w:line="276"/>
      </w:pPr>
      <w:r>
        <w:rPr>
          <w:b/>
        </w:rPr>
        <w:t xml:space="preserve">Abstract (EN): </w:t>
      </w:r>
      <w:r>
        <w:t>Schlafen nucleases restrict viral infection in mammals by cleaving self RNAs, however, their function and mechanism in prokaryotic immunity is unknown. Here, we uncover CRISPR-associated Schlafen (Cash) proteins containing a Schlafen domain fused to Csx15, an uncharacterized member of Rossmann-like nucleotide-binding sensors. Cash is activated by cyclic tetra-adenylate (cA₄) produced during type III CRISPR interference and induces cell toxicity by cleaving tRNAs, primarily in the T-loop. Cryo-electron microscopy structures of Chloroflexi bacterium Cash reveal an inactive dodecamer, the formation of a filament upon cA₄ binding to align catalytic interfaces, and the molecular basis of substrate recognition and cleavage in a tRNA–bound complex. We identify numerous families of prokaryotic Schlafen proteins associated with diverse antiviral defense systems and characterized by unique sensor domains. This work highlights tRNA depletion by Schlafen nucleases as an evolutionary recurring antiviral strategy and reveals mechanistic differences between Cash and human Schlafen members.</w:t>
      </w:r>
    </w:p>
    <w:p>
      <w:pPr>
        <w:spacing w:before="120" w:after="120"/>
      </w:pPr>
      <w:r>
        <w:rPr>
          <w:sz w:val="18"/>
        </w:rPr>
        <w:t>——————————————————————————————————————————————————————————————————————</w:t>
      </w:r>
    </w:p>
    <w:p>
      <w:pPr>
        <w:spacing w:before="160" w:after="40" w:line="240" w:lineRule="auto"/>
      </w:pPr>
      <w:r>
        <w:rPr>
          <w:b/>
        </w:rPr>
        <w:t xml:space="preserve">[504] </w:t>
      </w:r>
      <w:hyperlink r:id="rId1073">
        <w:r>
          <w:rPr>
            <w:color w:val="1155CC"/>
            <w:u w:val="single"/>
          </w:rPr>
          <w:t>古基因组学追溯了东亚西南部过去 12,000 年的古代人口历史</w:t>
        </w:r>
      </w:hyperlink>
    </w:p>
    <w:p>
      <w:pPr>
        <w:spacing w:before="0" w:after="80"/>
      </w:pPr>
      <w:r>
        <w:rPr>
          <w:i/>
          <w:sz w:val="20"/>
        </w:rPr>
        <w:t>EN: Paleogenomics retraces the ancient population history of Southwestern East Asia for the past 12,000 years</w:t>
      </w:r>
    </w:p>
    <w:p>
      <w:pPr>
        <w:spacing w:before="0" w:after="120"/>
      </w:pPr>
      <w:r>
        <w:rPr>
          <w:b/>
        </w:rPr>
        <w:t xml:space="preserve">Source: </w:t>
      </w:r>
      <w:r>
        <w:t>National Science Review Advance Access</w:t>
      </w:r>
      <w:r>
        <w:t xml:space="preserve">    </w:t>
      </w:r>
      <w:r>
        <w:rPr>
          <w:b/>
        </w:rPr>
        <w:t xml:space="preserve">Pub date: </w:t>
      </w:r>
      <w:r>
        <w:t>2026-07-02 00:00:00+00:00</w:t>
      </w:r>
      <w:r>
        <w:t xml:space="preserve">    </w:t>
      </w:r>
      <w:r>
        <w:rPr>
          <w:b/>
        </w:rPr>
        <w:t xml:space="preserve">DOI: </w:t>
      </w:r>
      <w:hyperlink r:id="rId1074">
        <w:r>
          <w:rPr>
            <w:color w:val="1155CC"/>
            <w:u w:val="single"/>
          </w:rPr>
          <w:t>10.1093/nsr/nwag398</w:t>
        </w:r>
      </w:hyperlink>
    </w:p>
    <w:p>
      <w:pPr>
        <w:spacing w:before="0" w:after="120"/>
      </w:pPr>
      <w:r>
        <w:rPr>
          <w:b/>
        </w:rPr>
        <w:t xml:space="preserve">Notes: </w:t>
      </w:r>
      <w:r>
        <w:t>abstract_source=rss_oup</w:t>
      </w:r>
    </w:p>
    <w:p>
      <w:pPr>
        <w:spacing w:before="0" w:after="80" w:lineRule="auto" w:line="276"/>
      </w:pPr>
      <w:r>
        <w:rPr>
          <w:b/>
        </w:rPr>
        <w:t xml:space="preserve">摘要（ZH）: </w:t>
      </w:r>
      <w:r>
        <w:t>东亚西南地区是连接东亚南部、东南亚和青藏高原的重要交汇点，是研究早期人类迁徙的重要地区。然而，东部地区尤其是贵州的古代DNA研究仍然缺乏。我们首次对跨越 12,000 年的贵州人口进行基因组研究，其中包括 5 个年龄超过 10,000 年的贵州人。结合已发表的广西和云南样本，我们揭示了东亚西南部从旧石器时代到新石器时代早期人类群体的复杂遗传史。旧石器时代人口的特点是最近描述的基础东亚兴义_EN祖先与东亚北部存在的祖先混合的异质分布模式。到了青铜时代，这种神秘的基础血统在该地区已不再存在。从 1200 年前开始，贵州人和广西人之间的遗传相互作用按照特定语言的模式加强。总体而言，我们的研究结果阐明了过去 12,000 年来东亚西南部复杂的人口动态。</w:t>
      </w:r>
    </w:p>
    <w:p>
      <w:pPr>
        <w:spacing w:before="0" w:after="200" w:lineRule="auto" w:line="276"/>
      </w:pPr>
      <w:r>
        <w:rPr>
          <w:b/>
        </w:rPr>
        <w:t xml:space="preserve">Abstract (EN): </w:t>
      </w:r>
      <w:r>
        <w:t>Southwestern East Asia, a key intersection linking southern East Asia, Southeast Asia, and the Tibetan Plateau, is a crucial area for the study of early human migrations. However, ancient DNA studies in the eastern part of the region, particularly in Guizhou, are still lacking. We present the first genomic study of Guizhou populations from a time period spanning 12,000 years, including five Guizhou individuals older than 10,000 years. Combined with published Guangxi and Yunnan samples, we reveal a complex genetic history of human populations in southwestern East Asia from the Paleolithic to the Early Neolithic periods. Paleolithic populations were marked by heterogeneous distribution patterns of the recently described basal East Asian Xingyi_EN ancestry admixed with ancestry present in northern East Asia. By the Bronze Age, this enigmatic basal ancestry was no longer detectable in the region. Beginning 1,200 years ago, genetic interactions between Guizhou and Guangxi populations intensified following language-specific patterns. Overall, our results clarify the complex population dynamics of southwestern East Asia over the past 12,000 years.</w:t>
      </w:r>
    </w:p>
    <w:p>
      <w:pPr>
        <w:spacing w:before="120" w:after="120"/>
      </w:pPr>
      <w:r>
        <w:rPr>
          <w:sz w:val="18"/>
        </w:rPr>
        <w:t>——————————————————————————————————————————————————————————————————————</w:t>
      </w:r>
    </w:p>
    <w:p>
      <w:pPr>
        <w:spacing w:before="160" w:after="40" w:line="240" w:lineRule="auto"/>
      </w:pPr>
      <w:r>
        <w:rPr>
          <w:b/>
        </w:rPr>
        <w:t xml:space="preserve">[505] </w:t>
      </w:r>
      <w:hyperlink r:id="rId1075">
        <w:r>
          <w:rPr>
            <w:color w:val="1155CC"/>
            <w:u w:val="single"/>
          </w:rPr>
          <w:t>使用无线无电池水凝胶生物电子贴片进行炎症触发传感和 miRNA 免疫治疗</w:t>
        </w:r>
      </w:hyperlink>
    </w:p>
    <w:p>
      <w:pPr>
        <w:spacing w:before="0" w:after="80"/>
      </w:pPr>
      <w:r>
        <w:rPr>
          <w:i/>
          <w:sz w:val="20"/>
        </w:rPr>
        <w:t>EN: Inflammation-triggered sensing and miRNA immunotherapy with a wireless battery-free hydrogel bioelectronic patch</w:t>
      </w:r>
    </w:p>
    <w:p>
      <w:pPr>
        <w:spacing w:before="0" w:after="120"/>
      </w:pPr>
      <w:r>
        <w:rPr>
          <w:b/>
        </w:rPr>
        <w:t xml:space="preserve">Source: </w:t>
      </w:r>
      <w:r>
        <w:t>National Science Review Advance Access</w:t>
      </w:r>
      <w:r>
        <w:t xml:space="preserve">    </w:t>
      </w:r>
      <w:r>
        <w:rPr>
          <w:b/>
        </w:rPr>
        <w:t xml:space="preserve">Pub date: </w:t>
      </w:r>
      <w:r>
        <w:t>2026-07-02 00:00:00+00:00</w:t>
      </w:r>
      <w:r>
        <w:t xml:space="preserve">    </w:t>
      </w:r>
      <w:r>
        <w:rPr>
          <w:b/>
        </w:rPr>
        <w:t xml:space="preserve">DOI: </w:t>
      </w:r>
      <w:hyperlink r:id="rId1076">
        <w:r>
          <w:rPr>
            <w:color w:val="1155CC"/>
            <w:u w:val="single"/>
          </w:rPr>
          <w:t>10.1093/nsr/nwag409</w:t>
        </w:r>
      </w:hyperlink>
    </w:p>
    <w:p>
      <w:pPr>
        <w:spacing w:before="0" w:after="120"/>
      </w:pPr>
      <w:r>
        <w:rPr>
          <w:b/>
        </w:rPr>
        <w:t xml:space="preserve">Notes: </w:t>
      </w:r>
      <w:r>
        <w:t>abstract_source=rss_oup</w:t>
      </w:r>
    </w:p>
    <w:p>
      <w:pPr>
        <w:spacing w:before="0" w:after="80" w:lineRule="auto" w:line="276"/>
      </w:pPr>
      <w:r>
        <w:rPr>
          <w:b/>
        </w:rPr>
        <w:t xml:space="preserve">摘要（ZH）: </w:t>
      </w:r>
      <w:r>
        <w:t>早期诊断和及时干预对于免疫失调引起的牙周病的治疗至关重要。然而，由于电子设备和口腔组织之间的生物差异，口腔中的原位传感和药物输送仍然具有挑战性。在这里，我们报告了一种灵活的、无电池的、基于水凝胶的生物电子学，它集成了生物功能和无线信号传输，用于牙周炎症监测和局部 microRNA (miRNA) 免疫调节。这种水凝胶由明胶合成，具有可被基质金属蛋白酶 (MMP) 裂解的生物活性肽序列，对与牙周病进展相关的蛋白酶活性做出特异性反应。其酶促降解被无线转换为局部免疫活性的定量射频信号，同时触发作为关键免疫调节剂的嵌入 miRNA 的释放。体外和动物验证证明了诊断准确性和治疗功效，从而抑制了炎症反应。生物传感、无线反馈和基于 miRNA 的免疫疗法的结合为牙周和其他炎症相关疾病的个性化管理提供了一个闭环、适应性强的平台。</w:t>
      </w:r>
    </w:p>
    <w:p>
      <w:pPr>
        <w:spacing w:before="0" w:after="200" w:lineRule="auto" w:line="276"/>
      </w:pPr>
      <w:r>
        <w:rPr>
          <w:b/>
        </w:rPr>
        <w:t xml:space="preserve">Abstract (EN): </w:t>
      </w:r>
      <w:r>
        <w:t>Early diagnosis and timely intervention are crucial for the management of periodontal diseases driven by immune dysregulation. However, in situ sensing and drug delivery in the oral cavity remain challenging due to biological disparities between electronic devices and oral tissues. Here, we report a flexible, battery-free, and hydrogel-based bioelectronics that integrates biological functions and wireless signal transmission for periodontal inflammation monitoring and localized microRNA (miRNA) immunomodulation. The hydrogel, synthesized from gelatin with bioactive peptide sequences cleavable by matrix metalloproteinases (MMPs), responds specifically to protease activity associated with periodontal disease progression. Its enzymatic degradation is wirelessly transduced into quantitative radio-frequency signals of local immune activity, while simultaneously triggering the release of embedded miRNAs as critical immune regulators. In vitro and animal validations demonstrated diagnostic accuracy and therapeutic efficacy, leading to suppression of the inflammatory response. The combination of biosensing, wireless feedback, and miRNA-based immunotherapy provides a closed-loop, adaptable platform for personalized management of periodontal and other inflammation-related disorders.</w:t>
      </w:r>
    </w:p>
    <w:p>
      <w:pPr>
        <w:spacing w:before="120" w:after="120"/>
      </w:pPr>
      <w:r>
        <w:rPr>
          <w:sz w:val="18"/>
        </w:rPr>
        <w:t>——————————————————————————————————————————————————————————————————————</w:t>
      </w:r>
    </w:p>
    <w:p>
      <w:pPr>
        <w:spacing w:before="160" w:after="40" w:line="240" w:lineRule="auto"/>
      </w:pPr>
      <w:r>
        <w:rPr>
          <w:b/>
        </w:rPr>
        <w:t xml:space="preserve">[506] </w:t>
      </w:r>
      <w:hyperlink r:id="rId1077">
        <w:r>
          <w:rPr>
            <w:color w:val="1155CC"/>
            <w:u w:val="single"/>
          </w:rPr>
          <w:t>狗和人类的趋同进化：人类社会行为和心理健康的一个有前途的新模型系统</w:t>
        </w:r>
      </w:hyperlink>
    </w:p>
    <w:p>
      <w:pPr>
        <w:spacing w:before="0" w:after="80"/>
      </w:pPr>
      <w:r>
        <w:rPr>
          <w:i/>
          <w:sz w:val="20"/>
        </w:rPr>
        <w:t>EN: Convergent evolution of dogs and humans: a promising new model system for human social behaviors and mental health</w:t>
      </w:r>
    </w:p>
    <w:p>
      <w:pPr>
        <w:spacing w:before="0" w:after="120"/>
      </w:pPr>
      <w:r>
        <w:rPr>
          <w:b/>
        </w:rPr>
        <w:t xml:space="preserve">Source: </w:t>
      </w:r>
      <w:r>
        <w:t>National Science Review Advance Access</w:t>
      </w:r>
      <w:r>
        <w:t xml:space="preserve">    </w:t>
      </w:r>
      <w:r>
        <w:rPr>
          <w:b/>
        </w:rPr>
        <w:t xml:space="preserve">Pub date: </w:t>
      </w:r>
      <w:r>
        <w:t>2026-07-02 00:00:00+00:00</w:t>
      </w:r>
      <w:r>
        <w:t xml:space="preserve">    </w:t>
      </w:r>
      <w:r>
        <w:rPr>
          <w:b/>
        </w:rPr>
        <w:t xml:space="preserve">DOI: </w:t>
      </w:r>
      <w:hyperlink r:id="rId1078">
        <w:r>
          <w:rPr>
            <w:color w:val="1155CC"/>
            <w:u w:val="single"/>
          </w:rPr>
          <w:t>10.1093/nsr/nwag405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[507] </w:t>
      </w:r>
      <w:hyperlink r:id="rId1079">
        <w:r>
          <w:rPr>
            <w:color w:val="1155CC"/>
            <w:u w:val="single"/>
          </w:rPr>
          <w:t>地幔环形流对大洋内海沟弯曲和沿海沟热化学传输的调节</w:t>
        </w:r>
      </w:hyperlink>
    </w:p>
    <w:p>
      <w:pPr>
        <w:spacing w:before="0" w:after="80"/>
      </w:pPr>
      <w:r>
        <w:rPr>
          <w:i/>
          <w:sz w:val="20"/>
        </w:rPr>
        <w:t>EN: Modulation of intra-oceanic trench bending and along-trench thermochemical transport by mantle toroidal flow</w:t>
      </w:r>
    </w:p>
    <w:p>
      <w:pPr>
        <w:spacing w:before="0" w:after="120"/>
      </w:pPr>
      <w:r>
        <w:rPr>
          <w:b/>
        </w:rPr>
        <w:t xml:space="preserve">Source: </w:t>
      </w:r>
      <w:r>
        <w:t>Earth and environmental sciences : Nature Communications subject feeds</w:t>
      </w:r>
      <w:r>
        <w:t xml:space="preserve">    </w:t>
      </w:r>
      <w:r>
        <w:rPr>
          <w:b/>
        </w:rPr>
        <w:t xml:space="preserve">Pub date: </w:t>
      </w:r>
      <w:r>
        <w:t>2026-07-02 00:00:00+00:00</w:t>
      </w:r>
    </w:p>
    <w:p>
      <w:pPr>
        <w:spacing w:before="0" w:after="120"/>
      </w:pPr>
      <w:r>
        <w:rPr>
          <w:b/>
        </w:rPr>
        <w:t xml:space="preserve">Notes: </w:t>
      </w:r>
      <w:r>
        <w:t>abstract_source=nature_html</w:t>
      </w:r>
    </w:p>
    <w:p>
      <w:pPr>
        <w:spacing w:before="0" w:after="80" w:lineRule="auto" w:line="276"/>
      </w:pPr>
      <w:r>
        <w:rPr>
          <w:b/>
        </w:rPr>
        <w:t xml:space="preserve">摘要（ZH）: </w:t>
      </w:r>
      <w:r>
        <w:t>全球范围内都存在超过 1000 公里的海沟弯曲，地幔楔热化学沿海沟变化显着。然而，影响浅海沟几何形状和深部地幔状态的机制仍不清楚。这里我们重点以马里亚纳海沟为代表案例。我们的 3D 模型成功复制了其弯曲的几何形状。模拟结果进一步表明，当传入的板块沿着海沟出现急剧的密度变化并伴有大的浮力部分（例如加罗林板块）时，就会发生广泛的洋内海沟后退和弯曲。在这种情况下，地幔楔中会出现显着的动态压力波动，即使在非线性地幔流变条件下，也会产生从浮力段延伸超过 1000 公里的剧烈环形流。模型预测的环形流输送温暖的地幔物质，重塑局部地形，使地幔楔重新焕发活力，并加热板块表面以促进挥发物释放。这些实验强调环形流动是大规模沟槽弯曲和沿沟槽热化学变化的关键规律。</w:t>
      </w:r>
    </w:p>
    <w:p>
      <w:pPr>
        <w:spacing w:before="0" w:after="200" w:lineRule="auto" w:line="276"/>
      </w:pPr>
      <w:r>
        <w:rPr>
          <w:b/>
        </w:rPr>
        <w:t xml:space="preserve">Abstract (EN): </w:t>
      </w:r>
      <w:r>
        <w:t>Oceanic trench bending over 1000 km occurs globally, with notable along-trench variations in mantle wedge thermochemistry. However, the mechanisms influencing both shallow trench geometry and deep mantle state remain unclear. Here we focus on the Mariana Trench as a representative case. Our 3D model successfully replicates its curved geometry. Modeling results further reveal that extensive intra-oceanic trench retreat and bending occur when the incoming plate features sharp density variations along the trench accompanied by a large buoyant segment (e.g., the Caroline Plate). In this scenario, significant dynamic pressure fluctuations develop in the mantle wedge, generating vigorous toroidal flow extending &gt;1000 km from the buoyant segment, even under non-linear mantle rheology. The model-predicted toroidal flow transports warm mantle materials, reshaping local topography, rejuvenate the mantle wedge, and heating the slab surface to facilitate volatile release. These experiments highlight toroidal flow as a key regular of both large-scale trench bending and along-trench thermochemical variations.</w:t>
      </w:r>
    </w:p>
    <w:p>
      <w:pPr>
        <w:spacing w:before="120" w:after="120"/>
      </w:pPr>
      <w:r>
        <w:rPr>
          <w:sz w:val="18"/>
        </w:rPr>
        <w:t>——————————————————————————————————————————————————————————————————————</w:t>
      </w:r>
    </w:p>
    <w:p>
      <w:pPr>
        <w:spacing w:before="160" w:after="40" w:line="240" w:lineRule="auto"/>
      </w:pPr>
      <w:r>
        <w:rPr>
          <w:b/>
        </w:rPr>
        <w:t xml:space="preserve">[508] </w:t>
      </w:r>
      <w:hyperlink r:id="rId1080">
        <w:r>
          <w:rPr>
            <w:color w:val="1155CC"/>
            <w:u w:val="single"/>
          </w:rPr>
          <w:t>两种半翅目物种替代翅膀发育的单细胞图谱</w:t>
        </w:r>
      </w:hyperlink>
    </w:p>
    <w:p>
      <w:pPr>
        <w:spacing w:before="0" w:after="80"/>
      </w:pPr>
      <w:r>
        <w:rPr>
          <w:i/>
          <w:sz w:val="20"/>
        </w:rPr>
        <w:t>EN: A single-cell atlas of alternative wing development in two hemipteran species</w:t>
      </w:r>
    </w:p>
    <w:p>
      <w:pPr>
        <w:spacing w:before="0" w:after="120"/>
      </w:pPr>
      <w:r>
        <w:rPr>
          <w:b/>
        </w:rPr>
        <w:t xml:space="preserve">Source: </w:t>
      </w:r>
      <w:r>
        <w:t>Biological sciences : Nature Communications subject feeds</w:t>
      </w:r>
      <w:r>
        <w:t xml:space="preserve">    </w:t>
      </w:r>
      <w:r>
        <w:rPr>
          <w:b/>
        </w:rPr>
        <w:t xml:space="preserve">Pub date: </w:t>
      </w:r>
      <w:r>
        <w:t>2026-07-02 00:00:00+00:00</w:t>
      </w:r>
    </w:p>
    <w:p>
      <w:pPr>
        <w:spacing w:before="0" w:after="120"/>
      </w:pPr>
      <w:r>
        <w:rPr>
          <w:b/>
        </w:rPr>
        <w:t xml:space="preserve">Notes: </w:t>
      </w:r>
      <w:r>
        <w:t>abstract_source=nature_html</w:t>
      </w:r>
    </w:p>
    <w:p>
      <w:pPr>
        <w:spacing w:before="0" w:after="80" w:lineRule="auto" w:line="276"/>
      </w:pPr>
      <w:r>
        <w:rPr>
          <w:b/>
        </w:rPr>
        <w:t xml:space="preserve">摘要（ZH）: </w:t>
      </w:r>
      <w:r>
        <w:t>昆虫翅膀多态性使单个基因组能够响应环境线索产生不同的翅膀形态，但其潜在的细胞决定因素仍然难以捉摸。在这里，我们对 Pyrrocoris apterus 和 Nilaparvata lugens 的长翅和短翅翅芽进行了单细胞 RNA 测序，鉴定了两种形态之间比例相当的六种保守细胞类型。 RNA干扰介导的51个标记基因的沉默表明，翅膀图案基因En（上皮样细胞）和bs（气管细胞）以及细胞周期基因Anln、CycB3和cdk1（神经元细胞）对于长翅发育至关重要，其中En表现出特定的时间要求。流式细胞术分析表明，长翅的形成主要依赖于细胞增殖持续时间的延长。跨物种比较表明共享的翼细胞身份。我们的研究结果表明，半翅目短翅亚型可能是通过精确调控上皮样细胞、气管细胞和神经元细胞中的翅膀模式和细胞周期基因表达而从祖先的长翅亚型进化而来的。这提供了在单细胞分辨率下了解昆虫组织发育可塑性的见解。</w:t>
      </w:r>
    </w:p>
    <w:p>
      <w:pPr>
        <w:spacing w:before="0" w:after="200" w:lineRule="auto" w:line="276"/>
      </w:pPr>
      <w:r>
        <w:rPr>
          <w:b/>
        </w:rPr>
        <w:t xml:space="preserve">Abstract (EN): </w:t>
      </w:r>
      <w:r>
        <w:t>Insect wing polyphenism enables a single genome to produce distinct wing morphs in response to environmental cues, yet its underlying cellular determinants remain elusive. Here, we perform single-cell RNA sequencing of long-winged- and short-winged-destined wing buds of Pyrrhocoris apterus and Nilaparvata lugens, identifying six conserved cell types with comparable proportions between the two morphs. RNA interference-mediated silencing of 51 marker genes indicates that wing-patterning genes En (epithelial-like cells) and bs (tracheal cells), and cell-cycle genes Anln, CycB3, and cdk1 (neuron cells), are essential for long-winged development, among which En exhibits a specific temporal requirement. Flow cytometry analysis shows that long-winged formation mainly relies on an extended duration of cell proliferation. Cross-species comparisons indicate shared wing cell identities. Our findings indicate that hemipteran short-winged morphs may evolve from ancestral long-winged forms via precise regulation of wing-patterning and cell-cycle gene expression in epithelial‑like, tracheal, and neuron cells. This provides insights into the developmental plasticity of insect tissues at single‑cell resolution.</w:t>
      </w:r>
    </w:p>
    <w:p>
      <w:pPr>
        <w:spacing w:before="120" w:after="120"/>
      </w:pPr>
      <w:r>
        <w:rPr>
          <w:sz w:val="18"/>
        </w:rPr>
        <w:t>——————————————————————————————————————————————————————————————————————</w:t>
      </w:r>
    </w:p>
    <w:p>
      <w:pPr>
        <w:spacing w:before="160" w:after="40" w:line="240" w:lineRule="auto"/>
      </w:pPr>
      <w:r>
        <w:rPr>
          <w:b/>
        </w:rPr>
        <w:t xml:space="preserve">[509] </w:t>
      </w:r>
      <w:hyperlink r:id="rId1081">
        <w:r>
          <w:rPr>
            <w:color w:val="1155CC"/>
            <w:u w:val="single"/>
          </w:rPr>
          <w:t>两党基础设施​​法对弱势社区饮用水资金的影响</w:t>
        </w:r>
      </w:hyperlink>
    </w:p>
    <w:p>
      <w:pPr>
        <w:spacing w:before="0" w:after="80"/>
      </w:pPr>
      <w:r>
        <w:rPr>
          <w:i/>
          <w:sz w:val="20"/>
        </w:rPr>
        <w:t>EN: The Bipartisan infrastructure law’s impact on drinking water funding for disadvantaged communities</w:t>
      </w:r>
    </w:p>
    <w:p>
      <w:pPr>
        <w:spacing w:before="0" w:after="120"/>
      </w:pPr>
      <w:r>
        <w:rPr>
          <w:b/>
        </w:rPr>
        <w:t xml:space="preserve">Source: </w:t>
      </w:r>
      <w:r>
        <w:t>Scientific community and society : Nature Communications subject feeds</w:t>
      </w:r>
      <w:r>
        <w:t xml:space="preserve">    </w:t>
      </w:r>
      <w:r>
        <w:rPr>
          <w:b/>
        </w:rPr>
        <w:t xml:space="preserve">Pub date: </w:t>
      </w:r>
      <w:r>
        <w:t>2026-07-02 00:00:00+00:00</w:t>
      </w:r>
    </w:p>
    <w:p>
      <w:pPr>
        <w:spacing w:before="0" w:after="120"/>
      </w:pPr>
      <w:r>
        <w:rPr>
          <w:b/>
        </w:rPr>
        <w:t xml:space="preserve">Notes: </w:t>
      </w:r>
      <w:r>
        <w:t>abstract_source=nature_html</w:t>
      </w:r>
    </w:p>
    <w:p>
      <w:pPr>
        <w:spacing w:before="0" w:after="80" w:lineRule="auto" w:line="276"/>
      </w:pPr>
      <w:r>
        <w:rPr>
          <w:b/>
        </w:rPr>
        <w:t xml:space="preserve">摘要（ZH）: </w:t>
      </w:r>
      <w:r>
        <w:t>2021 年两党基础设施​​法 (BIL) 专门拨款 307 亿美元用于安全饮用水项目，这是美国历史上对水基础设施的最大单笔投资。该法律规定 49% 的资金以赠款和可免除贷款的形式提供给“弱势社区”。值得注意的是，弱势社区的定义已由各州自行决定，从而允许不同州识别和优先考虑这些社区的方式存在差异。本研究探讨了《BIL》之后各州如何重新定义弱势社区，绘制其空间分布图，并分析 2019 年至 2023 年饮用水资金的差异。我们的结果表明，尽管弱势社区定义得到广泛更新，但少数种族和族裔在获得资金方面仍然遇到障碍。如果政策旨在解决饮用水投资方面的历史差异，那么定义性授权似乎不够，并且可能需要与服务不足的社区持续接触，以实现更公平的基础设施投资。</w:t>
      </w:r>
    </w:p>
    <w:p>
      <w:pPr>
        <w:spacing w:before="0" w:after="200" w:lineRule="auto" w:line="276"/>
      </w:pPr>
      <w:r>
        <w:rPr>
          <w:b/>
        </w:rPr>
        <w:t xml:space="preserve">Abstract (EN): </w:t>
      </w:r>
      <w:r>
        <w:t>The 2021 Bipartisan Infrastructure Law (BIL) directed $30.7 billion specifically towards safe drinking water programs, representing the single-largest investment into water infrastructure in United States history. The law mandates that 49% of funds be provided as grants and forgivable loans to “disadvantaged communities.” Notably, the definition of disadvantaged communities has been left to the discretion of states, allowing variability in how different states identify and prioritize these communities. This study examines how states redefined disadvantaged communities after the BIL, maps their spatial distribution, and analyzes disparities in drinking water funding from 2019 to 2023. Our results suggest that, despite widespread updates to disadvantaged community definitions, racial and ethnic minorities continue to encounter barriers to accessing funding. If policies are aimed to address historical disparities in drinking water investment, definitional delegation appears to fall short, and ongoing engagement with underserved communities may be needed for more equitable infrastructure investment.</w:t>
      </w:r>
    </w:p>
    <w:p>
      <w:pPr>
        <w:spacing w:before="120" w:after="120"/>
      </w:pPr>
      <w:r>
        <w:rPr>
          <w:sz w:val="18"/>
        </w:rPr>
        <w:t>——————————————————————————————————————————————————————————————————————</w:t>
      </w:r>
    </w:p>
    <w:p>
      <w:pPr>
        <w:spacing w:before="160" w:after="40" w:line="240" w:lineRule="auto"/>
      </w:pPr>
      <w:r>
        <w:rPr>
          <w:b/>
        </w:rPr>
        <w:t xml:space="preserve">[510] </w:t>
      </w:r>
      <w:hyperlink r:id="rId1082">
        <w:r>
          <w:rPr>
            <w:color w:val="1155CC"/>
            <w:u w:val="single"/>
          </w:rPr>
          <w:t>L 型脓毒素抑制 BAM 复合物在不进入细胞的情况下杀死细胞</w:t>
        </w:r>
      </w:hyperlink>
    </w:p>
    <w:p>
      <w:pPr>
        <w:spacing w:before="0" w:after="80"/>
      </w:pPr>
      <w:r>
        <w:rPr>
          <w:i/>
          <w:sz w:val="20"/>
        </w:rPr>
        <w:t>EN: L-type pyocins inhibit the BAM complex to kill without cell entry</w:t>
      </w:r>
    </w:p>
    <w:p>
      <w:pPr>
        <w:spacing w:before="0" w:after="120"/>
      </w:pPr>
      <w:r>
        <w:rPr>
          <w:b/>
        </w:rPr>
        <w:t xml:space="preserve">Source: </w:t>
      </w:r>
      <w:r>
        <w:t>Biological sciences : Nature Communications subject feeds</w:t>
      </w:r>
      <w:r>
        <w:t xml:space="preserve">    </w:t>
      </w:r>
      <w:r>
        <w:rPr>
          <w:b/>
        </w:rPr>
        <w:t xml:space="preserve">Pub date: </w:t>
      </w:r>
      <w:r>
        <w:t>2026-07-02 00:00:00+00:00</w:t>
      </w:r>
    </w:p>
    <w:p>
      <w:pPr>
        <w:spacing w:before="0" w:after="120"/>
      </w:pPr>
      <w:r>
        <w:rPr>
          <w:b/>
        </w:rPr>
        <w:t xml:space="preserve">Notes: </w:t>
      </w:r>
      <w:r>
        <w:t>abstract_source=nature_html</w:t>
      </w:r>
    </w:p>
    <w:p>
      <w:pPr>
        <w:spacing w:before="0" w:after="80" w:lineRule="auto" w:line="276"/>
      </w:pPr>
      <w:r>
        <w:rPr>
          <w:b/>
        </w:rPr>
        <w:t xml:space="preserve">摘要（ZH）: </w:t>
      </w:r>
      <w:r>
        <w:t>由于内在的防御机制，例如不可渗透的细菌外膜，许多抗生素对革兰氏阴性病原体铜绿假单胞菌无效。在这里，我们发现称为 L 型脓毒素的蛋白质抗生素通过抑制细胞表面的 β-桶组装机器 (BAM) 复合物、停止外膜蛋白质组装来杀死铜绿假单胞菌。使用单颗粒冷冻电子显微镜，我们发现 L 型脓毒素结合 BamA 的表面暴露区域，并部署竞争性抑制 BAM 复合物的 C 端肽，证明抗生素活性不需要进入细胞。我们将遗传学、多组学和冷冻电子断层扫描相结合，证明 L 型脓毒菌素或环肽抗生素达罗巴汀对 BAM 复合物的抑制会引发多方面的转录组、蛋白质组和形态学反应。 BAM 抑制最终会导致膜完整性的灾难性丧失和细胞死亡。这些结果验证了 BAM 作为不进入细胞的抗生素的靶标，并为其开发定义了一个可工程系统。</w:t>
      </w:r>
    </w:p>
    <w:p>
      <w:pPr>
        <w:spacing w:before="0" w:after="200" w:lineRule="auto" w:line="276"/>
      </w:pPr>
      <w:r>
        <w:rPr>
          <w:b/>
        </w:rPr>
        <w:t xml:space="preserve">Abstract (EN): </w:t>
      </w:r>
      <w:r>
        <w:t>Many antibiotics are ineffective against the Gram-negative pathogen Pseudomonas aeruginosa because of intrinsic defence mechanisms, such as the impermeable bacterial outer membrane. Here, we show that protein antibiotics called L-type pyocins kill P. aeruginosa by inhibiting the β-barrel assembly machinery (BAM) complex at the cell surface, halting outer-membrane protein assembly. Using single-particle cryo-electron microscopy, we show that L-type pyocins bind a surface-exposed region of BamA and deploy a C-terminal peptide that competitively inhibits the BAM complex, demonstrating that cell entry is not required for antibiotic activity. We combine genetics, multi-omics and cryo-electron tomography to show that BAM complex inhibition by L-type pyocins or the cyclic-peptide antibiotic, darobactin, triggers a multifaceted transcriptomic, proteomic, and morphological response. BAM inhibition ultimately leads to a catastrophic loss of membrane integrity and cell death. These results validate BAM as a target for antibiotics that do not enter the cell and define an engineerable system for their development.</w:t>
      </w:r>
    </w:p>
    <w:p>
      <w:pPr>
        <w:spacing w:before="120" w:after="120"/>
      </w:pPr>
      <w:r>
        <w:rPr>
          <w:sz w:val="18"/>
        </w:rPr>
        <w:t>——————————————————————————————————————————————————————————————————————</w:t>
      </w:r>
    </w:p>
    <w:p>
      <w:pPr>
        <w:spacing w:before="160" w:after="40" w:line="240" w:lineRule="auto"/>
      </w:pPr>
      <w:r>
        <w:rPr>
          <w:b/>
        </w:rPr>
        <w:t xml:space="preserve">[511] </w:t>
      </w:r>
      <w:hyperlink r:id="rId1083">
        <w:r>
          <w:rPr>
            <w:color w:val="1155CC"/>
            <w:u w:val="single"/>
          </w:rPr>
          <w:t>先天性红细胞生成障碍性贫血 I 型缺陷的 CDIN1-Codanin-1 复合物是一种 RNA 核酸酶</w:t>
        </w:r>
      </w:hyperlink>
    </w:p>
    <w:p>
      <w:pPr>
        <w:spacing w:before="0" w:after="80"/>
      </w:pPr>
      <w:r>
        <w:rPr>
          <w:i/>
          <w:sz w:val="20"/>
        </w:rPr>
        <w:t>EN: CDIN1-Codanin-1 complex defective in congenital dyserythropoietic anaemia type I is an RNA nuclease</w:t>
      </w:r>
    </w:p>
    <w:p>
      <w:pPr>
        <w:spacing w:before="0" w:after="120"/>
      </w:pPr>
      <w:r>
        <w:rPr>
          <w:b/>
        </w:rPr>
        <w:t xml:space="preserve">Source: </w:t>
      </w:r>
      <w:r>
        <w:t>Biological sciences : Nature Communications subject feeds</w:t>
      </w:r>
      <w:r>
        <w:t xml:space="preserve">    </w:t>
      </w:r>
      <w:r>
        <w:rPr>
          <w:b/>
        </w:rPr>
        <w:t xml:space="preserve">Pub date: </w:t>
      </w:r>
      <w:r>
        <w:t>2026-07-02 00:00:00+00:00</w:t>
      </w:r>
    </w:p>
    <w:p>
      <w:pPr>
        <w:spacing w:before="0" w:after="120"/>
      </w:pPr>
      <w:r>
        <w:rPr>
          <w:b/>
        </w:rPr>
        <w:t xml:space="preserve">Notes: </w:t>
      </w:r>
      <w:r>
        <w:t>abstract_source=nature_html</w:t>
      </w:r>
    </w:p>
    <w:p>
      <w:pPr>
        <w:spacing w:before="0" w:after="80" w:lineRule="auto" w:line="276"/>
      </w:pPr>
      <w:r>
        <w:rPr>
          <w:b/>
        </w:rPr>
        <w:t xml:space="preserve">摘要（ZH）: </w:t>
      </w:r>
      <w:r>
        <w:t>先天性红细胞生成障碍性贫血 I 型 (CDA-I) 是一种罕见的遗传性红细胞生成障碍，其中红细胞表现出一种独特的核表型，称为“海绵状”异染色质。 CDA-I 的分子基础仍不清楚，大多数 CDA-I 病例是由编码 Codanin-1 的 CDAN1 或编码 Codanin-1 相互作用核酸酶 1 (CDIN1) 的 CDIN1 突变引起的。迄今为止，人们对 CDA-I 疾病蛋白的功能及其相关突变引起疾病的机制知之甚少。在这里，我们证明内源性 CDIN1 与 Codanin-1 相互作用，形成稳定的复合物。该复合物的结构和功能分析表明，CDIN1-Codanin-1 复合物是一种 RNA 核酸酶。我们利用生化和生物物理方法阐明了该复合物的关键机械特征，并辅以全原子分子动力学（MD）结构模拟。我们确定了创始人患者突变对 CDIN1 RNA 核酸酶活性的各种功能后果，为理解 CDA-I 的病理生理学和制定治疗策略提供了框架。</w:t>
      </w:r>
    </w:p>
    <w:p>
      <w:pPr>
        <w:spacing w:before="0" w:after="200" w:lineRule="auto" w:line="276"/>
      </w:pPr>
      <w:r>
        <w:rPr>
          <w:b/>
        </w:rPr>
        <w:t xml:space="preserve">Abstract (EN): </w:t>
      </w:r>
      <w:r>
        <w:t>Congenital Dyserythropoietic Anaemia type I (CDA-I) is a rare inherited disorder of erythropoiesis, in which erythroid cells display a unique nuclear phenotype referred to as ‘spongy’ heterochromatin. The molecular basis of CDA-I remains unknown, with most cases of CDA-I caused by mutations in CDAN1, encoding Codanin-1, or CDIN1, encoding for Codanin-1-interacting nuclease 1 (CDIN1). To date, very little is known about the function of CDA-I disease proteins and the mechanism by which their associated mutations cause disease. Here, we demonstrate that endogenous CDIN1 interacts with Codanin-1, to form a stable complex. Structural and functional analysis of this complex reveals that the CDIN1-Codanin-1 complex is an RNA nuclease. We shed light on the key mechanistic features of the complex using biochemical and biophysical approaches, complemented by all-atom molecular dynamics (MD) structural simulations. We identify various functional consequences of founder patient mutations on the RNA nuclease activity of CDIN1, providing a framework for understanding the pathophysiology and developing therapeutic strategies for CDA-I.</w:t>
      </w:r>
    </w:p>
    <w:p>
      <w:pPr>
        <w:spacing w:before="120" w:after="120"/>
      </w:pPr>
      <w:r>
        <w:rPr>
          <w:sz w:val="18"/>
        </w:rPr>
        <w:t>——————————————————————————————————————————————————————————————————————</w:t>
      </w:r>
    </w:p>
    <w:p>
      <w:pPr>
        <w:spacing w:before="160" w:after="40" w:line="240" w:lineRule="auto"/>
      </w:pPr>
      <w:r>
        <w:rPr>
          <w:b/>
        </w:rPr>
        <w:t xml:space="preserve">[512] </w:t>
      </w:r>
      <w:hyperlink r:id="rId1084">
        <w:r>
          <w:rPr>
            <w:color w:val="1155CC"/>
            <w:u w:val="single"/>
          </w:rPr>
          <w:t>多营养相互作用网络调节生物多样性对生态系统多功能性的影响</w:t>
        </w:r>
      </w:hyperlink>
    </w:p>
    <w:p>
      <w:pPr>
        <w:spacing w:before="0" w:after="80"/>
      </w:pPr>
      <w:r>
        <w:rPr>
          <w:i/>
          <w:sz w:val="20"/>
        </w:rPr>
        <w:t>EN: Multitrophic interaction networks mediate biodiversity effects on ecosystem multifunctionality</w:t>
      </w:r>
    </w:p>
    <w:p>
      <w:pPr>
        <w:spacing w:before="0" w:after="120"/>
      </w:pPr>
      <w:r>
        <w:rPr>
          <w:b/>
        </w:rPr>
        <w:t xml:space="preserve">Source: </w:t>
      </w:r>
      <w:r>
        <w:t>Biological sciences : Nature Communications subject feeds</w:t>
      </w:r>
      <w:r>
        <w:t xml:space="preserve">    </w:t>
      </w:r>
      <w:r>
        <w:rPr>
          <w:b/>
        </w:rPr>
        <w:t xml:space="preserve">Pub date: </w:t>
      </w:r>
      <w:r>
        <w:t>2026-07-02 00:00:00+00:00</w:t>
      </w:r>
    </w:p>
    <w:p>
      <w:pPr>
        <w:spacing w:before="0" w:after="120"/>
      </w:pPr>
      <w:r>
        <w:rPr>
          <w:b/>
        </w:rPr>
        <w:t xml:space="preserve">Notes: </w:t>
      </w:r>
      <w:r>
        <w:t>abstract_source=nature_html</w:t>
      </w:r>
    </w:p>
    <w:p>
      <w:pPr>
        <w:spacing w:before="0" w:after="80" w:lineRule="auto" w:line="276"/>
      </w:pPr>
      <w:r>
        <w:rPr>
          <w:b/>
        </w:rPr>
        <w:t xml:space="preserve">摘要（ZH）: </w:t>
      </w:r>
      <w:r>
        <w:t>生物多样性丧失威胁着人类福祉最终依赖的生态系统的多功能性。多营养物种相互作用可能是解释生物多样性丧失的生态后果的关键，但明确将物种相互作用和生态系统多功能性联系起来的研究仍然很少。为了填补这一空白，我们综合了 2009 年在中国亚热带地区建立的大规模生物多样性实验的数据，该实验控制了树种丰富度（1-24 种）。我们整合了 11 种对抗性和互利性物种相互作用网络，以及与不同物种和营养级相关的 34 种生态系统功能。我们的分析强调，描述物种相互作用网络的结构对于评估相互作用介导的生物多样性影响和潜在机制非常有价值。网络规模的积极影响与多营养多样性对生态系统多功能性的预期效益一致。相互作用的物种之间生态位重叠的积极影响和高度关联的物种（即高连锁密度）的消极影响揭示了额外的相互作用介导的驱动因素。生态位重叠的影响表明功能相似物种的好处，而连锁密度的影响强调了专门相互作用在促进生态系统多功能性方面的重要性。这些发现强调，生态系统服务的提供不仅依赖于各个营养级的生物多样性，而且在很大程度上依赖于物种之间的相互作用。</w:t>
      </w:r>
    </w:p>
    <w:p>
      <w:pPr>
        <w:spacing w:before="0" w:after="200" w:lineRule="auto" w:line="276"/>
      </w:pPr>
      <w:r>
        <w:rPr>
          <w:b/>
        </w:rPr>
        <w:t xml:space="preserve">Abstract (EN): </w:t>
      </w:r>
      <w:r>
        <w:t>Biodiversity loss threatens the multifunctionality of ecosystems on which human well-being ultimately depends. Multitrophic species interactions may be key to explaining the ecological consequences of biodiversity loss, but research explicitly linking species interactions and ecosystem multifunctionality remains rare. To fill this gap, we synthesize data from a large-scale biodiversity experiment established in 2009 in subtropical China that manipulates tree species richness (1-24 species). We integrate 11 types of antagonistic and mutualistic species interaction networks, and 34 ecosystem functions associated with a diverse set of species and trophic levels. Our analysis highlights that characterizing the structure of species interaction networks is invaluable for assessing interaction-mediated biodiversity effects and underlying mechanisms. Positive effects of network size align with expected benefits of multitrophic diversity for ecosystem multifunctionality. Positive effects of niche overlap among interacting species and negative effects of highly connected species (i.e. high linkage density) reveal additional, interaction-mediated drivers. The effects of niche overlap suggest benefits of functionally similar species, and the effects of linkage density underscore the importance of specialized interactions in promoting ecosystem multifunctionality. These findings emphasize that ecosystem service provisioning does not only rely on biodiversity across trophic levels, but to a similar degree on how species interact.</w:t>
      </w:r>
    </w:p>
    <w:p>
      <w:pPr>
        <w:spacing w:before="120" w:after="120"/>
      </w:pPr>
      <w:r>
        <w:rPr>
          <w:sz w:val="18"/>
        </w:rPr>
        <w:t>——————————————————————————————————————————————————————————————————————</w:t>
      </w:r>
    </w:p>
    <w:p>
      <w:pPr>
        <w:spacing w:before="160" w:after="40" w:line="240" w:lineRule="auto"/>
      </w:pPr>
      <w:r>
        <w:rPr>
          <w:b/>
        </w:rPr>
        <w:t xml:space="preserve">[513] </w:t>
      </w:r>
      <w:hyperlink r:id="rId1085">
        <w:r>
          <w:rPr>
            <w:color w:val="1155CC"/>
            <w:u w:val="single"/>
          </w:rPr>
          <w:t>VPS13C/PARK23 启动脂质转移和膜重塑以实现有效的溶酶体修复</w:t>
        </w:r>
      </w:hyperlink>
    </w:p>
    <w:p>
      <w:pPr>
        <w:spacing w:before="0" w:after="80"/>
      </w:pPr>
      <w:r>
        <w:rPr>
          <w:i/>
          <w:sz w:val="20"/>
        </w:rPr>
        <w:t>EN: VPS13C/PARK23 initiates lipid transfer and membrane remodeling for efficient lysosomal repair</w:t>
      </w:r>
    </w:p>
    <w:p>
      <w:pPr>
        <w:spacing w:before="0" w:after="120"/>
      </w:pPr>
      <w:r>
        <w:rPr>
          <w:b/>
        </w:rPr>
        <w:t xml:space="preserve">Source: </w:t>
      </w:r>
      <w:r>
        <w:t>Biological sciences : Nature Communications subject feeds</w:t>
      </w:r>
      <w:r>
        <w:t xml:space="preserve">    </w:t>
      </w:r>
      <w:r>
        <w:rPr>
          <w:b/>
        </w:rPr>
        <w:t xml:space="preserve">Pub date: </w:t>
      </w:r>
      <w:r>
        <w:t>2026-07-02 00:00:00+00:00</w:t>
      </w:r>
    </w:p>
    <w:p>
      <w:pPr>
        <w:spacing w:before="0" w:after="120"/>
      </w:pPr>
      <w:r>
        <w:rPr>
          <w:b/>
        </w:rPr>
        <w:t xml:space="preserve">Notes: </w:t>
      </w:r>
      <w:r>
        <w:t>abstract_source=nature_html</w:t>
      </w:r>
    </w:p>
    <w:p>
      <w:pPr>
        <w:spacing w:before="0" w:after="80" w:lineRule="auto" w:line="276"/>
      </w:pPr>
      <w:r>
        <w:rPr>
          <w:b/>
        </w:rPr>
        <w:t xml:space="preserve">摘要（ZH）: </w:t>
      </w:r>
      <w:r>
        <w:t>溶酶体完整性的扰动与神经系统疾病和衰老密切相关，但潜在的致病机制尚不完全清楚。使用公正的蛋白质组学方法，我们确定桥状脂质转运蛋白 VPS13C/PARK23 是溶酶体损伤的整体早期反应途径的关键组成部分。 VPS13C 在机械或渗透张力下很容易结合溶酶体，以预测膜损伤。后者触发蛋白质 C 末端的构象变化，其中 ATG2C 结构域充当损伤诱导的脂质堆积缺陷的传感器。我们表明，VPS13C 形成的 ER-溶酶体接触为 OSBP/ORP 提供了关键的结合平台，以实现受损溶酶体的有效 ER 包裹。评估内质网至溶酶体脂质定向转运的化学方法表明，VPS13C 对于大规模脂质递送至严重受损的溶酶体以促进其修复至关重要。我们的研究结果为 VPS13C 功能丧失突变如何增加帕金森病的风险提供了新的机制见解。</w:t>
      </w:r>
    </w:p>
    <w:p>
      <w:pPr>
        <w:spacing w:before="0" w:after="200" w:lineRule="auto" w:line="276"/>
      </w:pPr>
      <w:r>
        <w:rPr>
          <w:b/>
        </w:rPr>
        <w:t xml:space="preserve">Abstract (EN): </w:t>
      </w:r>
      <w:r>
        <w:t>Perturbations in lysosome integrity are tightly linked to neurological disorders and ageing, but the underlying pathogenic mechanisms are incompletely understood. Using an unbiased proteomic approach, we here identified the bridge-like lipid transport protein VPS13C/PARK23 as a key component of a global early response pathway to lysosome damage. VPS13C readily binds lysosomes under mechanical or osmotic tension in anticipation of membrane lesions. The latter trigger a conformational change in the protein’s C-terminus, involving its ATG2C domain acting as sensor of damage-induced lipid packing defects. We show that ER-lysosome contacts formed by VPS13C provide critical binding platforms for OSBP/ORPs to enable efficient ER wrapping of damaged lysosomes. A chemical approach to assess directional ER-to-lysosome lipid transport revealed that VPS13C is essential for large-scale lipid delivery to acutely damaged lysosomes to facilitate their repair. Our findings offer new mechanistic insights into how loss-of-function mutations in VPS13C may enhance the risk of Parkinson’s disease.</w:t>
      </w:r>
    </w:p>
    <w:p>
      <w:pPr>
        <w:spacing w:before="120" w:after="120"/>
      </w:pPr>
      <w:r>
        <w:rPr>
          <w:sz w:val="18"/>
        </w:rPr>
        <w:t>——————————————————————————————————————————————————————————————————————</w:t>
      </w:r>
    </w:p>
    <w:p>
      <w:pPr>
        <w:spacing w:before="160" w:after="40" w:line="240" w:lineRule="auto"/>
      </w:pPr>
      <w:r>
        <w:rPr>
          <w:b/>
        </w:rPr>
        <w:t xml:space="preserve">[514] </w:t>
      </w:r>
      <w:hyperlink r:id="rId1086">
        <w:r>
          <w:rPr>
            <w:color w:val="1155CC"/>
            <w:u w:val="single"/>
          </w:rPr>
          <w:t>原发性黑色素瘤假阴性诊断的患者会损失多年的生命。德国中央恶性黑色素瘤登记处的一项前瞻性研究，涉及 28 年来的 9063 名患者</w:t>
        </w:r>
      </w:hyperlink>
    </w:p>
    <w:p>
      <w:pPr>
        <w:spacing w:before="0" w:after="80"/>
      </w:pPr>
      <w:r>
        <w:rPr>
          <w:i/>
          <w:sz w:val="20"/>
        </w:rPr>
        <w:t>EN: Years of life lost in patients with a false-negative diagnosis of primary melanoma. A prospective study of the German Central Malignant Melanoma Registry involving 9063 patients over 28 years</w:t>
      </w:r>
    </w:p>
    <w:p>
      <w:pPr>
        <w:spacing w:before="0" w:after="120"/>
      </w:pPr>
      <w:r>
        <w:rPr>
          <w:b/>
        </w:rPr>
        <w:t xml:space="preserve">Source: </w:t>
      </w:r>
      <w:r>
        <w:t>Biological sciences : Nature Communications subject feeds</w:t>
      </w:r>
      <w:r>
        <w:t xml:space="preserve">    </w:t>
      </w:r>
      <w:r>
        <w:rPr>
          <w:b/>
        </w:rPr>
        <w:t xml:space="preserve">Pub date: </w:t>
      </w:r>
      <w:r>
        <w:t>2026-07-02 00:00:00+00:00</w:t>
      </w:r>
    </w:p>
    <w:p>
      <w:pPr>
        <w:spacing w:before="0" w:after="120"/>
      </w:pPr>
      <w:r>
        <w:rPr>
          <w:b/>
        </w:rPr>
        <w:t xml:space="preserve">Notes: </w:t>
      </w:r>
      <w:r>
        <w:t>abstract_source=nature_html</w:t>
      </w:r>
    </w:p>
    <w:p>
      <w:pPr>
        <w:spacing w:before="0" w:after="80" w:lineRule="auto" w:line="276"/>
      </w:pPr>
      <w:r>
        <w:rPr>
          <w:b/>
        </w:rPr>
        <w:t xml:space="preserve">摘要（ZH）: </w:t>
      </w:r>
      <w:r>
        <w:t>癌症的假阴性诊断可能会导致有效治疗的延迟和预后较差。在这里，我们使用皮肤黑色素瘤的例子来检查与基本正确的诊断相比，假阴性诊断后会损失多少年的生命。从 1996 年到 2015 年，德国中央恶性黑色素瘤登记处前瞻性登记了 9,063 名患者，并随访至 2023 年 12 月。其中 206 名 (2.3%) 患者发现假阴性诊断。正确诊断的中位时间为 24.0 个月。假阴性诊断的 10 年无复发生存概率为 32.9%，正确诊断的 10 年无复发生存概率为 76.2%（p</w:t>
      </w:r>
    </w:p>
    <w:p>
      <w:pPr>
        <w:spacing w:before="0" w:after="200" w:lineRule="auto" w:line="276"/>
      </w:pPr>
      <w:r>
        <w:rPr>
          <w:b/>
        </w:rPr>
        <w:t xml:space="preserve">Abstract (EN): </w:t>
      </w:r>
      <w:r>
        <w:t>A false-negative diagnosis of cancer can lead to a delay in effective treatment and a poorer prognosis. Here, we use the example of cutaneous melanoma to examine how many years of life are lost after a false-negative diagnosis compared to a primarily correct diagnosis. From 1996 to 2015, 9,063 patients are prospectively registered in the German Central Malignant Melanoma Registry and followed up until December 2023. A false-negative diagnosis is found in 206 (2.3%) patients. The median time to correct diagnosis is 24.0 months. The 10-year recurrence-free survival probabilities are 32.9% for false-negative diagnoses and 76.2% for correct diagnoses (p</w:t>
      </w:r>
    </w:p>
    <w:p>
      <w:pPr>
        <w:spacing w:before="120" w:after="120"/>
      </w:pPr>
      <w:r>
        <w:rPr>
          <w:sz w:val="18"/>
        </w:rPr>
        <w:t>——————————————————————————————————————————————————————————————————————</w:t>
      </w:r>
    </w:p>
    <w:p>
      <w:pPr>
        <w:spacing w:before="160" w:after="40" w:line="240" w:lineRule="auto"/>
      </w:pPr>
      <w:r>
        <w:rPr>
          <w:b/>
        </w:rPr>
        <w:t xml:space="preserve">[515] </w:t>
      </w:r>
      <w:hyperlink r:id="rId1087">
        <w:r>
          <w:rPr>
            <w:color w:val="1155CC"/>
            <w:u w:val="single"/>
          </w:rPr>
          <w:t>化学第一夫人</w:t>
        </w:r>
      </w:hyperlink>
    </w:p>
    <w:p>
      <w:pPr>
        <w:spacing w:before="0" w:after="80"/>
      </w:pPr>
      <w:r>
        <w:rPr>
          <w:i/>
          <w:sz w:val="20"/>
        </w:rPr>
        <w:t>EN: First ladies of chemistry</w:t>
      </w:r>
    </w:p>
    <w:p>
      <w:pPr>
        <w:spacing w:before="0" w:after="120"/>
      </w:pPr>
      <w:r>
        <w:rPr>
          <w:b/>
        </w:rPr>
        <w:t xml:space="preserve">Source: </w:t>
      </w:r>
      <w:r>
        <w:t>Nature Chemistry</w:t>
      </w:r>
      <w:r>
        <w:t xml:space="preserve">    </w:t>
      </w:r>
      <w:r>
        <w:rPr>
          <w:b/>
        </w:rPr>
        <w:t xml:space="preserve">Pub date: </w:t>
      </w:r>
      <w:r>
        <w:t>2026-07-02 00:00:00+00:00</w:t>
      </w:r>
      <w:r>
        <w:t xml:space="preserve">    </w:t>
      </w:r>
      <w:r>
        <w:rPr>
          <w:b/>
        </w:rPr>
        <w:t xml:space="preserve">DOI: </w:t>
      </w:r>
      <w:hyperlink r:id="rId1088">
        <w:r>
          <w:rPr>
            <w:color w:val="1155CC"/>
            <w:u w:val="single"/>
          </w:rPr>
          <w:t>10.1038/s41557-026-02187-6</w:t>
        </w:r>
      </w:hyperlink>
    </w:p>
    <w:p>
      <w:pPr>
        <w:spacing w:before="0" w:after="120"/>
      </w:pPr>
      <w:r>
        <w:rPr>
          <w:b/>
        </w:rPr>
        <w:t xml:space="preserve">Notes: </w:t>
      </w:r>
      <w:r>
        <w:t>abstract_source=nature_html</w:t>
      </w:r>
    </w:p>
    <w:p>
      <w:pPr>
        <w:spacing w:before="0" w:after="80" w:lineRule="auto" w:line="276"/>
      </w:pPr>
      <w:r>
        <w:rPr>
          <w:b/>
        </w:rPr>
        <w:t xml:space="preserve">摘要（ZH）: </w:t>
      </w:r>
      <w:r>
        <w:t>米歇尔·弗兰克尔 (Michelle Francl) 将当时被忽视的早期化学女性重新带入了人们的视野。</w:t>
      </w:r>
    </w:p>
    <w:p>
      <w:pPr>
        <w:spacing w:before="0" w:after="200" w:lineRule="auto" w:line="276"/>
      </w:pPr>
      <w:r>
        <w:rPr>
          <w:b/>
        </w:rPr>
        <w:t xml:space="preserve">Abstract (EN): </w:t>
      </w:r>
      <w:r>
        <w:t>Michelle Francl puts the early women of chemistry, who were ignored at the time, back into the picture.</w:t>
      </w:r>
    </w:p>
    <w:p>
      <w:pPr>
        <w:spacing w:before="120" w:after="120"/>
      </w:pPr>
      <w:r>
        <w:rPr>
          <w:sz w:val="18"/>
        </w:rPr>
        <w:t>——————————————————————————————————————————————————————————————————————</w:t>
      </w:r>
    </w:p>
    <w:p>
      <w:pPr>
        <w:spacing w:before="160" w:after="40" w:line="240" w:lineRule="auto"/>
      </w:pPr>
      <w:r>
        <w:rPr>
          <w:b/>
        </w:rPr>
        <w:t xml:space="preserve">[516] </w:t>
      </w:r>
      <w:hyperlink r:id="rId1089">
        <w:r>
          <w:rPr>
            <w:color w:val="1155CC"/>
            <w:u w:val="single"/>
          </w:rPr>
          <w:t>为分子马达设定方向</w:t>
        </w:r>
      </w:hyperlink>
    </w:p>
    <w:p>
      <w:pPr>
        <w:spacing w:before="0" w:after="80"/>
      </w:pPr>
      <w:r>
        <w:rPr>
          <w:i/>
          <w:sz w:val="20"/>
        </w:rPr>
        <w:t>EN: Setting a direction for molecular motors</w:t>
      </w:r>
    </w:p>
    <w:p>
      <w:pPr>
        <w:spacing w:before="0" w:after="120"/>
      </w:pPr>
      <w:r>
        <w:rPr>
          <w:b/>
        </w:rPr>
        <w:t xml:space="preserve">Source: </w:t>
      </w:r>
      <w:r>
        <w:t>Nature Chemistry</w:t>
      </w:r>
      <w:r>
        <w:t xml:space="preserve">    </w:t>
      </w:r>
      <w:r>
        <w:rPr>
          <w:b/>
        </w:rPr>
        <w:t xml:space="preserve">Pub date: </w:t>
      </w:r>
      <w:r>
        <w:t>2026-07-02 00:00:00+00:00</w:t>
      </w:r>
      <w:r>
        <w:t xml:space="preserve">    </w:t>
      </w:r>
      <w:r>
        <w:rPr>
          <w:b/>
        </w:rPr>
        <w:t xml:space="preserve">DOI: </w:t>
      </w:r>
      <w:hyperlink r:id="rId1090">
        <w:r>
          <w:rPr>
            <w:color w:val="1155CC"/>
            <w:u w:val="single"/>
          </w:rPr>
          <w:t>10.1038/s41557-026-02205-7</w:t>
        </w:r>
      </w:hyperlink>
    </w:p>
    <w:p>
      <w:pPr>
        <w:spacing w:before="0" w:after="120"/>
      </w:pPr>
      <w:r>
        <w:rPr>
          <w:b/>
        </w:rPr>
        <w:t xml:space="preserve">Notes: </w:t>
      </w:r>
      <w:r>
        <w:t>abstract_source=nature_html</w:t>
      </w:r>
    </w:p>
    <w:p>
      <w:pPr>
        <w:spacing w:before="0" w:after="80" w:lineRule="auto" w:line="276"/>
      </w:pPr>
      <w:r>
        <w:rPr>
          <w:b/>
        </w:rPr>
        <w:t xml:space="preserve">摘要（ZH）: </w:t>
      </w:r>
      <w:r>
        <w:t>能够绕中心轴进行 360° 旋转的分子有可能驱动纳米级机器的运动和功能。本期收录了多篇文章，展示旋转分子电机领域的进展并讨论未来的挑战。</w:t>
      </w:r>
    </w:p>
    <w:p>
      <w:pPr>
        <w:spacing w:before="0" w:after="200" w:lineRule="auto" w:line="276"/>
      </w:pPr>
      <w:r>
        <w:rPr>
          <w:b/>
        </w:rPr>
        <w:t xml:space="preserve">Abstract (EN): </w:t>
      </w:r>
      <w:r>
        <w:t>Molecules capable of undergoing a 360° rotation around a central axis have the potential to drive movement and function in nanoscale machines. This issue collects several articles showcasing advances, and discussing future challenges, in the field of rotary molecular motors.</w:t>
      </w:r>
    </w:p>
    <w:p>
      <w:pPr>
        <w:spacing w:before="120" w:after="120"/>
      </w:pPr>
      <w:r>
        <w:rPr>
          <w:sz w:val="18"/>
        </w:rPr>
        <w:t>——————————————————————————————————————————————————————————————————————</w:t>
      </w:r>
    </w:p>
    <w:p>
      <w:pPr>
        <w:spacing w:before="160" w:after="40" w:line="240" w:lineRule="auto"/>
      </w:pPr>
      <w:r>
        <w:rPr>
          <w:b/>
        </w:rPr>
        <w:t xml:space="preserve">[517] </w:t>
      </w:r>
      <w:hyperlink r:id="rId1091">
        <w:r>
          <w:rPr>
            <w:color w:val="1155CC"/>
            <w:u w:val="single"/>
          </w:rPr>
          <w:t>ER、线粒体和叶绿体中 Cdc48 依赖性蛋白水解的比较分析</w:t>
        </w:r>
      </w:hyperlink>
    </w:p>
    <w:p>
      <w:pPr>
        <w:spacing w:before="0" w:after="80"/>
      </w:pPr>
      <w:r>
        <w:rPr>
          <w:i/>
          <w:sz w:val="20"/>
        </w:rPr>
        <w:t>EN: Comparative analysis of Cdc48-dependent proteolysis at the ER, mitochondria and chloroplasts</w:t>
      </w:r>
    </w:p>
    <w:p>
      <w:pPr>
        <w:spacing w:before="0" w:after="120"/>
      </w:pPr>
      <w:r>
        <w:rPr>
          <w:b/>
        </w:rPr>
        <w:t xml:space="preserve">Source: </w:t>
      </w:r>
      <w:r>
        <w:t>Biological sciences : Nature Communications subject feeds</w:t>
      </w:r>
      <w:r>
        <w:t xml:space="preserve">    </w:t>
      </w:r>
      <w:r>
        <w:rPr>
          <w:b/>
        </w:rPr>
        <w:t xml:space="preserve">Pub date: </w:t>
      </w:r>
      <w:r>
        <w:t>2026-07-02 00:00:00+00:00</w:t>
      </w:r>
    </w:p>
    <w:p>
      <w:pPr>
        <w:spacing w:before="0" w:after="120"/>
      </w:pPr>
      <w:r>
        <w:rPr>
          <w:b/>
        </w:rPr>
        <w:t xml:space="preserve">Notes: </w:t>
      </w:r>
      <w:r>
        <w:t>abstract_source=nature_html</w:t>
      </w:r>
    </w:p>
    <w:p>
      <w:pPr>
        <w:spacing w:before="0" w:after="80" w:lineRule="auto" w:line="276"/>
      </w:pPr>
      <w:r>
        <w:rPr>
          <w:b/>
        </w:rPr>
        <w:t xml:space="preserve">摘要（ZH）: </w:t>
      </w:r>
      <w:r>
        <w:t>泛素蛋白酶体系统（UPS）是真核生物中最杰出的蛋白水解系统。虽然可溶性核细胞溶质蛋白很容易被 UPS 访问，但细胞器定位蛋白却面临着与膜相关的主要可访问性挑战。细胞通过使用保守的 AAA+ ATP 酶 Cdc48 将细胞器蛋白提取到细胞质中，从而实现蛋白酶体降解，从而克服了这个问题。主要的 Cdc48 依赖性蛋白水解系统存在于内质网、线粒体和叶绿体中，并且独特地适应于在各自的细胞器内提供蛋白质稳态。我们对这些系统进行了重点比较，分析了它们之间的异同。更好地理解基本原理对人类健康和农业具有重要影响。</w:t>
      </w:r>
    </w:p>
    <w:p>
      <w:pPr>
        <w:spacing w:before="0" w:after="200" w:lineRule="auto" w:line="276"/>
      </w:pPr>
      <w:r>
        <w:rPr>
          <w:b/>
        </w:rPr>
        <w:t xml:space="preserve">Abstract (EN): </w:t>
      </w:r>
      <w:r>
        <w:t>The ubiquitin-proteasome system (UPS) is the preeminent proteolytic system in eukaryotes. While soluble nucleocytosolic proteins are readily accessed by the UPS, organelle-localised proteins present major, membrane-related accessibility challenges. Cells overcome this problem by employing the conserved AAA+ ATPase Cdc48 to extract organellar proteins to the cytosol, thereby enabling proteasomal degradation. Major Cdc48-dependent proteolytic systems exist at the endoplasmic reticulum, mitochondria and chloroplasts, and are uniquely adapted to deliver protein homeostasis within the respective organelles. We provide a focused comparison of these systems, analysing similarities and differences between them. Better understanding of underlying principles has important implications spanning human health and agriculture.</w:t>
      </w:r>
    </w:p>
    <w:p>
      <w:pPr>
        <w:spacing w:before="120" w:after="120"/>
      </w:pPr>
      <w:r>
        <w:rPr>
          <w:sz w:val="18"/>
        </w:rPr>
        <w:t>——————————————————————————————————————————————————————————————————————</w:t>
      </w:r>
    </w:p>
    <w:p>
      <w:pPr>
        <w:spacing w:before="160" w:after="40" w:line="240" w:lineRule="auto"/>
      </w:pPr>
      <w:r>
        <w:rPr>
          <w:b/>
        </w:rPr>
        <w:t xml:space="preserve">[518] </w:t>
      </w:r>
      <w:hyperlink r:id="rId1092">
        <w:r>
          <w:rPr>
            <w:color w:val="1155CC"/>
            <w:u w:val="single"/>
          </w:rPr>
          <w:t>东北亚地下逐渐撕裂形成的连续非热板片间隙</w:t>
        </w:r>
      </w:hyperlink>
    </w:p>
    <w:p>
      <w:pPr>
        <w:spacing w:before="0" w:after="80"/>
      </w:pPr>
      <w:r>
        <w:rPr>
          <w:i/>
          <w:sz w:val="20"/>
        </w:rPr>
        <w:t>EN: Continuous nonthermal slab gap formed by progressive tearing beneath Northeast Asia</w:t>
      </w:r>
    </w:p>
    <w:p>
      <w:pPr>
        <w:spacing w:before="0" w:after="120"/>
      </w:pPr>
      <w:r>
        <w:rPr>
          <w:b/>
        </w:rPr>
        <w:t xml:space="preserve">Source: </w:t>
      </w:r>
      <w:r>
        <w:t>Earth and environmental sciences : Nature Communications subject feeds</w:t>
      </w:r>
      <w:r>
        <w:t xml:space="preserve">    </w:t>
      </w:r>
      <w:r>
        <w:rPr>
          <w:b/>
        </w:rPr>
        <w:t xml:space="preserve">Pub date: </w:t>
      </w:r>
      <w:r>
        <w:t>2026-07-02 00:00:00+00:00</w:t>
      </w:r>
    </w:p>
    <w:p>
      <w:pPr>
        <w:spacing w:before="0" w:after="120"/>
      </w:pPr>
      <w:r>
        <w:rPr>
          <w:b/>
        </w:rPr>
        <w:t xml:space="preserve">Notes: </w:t>
      </w:r>
      <w:r>
        <w:t>abstract_source=nature_html</w:t>
      </w:r>
    </w:p>
    <w:p>
      <w:pPr>
        <w:spacing w:before="0" w:after="80" w:lineRule="auto" w:line="276"/>
      </w:pPr>
      <w:r>
        <w:rPr>
          <w:b/>
        </w:rPr>
        <w:t xml:space="preserve">摘要（ZH）: </w:t>
      </w:r>
      <w:r>
        <w:t>人们广泛假设俯冲板块中的板片间隙是热地幔上升流的通道，但它们的形成和热状态仍然是个谜。在这里，我们在东北亚下方的地幔过渡带中拍摄了一个约 1000 公里长的连续弧形板片间隙，没有异常热量的证据。通过集成密集阵列远震层析成像、3D 波形建模以及地震速度与过渡区厚度的联合反演，我们限制了间隙的精细几何形状和热结构。尖锐的横向边界与静止板片内的机械开口一致，间隙温度与环境上地幔值相当，比羽状温度低 200°C 以上。间隙的平面形状与迁移三联结的路径对齐，表明在板边界重组过程中通过渐进的板撕裂形成间隙。这些观察结果表明，板块间隙可以在没有热上升流的情况下持续存在，这与该区域上方弥漫的板内火山作用一致。</w:t>
      </w:r>
    </w:p>
    <w:p>
      <w:pPr>
        <w:spacing w:before="0" w:after="200" w:lineRule="auto" w:line="276"/>
      </w:pPr>
      <w:r>
        <w:rPr>
          <w:b/>
        </w:rPr>
        <w:t xml:space="preserve">Abstract (EN): </w:t>
      </w:r>
      <w:r>
        <w:t>Slab gaps in subducted plates are widely hypothesized to channel hot mantle upwellings, yet their formation and thermal state remain enigmatic. Here we image a continuous ~1000 km-long arcuate slab gap in the mantle transition zone beneath Northeast Asia with no evidence of anomalous heat. By integrating dense-array teleseismic tomography, 3-D waveform modeling, and a joint inversion of seismic velocities with transition-zone thickness, we constrain the fine-scale geometry and thermal structure of the gap. Sharp lateral boundaries are consistent with a mechanical opening within the stagnant slab, and gap temperatures are comparable to ambient upper‑mantle values and &gt;200 °C lower than plume‑like temperatures. The planform of the gap aligns with the path of a migrating triple junction, suggesting formation through progressive slab tearing during plate-boundary reorganization. These observations demonstrate that a slab gap can persist without hot upwelling, consistent with the diffuse intraplate volcanism above the region.</w:t>
      </w:r>
    </w:p>
    <w:p>
      <w:pPr>
        <w:spacing w:before="120" w:after="120"/>
      </w:pPr>
      <w:r>
        <w:rPr>
          <w:sz w:val="18"/>
        </w:rPr>
        <w:t>——————————————————————————————————————————————————————————————————————</w:t>
      </w:r>
    </w:p>
    <w:p>
      <w:pPr>
        <w:spacing w:before="160" w:after="40" w:line="240" w:lineRule="auto"/>
      </w:pPr>
      <w:r>
        <w:rPr>
          <w:b/>
        </w:rPr>
        <w:t xml:space="preserve">[519] </w:t>
      </w:r>
      <w:hyperlink r:id="rId1093">
        <w:r>
          <w:rPr>
            <w:color w:val="1155CC"/>
            <w:u w:val="single"/>
          </w:rPr>
          <w:t>你真的可以朝九晚五攻读博士学位吗？ 《自然》读者的权衡</w:t>
        </w:r>
      </w:hyperlink>
    </w:p>
    <w:p>
      <w:pPr>
        <w:spacing w:before="0" w:after="80"/>
      </w:pPr>
      <w:r>
        <w:rPr>
          <w:i/>
          <w:sz w:val="20"/>
        </w:rPr>
        <w:t>EN: Can you actually do a nine-to-five PhD? Nature readers weigh in</w:t>
      </w:r>
    </w:p>
    <w:p>
      <w:pPr>
        <w:spacing w:before="0" w:after="120"/>
      </w:pPr>
      <w:r>
        <w:rPr>
          <w:b/>
        </w:rPr>
        <w:t xml:space="preserve">Source: </w:t>
      </w:r>
      <w:r>
        <w:t>Nature</w:t>
      </w:r>
      <w:r>
        <w:t xml:space="preserve">    </w:t>
      </w:r>
      <w:r>
        <w:rPr>
          <w:b/>
        </w:rPr>
        <w:t xml:space="preserve">Pub date: </w:t>
      </w:r>
      <w:r>
        <w:t>2026-07-02 00:00:00+00:00</w:t>
      </w:r>
      <w:r>
        <w:t xml:space="preserve">    </w:t>
      </w:r>
      <w:r>
        <w:rPr>
          <w:b/>
        </w:rPr>
        <w:t xml:space="preserve">DOI: </w:t>
      </w:r>
      <w:hyperlink r:id="rId1094">
        <w:r>
          <w:rPr>
            <w:color w:val="1155CC"/>
            <w:u w:val="single"/>
          </w:rPr>
          <w:t>10.1038/d41586-026-01773-5</w:t>
        </w:r>
      </w:hyperlink>
    </w:p>
    <w:p>
      <w:pPr>
        <w:spacing w:before="0" w:after="120"/>
      </w:pPr>
      <w:r>
        <w:rPr>
          <w:b/>
        </w:rPr>
        <w:t xml:space="preserve">Notes: </w:t>
      </w:r>
      <w:r>
        <w:t>abstract_source=nature_html</w:t>
      </w:r>
    </w:p>
    <w:p>
      <w:pPr>
        <w:spacing w:before="0" w:after="80" w:lineRule="auto" w:line="276"/>
      </w:pPr>
      <w:r>
        <w:rPr>
          <w:b/>
        </w:rPr>
        <w:t xml:space="preserve">摘要（ZH）: </w:t>
      </w:r>
      <w:r>
        <w:t>《自然》杂志的读者分享了他们的博士时间管理困境。 《自然》杂志的读者分享了他们的博士时间管理困境。</w:t>
      </w:r>
    </w:p>
    <w:p>
      <w:pPr>
        <w:spacing w:before="0" w:after="200" w:lineRule="auto" w:line="276"/>
      </w:pPr>
      <w:r>
        <w:rPr>
          <w:b/>
        </w:rPr>
        <w:t xml:space="preserve">Abstract (EN): </w:t>
      </w:r>
      <w:r>
        <w:t>Nature readers share their PhD time-management woes. Nature readers share their PhD time-management woes.</w:t>
      </w:r>
    </w:p>
    <w:p>
      <w:pPr>
        <w:spacing w:before="120" w:after="120"/>
      </w:pPr>
      <w:r>
        <w:rPr>
          <w:sz w:val="18"/>
        </w:rPr>
        <w:t>——————————————————————————————————————————————————————————————————————</w:t>
      </w:r>
    </w:p>
    <w:p>
      <w:pPr>
        <w:spacing w:before="160" w:after="40" w:line="240" w:lineRule="auto"/>
      </w:pPr>
      <w:r>
        <w:rPr>
          <w:b/>
        </w:rPr>
        <w:t xml:space="preserve">[520] </w:t>
      </w:r>
      <w:hyperlink r:id="rId1095">
        <w:r>
          <w:rPr>
            <w:color w:val="1155CC"/>
            <w:u w:val="single"/>
          </w:rPr>
          <w:t>通过黄素催化光氧化骨架重组生成喜树碱支架</w:t>
        </w:r>
      </w:hyperlink>
    </w:p>
    <w:p>
      <w:pPr>
        <w:spacing w:before="0" w:after="80"/>
      </w:pPr>
      <w:r>
        <w:rPr>
          <w:i/>
          <w:sz w:val="20"/>
        </w:rPr>
        <w:t>EN: Generation of the Camptothecin Scaffold by a Flavin‐Catalyzed Photooxidative Skeletal Reorganization</w:t>
      </w:r>
    </w:p>
    <w:p>
      <w:pPr>
        <w:spacing w:before="0" w:after="120"/>
      </w:pPr>
      <w:r>
        <w:rPr>
          <w:b/>
        </w:rPr>
        <w:t xml:space="preserve">Source: </w:t>
      </w:r>
      <w:r>
        <w:t>Wiley: Angewandte Chemie International Edition: Table of Contents</w:t>
      </w:r>
      <w:r>
        <w:t xml:space="preserve">    </w:t>
      </w:r>
      <w:r>
        <w:rPr>
          <w:b/>
        </w:rPr>
        <w:t xml:space="preserve">Pub date: </w:t>
      </w:r>
      <w:r>
        <w:t>2026-07-02 03:07:26+00:00</w:t>
      </w:r>
      <w:r>
        <w:t xml:space="preserve">    </w:t>
      </w:r>
      <w:r>
        <w:rPr>
          <w:b/>
        </w:rPr>
        <w:t xml:space="preserve">DOI: </w:t>
      </w:r>
      <w:hyperlink r:id="rId1096">
        <w:r>
          <w:rPr>
            <w:color w:val="1155CC"/>
            <w:u w:val="single"/>
          </w:rPr>
          <w:t>10.1002/anie.4569029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植物生物碱喜树碱是半合成多种抗癌药物的高价值前体。其生物合成途径中的关键转变是从 6/5/6 四氢-β-咔啉环系统到 6/6/5 吡咯喹啉支架的神秘骨架重组，这是喜树碱相关生物碱的特征。在这里，我们证明这种支架转变可以在光氧化过程中被黄素辅因子（例如黄素单核苷酸）有效催化。作为这一复杂转化的一部分，我们验证了先前假设的大环酮内酰胺中间体的存在。基于温和的条件——氧气、光和黄素——我们证明这种转化也可以发生在</w:t>
      </w:r>
      <w:r>
        <w:t xml:space="preserve"> </w:t>
      </w:r>
      <w:r>
        <w:t>本塞姆氏烟草</w:t>
      </w:r>
      <w:r>
        <w:t xml:space="preserve"> </w:t>
      </w:r>
      <w:r>
        <w:t>，一种通常不产生喜树碱或相关生物碱的植物。我们优化的仿生光化学反应条件可以实现短暂、温和、高效的生物碱半合成（3</w:t>
      </w:r>
      <w:r>
        <w:t xml:space="preserve"> </w:t>
      </w:r>
      <w:r>
        <w:t>S</w:t>
      </w:r>
      <w:r>
        <w:t xml:space="preserve"> </w:t>
      </w:r>
      <w:r>
        <w:t>)-普米洛苷, (3</w:t>
      </w:r>
      <w:r>
        <w:t xml:space="preserve"> </w:t>
      </w:r>
      <w:r>
        <w:t>右</w:t>
      </w:r>
      <w:r>
        <w:t xml:space="preserve"> </w:t>
      </w:r>
      <w:r>
        <w:t>)-普米洛苷和长春糖酰胺酮内酰胺，也称为松节苷，没有任何保护基团。因此，我们的工作提高了我们对自然界中形成喜树碱支架的这一关键骨架重组步骤的理解，并提供了对喜树碱相关生物碱的简化光催化途径。</w:t>
      </w:r>
    </w:p>
    <w:p>
      <w:pPr>
        <w:spacing w:before="0" w:after="200" w:lineRule="auto" w:line="276"/>
      </w:pPr>
      <w:r>
        <w:rPr>
          <w:b/>
        </w:rPr>
        <w:t xml:space="preserve">Abstract (EN): </w:t>
      </w:r>
      <w:r>
        <w:t>The plant alkaloid camptothecin is a high‐value precursor for the semi‐synthesis of multiple anticancer drugs. The key transformation during its biosynthetic pathway is a yet enigmatic skeletal reorganization from a 6/5/6 tetrahydro‐β‐carboline ring system to the 6/6/5 pyrroloquinoline scaffold, which is characteristic of camptothecin‐related alkaloids. Here, we show that this scaffold transition can be efficiently catalyzed by flavin cofactors such as flavin mononucleotide in a photooxidative process. As part of this complex transformation, we verified the existence of a previously postulated macrocyclic ketolactam intermediate. Based on the mild conditions—oxygen, light, and flavins—we show that this conversion can also take place in leaves of</w:t>
      </w:r>
      <w:r>
        <w:t xml:space="preserve"> </w:t>
      </w:r>
      <w:r>
        <w:t>Nicotiana benthamiana</w:t>
      </w:r>
      <w:r>
        <w:t xml:space="preserve"> </w:t>
      </w:r>
      <w:r>
        <w:t>, a plant which does not normally produce camptothecin or related alkaloids. Our optimized biomimetic photochemical reaction conditions enable a short, mild, and efficient semi‐synthesis of the alkaloids (3</w:t>
      </w:r>
      <w:r>
        <w:t xml:space="preserve"> </w:t>
      </w:r>
      <w:r>
        <w:t>S</w:t>
      </w:r>
      <w:r>
        <w:t xml:space="preserve"> </w:t>
      </w:r>
      <w:r>
        <w:t>)‐pumiloside, (3</w:t>
      </w:r>
      <w:r>
        <w:t xml:space="preserve"> </w:t>
      </w:r>
      <w:r>
        <w:t>R</w:t>
      </w:r>
      <w:r>
        <w:t xml:space="preserve"> </w:t>
      </w:r>
      <w:r>
        <w:t>)‐pumiloside, and vincosamide ketolactam, also known as turpiniside, without any protecting groups. Thus, our work improves our understanding of this key skeletal reorganization step forming the camptothecin scaffold in nature and provides streamlined photocatalytic access to camptothecin‐related alkaloids.</w:t>
      </w:r>
    </w:p>
    <w:p>
      <w:pPr>
        <w:spacing w:before="120" w:after="120"/>
      </w:pPr>
      <w:r>
        <w:rPr>
          <w:sz w:val="18"/>
        </w:rPr>
        <w:t>——————————————————————————————————————————————————————————————————————</w:t>
      </w:r>
    </w:p>
    <w:p>
      <w:pPr>
        <w:spacing w:before="160" w:after="40" w:line="240" w:lineRule="auto"/>
      </w:pPr>
      <w:r>
        <w:rPr>
          <w:b/>
        </w:rPr>
        <w:t xml:space="preserve">[521] </w:t>
      </w:r>
      <w:hyperlink r:id="rId1097">
        <w:r>
          <w:rPr>
            <w:color w:val="1155CC"/>
            <w:u w:val="single"/>
          </w:rPr>
          <w:t>疏水促进剂增强的 H2 和 O2 烯烃环氧化串联催化</w:t>
        </w:r>
      </w:hyperlink>
    </w:p>
    <w:p>
      <w:pPr>
        <w:spacing w:before="0" w:after="80"/>
      </w:pPr>
      <w:r>
        <w:rPr>
          <w:i/>
          <w:sz w:val="20"/>
        </w:rPr>
        <w:t>EN: Hydrophobic Promoter‐Enhanced Tandem Catalysis for Alkene Epoxidation With H2 and O2</w:t>
      </w:r>
    </w:p>
    <w:p>
      <w:pPr>
        <w:spacing w:before="0" w:after="120"/>
      </w:pPr>
      <w:r>
        <w:rPr>
          <w:b/>
        </w:rPr>
        <w:t xml:space="preserve">Source: </w:t>
      </w:r>
      <w:r>
        <w:t>Wiley: Angewandte Chemie International Edition: Table of Contents</w:t>
      </w:r>
      <w:r>
        <w:t xml:space="preserve">    </w:t>
      </w:r>
      <w:r>
        <w:rPr>
          <w:b/>
        </w:rPr>
        <w:t xml:space="preserve">Pub date: </w:t>
      </w:r>
      <w:r>
        <w:t>2026-07-02 03:08:16+00:00</w:t>
      </w:r>
      <w:r>
        <w:t xml:space="preserve">    </w:t>
      </w:r>
      <w:r>
        <w:rPr>
          <w:b/>
        </w:rPr>
        <w:t xml:space="preserve">DOI: </w:t>
      </w:r>
      <w:hyperlink r:id="rId1098">
        <w:r>
          <w:rPr>
            <w:color w:val="1155CC"/>
            <w:u w:val="single"/>
          </w:rPr>
          <w:t>10.1002/anie.2551607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串联催化的效率从根本上受到瞬态中间体的传输的限制。烯烃与 H 的直接环氧化反应</w:t>
      </w:r>
      <w:r>
        <w:rPr>
          <w:vertAlign w:val="subscript"/>
        </w:rPr>
        <w:t>2</w:t>
      </w:r>
      <w:r>
        <w:t>和O</w:t>
      </w:r>
      <w:r>
        <w:rPr>
          <w:vertAlign w:val="subscript"/>
        </w:rPr>
        <w:t>2</w:t>
      </w:r>
      <w:r>
        <w:t>, 原位生成 H</w:t>
      </w:r>
      <w:r>
        <w:rPr>
          <w:vertAlign w:val="subscript"/>
        </w:rPr>
        <w:t>2</w:t>
      </w:r>
      <w:r>
        <w:t>氧</w:t>
      </w:r>
      <w:r>
        <w:rPr>
          <w:vertAlign w:val="subscript"/>
        </w:rPr>
        <w:t>2</w:t>
      </w:r>
      <w:r>
        <w:t>在扩散过程中迅速分解，使得大多数钛活性位点在动力学上难以接近，并造成了长期存在的性能上限。在这里，我们通过疏水聚合物与双功能 Au/TS-1 催化剂的物理集成来设计疏水传输通道，从而克服了这一限制。这种微环境加速了 H</w:t>
      </w:r>
      <w:r>
        <w:rPr>
          <w:vertAlign w:val="subscript"/>
        </w:rPr>
        <w:t>2</w:t>
      </w:r>
      <w:r>
        <w:t>氧</w:t>
      </w:r>
      <w:r>
        <w:rPr>
          <w:vertAlign w:val="subscript"/>
        </w:rPr>
        <w:t>2</w:t>
      </w:r>
      <w:r>
        <w:t>从富含羟基的表面向远处的钛位点迁移，同时抑制非生产性分解。分子动力学模拟研究表明H的扩散</w:t>
      </w:r>
      <w:r>
        <w:rPr>
          <w:vertAlign w:val="subscript"/>
        </w:rPr>
        <w:t>2</w:t>
      </w:r>
      <w:r>
        <w:t>氧</w:t>
      </w:r>
      <w:r>
        <w:rPr>
          <w:vertAlign w:val="subscript"/>
        </w:rPr>
        <w:t>2</w:t>
      </w:r>
      <w:r>
        <w:t>疏水表面上的 H 显着高于亲水表面，实验结果表明串联 H 增加了 25%</w:t>
      </w:r>
      <w:r>
        <w:rPr>
          <w:vertAlign w:val="subscript"/>
        </w:rPr>
        <w:t>2</w:t>
      </w:r>
      <w:r>
        <w:t>氧</w:t>
      </w:r>
      <w:r>
        <w:rPr>
          <w:vertAlign w:val="subscript"/>
        </w:rPr>
        <w:t>2</w:t>
      </w:r>
      <w:r>
        <w:t>效率。此外，疏水通道促进环氧化物产物的快速解吸，抑制开环反应和碳质积累，从而在 200 小时内实现稳定的~90% 环氧化物选择性。该策略在 Au-Ti 双功能 c 中表现出广泛的通用性</w:t>
      </w:r>
    </w:p>
    <w:p>
      <w:pPr>
        <w:spacing w:before="0" w:after="200" w:lineRule="auto" w:line="276"/>
      </w:pPr>
      <w:r>
        <w:rPr>
          <w:b/>
        </w:rPr>
        <w:t xml:space="preserve">Abstract (EN): </w:t>
      </w:r>
      <w:r>
        <w:t>The efficiency of tandem catalysis is fundamentally limited by the transport of transient intermediates. In the direct epoxidation of alkenes with H</w:t>
      </w:r>
      <w:r>
        <w:rPr>
          <w:vertAlign w:val="subscript"/>
        </w:rPr>
        <w:t>2</w:t>
      </w:r>
      <w:r>
        <w:t>and O</w:t>
      </w:r>
      <w:r>
        <w:rPr>
          <w:vertAlign w:val="subscript"/>
        </w:rPr>
        <w:t>2</w:t>
      </w:r>
      <w:r>
        <w:t>, in situ generated H</w:t>
      </w:r>
      <w:r>
        <w:rPr>
          <w:vertAlign w:val="subscript"/>
        </w:rPr>
        <w:t>2</w:t>
      </w:r>
      <w:r>
        <w:t>O</w:t>
      </w:r>
      <w:r>
        <w:rPr>
          <w:vertAlign w:val="subscript"/>
        </w:rPr>
        <w:t>2</w:t>
      </w:r>
      <w:r>
        <w:t>rapidly decomposes during diffusion, rendering most Ti active sites kinetically inaccessible and imposing a long‐standing performance ceiling. Here, we overcome this limitation by engineering hydrophobic transport channels via physical integration of a hydrophobic polymer with bifunctional Au/TS‐1 catalysts. This microenvironment accelerates H</w:t>
      </w:r>
      <w:r>
        <w:rPr>
          <w:vertAlign w:val="subscript"/>
        </w:rPr>
        <w:t>2</w:t>
      </w:r>
      <w:r>
        <w:t>O</w:t>
      </w:r>
      <w:r>
        <w:rPr>
          <w:vertAlign w:val="subscript"/>
        </w:rPr>
        <w:t>2</w:t>
      </w:r>
      <w:r>
        <w:t>migration away from hydroxyl‐rich surfaces toward remote Ti sites while suppressing nonproductive decomposition. Molecular dynamics simulation studies show that the diffusion of H</w:t>
      </w:r>
      <w:r>
        <w:rPr>
          <w:vertAlign w:val="subscript"/>
        </w:rPr>
        <w:t>2</w:t>
      </w:r>
      <w:r>
        <w:t>O</w:t>
      </w:r>
      <w:r>
        <w:rPr>
          <w:vertAlign w:val="subscript"/>
        </w:rPr>
        <w:t>2</w:t>
      </w:r>
      <w:r>
        <w:t>on hydrophobic surfaces is significantly higher than on hydrophilic surfaces, as reflected experimentally by a 25% increase in tandem H</w:t>
      </w:r>
      <w:r>
        <w:rPr>
          <w:vertAlign w:val="subscript"/>
        </w:rPr>
        <w:t>2</w:t>
      </w:r>
      <w:r>
        <w:t>O</w:t>
      </w:r>
      <w:r>
        <w:rPr>
          <w:vertAlign w:val="subscript"/>
        </w:rPr>
        <w:t>2</w:t>
      </w:r>
      <w:r>
        <w:t>efficiency. Moreover, the hydrophobic channels promote rapid desorption of epoxide products, suppressing ring‐opening reactions and carbonaceous accumulation, resulting in a stable ∼90% epoxide selectivity over 200 h. This strategy exhibits broad generality across Au–Ti bifunctional catalysts for alkene epoxidation using in situ generated H</w:t>
      </w:r>
      <w:r>
        <w:rPr>
          <w:vertAlign w:val="subscript"/>
        </w:rPr>
        <w:t>2</w:t>
      </w:r>
      <w:r>
        <w:t>O</w:t>
      </w:r>
      <w:r>
        <w:rPr>
          <w:vertAlign w:val="subscript"/>
        </w:rPr>
        <w:t>2</w:t>
      </w:r>
      <w:r>
        <w:t>, with an outstanding H</w:t>
      </w:r>
      <w:r>
        <w:rPr>
          <w:vertAlign w:val="subscript"/>
        </w:rPr>
        <w:t>2</w:t>
      </w:r>
      <w:r>
        <w:t>utilization efficiency of 73.5% achieved over the Au/TS‐1‐B catalyst under the identical standard reaction conditions employed throughout this work. This work establishes diffusion control of metastable surface species as a principle for breaking intrinsic transport–decomposition trade‐offs in tandem catalysis.</w:t>
      </w:r>
    </w:p>
    <w:p>
      <w:pPr>
        <w:spacing w:before="120" w:after="120"/>
      </w:pPr>
      <w:r>
        <w:rPr>
          <w:sz w:val="18"/>
        </w:rPr>
        <w:t>——————————————————————————————————————————————————————————————————————</w:t>
      </w:r>
    </w:p>
    <w:p>
      <w:pPr>
        <w:spacing w:before="160" w:after="40" w:line="240" w:lineRule="auto"/>
      </w:pPr>
      <w:r>
        <w:rPr>
          <w:b/>
        </w:rPr>
        <w:t xml:space="preserve">[522] </w:t>
      </w:r>
      <w:hyperlink r:id="rId1099">
        <w:r>
          <w:rPr>
            <w:color w:val="1155CC"/>
            <w:u w:val="single"/>
          </w:rPr>
          <w:t>通过剪切和磁场诱导组装设计用于细胞放置的分层磁性水凝胶</w:t>
        </w:r>
      </w:hyperlink>
    </w:p>
    <w:p>
      <w:pPr>
        <w:spacing w:before="0" w:after="80"/>
      </w:pPr>
      <w:r>
        <w:rPr>
          <w:i/>
          <w:sz w:val="20"/>
        </w:rPr>
        <w:t>EN: Engineering Layered Magnetic Hydrogels for Cell Placement via Shear and Magnetic Field‐Induced Assembly</w:t>
      </w:r>
    </w:p>
    <w:p>
      <w:pPr>
        <w:spacing w:before="0" w:after="120"/>
      </w:pPr>
      <w:r>
        <w:rPr>
          <w:b/>
        </w:rPr>
        <w:t xml:space="preserve">Source: </w:t>
      </w:r>
      <w:r>
        <w:t>Wiley: Advanced Materials: Table of Contents</w:t>
      </w:r>
      <w:r>
        <w:t xml:space="preserve">    </w:t>
      </w:r>
      <w:r>
        <w:rPr>
          <w:b/>
        </w:rPr>
        <w:t xml:space="preserve">Pub date: </w:t>
      </w:r>
      <w:r>
        <w:t>2026-07-02 05:54:28+00:00</w:t>
      </w:r>
      <w:r>
        <w:t xml:space="preserve">    </w:t>
      </w:r>
      <w:r>
        <w:rPr>
          <w:b/>
        </w:rPr>
        <w:t xml:space="preserve">DOI: </w:t>
      </w:r>
      <w:hyperlink r:id="rId1100">
        <w:r>
          <w:rPr>
            <w:color w:val="1155CC"/>
            <w:u w:val="single"/>
          </w:rPr>
          <w:t>10.1002/adma.73847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能够进行可逆、程序化和复杂运动的基于水凝胶的人造组织的设计需要刺激响应性和结构各向异性。在这项工作中，通过两种不同的途径将磁性颗粒悬浮液构造成层状结构，从而在生物相容性水凝胶中产生非单向各向异性：对静态样品施加非稳态磁场，以及将稳定磁场与剪切流叠加。在这两种方法中，磁性颗粒在聚合物基质内进行定向自组装，随后凝胶化，从而保留形成的结构。我们分析了组装动力学，表征了所得的层状图案，并为每种方法构建了相图。片层的形态和周期性被证明强烈依赖于几何限制，使得片层间距可在数十至数百微米范围内可调。至关重要的是，结果表明，所得的分层水凝胶可以将人类成纤维细胞限制在相邻的富含颗粒的片层之间，在培养 7 天的过程中将细胞活力维持在 95% 以上，并促进平行于分层结构的优先细胞排列。这些发现确立了磁场定向层状结构作为具有可编程内部结构的各向异性水凝胶的通用途径，为组织工程、生物驱动和软机器人技术开辟了新的机遇。</w:t>
      </w:r>
    </w:p>
    <w:p>
      <w:pPr>
        <w:spacing w:before="0" w:after="200" w:lineRule="auto" w:line="276"/>
      </w:pPr>
      <w:r>
        <w:rPr>
          <w:b/>
        </w:rPr>
        <w:t xml:space="preserve">Abstract (EN): </w:t>
      </w:r>
      <w:r>
        <w:t>The design of hydrogel‐based artificial tissues capable of reversible, programmed, and complex motions requires both stimuli‐responsiveness and structural anisotropy. In this work, non‐unidirectional anisotropies are generated in biocompatible hydrogels by structuring magnetic particle suspensions into lamellar architectures through two distinct routes: the application of an unsteady magnetic field to a quiescent sample, and the superposition of a steady magnetic field with shear flow. In both approaches, magnetic particles undergo directed self‐assembly within a polymer matrix that subsequently gels, thereby preserving the formed structures. We analyze the assembly kinetics, characterize the resulting lamellar patterns, and construct phase diagrams for each method. The morphology and periodicity of the lamellae are shown to depend strongly on geometric confinement, enabling tunable interlamellar spacing from tens to hundreds of microns. Crucially, it is demonstrated that the resulting layered hydrogels can confine human fibroblasts between adjacent particle‐rich lamellae, maintain cell viability above 95% over 7 days of culture, and promote preferential cell alignment parallel to the layered structures. These findings establish magnetic field‐directed lamellar structuring as a versatile route to anisotropic hydrogels with programmable internal architecture, opening new opportunities in tissue engineering, bioactuation, and soft robotics.</w:t>
      </w:r>
    </w:p>
    <w:p>
      <w:pPr>
        <w:spacing w:before="120" w:after="120"/>
      </w:pPr>
      <w:r>
        <w:rPr>
          <w:sz w:val="18"/>
        </w:rPr>
        <w:t>——————————————————————————————————————————————————————————————————————</w:t>
      </w:r>
    </w:p>
    <w:p>
      <w:pPr>
        <w:spacing w:before="160" w:after="40" w:line="240" w:lineRule="auto"/>
      </w:pPr>
      <w:r>
        <w:rPr>
          <w:b/>
        </w:rPr>
        <w:t xml:space="preserve">[523] </w:t>
      </w:r>
      <w:hyperlink r:id="rId1101">
        <w:r>
          <w:rPr>
            <w:color w:val="1155CC"/>
            <w:u w:val="single"/>
          </w:rPr>
          <w:t>撤回</w:t>
        </w:r>
      </w:hyperlink>
    </w:p>
    <w:p>
      <w:pPr>
        <w:spacing w:before="0" w:after="80"/>
      </w:pPr>
      <w:r>
        <w:rPr>
          <w:i/>
          <w:sz w:val="20"/>
        </w:rPr>
        <w:t>EN: Retraction</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02">
        <w:r>
          <w:rPr>
            <w:color w:val="1155CC"/>
            <w:u w:val="single"/>
          </w:rPr>
          <w:t>10.1126/science.aej3933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[524] </w:t>
      </w:r>
      <w:hyperlink r:id="rId1103">
        <w:r>
          <w:rPr>
            <w:color w:val="1155CC"/>
            <w:u w:val="single"/>
          </w:rPr>
          <w:t>约翰霍普金斯大学和美国研究企业</w:t>
        </w:r>
      </w:hyperlink>
    </w:p>
    <w:p>
      <w:pPr>
        <w:spacing w:before="0" w:after="80"/>
      </w:pPr>
      <w:r>
        <w:rPr>
          <w:i/>
          <w:sz w:val="20"/>
        </w:rPr>
        <w:t>EN: Johns Hopkins University and the American research enterprise</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04">
        <w:r>
          <w:rPr>
            <w:color w:val="1155CC"/>
            <w:u w:val="single"/>
          </w:rPr>
          <w:t>10.1126/science.aej0512</w:t>
        </w:r>
      </w:hyperlink>
    </w:p>
    <w:p>
      <w:pPr>
        <w:spacing w:before="0" w:after="120"/>
      </w:pPr>
      <w:r>
        <w:rPr>
          <w:b/>
        </w:rPr>
        <w:t xml:space="preserve">Notes: </w:t>
      </w:r>
      <w:r>
        <w:t>abstract_source=crossref</w:t>
      </w:r>
    </w:p>
    <w:p>
      <w:pPr>
        <w:spacing w:before="0" w:after="80" w:lineRule="auto" w:line="276"/>
      </w:pPr>
      <w:r>
        <w:rPr>
          <w:b/>
        </w:rPr>
        <w:t xml:space="preserve">摘要（ZH）: </w:t>
      </w:r>
      <w:r>
        <w:t>美国的研究型大学在美国故事中留下了不可磨灭的足迹</w:t>
      </w:r>
    </w:p>
    <w:p>
      <w:pPr>
        <w:spacing w:before="0" w:after="200" w:lineRule="auto" w:line="276"/>
      </w:pPr>
      <w:r>
        <w:rPr>
          <w:b/>
        </w:rPr>
        <w:t xml:space="preserve">Abstract (EN): </w:t>
      </w:r>
      <w:r>
        <w:t>The nation’s research universities have traced an indelible path through the American story</w:t>
      </w:r>
    </w:p>
    <w:p>
      <w:pPr>
        <w:spacing w:before="120" w:after="120"/>
      </w:pPr>
      <w:r>
        <w:rPr>
          <w:sz w:val="18"/>
        </w:rPr>
        <w:t>——————————————————————————————————————————————————————————————————————</w:t>
      </w:r>
    </w:p>
    <w:p>
      <w:pPr>
        <w:spacing w:before="160" w:after="40" w:line="240" w:lineRule="auto"/>
      </w:pPr>
      <w:r>
        <w:rPr>
          <w:b/>
        </w:rPr>
        <w:t xml:space="preserve">[525] </w:t>
      </w:r>
      <w:hyperlink r:id="rId1105">
        <w:r>
          <w:rPr>
            <w:color w:val="1155CC"/>
            <w:u w:val="single"/>
          </w:rPr>
          <w:t>缺失的节俭</w:t>
        </w:r>
      </w:hyperlink>
    </w:p>
    <w:p>
      <w:pPr>
        <w:spacing w:before="0" w:after="80"/>
      </w:pPr>
      <w:r>
        <w:rPr>
          <w:i/>
          <w:sz w:val="20"/>
        </w:rPr>
        <w:t>EN: The missing thriftiness</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06">
        <w:r>
          <w:rPr>
            <w:color w:val="1155CC"/>
            <w:u w:val="single"/>
          </w:rPr>
          <w:t>10.1126/science.aej2367</w:t>
        </w:r>
      </w:hyperlink>
    </w:p>
    <w:p>
      <w:pPr>
        <w:spacing w:before="0" w:after="120"/>
      </w:pPr>
      <w:r>
        <w:rPr>
          <w:b/>
        </w:rPr>
        <w:t xml:space="preserve">Notes: </w:t>
      </w:r>
      <w:r>
        <w:t>abstract_source=crossref</w:t>
      </w:r>
    </w:p>
    <w:p>
      <w:pPr>
        <w:spacing w:before="0" w:after="80" w:lineRule="auto" w:line="276"/>
      </w:pPr>
      <w:r>
        <w:rPr>
          <w:b/>
        </w:rPr>
        <w:t xml:space="preserve">摘要（ZH）: </w:t>
      </w:r>
      <w:r>
        <w:t>宿主-微生物协同进化及其对人类健康的影响</w:t>
      </w:r>
    </w:p>
    <w:p>
      <w:pPr>
        <w:spacing w:before="0" w:after="200" w:lineRule="auto" w:line="276"/>
      </w:pPr>
      <w:r>
        <w:rPr>
          <w:b/>
        </w:rPr>
        <w:t xml:space="preserve">Abstract (EN): </w:t>
      </w:r>
      <w:r>
        <w:t>Host-microbial coevolution and its influence on human health</w:t>
      </w:r>
    </w:p>
    <w:p>
      <w:pPr>
        <w:spacing w:before="120" w:after="120"/>
      </w:pPr>
      <w:r>
        <w:rPr>
          <w:sz w:val="18"/>
        </w:rPr>
        <w:t>——————————————————————————————————————————————————————————————————————</w:t>
      </w:r>
    </w:p>
    <w:p>
      <w:pPr>
        <w:spacing w:before="160" w:after="40" w:line="240" w:lineRule="auto"/>
      </w:pPr>
      <w:r>
        <w:rPr>
          <w:b/>
        </w:rPr>
        <w:t xml:space="preserve">[526] </w:t>
      </w:r>
      <w:hyperlink r:id="rId1107">
        <w:r>
          <w:rPr>
            <w:color w:val="1155CC"/>
            <w:u w:val="single"/>
          </w:rPr>
          <w:t>肠道微生物组的生态学</w:t>
        </w:r>
      </w:hyperlink>
    </w:p>
    <w:p>
      <w:pPr>
        <w:spacing w:before="0" w:after="80"/>
      </w:pPr>
      <w:r>
        <w:rPr>
          <w:i/>
          <w:sz w:val="20"/>
        </w:rPr>
        <w:t>EN: Ecology of the gut microbiome</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08">
        <w:r>
          <w:rPr>
            <w:color w:val="1155CC"/>
            <w:u w:val="single"/>
          </w:rPr>
          <w:t>10.1126/science.aej2365</w:t>
        </w:r>
      </w:hyperlink>
    </w:p>
    <w:p>
      <w:pPr>
        <w:spacing w:before="0" w:after="120"/>
      </w:pPr>
      <w:r>
        <w:rPr>
          <w:b/>
        </w:rPr>
        <w:t xml:space="preserve">Notes: </w:t>
      </w:r>
      <w:r>
        <w:t>abstract_source=crossref</w:t>
      </w:r>
    </w:p>
    <w:p>
      <w:pPr>
        <w:spacing w:before="0" w:after="80" w:lineRule="auto" w:line="276"/>
      </w:pPr>
      <w:r>
        <w:rPr>
          <w:b/>
        </w:rPr>
        <w:t xml:space="preserve">摘要（ZH）: </w:t>
      </w:r>
      <w:r>
        <w:t>可以利用微生物竞争来预防和治疗致命疾病</w:t>
      </w:r>
    </w:p>
    <w:p>
      <w:pPr>
        <w:spacing w:before="0" w:after="200" w:lineRule="auto" w:line="276"/>
      </w:pPr>
      <w:r>
        <w:rPr>
          <w:b/>
        </w:rPr>
        <w:t xml:space="preserve">Abstract (EN): </w:t>
      </w:r>
      <w:r>
        <w:t>Microbial competition can be harnessed to prevent and cure deadly diseases</w:t>
      </w:r>
    </w:p>
    <w:p>
      <w:pPr>
        <w:spacing w:before="120" w:after="120"/>
      </w:pPr>
      <w:r>
        <w:rPr>
          <w:sz w:val="18"/>
        </w:rPr>
        <w:t>——————————————————————————————————————————————————————————————————————</w:t>
      </w:r>
    </w:p>
    <w:p>
      <w:pPr>
        <w:spacing w:before="160" w:after="40" w:line="240" w:lineRule="auto"/>
      </w:pPr>
      <w:r>
        <w:rPr>
          <w:b/>
        </w:rPr>
        <w:t xml:space="preserve">[527] </w:t>
      </w:r>
      <w:hyperlink r:id="rId1109">
        <w:r>
          <w:rPr>
            <w:color w:val="1155CC"/>
            <w:u w:val="single"/>
          </w:rPr>
          <w:t>看不见的手</w:t>
        </w:r>
      </w:hyperlink>
    </w:p>
    <w:p>
      <w:pPr>
        <w:spacing w:before="0" w:after="80"/>
      </w:pPr>
      <w:r>
        <w:rPr>
          <w:i/>
          <w:sz w:val="20"/>
        </w:rPr>
        <w:t>EN: The invisible hand</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10">
        <w:r>
          <w:rPr>
            <w:color w:val="1155CC"/>
            <w:u w:val="single"/>
          </w:rPr>
          <w:t>10.1126/science.aej2364</w:t>
        </w:r>
      </w:hyperlink>
    </w:p>
    <w:p>
      <w:pPr>
        <w:spacing w:before="0" w:after="120"/>
      </w:pPr>
      <w:r>
        <w:rPr>
          <w:b/>
        </w:rPr>
        <w:t xml:space="preserve">Notes: </w:t>
      </w:r>
      <w:r>
        <w:t>abstract_source=crossref</w:t>
      </w:r>
    </w:p>
    <w:p>
      <w:pPr>
        <w:spacing w:before="0" w:after="80" w:lineRule="auto" w:line="276"/>
      </w:pPr>
      <w:r>
        <w:rPr>
          <w:b/>
        </w:rPr>
        <w:t xml:space="preserve">摘要（ZH）: </w:t>
      </w:r>
      <w:r>
        <w:t>微生物群在蚊媒疾病中发挥着隐藏作用</w:t>
      </w:r>
    </w:p>
    <w:p>
      <w:pPr>
        <w:spacing w:before="0" w:after="200" w:lineRule="auto" w:line="276"/>
      </w:pPr>
      <w:r>
        <w:rPr>
          <w:b/>
        </w:rPr>
        <w:t xml:space="preserve">Abstract (EN): </w:t>
      </w:r>
      <w:r>
        <w:t>Microbiota have a hidden role in mosquito-borne disease</w:t>
      </w:r>
    </w:p>
    <w:p>
      <w:pPr>
        <w:spacing w:before="120" w:after="120"/>
      </w:pPr>
      <w:r>
        <w:rPr>
          <w:sz w:val="18"/>
        </w:rPr>
        <w:t>——————————————————————————————————————————————————————————————————————</w:t>
      </w:r>
    </w:p>
    <w:p>
      <w:pPr>
        <w:spacing w:before="160" w:after="40" w:line="240" w:lineRule="auto"/>
      </w:pPr>
      <w:r>
        <w:rPr>
          <w:b/>
        </w:rPr>
        <w:t xml:space="preserve">[528] </w:t>
      </w:r>
      <w:hyperlink r:id="rId1111">
        <w:r>
          <w:rPr>
            <w:color w:val="1155CC"/>
            <w:u w:val="single"/>
          </w:rPr>
          <w:t>二战和美国联邦研究经费的演变</w:t>
        </w:r>
      </w:hyperlink>
    </w:p>
    <w:p>
      <w:pPr>
        <w:spacing w:before="0" w:after="80"/>
      </w:pPr>
      <w:r>
        <w:rPr>
          <w:i/>
          <w:sz w:val="20"/>
        </w:rPr>
        <w:t>EN: WWII and the evolution of US federal research funding</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12">
        <w:r>
          <w:rPr>
            <w:color w:val="1155CC"/>
            <w:u w:val="single"/>
          </w:rPr>
          <w:t>10.1126/science.aej2321</w:t>
        </w:r>
      </w:hyperlink>
    </w:p>
    <w:p>
      <w:pPr>
        <w:spacing w:before="0" w:after="120"/>
      </w:pPr>
      <w:r>
        <w:rPr>
          <w:b/>
        </w:rPr>
        <w:t xml:space="preserve">Notes: </w:t>
      </w:r>
      <w:r>
        <w:t>abstract_source=crossref</w:t>
      </w:r>
    </w:p>
    <w:p>
      <w:pPr>
        <w:spacing w:before="0" w:after="80" w:lineRule="auto" w:line="276"/>
      </w:pPr>
      <w:r>
        <w:rPr>
          <w:b/>
        </w:rPr>
        <w:t xml:space="preserve">摘要（ZH）: </w:t>
      </w:r>
      <w:r>
        <w:t>许多基本的创新政策是在第二次世界大战期间制定的，并以某种形式持续至今</w:t>
      </w:r>
    </w:p>
    <w:p>
      <w:pPr>
        <w:spacing w:before="0" w:after="200" w:lineRule="auto" w:line="276"/>
      </w:pPr>
      <w:r>
        <w:rPr>
          <w:b/>
        </w:rPr>
        <w:t xml:space="preserve">Abstract (EN): </w:t>
      </w:r>
      <w:r>
        <w:t>Many fundamental innovation policies were developed during World War II that persist in some form to this day</w:t>
      </w:r>
    </w:p>
    <w:p>
      <w:pPr>
        <w:spacing w:before="120" w:after="120"/>
      </w:pPr>
      <w:r>
        <w:rPr>
          <w:sz w:val="18"/>
        </w:rPr>
        <w:t>——————————————————————————————————————————————————————————————————————</w:t>
      </w:r>
    </w:p>
    <w:p>
      <w:pPr>
        <w:spacing w:before="160" w:after="40" w:line="240" w:lineRule="auto"/>
      </w:pPr>
      <w:r>
        <w:rPr>
          <w:b/>
        </w:rPr>
        <w:t xml:space="preserve">[529] </w:t>
      </w:r>
      <w:hyperlink r:id="rId1113">
        <w:r>
          <w:rPr>
            <w:color w:val="1155CC"/>
            <w:u w:val="single"/>
          </w:rPr>
          <w:t>鲁宾望远镜开始拍摄一部为期十年的宇宙电影</w:t>
        </w:r>
      </w:hyperlink>
    </w:p>
    <w:p>
      <w:pPr>
        <w:spacing w:before="0" w:after="80"/>
      </w:pPr>
      <w:r>
        <w:rPr>
          <w:i/>
          <w:sz w:val="20"/>
        </w:rPr>
        <w:t>EN: Rubin telescope begins a 10-year movie of the cosmos</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14">
        <w:r>
          <w:rPr>
            <w:color w:val="1155CC"/>
            <w:u w:val="single"/>
          </w:rPr>
          <w:t>10.1126/science.aek1833</w:t>
        </w:r>
      </w:hyperlink>
    </w:p>
    <w:p>
      <w:pPr>
        <w:spacing w:before="0" w:after="120"/>
      </w:pPr>
      <w:r>
        <w:rPr>
          <w:b/>
        </w:rPr>
        <w:t xml:space="preserve">Notes: </w:t>
      </w:r>
      <w:r>
        <w:t>abstract_source=crossref</w:t>
      </w:r>
    </w:p>
    <w:p>
      <w:pPr>
        <w:spacing w:before="0" w:after="80" w:lineRule="auto" w:line="276"/>
      </w:pPr>
      <w:r>
        <w:rPr>
          <w:b/>
        </w:rPr>
        <w:t xml:space="preserve">摘要（ZH）: </w:t>
      </w:r>
      <w:r>
        <w:t>巨型相机将反复扫描天空，发现瞬变现象，同时构建数十亿个星系的深度地图</w:t>
      </w:r>
    </w:p>
    <w:p>
      <w:pPr>
        <w:spacing w:before="0" w:after="200" w:lineRule="auto" w:line="276"/>
      </w:pPr>
      <w:r>
        <w:rPr>
          <w:b/>
        </w:rPr>
        <w:t xml:space="preserve">Abstract (EN): </w:t>
      </w:r>
      <w:r>
        <w:t>Giant camera will repeatedly scan the sky, spotting transients while building deep map of billions of galaxies</w:t>
      </w:r>
    </w:p>
    <w:p>
      <w:pPr>
        <w:spacing w:before="120" w:after="120"/>
      </w:pPr>
      <w:r>
        <w:rPr>
          <w:sz w:val="18"/>
        </w:rPr>
        <w:t>——————————————————————————————————————————————————————————————————————</w:t>
      </w:r>
    </w:p>
    <w:p>
      <w:pPr>
        <w:spacing w:before="160" w:after="40" w:line="240" w:lineRule="auto"/>
      </w:pPr>
      <w:r>
        <w:rPr>
          <w:b/>
        </w:rPr>
        <w:t xml:space="preserve">[530] </w:t>
      </w:r>
      <w:hyperlink r:id="rId1115">
        <w:r>
          <w:rPr>
            <w:color w:val="1155CC"/>
            <w:u w:val="single"/>
          </w:rPr>
          <w:t>在齐柏林山上，传感器嗅探俄罗斯空气</w:t>
        </w:r>
      </w:hyperlink>
    </w:p>
    <w:p>
      <w:pPr>
        <w:spacing w:before="0" w:after="80"/>
      </w:pPr>
      <w:r>
        <w:rPr>
          <w:i/>
          <w:sz w:val="20"/>
        </w:rPr>
        <w:t>EN: On Zeppelin Mountain, sensors sniff Russian air</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16">
        <w:r>
          <w:rPr>
            <w:color w:val="1155CC"/>
            <w:u w:val="single"/>
          </w:rPr>
          <w:t>10.1126/science.aek1835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[531] </w:t>
      </w:r>
      <w:hyperlink r:id="rId1117">
        <w:r>
          <w:rPr>
            <w:color w:val="1155CC"/>
            <w:u w:val="single"/>
          </w:rPr>
          <w:t>果蝇通过主动塑造环境来积极重启生物钟</w:t>
        </w:r>
      </w:hyperlink>
    </w:p>
    <w:p>
      <w:pPr>
        <w:spacing w:before="0" w:after="80"/>
      </w:pPr>
      <w:r>
        <w:rPr>
          <w:i/>
          <w:sz w:val="20"/>
        </w:rPr>
        <w:t>EN: Fruit flies actively restart their circadian clock by proactively shaping their environment</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18">
        <w:r>
          <w:rPr>
            <w:color w:val="1155CC"/>
            <w:u w:val="single"/>
          </w:rPr>
          <w:t>10.1126/science.adw2239</w:t>
        </w:r>
      </w:hyperlink>
    </w:p>
    <w:p>
      <w:pPr>
        <w:spacing w:before="0" w:after="120"/>
      </w:pPr>
      <w:r>
        <w:rPr>
          <w:b/>
        </w:rPr>
        <w:t xml:space="preserve">Notes: </w:t>
      </w:r>
      <w:r>
        <w:t>abstract_source=crossref</w:t>
      </w:r>
    </w:p>
    <w:p>
      <w:pPr>
        <w:spacing w:before="0" w:after="80" w:lineRule="auto" w:line="276"/>
      </w:pPr>
      <w:r>
        <w:rPr>
          <w:b/>
        </w:rPr>
        <w:t xml:space="preserve">摘要（ZH）: </w:t>
      </w:r>
      <w:r>
        <w:t>昼夜节律时钟提供了适应性优势，使生物体能够根据地球上的日常环境变化调整其生理和行为。在这里，我们表明果蝇更喜欢有时间组织的生活。由于光诱导核心生物钟蛋白 Timeless 降解，持续照明会停止生物钟并导致心律失常的运动活动。当果蝇选择在恒定的光照环境中在黑暗和照明区域之间移动时，它们能够保持甚至恢复有节奏的行为模式。这些自我造成的节律伴随着已知驱动行为节律的时钟神经元中的分子节律。与心律不齐的果蝇相比，行为节律性与睡眠质量的改善相关，这表明选择在生物钟控制下生活有直接的好处。</w:t>
      </w:r>
    </w:p>
    <w:p>
      <w:pPr>
        <w:spacing w:before="0" w:after="200" w:lineRule="auto" w:line="276"/>
      </w:pPr>
      <w:r>
        <w:rPr>
          <w:b/>
        </w:rPr>
        <w:t xml:space="preserve">Abstract (EN): </w:t>
      </w:r>
      <w:r>
        <w:t>Circadian clocks provide adaptive advantages, enabling organisms to adjust their physiology and behavior to daily environmental changes on Earth. Here, we show that fruit flies prefer a temporally organized life. Because of light-induced degradation of the core circadian clock protein Timeless, constant illumination stops the circadian clock and leads to arrhythmic locomotor activity. When given the choice to move between dark and illuminated areas in a constant light environment, flies were able to maintain, or even regain, rhythmic behavioral patterns. These self-inflicted rhythms were accompanied by molecular rhythms in clock neurons known to drive behavioral rhythms. Behavioral rhythmicity was correlated with improved sleep quality compared with that of arrhythmic flies, demonstrating an immediate benefit of choosing to live under circadian clock control.</w:t>
      </w:r>
    </w:p>
    <w:p>
      <w:pPr>
        <w:spacing w:before="120" w:after="120"/>
      </w:pPr>
      <w:r>
        <w:rPr>
          <w:sz w:val="18"/>
        </w:rPr>
        <w:t>——————————————————————————————————————————————————————————————————————</w:t>
      </w:r>
    </w:p>
    <w:p>
      <w:pPr>
        <w:spacing w:before="160" w:after="40" w:line="240" w:lineRule="auto"/>
      </w:pPr>
      <w:r>
        <w:rPr>
          <w:b/>
        </w:rPr>
        <w:t xml:space="preserve">[532] </w:t>
      </w:r>
      <w:hyperlink r:id="rId1119">
        <w:r>
          <w:rPr>
            <w:color w:val="1155CC"/>
            <w:u w:val="single"/>
          </w:rPr>
          <w:t>从爱迪生的发明工厂到创新的新架构</w:t>
        </w:r>
      </w:hyperlink>
    </w:p>
    <w:p>
      <w:pPr>
        <w:spacing w:before="0" w:after="80"/>
      </w:pPr>
      <w:r>
        <w:rPr>
          <w:i/>
          <w:sz w:val="20"/>
        </w:rPr>
        <w:t>EN: From Edison’s Invention Factory to the new architecture of innovation</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20">
        <w:r>
          <w:rPr>
            <w:color w:val="1155CC"/>
            <w:u w:val="single"/>
          </w:rPr>
          <w:t>10.1126/science.aei5415</w:t>
        </w:r>
      </w:hyperlink>
    </w:p>
    <w:p>
      <w:pPr>
        <w:spacing w:before="0" w:after="120"/>
      </w:pPr>
      <w:r>
        <w:rPr>
          <w:b/>
        </w:rPr>
        <w:t xml:space="preserve">Notes: </w:t>
      </w:r>
      <w:r>
        <w:t>abstract_source=crossref</w:t>
      </w:r>
    </w:p>
    <w:p>
      <w:pPr>
        <w:spacing w:before="0" w:after="80" w:lineRule="auto" w:line="276"/>
      </w:pPr>
      <w:r>
        <w:rPr>
          <w:b/>
        </w:rPr>
        <w:t xml:space="preserve">摘要（ZH）: </w:t>
      </w:r>
      <w:r>
        <w:t>转变反映了科学相关机构的成熟</w:t>
      </w:r>
    </w:p>
    <w:p>
      <w:pPr>
        <w:spacing w:before="0" w:after="200" w:lineRule="auto" w:line="276"/>
      </w:pPr>
      <w:r>
        <w:rPr>
          <w:b/>
        </w:rPr>
        <w:t xml:space="preserve">Abstract (EN): </w:t>
      </w:r>
      <w:r>
        <w:t>Shifts reflect the maturation of institutions surrounding science</w:t>
      </w:r>
    </w:p>
    <w:p>
      <w:pPr>
        <w:spacing w:before="120" w:after="120"/>
      </w:pPr>
      <w:r>
        <w:rPr>
          <w:sz w:val="18"/>
        </w:rPr>
        <w:t>——————————————————————————————————————————————————————————————————————</w:t>
      </w:r>
    </w:p>
    <w:p>
      <w:pPr>
        <w:spacing w:before="160" w:after="40" w:line="240" w:lineRule="auto"/>
      </w:pPr>
      <w:r>
        <w:rPr>
          <w:b/>
        </w:rPr>
        <w:t xml:space="preserve">[533] </w:t>
      </w:r>
      <w:hyperlink r:id="rId1121">
        <w:r>
          <w:rPr>
            <w:color w:val="1155CC"/>
            <w:u w:val="single"/>
          </w:rPr>
          <w:t>美国国立卫生研究院（NIH）基因组数据集的安全规则正在减慢研究速度</w:t>
        </w:r>
      </w:hyperlink>
    </w:p>
    <w:p>
      <w:pPr>
        <w:spacing w:before="0" w:after="80"/>
      </w:pPr>
      <w:r>
        <w:rPr>
          <w:i/>
          <w:sz w:val="20"/>
        </w:rPr>
        <w:t>EN: NIH security rules for genomic data sets are slowing research</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22">
        <w:r>
          <w:rPr>
            <w:color w:val="1155CC"/>
            <w:u w:val="single"/>
          </w:rPr>
          <w:t>10.1126/science.aek1828</w:t>
        </w:r>
      </w:hyperlink>
    </w:p>
    <w:p>
      <w:pPr>
        <w:spacing w:before="0" w:after="120"/>
      </w:pPr>
      <w:r>
        <w:rPr>
          <w:b/>
        </w:rPr>
        <w:t xml:space="preserve">Notes: </w:t>
      </w:r>
      <w:r>
        <w:t>abstract_source=crossref</w:t>
      </w:r>
    </w:p>
    <w:p>
      <w:pPr>
        <w:spacing w:before="0" w:after="80" w:lineRule="auto" w:line="276"/>
      </w:pPr>
      <w:r>
        <w:rPr>
          <w:b/>
        </w:rPr>
        <w:t xml:space="preserve">摘要（ZH）: </w:t>
      </w:r>
      <w:r>
        <w:t>数据安全专家表示需要加强监管，但研究人员正在努力遵守</w:t>
      </w:r>
    </w:p>
    <w:p>
      <w:pPr>
        <w:spacing w:before="0" w:after="200" w:lineRule="auto" w:line="276"/>
      </w:pPr>
      <w:r>
        <w:rPr>
          <w:b/>
        </w:rPr>
        <w:t xml:space="preserve">Abstract (EN): </w:t>
      </w:r>
      <w:r>
        <w:t>Data security experts say increased oversight is needed, but researchers are struggling to comply</w:t>
      </w:r>
    </w:p>
    <w:p>
      <w:pPr>
        <w:spacing w:before="120" w:after="120"/>
      </w:pPr>
      <w:r>
        <w:rPr>
          <w:sz w:val="18"/>
        </w:rPr>
        <w:t>——————————————————————————————————————————————————————————————————————</w:t>
      </w:r>
    </w:p>
    <w:p>
      <w:pPr>
        <w:spacing w:before="160" w:after="40" w:line="240" w:lineRule="auto"/>
      </w:pPr>
      <w:r>
        <w:rPr>
          <w:b/>
        </w:rPr>
        <w:t xml:space="preserve">[534] </w:t>
      </w:r>
      <w:hyperlink r:id="rId1123">
        <w:r>
          <w:rPr>
            <w:color w:val="1155CC"/>
            <w:u w:val="single"/>
          </w:rPr>
          <w:t>实验室创造出新型合成细胞</w:t>
        </w:r>
      </w:hyperlink>
    </w:p>
    <w:p>
      <w:pPr>
        <w:spacing w:before="0" w:after="80"/>
      </w:pPr>
      <w:r>
        <w:rPr>
          <w:i/>
          <w:sz w:val="20"/>
        </w:rPr>
        <w:t>EN: Lab creates new kind of synthetic cell</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24">
        <w:r>
          <w:rPr>
            <w:color w:val="1155CC"/>
            <w:u w:val="single"/>
          </w:rPr>
          <w:t>10.1126/science.aek1826</w:t>
        </w:r>
      </w:hyperlink>
    </w:p>
    <w:p>
      <w:pPr>
        <w:spacing w:before="0" w:after="120"/>
      </w:pPr>
      <w:r>
        <w:rPr>
          <w:b/>
        </w:rPr>
        <w:t xml:space="preserve">Notes: </w:t>
      </w:r>
      <w:r>
        <w:t>abstract_source=crossref</w:t>
      </w:r>
    </w:p>
    <w:p>
      <w:pPr>
        <w:spacing w:before="0" w:after="80" w:lineRule="auto" w:line="276"/>
      </w:pPr>
      <w:r>
        <w:rPr>
          <w:b/>
        </w:rPr>
        <w:t xml:space="preserve">摘要（ZH）: </w:t>
      </w:r>
      <w:r>
        <w:t>“SpudCells”可以生长和分裂，但仍然有很大的局限性</w:t>
      </w:r>
    </w:p>
    <w:p>
      <w:pPr>
        <w:spacing w:before="0" w:after="200" w:lineRule="auto" w:line="276"/>
      </w:pPr>
      <w:r>
        <w:rPr>
          <w:b/>
        </w:rPr>
        <w:t xml:space="preserve">Abstract (EN): </w:t>
      </w:r>
      <w:r>
        <w:t>“SpudCells” can grow and divide but still have major limitations</w:t>
      </w:r>
    </w:p>
    <w:p>
      <w:pPr>
        <w:spacing w:before="120" w:after="120"/>
      </w:pPr>
      <w:r>
        <w:rPr>
          <w:sz w:val="18"/>
        </w:rPr>
        <w:t>——————————————————————————————————————————————————————————————————————</w:t>
      </w:r>
    </w:p>
    <w:p>
      <w:pPr>
        <w:spacing w:before="160" w:after="40" w:line="240" w:lineRule="auto"/>
      </w:pPr>
      <w:r>
        <w:rPr>
          <w:b/>
        </w:rPr>
        <w:t xml:space="preserve">[535] </w:t>
      </w:r>
      <w:hyperlink r:id="rId1125">
        <w:r>
          <w:rPr>
            <w:color w:val="1155CC"/>
            <w:u w:val="single"/>
          </w:rPr>
          <w:t>为什么一位受人尊敬的物理学家的论文被撤回？</w:t>
        </w:r>
      </w:hyperlink>
    </w:p>
    <w:p>
      <w:pPr>
        <w:spacing w:before="0" w:after="80"/>
      </w:pPr>
      <w:r>
        <w:rPr>
          <w:i/>
          <w:sz w:val="20"/>
        </w:rPr>
        <w:t>EN: Why have a revered physicist’s papers been retracted?</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26">
        <w:r>
          <w:rPr>
            <w:color w:val="1155CC"/>
            <w:u w:val="single"/>
          </w:rPr>
          <w:t>10.1126/science.aek1827</w:t>
        </w:r>
      </w:hyperlink>
    </w:p>
    <w:p>
      <w:pPr>
        <w:spacing w:before="0" w:after="120"/>
      </w:pPr>
      <w:r>
        <w:rPr>
          <w:b/>
        </w:rPr>
        <w:t xml:space="preserve">Notes: </w:t>
      </w:r>
      <w:r>
        <w:t>abstract_source=crossref</w:t>
      </w:r>
    </w:p>
    <w:p>
      <w:pPr>
        <w:spacing w:before="0" w:after="80" w:lineRule="auto" w:line="276"/>
      </w:pPr>
      <w:r>
        <w:rPr>
          <w:b/>
        </w:rPr>
        <w:t xml:space="preserve">摘要（ZH）: </w:t>
      </w:r>
      <w:r>
        <w:t>施普林格·自然 (Springer Nature) 删除了量子力学先驱马克斯·普朗克 (Max Planck) 的两项研究。机器人可能是罪魁祸首</w:t>
      </w:r>
    </w:p>
    <w:p>
      <w:pPr>
        <w:spacing w:before="0" w:after="200" w:lineRule="auto" w:line="276"/>
      </w:pPr>
      <w:r>
        <w:rPr>
          <w:b/>
        </w:rPr>
        <w:t xml:space="preserve">Abstract (EN): </w:t>
      </w:r>
      <w:r>
        <w:t>Springer Nature has removed two studies by quantum mechanics pioneer Max Planck. A bot may be to blame</w:t>
      </w:r>
    </w:p>
    <w:p>
      <w:pPr>
        <w:spacing w:before="120" w:after="120"/>
      </w:pPr>
      <w:r>
        <w:rPr>
          <w:sz w:val="18"/>
        </w:rPr>
        <w:t>——————————————————————————————————————————————————————————————————————</w:t>
      </w:r>
    </w:p>
    <w:p>
      <w:pPr>
        <w:spacing w:before="160" w:after="40" w:line="240" w:lineRule="auto"/>
      </w:pPr>
      <w:r>
        <w:rPr>
          <w:b/>
        </w:rPr>
        <w:t xml:space="preserve">[536] </w:t>
      </w:r>
      <w:hyperlink r:id="rId1127">
        <w:r>
          <w:rPr>
            <w:color w:val="1155CC"/>
            <w:u w:val="single"/>
          </w:rPr>
          <w:t>NIH 再次面临年终拨款争夺战</w:t>
        </w:r>
      </w:hyperlink>
    </w:p>
    <w:p>
      <w:pPr>
        <w:spacing w:before="0" w:after="80"/>
      </w:pPr>
      <w:r>
        <w:rPr>
          <w:i/>
          <w:sz w:val="20"/>
        </w:rPr>
        <w:t>EN: NIH again faces year-end grantmaking scramble</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28">
        <w:r>
          <w:rPr>
            <w:color w:val="1155CC"/>
            <w:u w:val="single"/>
          </w:rPr>
          <w:t>10.1126/science.aek1829</w:t>
        </w:r>
      </w:hyperlink>
    </w:p>
    <w:p>
      <w:pPr>
        <w:spacing w:before="0" w:after="120"/>
      </w:pPr>
      <w:r>
        <w:rPr>
          <w:b/>
        </w:rPr>
        <w:t xml:space="preserve">Notes: </w:t>
      </w:r>
      <w:r>
        <w:t>abstract_source=crossref</w:t>
      </w:r>
    </w:p>
    <w:p>
      <w:pPr>
        <w:spacing w:before="0" w:after="80" w:lineRule="auto" w:line="276"/>
      </w:pPr>
      <w:r>
        <w:rPr>
          <w:b/>
        </w:rPr>
        <w:t xml:space="preserve">摘要（ZH）: </w:t>
      </w:r>
      <w:r>
        <w:t>尽管出现延误和人员短缺，该机构应该能够充分支出 2026 年预算，但新拨款可能仍低于历史水平</w:t>
      </w:r>
    </w:p>
    <w:p>
      <w:pPr>
        <w:spacing w:before="0" w:after="200" w:lineRule="auto" w:line="276"/>
      </w:pPr>
      <w:r>
        <w:rPr>
          <w:b/>
        </w:rPr>
        <w:t xml:space="preserve">Abstract (EN): </w:t>
      </w:r>
      <w:r>
        <w:t>Despite delays and staff shortages, agency should be able to fully spend 2026 budget, but new grants will likely remain below historic levels</w:t>
      </w:r>
    </w:p>
    <w:p>
      <w:pPr>
        <w:spacing w:before="120" w:after="120"/>
      </w:pPr>
      <w:r>
        <w:rPr>
          <w:sz w:val="18"/>
        </w:rPr>
        <w:t>——————————————————————————————————————————————————————————————————————</w:t>
      </w:r>
    </w:p>
    <w:p>
      <w:pPr>
        <w:spacing w:before="160" w:after="40" w:line="240" w:lineRule="auto"/>
      </w:pPr>
      <w:r>
        <w:rPr>
          <w:b/>
        </w:rPr>
        <w:t xml:space="preserve">[537] </w:t>
      </w:r>
      <w:hyperlink r:id="rId1129">
        <w:r>
          <w:rPr>
            <w:color w:val="1155CC"/>
            <w:u w:val="single"/>
          </w:rPr>
          <w:t>古代大陆分裂如何最终催生了巨大的南极冰盖</w:t>
        </w:r>
      </w:hyperlink>
    </w:p>
    <w:p>
      <w:pPr>
        <w:spacing w:before="0" w:after="80"/>
      </w:pPr>
      <w:r>
        <w:rPr>
          <w:i/>
          <w:sz w:val="20"/>
        </w:rPr>
        <w:t>EN: How an ancient continental breakup ultimately helped spawn the vast Antarctic Ice Sheet</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30">
        <w:r>
          <w:rPr>
            <w:color w:val="1155CC"/>
            <w:u w:val="single"/>
          </w:rPr>
          <w:t>10.1126/science.aek1832</w:t>
        </w:r>
      </w:hyperlink>
    </w:p>
    <w:p>
      <w:pPr>
        <w:spacing w:before="0" w:after="120"/>
      </w:pPr>
      <w:r>
        <w:rPr>
          <w:b/>
        </w:rPr>
        <w:t xml:space="preserve">Notes: </w:t>
      </w:r>
      <w:r>
        <w:t>abstract_source=crossref</w:t>
      </w:r>
    </w:p>
    <w:p>
      <w:pPr>
        <w:spacing w:before="0" w:after="80" w:lineRule="auto" w:line="276"/>
      </w:pPr>
      <w:r>
        <w:rPr>
          <w:b/>
        </w:rPr>
        <w:t xml:space="preserve">摘要（ZH）: </w:t>
      </w:r>
      <w:r>
        <w:t>地幔波和构造伸展使极地山脉陷入深度冰冻</w:t>
      </w:r>
    </w:p>
    <w:p>
      <w:pPr>
        <w:spacing w:before="0" w:after="200" w:lineRule="auto" w:line="276"/>
      </w:pPr>
      <w:r>
        <w:rPr>
          <w:b/>
        </w:rPr>
        <w:t xml:space="preserve">Abstract (EN): </w:t>
      </w:r>
      <w:r>
        <w:t>Mantle waves and tectonic stretching lofted polar mountains into a deep freeze</w:t>
      </w:r>
    </w:p>
    <w:p>
      <w:pPr>
        <w:spacing w:before="120" w:after="120"/>
      </w:pPr>
      <w:r>
        <w:rPr>
          <w:sz w:val="18"/>
        </w:rPr>
        <w:t>——————————————————————————————————————————————————————————————————————</w:t>
      </w:r>
    </w:p>
    <w:p>
      <w:pPr>
        <w:spacing w:before="160" w:after="40" w:line="240" w:lineRule="auto"/>
      </w:pPr>
      <w:r>
        <w:rPr>
          <w:b/>
        </w:rPr>
        <w:t xml:space="preserve">[538] </w:t>
      </w:r>
      <w:hyperlink r:id="rId1131">
        <w:r>
          <w:rPr>
            <w:color w:val="1155CC"/>
            <w:u w:val="single"/>
          </w:rPr>
          <w:t>透明鱼在价值 10 亿美元的神经科学计划中占据中心地位</w:t>
        </w:r>
      </w:hyperlink>
    </w:p>
    <w:p>
      <w:pPr>
        <w:spacing w:before="0" w:after="80"/>
      </w:pPr>
      <w:r>
        <w:rPr>
          <w:i/>
          <w:sz w:val="20"/>
        </w:rPr>
        <w:t>EN: Transparent fish takes center stage in $1 billion neuroscience initiative</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32">
        <w:r>
          <w:rPr>
            <w:color w:val="1155CC"/>
            <w:u w:val="single"/>
          </w:rPr>
          <w:t>10.1126/science.aek1830</w:t>
        </w:r>
      </w:hyperlink>
    </w:p>
    <w:p>
      <w:pPr>
        <w:spacing w:before="0" w:after="120"/>
      </w:pPr>
      <w:r>
        <w:rPr>
          <w:b/>
        </w:rPr>
        <w:t xml:space="preserve">Notes: </w:t>
      </w:r>
      <w:r>
        <w:t>abstract_source=crossref</w:t>
      </w:r>
    </w:p>
    <w:p>
      <w:pPr>
        <w:spacing w:before="0" w:after="80" w:lineRule="auto" w:line="276"/>
      </w:pPr>
      <w:r>
        <w:rPr>
          <w:b/>
        </w:rPr>
        <w:t xml:space="preserve">摘要（ZH）: </w:t>
      </w:r>
      <w:r>
        <w:t>曾经默默无闻的</w:t>
      </w:r>
      <w:r>
        <w:t xml:space="preserve"> </w:t>
      </w:r>
      <w:r>
        <w:t>丹尼奥菌属</w:t>
      </w:r>
      <w:r>
        <w:t xml:space="preserve"> </w:t>
      </w:r>
      <w:r>
        <w:t>鱼将成为霍华德休斯医学研究所雄心勃勃的新项目的重点</w:t>
      </w:r>
    </w:p>
    <w:p>
      <w:pPr>
        <w:spacing w:before="0" w:after="200" w:lineRule="auto" w:line="276"/>
      </w:pPr>
      <w:r>
        <w:rPr>
          <w:b/>
        </w:rPr>
        <w:t xml:space="preserve">Abstract (EN): </w:t>
      </w:r>
      <w:r>
        <w:t>The once-obscure</w:t>
      </w:r>
      <w:r>
        <w:t xml:space="preserve"> </w:t>
      </w:r>
      <w:r>
        <w:t>Danionella</w:t>
      </w:r>
      <w:r>
        <w:t xml:space="preserve"> </w:t>
      </w:r>
      <w:r>
        <w:t>fish will be the focus of an ambitious new Howard Hughes Medical Institute project</w:t>
      </w:r>
    </w:p>
    <w:p>
      <w:pPr>
        <w:spacing w:before="120" w:after="120"/>
      </w:pPr>
      <w:r>
        <w:rPr>
          <w:sz w:val="18"/>
        </w:rPr>
        <w:t>——————————————————————————————————————————————————————————————————————</w:t>
      </w:r>
    </w:p>
    <w:p>
      <w:pPr>
        <w:spacing w:before="160" w:after="40" w:line="240" w:lineRule="auto"/>
      </w:pPr>
      <w:r>
        <w:rPr>
          <w:b/>
        </w:rPr>
        <w:t xml:space="preserve">[539] </w:t>
      </w:r>
      <w:hyperlink r:id="rId1133">
        <w:r>
          <w:rPr>
            <w:color w:val="1155CC"/>
            <w:u w:val="single"/>
          </w:rPr>
          <w:t>250年的承诺</w:t>
        </w:r>
      </w:hyperlink>
    </w:p>
    <w:p>
      <w:pPr>
        <w:spacing w:before="0" w:after="80"/>
      </w:pPr>
      <w:r>
        <w:rPr>
          <w:i/>
          <w:sz w:val="20"/>
        </w:rPr>
        <w:t>EN: 250 years of promise</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34">
        <w:r>
          <w:rPr>
            <w:color w:val="1155CC"/>
            <w:u w:val="single"/>
          </w:rPr>
          <w:t>10.1126/science.aek0783</w:t>
        </w:r>
      </w:hyperlink>
    </w:p>
    <w:p>
      <w:pPr>
        <w:spacing w:before="0" w:after="120"/>
      </w:pPr>
      <w:r>
        <w:rPr>
          <w:b/>
        </w:rPr>
        <w:t xml:space="preserve">Notes: </w:t>
      </w:r>
      <w:r>
        <w:t>abstract_source=crossref</w:t>
      </w:r>
    </w:p>
    <w:p>
      <w:pPr>
        <w:spacing w:before="0" w:after="80" w:lineRule="auto" w:line="276"/>
      </w:pPr>
      <w:r>
        <w:rPr>
          <w:b/>
        </w:rPr>
        <w:t xml:space="preserve">摘要（ZH）: </w:t>
      </w:r>
      <w:r>
        <w:t>美国在其整个历史上一直对科学着迷。尽管建国的崇高理想主要与个人自由和平等有关，但创始人们非常清楚新知识，特别是科学知识的重要性。本杰明·富兰克林也许是在奠定新民主基础时对自然世界原则和政治哲学理想的广泛好奇心的最佳例证，而新英格兰在革命之前就已经是私立大学的所在地。在南方，公立大学是随着国家的形成而建立的，首先是在佐治亚州和北卡罗来纳州，然后是在弗吉尼亚州，托马斯·杰斐逊在卸任总统后在夏洛茨维尔建立了一个新机构。尽管这些机构部分致力于培训神职人员，但它们并没有脱离科学。杰斐逊在法国期间成为化学家安托万·洛朗·拉瓦锡的崇拜者，并指导在弗吉尼亚大学圆形大厅的地下室建造了一个化学实验室。与此同时，地质学家兼部长伊丽莎·米切尔（Elisha Mitchell）成为北卡罗来纳大学校长。这些大学受到美国开国元勋的推崇。詹姆斯·麦迪逊总统说，“学术机构应该成为每个自由人民青睐的对象。”</w:t>
      </w:r>
    </w:p>
    <w:p>
      <w:pPr>
        <w:spacing w:before="0" w:after="200" w:lineRule="auto" w:line="276"/>
      </w:pPr>
      <w:r>
        <w:rPr>
          <w:b/>
        </w:rPr>
        <w:t xml:space="preserve">Abstract (EN): </w:t>
      </w:r>
      <w:r>
        <w:t>America has for its entire history been fascinated with science. Although the lofty ideals associated with establishing the country have mostly to do with personal liberty and equality, the founders were very aware of the importance of new knowledge, and scientific knowledge, in particular. Benjamin Franklin perhaps best exemplified the broad curiosity about both principles of the natural world and the ideals of political philosophy when forging the foundation of a new democracy, and New England was already home to private universities before the Revolution. In the South, public universities were created concomitantly with the formation of the country, first in Georgia and North Carolina, and then in Virginia where Thomas Jefferson devoted his post-presidency to a new institution in Charlottesville. Although these establishments were partly dedicated to training clergy, they were not divorced from science. Jefferson had become an admirer of the chemist Antoine-Laurent Lavoisier while in France and directed the construction of a chemistry laboratory in the basement of the University of Virginia rotunda. At the same time, Elisha Mitchell, a geologist and minister, became president of the University of North Carolina. These universities were revered by America’s founders. President James Madison said that “learned institutions ought to be favored objects with every free people.”</w:t>
      </w:r>
    </w:p>
    <w:p>
      <w:pPr>
        <w:spacing w:before="120" w:after="120"/>
      </w:pPr>
      <w:r>
        <w:rPr>
          <w:sz w:val="18"/>
        </w:rPr>
        <w:t>——————————————————————————————————————————————————————————————————————</w:t>
      </w:r>
    </w:p>
    <w:p>
      <w:pPr>
        <w:spacing w:before="160" w:after="40" w:line="240" w:lineRule="auto"/>
      </w:pPr>
      <w:r>
        <w:rPr>
          <w:b/>
        </w:rPr>
        <w:t xml:space="preserve">[540] </w:t>
      </w:r>
      <w:hyperlink r:id="rId1135">
        <w:r>
          <w:rPr>
            <w:color w:val="1155CC"/>
            <w:u w:val="single"/>
          </w:rPr>
          <w:t>局部信号，系统性衰退</w:t>
        </w:r>
      </w:hyperlink>
    </w:p>
    <w:p>
      <w:pPr>
        <w:spacing w:before="0" w:after="80"/>
      </w:pPr>
      <w:r>
        <w:rPr>
          <w:i/>
          <w:sz w:val="20"/>
        </w:rPr>
        <w:t>EN: Local signals, systemic decline</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36">
        <w:r>
          <w:rPr>
            <w:color w:val="1155CC"/>
            <w:u w:val="single"/>
          </w:rPr>
          <w:t>10.1126/science.aej0415</w:t>
        </w:r>
      </w:hyperlink>
    </w:p>
    <w:p>
      <w:pPr>
        <w:spacing w:before="0" w:after="120"/>
      </w:pPr>
      <w:r>
        <w:rPr>
          <w:b/>
        </w:rPr>
        <w:t xml:space="preserve">Notes: </w:t>
      </w:r>
      <w:r>
        <w:t>abstract_source=crossref</w:t>
      </w:r>
    </w:p>
    <w:p>
      <w:pPr>
        <w:spacing w:before="0" w:after="80" w:lineRule="auto" w:line="276"/>
      </w:pPr>
      <w:r>
        <w:rPr>
          <w:b/>
        </w:rPr>
        <w:t xml:space="preserve">摘要（ZH）: </w:t>
      </w:r>
      <w:r>
        <w:t>高脂肪饮食影响肿瘤到神经的信号传导并促进小鼠恶病质</w:t>
      </w:r>
    </w:p>
    <w:p>
      <w:pPr>
        <w:spacing w:before="0" w:after="200" w:lineRule="auto" w:line="276"/>
      </w:pPr>
      <w:r>
        <w:rPr>
          <w:b/>
        </w:rPr>
        <w:t xml:space="preserve">Abstract (EN): </w:t>
      </w:r>
      <w:r>
        <w:t>A high-fat diet affects tumor-to-nerve signaling and promotes cachexia in mice</w:t>
      </w:r>
    </w:p>
    <w:p>
      <w:pPr>
        <w:spacing w:before="120" w:after="120"/>
      </w:pPr>
      <w:r>
        <w:rPr>
          <w:sz w:val="18"/>
        </w:rPr>
        <w:t>——————————————————————————————————————————————————————————————————————</w:t>
      </w:r>
    </w:p>
    <w:p>
      <w:pPr>
        <w:spacing w:before="160" w:after="40" w:line="240" w:lineRule="auto"/>
      </w:pPr>
      <w:r>
        <w:rPr>
          <w:b/>
        </w:rPr>
        <w:t xml:space="preserve">[541] </w:t>
      </w:r>
      <w:hyperlink r:id="rId1137">
        <w:r>
          <w:rPr>
            <w:color w:val="1155CC"/>
            <w:u w:val="single"/>
          </w:rPr>
          <w:t>高度不会损害最高的热带龙脑香树的液压系统</w:t>
        </w:r>
      </w:hyperlink>
    </w:p>
    <w:p>
      <w:pPr>
        <w:spacing w:before="0" w:after="80"/>
      </w:pPr>
      <w:r>
        <w:rPr>
          <w:i/>
          <w:sz w:val="20"/>
        </w:rPr>
        <w:t>EN: Height does not impair the hydraulic system of the tallest tropical Dipterocarp trees</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38">
        <w:r>
          <w:rPr>
            <w:color w:val="1155CC"/>
            <w:u w:val="single"/>
          </w:rPr>
          <w:t>10.1126/science.aea9013</w:t>
        </w:r>
      </w:hyperlink>
    </w:p>
    <w:p>
      <w:pPr>
        <w:spacing w:before="0" w:after="120"/>
      </w:pPr>
      <w:r>
        <w:rPr>
          <w:b/>
        </w:rPr>
        <w:t xml:space="preserve">Notes: </w:t>
      </w:r>
      <w:r>
        <w:t>abstract_source=crossref</w:t>
      </w:r>
    </w:p>
    <w:p>
      <w:pPr>
        <w:spacing w:before="0" w:after="80" w:lineRule="auto" w:line="276"/>
      </w:pPr>
      <w:r>
        <w:rPr>
          <w:b/>
        </w:rPr>
        <w:t xml:space="preserve">摘要（ZH）: </w:t>
      </w:r>
      <w:r>
        <w:t>森林中一半的地上生物量储存在数量极少的高大树木中。预计这些巨型植物更容易受到干旱引起的损害，因为高度会损害它们的液压系统。我们评估了世界上最高的热带树种——东南亚龙脑香树——的水力系统是否受到其高度的负面影响。通过调整导管解剖结构和叶片水力特性，可以充分补偿由树高引起的木质部负压，并且在严重干旱期间，树木没有遭受与高度相关的生长损失。因此，高度并不会使世界上最高的热带树种的水力系统更容易受到干旱的影响，而且这些树的生长速度也不会比较小的树种更容易受到干旱的负面影响。</w:t>
      </w:r>
    </w:p>
    <w:p>
      <w:pPr>
        <w:spacing w:before="0" w:after="200" w:lineRule="auto" w:line="276"/>
      </w:pPr>
      <w:r>
        <w:rPr>
          <w:b/>
        </w:rPr>
        <w:t xml:space="preserve">Abstract (EN): </w:t>
      </w:r>
      <w:r>
        <w:t>Half of the aboveground biomass in forests is stored in a disproportionately small number of very tall trees. These giants are predicted to be more vulnerable to drought-induced damage because height impairs their hydraulic system. We evaluated whether the hydraulic system of world’s tallest tropical tree species—Southeast Asian dipterocarps—are negatively affected by their height. The more negative xylem pressures caused by tree height were fully compensated for through adjustment of vessel anatomy and leaf hydraulic traits, and the trees suffered no height-related loss in growth during a severe drought. Therefore, height does not make the hydraulic systems of the world’s tallest tropical tree species more vulnerable to drought, and the growth rates of these trees are not more negatively affected by drought than are their smaller counterparts.</w:t>
      </w:r>
    </w:p>
    <w:p>
      <w:pPr>
        <w:spacing w:before="120" w:after="120"/>
      </w:pPr>
      <w:r>
        <w:rPr>
          <w:sz w:val="18"/>
        </w:rPr>
        <w:t>——————————————————————————————————————————————————————————————————————</w:t>
      </w:r>
    </w:p>
    <w:p>
      <w:pPr>
        <w:spacing w:before="160" w:after="40" w:line="240" w:lineRule="auto"/>
      </w:pPr>
      <w:r>
        <w:rPr>
          <w:b/>
        </w:rPr>
        <w:t xml:space="preserve">[542] </w:t>
      </w:r>
      <w:hyperlink r:id="rId1139">
        <w:r>
          <w:rPr>
            <w:color w:val="1155CC"/>
            <w:u w:val="single"/>
          </w:rPr>
          <w:t>基于相变忆阻器的亚 10 毫秒神经动力系统</w:t>
        </w:r>
      </w:hyperlink>
    </w:p>
    <w:p>
      <w:pPr>
        <w:spacing w:before="0" w:after="80"/>
      </w:pPr>
      <w:r>
        <w:rPr>
          <w:i/>
          <w:sz w:val="20"/>
        </w:rPr>
        <w:t>EN: A sub–10-millisecond neural dynamical system based on phase-change memristors</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40">
        <w:r>
          <w:rPr>
            <w:color w:val="1155CC"/>
            <w:u w:val="single"/>
          </w:rPr>
          <w:t>10.1126/science.aee6277</w:t>
        </w:r>
      </w:hyperlink>
    </w:p>
    <w:p>
      <w:pPr>
        <w:spacing w:before="0" w:after="120"/>
      </w:pPr>
      <w:r>
        <w:rPr>
          <w:b/>
        </w:rPr>
        <w:t xml:space="preserve">Notes: </w:t>
      </w:r>
      <w:r>
        <w:t>abstract_source=crossref</w:t>
      </w:r>
    </w:p>
    <w:p>
      <w:pPr>
        <w:spacing w:before="0" w:after="80" w:lineRule="auto" w:line="276"/>
      </w:pPr>
      <w:r>
        <w:rPr>
          <w:b/>
        </w:rPr>
        <w:t xml:space="preserve">摘要（ZH）: </w:t>
      </w:r>
      <w:r>
        <w:t>用于物理世界建模的高保真几何需要流形上的实时、密集且可微的变形场。使用自适应步长集成与嵌入式神经网络的神经动力系统（NDS）在这些任务中表现出色，但仍然存在数百毫秒数量级的延迟。在这项工作中，我们报告了一种亚 10 毫秒的 NDS 硬件，它利用相变忆阻器的精确控制电导漂移及其多级内存计算功能。我们制造了 40 纳米 NDS 芯片，用于执行具有挑战性的表面重建任务。与最先进的 NDS 硬件相比，我们的 NDS 设计实现了单次 NDS 计算的延迟为 2.12 毫秒（低于 10 毫秒），容错率为 10</w:t>
      </w:r>
      <w:r>
        <w:t xml:space="preserve"> </w:t>
      </w:r>
      <w:r>
        <w:t>−7</w:t>
      </w:r>
      <w:r>
        <w:t xml:space="preserve"> </w:t>
      </w:r>
      <w:r>
        <w:t>速度提高 3.82 倍至 36.27 倍，同时功耗降低 11.75 倍至 24.73 倍。通过硬件测量和模拟得出的端到端 NDS 延迟优于图形处理单元 A100 50.38 倍至 478.18 倍。</w:t>
      </w:r>
    </w:p>
    <w:p>
      <w:pPr>
        <w:spacing w:before="0" w:after="200" w:lineRule="auto" w:line="276"/>
      </w:pPr>
      <w:r>
        <w:rPr>
          <w:b/>
        </w:rPr>
        <w:t xml:space="preserve">Abstract (EN): </w:t>
      </w:r>
      <w:r>
        <w:t>High-fidelity geometry for physical-world modeling demands real-time, dense, and differentiable deformation fields on manifolds. Neural dynamical systems (NDSs) using adaptive stepsize integration with embedded neural networks excel at these tasks but still suffer latency on the order of hundreds of milliseconds. In this work, we report a sub–10-millisecond NDS hardware leveraging the precisely controlled conductance drift of phase-change memristors and their multilevel compute-in-memory capabilities. We fabricated a 40-nanometer NDS chip for the challenging surface reconstruction tasks. Compared with state-of-the-art NDS hardware, our NDS design achieves a latency of 2.12 milliseconds (below 10 milliseconds) for single-iteration NDS computations with an error tolerance of 10</w:t>
      </w:r>
      <w:r>
        <w:t xml:space="preserve"> </w:t>
      </w:r>
      <w:r>
        <w:t>−7</w:t>
      </w:r>
      <w:r>
        <w:t xml:space="preserve"> </w:t>
      </w:r>
      <w:r>
        <w:t>and delivers 3.82× to 36.27× faster speed while consuming 11.75× to 24.73× less power. The end-to-end NDS latency through hardware measurements and simulations outperformed graphics processing unit A100 by 50.38× to 478.18×.</w:t>
      </w:r>
    </w:p>
    <w:p>
      <w:pPr>
        <w:spacing w:before="120" w:after="120"/>
      </w:pPr>
      <w:r>
        <w:rPr>
          <w:sz w:val="18"/>
        </w:rPr>
        <w:t>——————————————————————————————————————————————————————————————————————</w:t>
      </w:r>
    </w:p>
    <w:p>
      <w:pPr>
        <w:spacing w:before="160" w:after="40" w:line="240" w:lineRule="auto"/>
      </w:pPr>
      <w:r>
        <w:rPr>
          <w:b/>
        </w:rPr>
        <w:t xml:space="preserve">[543] </w:t>
      </w:r>
      <w:hyperlink r:id="rId1141">
        <w:r>
          <w:rPr>
            <w:color w:val="1155CC"/>
            <w:u w:val="single"/>
          </w:rPr>
          <w:t>感觉一阵寒意</w:t>
        </w:r>
      </w:hyperlink>
    </w:p>
    <w:p>
      <w:pPr>
        <w:spacing w:before="0" w:after="80"/>
      </w:pPr>
      <w:r>
        <w:rPr>
          <w:i/>
          <w:sz w:val="20"/>
        </w:rPr>
        <w:t>EN: Feeling a chill</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42">
        <w:r>
          <w:rPr>
            <w:color w:val="1155CC"/>
            <w:u w:val="single"/>
          </w:rPr>
          <w:t>10.1126/science.aek1834</w:t>
        </w:r>
      </w:hyperlink>
    </w:p>
    <w:p>
      <w:pPr>
        <w:spacing w:before="0" w:after="120"/>
      </w:pPr>
      <w:r>
        <w:rPr>
          <w:b/>
        </w:rPr>
        <w:t xml:space="preserve">Notes: </w:t>
      </w:r>
      <w:r>
        <w:t>abstract_source=crossref</w:t>
      </w:r>
    </w:p>
    <w:p>
      <w:pPr>
        <w:spacing w:before="0" w:after="80" w:lineRule="auto" w:line="276"/>
      </w:pPr>
      <w:r>
        <w:rPr>
          <w:b/>
        </w:rPr>
        <w:t xml:space="preserve">摘要（ZH）: </w:t>
      </w:r>
      <w:r>
        <w:t>挪威斯瓦尔巴群岛已成为北极科学的重要前哨基地。但地缘政治紧张局势使研究工作变得更加复杂</w:t>
      </w:r>
    </w:p>
    <w:p>
      <w:pPr>
        <w:spacing w:before="0" w:after="200" w:lineRule="auto" w:line="276"/>
      </w:pPr>
      <w:r>
        <w:rPr>
          <w:b/>
        </w:rPr>
        <w:t xml:space="preserve">Abstract (EN): </w:t>
      </w:r>
      <w:r>
        <w:t>The Norwegian archipelago of Svalbard has become a key outpost for Arctic science. But geopolitical tensions are complicating research efforts</w:t>
      </w:r>
    </w:p>
    <w:p>
      <w:pPr>
        <w:spacing w:before="120" w:after="120"/>
      </w:pPr>
      <w:r>
        <w:rPr>
          <w:sz w:val="18"/>
        </w:rPr>
        <w:t>——————————————————————————————————————————————————————————————————————</w:t>
      </w:r>
    </w:p>
    <w:p>
      <w:pPr>
        <w:spacing w:before="160" w:after="40" w:line="240" w:lineRule="auto"/>
      </w:pPr>
      <w:r>
        <w:rPr>
          <w:b/>
        </w:rPr>
        <w:t xml:space="preserve">[544] </w:t>
      </w:r>
      <w:hyperlink r:id="rId1143">
        <w:r>
          <w:rPr>
            <w:color w:val="1155CC"/>
            <w:u w:val="single"/>
          </w:rPr>
          <w:t>在科学期刊中</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44">
        <w:r>
          <w:rPr>
            <w:color w:val="1155CC"/>
            <w:u w:val="single"/>
          </w:rPr>
          <w:t>10.1126/science.aek1433</w:t>
        </w:r>
      </w:hyperlink>
    </w:p>
    <w:p>
      <w:pPr>
        <w:spacing w:before="0" w:after="120"/>
      </w:pPr>
      <w:r>
        <w:rPr>
          <w:b/>
        </w:rPr>
        <w:t xml:space="preserve">Notes: </w:t>
      </w:r>
      <w:r>
        <w:t>abstract_source=crossref</w:t>
      </w:r>
    </w:p>
    <w:p>
      <w:pPr>
        <w:spacing w:before="0" w:after="80" w:lineRule="auto" w:line="276"/>
      </w:pPr>
      <w:r>
        <w:rPr>
          <w:b/>
        </w:rPr>
        <w:t xml:space="preserve">摘要（ZH）: </w:t>
      </w:r>
      <w:r>
        <w:t>亮点来自</w:t>
      </w:r>
      <w:r>
        <w:t xml:space="preserve"> </w:t>
      </w:r>
      <w:r>
        <w:t>科学</w:t>
      </w:r>
      <w:r>
        <w:t xml:space="preserve"> </w:t>
      </w:r>
      <w:r>
        <w:t>期刊家族</w:t>
      </w:r>
    </w:p>
    <w:p>
      <w:pPr>
        <w:spacing w:before="0" w:after="200" w:lineRule="auto" w:line="276"/>
      </w:pPr>
      <w:r>
        <w:rPr>
          <w:b/>
        </w:rPr>
        <w:t xml:space="preserve">Abstract (EN): </w:t>
      </w:r>
      <w:r>
        <w:t>Highlights from the</w:t>
      </w:r>
      <w:r>
        <w:t xml:space="preserve"> </w:t>
      </w:r>
      <w:r>
        <w:t>Science</w:t>
      </w:r>
      <w:r>
        <w:t xml:space="preserve"> </w:t>
      </w:r>
      <w:r>
        <w:t>family of journals</w:t>
      </w:r>
    </w:p>
    <w:p>
      <w:pPr>
        <w:spacing w:before="120" w:after="120"/>
      </w:pPr>
      <w:r>
        <w:rPr>
          <w:sz w:val="18"/>
        </w:rPr>
        <w:t>——————————————————————————————————————————————————————————————————————</w:t>
      </w:r>
    </w:p>
    <w:p>
      <w:pPr>
        <w:spacing w:before="160" w:after="40" w:line="240" w:lineRule="auto"/>
      </w:pPr>
      <w:r>
        <w:rPr>
          <w:b/>
        </w:rPr>
        <w:t xml:space="preserve">[545] </w:t>
      </w:r>
      <w:hyperlink r:id="rId1145">
        <w:r>
          <w:rPr>
            <w:color w:val="1155CC"/>
            <w:u w:val="single"/>
          </w:rPr>
          <w:t>结束非洲的“可重复使用”废物倾倒</w:t>
        </w:r>
      </w:hyperlink>
    </w:p>
    <w:p>
      <w:pPr>
        <w:spacing w:before="0" w:after="80"/>
      </w:pPr>
      <w:r>
        <w:rPr>
          <w:i/>
          <w:sz w:val="20"/>
        </w:rPr>
        <w:t>EN: End “reusable” waste dumping in Africa</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46">
        <w:r>
          <w:rPr>
            <w:color w:val="1155CC"/>
            <w:u w:val="single"/>
          </w:rPr>
          <w:t>10.1126/science.aei3868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[546] </w:t>
      </w:r>
      <w:hyperlink r:id="rId1147">
        <w:r>
          <w:rPr>
            <w:color w:val="1155CC"/>
            <w:u w:val="single"/>
          </w:rPr>
          <w:t>用物理在内存中进行计算</w:t>
        </w:r>
      </w:hyperlink>
    </w:p>
    <w:p>
      <w:pPr>
        <w:spacing w:before="0" w:after="80"/>
      </w:pPr>
      <w:r>
        <w:rPr>
          <w:i/>
          <w:sz w:val="20"/>
        </w:rPr>
        <w:t>EN: Computing in a memory with physics</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48">
        <w:r>
          <w:rPr>
            <w:color w:val="1155CC"/>
            <w:u w:val="single"/>
          </w:rPr>
          <w:t>10.1126/science.aei8090</w:t>
        </w:r>
      </w:hyperlink>
    </w:p>
    <w:p>
      <w:pPr>
        <w:spacing w:before="0" w:after="120"/>
      </w:pPr>
      <w:r>
        <w:rPr>
          <w:b/>
        </w:rPr>
        <w:t xml:space="preserve">Notes: </w:t>
      </w:r>
      <w:r>
        <w:t>abstract_source=crossref</w:t>
      </w:r>
    </w:p>
    <w:p>
      <w:pPr>
        <w:spacing w:before="0" w:after="80" w:lineRule="auto" w:line="276"/>
      </w:pPr>
      <w:r>
        <w:rPr>
          <w:b/>
        </w:rPr>
        <w:t xml:space="preserve">摘要（ZH）: </w:t>
      </w:r>
      <w:r>
        <w:t>内置于计算机存储芯片中的人工神经网络可以实时高精度地重建人类皮层</w:t>
      </w:r>
    </w:p>
    <w:p>
      <w:pPr>
        <w:spacing w:before="0" w:after="200" w:lineRule="auto" w:line="276"/>
      </w:pPr>
      <w:r>
        <w:rPr>
          <w:b/>
        </w:rPr>
        <w:t xml:space="preserve">Abstract (EN): </w:t>
      </w:r>
      <w:r>
        <w:t>An artificial neural network built into a computer memory chip reconstructs the human cortex with high accuracy in real time</w:t>
      </w:r>
    </w:p>
    <w:p>
      <w:pPr>
        <w:spacing w:before="120" w:after="120"/>
      </w:pPr>
      <w:r>
        <w:rPr>
          <w:sz w:val="18"/>
        </w:rPr>
        <w:t>——————————————————————————————————————————————————————————————————————</w:t>
      </w:r>
    </w:p>
    <w:p>
      <w:pPr>
        <w:spacing w:before="160" w:after="40" w:line="240" w:lineRule="auto"/>
      </w:pPr>
      <w:r>
        <w:rPr>
          <w:b/>
        </w:rPr>
        <w:t xml:space="preserve">[547] </w:t>
      </w:r>
      <w:hyperlink r:id="rId1149">
        <w:r>
          <w:rPr>
            <w:color w:val="1155CC"/>
            <w:u w:val="single"/>
          </w:rPr>
          <w:t>肝再生的机制</w:t>
        </w:r>
      </w:hyperlink>
    </w:p>
    <w:p>
      <w:pPr>
        <w:spacing w:before="0" w:after="80"/>
      </w:pPr>
      <w:r>
        <w:rPr>
          <w:i/>
          <w:sz w:val="20"/>
        </w:rPr>
        <w:t>EN: The mechanics of liver regeneration</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50">
        <w:r>
          <w:rPr>
            <w:color w:val="1155CC"/>
            <w:u w:val="single"/>
          </w:rPr>
          <w:t>10.1126/science.aei7784</w:t>
        </w:r>
      </w:hyperlink>
    </w:p>
    <w:p>
      <w:pPr>
        <w:spacing w:before="0" w:after="120"/>
      </w:pPr>
      <w:r>
        <w:rPr>
          <w:b/>
        </w:rPr>
        <w:t xml:space="preserve">Notes: </w:t>
      </w:r>
      <w:r>
        <w:t>abstract_source=crossref</w:t>
      </w:r>
    </w:p>
    <w:p>
      <w:pPr>
        <w:spacing w:before="0" w:after="80" w:lineRule="auto" w:line="276"/>
      </w:pPr>
      <w:r>
        <w:rPr>
          <w:b/>
        </w:rPr>
        <w:t xml:space="preserve">摘要（ZH）: </w:t>
      </w:r>
      <w:r>
        <w:t>机械敏感离子通道调节损伤后肝细胞增殖</w:t>
      </w:r>
    </w:p>
    <w:p>
      <w:pPr>
        <w:spacing w:before="0" w:after="200" w:lineRule="auto" w:line="276"/>
      </w:pPr>
      <w:r>
        <w:rPr>
          <w:b/>
        </w:rPr>
        <w:t xml:space="preserve">Abstract (EN): </w:t>
      </w:r>
      <w:r>
        <w:t>A mechanosensitive ion channel regulates liver cell proliferation after injury</w:t>
      </w:r>
    </w:p>
    <w:p>
      <w:pPr>
        <w:spacing w:before="120" w:after="120"/>
      </w:pPr>
      <w:r>
        <w:rPr>
          <w:sz w:val="18"/>
        </w:rPr>
        <w:t>——————————————————————————————————————————————————————————————————————</w:t>
      </w:r>
    </w:p>
    <w:p>
      <w:pPr>
        <w:spacing w:before="160" w:after="40" w:line="240" w:lineRule="auto"/>
      </w:pPr>
      <w:r>
        <w:rPr>
          <w:b/>
        </w:rPr>
        <w:t xml:space="preserve">[548] </w:t>
      </w:r>
      <w:hyperlink r:id="rId1151">
        <w:r>
          <w:rPr>
            <w:color w:val="1155CC"/>
            <w:u w:val="single"/>
          </w:rPr>
          <w:t>腾出时间</w:t>
        </w:r>
      </w:hyperlink>
    </w:p>
    <w:p>
      <w:pPr>
        <w:spacing w:before="0" w:after="80"/>
      </w:pPr>
      <w:r>
        <w:rPr>
          <w:i/>
          <w:sz w:val="20"/>
        </w:rPr>
        <w:t>EN: Making time</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52">
        <w:r>
          <w:rPr>
            <w:color w:val="1155CC"/>
            <w:u w:val="single"/>
          </w:rPr>
          <w:t>10.1126/science.aei6905</w:t>
        </w:r>
      </w:hyperlink>
    </w:p>
    <w:p>
      <w:pPr>
        <w:spacing w:before="0" w:after="120"/>
      </w:pPr>
      <w:r>
        <w:rPr>
          <w:b/>
        </w:rPr>
        <w:t xml:space="preserve">Notes: </w:t>
      </w:r>
      <w:r>
        <w:t>abstract_source=crossref</w:t>
      </w:r>
    </w:p>
    <w:p>
      <w:pPr>
        <w:spacing w:before="0" w:after="80" w:lineRule="auto" w:line="276"/>
      </w:pPr>
      <w:r>
        <w:rPr>
          <w:b/>
        </w:rPr>
        <w:t xml:space="preserve">摘要（ZH）: </w:t>
      </w:r>
      <w:r>
        <w:t>苍蝇寻找黑暗来重新启动它们的生物钟</w:t>
      </w:r>
    </w:p>
    <w:p>
      <w:pPr>
        <w:spacing w:before="0" w:after="200" w:lineRule="auto" w:line="276"/>
      </w:pPr>
      <w:r>
        <w:rPr>
          <w:b/>
        </w:rPr>
        <w:t xml:space="preserve">Abstract (EN): </w:t>
      </w:r>
      <w:r>
        <w:t>Flies seek out darkness to restart their biological clocks</w:t>
      </w:r>
    </w:p>
    <w:p>
      <w:pPr>
        <w:spacing w:before="120" w:after="120"/>
      </w:pPr>
      <w:r>
        <w:rPr>
          <w:sz w:val="18"/>
        </w:rPr>
        <w:t>——————————————————————————————————————————————————————————————————————</w:t>
      </w:r>
    </w:p>
    <w:p>
      <w:pPr>
        <w:spacing w:before="160" w:after="40" w:line="240" w:lineRule="auto"/>
      </w:pPr>
      <w:r>
        <w:rPr>
          <w:b/>
        </w:rPr>
        <w:t xml:space="preserve">[549] </w:t>
      </w:r>
      <w:hyperlink r:id="rId1153">
        <w:r>
          <w:rPr>
            <w:color w:val="1155CC"/>
            <w:u w:val="single"/>
          </w:rPr>
          <w:t>人工智能课堂合同</w:t>
        </w:r>
      </w:hyperlink>
    </w:p>
    <w:p>
      <w:pPr>
        <w:spacing w:before="0" w:after="80"/>
      </w:pPr>
      <w:r>
        <w:rPr>
          <w:i/>
          <w:sz w:val="20"/>
        </w:rPr>
        <w:t>EN: A classroom contract for AI</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54">
        <w:r>
          <w:rPr>
            <w:color w:val="1155CC"/>
            <w:u w:val="single"/>
          </w:rPr>
          <w:t>10.1126/science.aek1435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[550] </w:t>
      </w:r>
      <w:hyperlink r:id="rId1155">
        <w:r>
          <w:rPr>
            <w:color w:val="1155CC"/>
            <w:u w:val="single"/>
          </w:rPr>
          <w:t>停止生物多样性采样军备竞赛</w:t>
        </w:r>
      </w:hyperlink>
    </w:p>
    <w:p>
      <w:pPr>
        <w:spacing w:before="0" w:after="80"/>
      </w:pPr>
      <w:r>
        <w:rPr>
          <w:i/>
          <w:sz w:val="20"/>
        </w:rPr>
        <w:t>EN: Stop the biodiversity sampling arms race</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56">
        <w:r>
          <w:rPr>
            <w:color w:val="1155CC"/>
            <w:u w:val="single"/>
          </w:rPr>
          <w:t>10.1126/science.aei5413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[551] </w:t>
      </w:r>
      <w:hyperlink r:id="rId1157">
        <w:r>
          <w:rPr>
            <w:color w:val="1155CC"/>
            <w:u w:val="single"/>
          </w:rPr>
          <w:t>家庭稳定支撑科学人才</w:t>
        </w:r>
      </w:hyperlink>
    </w:p>
    <w:p>
      <w:pPr>
        <w:spacing w:before="0" w:after="80"/>
      </w:pPr>
      <w:r>
        <w:rPr>
          <w:i/>
          <w:sz w:val="20"/>
        </w:rPr>
        <w:t>EN: Family stability sustains scientific talent</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58">
        <w:r>
          <w:rPr>
            <w:color w:val="1155CC"/>
            <w:u w:val="single"/>
          </w:rPr>
          <w:t>10.1126/science.aei9444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[552] </w:t>
      </w:r>
      <w:hyperlink r:id="rId1159">
        <w:r>
          <w:rPr>
            <w:color w:val="1155CC"/>
            <w:u w:val="single"/>
          </w:rPr>
          <w:t>Al1-xScxN 铁电体中交替原子偶极层和开关动力学</w:t>
        </w:r>
      </w:hyperlink>
    </w:p>
    <w:p>
      <w:pPr>
        <w:spacing w:before="0" w:after="80"/>
      </w:pPr>
      <w:r>
        <w:rPr>
          <w:i/>
          <w:sz w:val="20"/>
        </w:rPr>
        <w:t>EN: Alternating atomic-dipole layers and switching dynamics in Al1-xScxN ferroelectrics</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60">
        <w:r>
          <w:rPr>
            <w:color w:val="1155CC"/>
            <w:u w:val="single"/>
          </w:rPr>
          <w:t>10.1126/science.aee9639</w:t>
        </w:r>
      </w:hyperlink>
    </w:p>
    <w:p>
      <w:pPr>
        <w:spacing w:before="0" w:after="120"/>
      </w:pPr>
      <w:r>
        <w:rPr>
          <w:b/>
        </w:rPr>
        <w:t xml:space="preserve">Notes: </w:t>
      </w:r>
      <w:r>
        <w:t>abstract_source=crossref</w:t>
      </w:r>
    </w:p>
    <w:p>
      <w:pPr>
        <w:spacing w:before="0" w:after="80" w:lineRule="auto" w:line="276"/>
      </w:pPr>
      <w:r>
        <w:rPr>
          <w:b/>
        </w:rPr>
        <w:t xml:space="preserve">摘要（ZH）: </w:t>
      </w:r>
      <w:r>
        <w:t>纤锌矿铝</w:t>
      </w:r>
      <w:r>
        <w:t xml:space="preserve"> </w:t>
      </w:r>
      <w:r>
        <w:t>1-x</w:t>
      </w:r>
      <w:r>
        <w:t xml:space="preserve"> </w:t>
      </w:r>
      <w:r>
        <w:t>钪</w:t>
      </w:r>
      <w:r>
        <w:t xml:space="preserve"> </w:t>
      </w:r>
      <w:r>
        <w:t>x</w:t>
      </w:r>
      <w:r>
        <w:t xml:space="preserve"> </w:t>
      </w:r>
      <w:r>
        <w:t>N铁电体表现出优异的极化和热稳定性，使其在广泛的电子应用中极具前景。然而，需要对原子尺度机制有更深刻的理解，通过该机制，阳离子取代降低了开关能垒，从而降低了矫顽力场。我们使用球差校正透射电子显微镜揭示了沿偏振方向的阳离子-阴离子间距的周期性调制，形成交替的原子偶极子层。这种调制源于相邻层之间铝和钪原子的能量上有利的化学排序，以及原子排列中层分辨的不对称性。原位成像直接捕获原子尺度、非集体、逐步偏振切换，揭示中间态和局部间距波动。这些偶极子层的成分不均匀性会产生多种瞬态，从而降低开关能垒。我们的研究结果将原子级偶极子结构与极化切换动力学联系起来，从而能够合理设计纤锌矿铁电体。</w:t>
      </w:r>
    </w:p>
    <w:p>
      <w:pPr>
        <w:spacing w:before="0" w:after="200" w:lineRule="auto" w:line="276"/>
      </w:pPr>
      <w:r>
        <w:rPr>
          <w:b/>
        </w:rPr>
        <w:t xml:space="preserve">Abstract (EN): </w:t>
      </w:r>
      <w:r>
        <w:t>Wurtzite Al</w:t>
      </w:r>
      <w:r>
        <w:t xml:space="preserve"> </w:t>
      </w:r>
      <w:r>
        <w:t>1-x</w:t>
      </w:r>
      <w:r>
        <w:t xml:space="preserve"> </w:t>
      </w:r>
      <w:r>
        <w:t>Sc</w:t>
      </w:r>
      <w:r>
        <w:t xml:space="preserve"> </w:t>
      </w:r>
      <w:r>
        <w:t>x</w:t>
      </w:r>
      <w:r>
        <w:t xml:space="preserve"> </w:t>
      </w:r>
      <w:r>
        <w:t>N ferroelectrics exhibit exceptional polarization and thermal stability, making them highly promising for a wide range of electronic applications. However, a more profound understanding is required regarding the atomic-scale mechanism through which cation substitution lowers the switching energy barrier and thus reduces the coercive field. We used spherical aberration–corrected transmission electron microscopy to reveal a periodic modulation of cation-anion spacing along the polarization direction, forming alternating atomic dipole layers. This modulation arises from energetically favorable chemical ordering of aluminum and scandium atoms between adjacent layers, with layer-resolved asymmetry in atomic arrangement. In situ imaging directly captures atomic-scale, noncollective, stepwise polarization switching, revealing intermediate states and local spacing fluctuations. Compositional inhomogeneity in these dipole layers creates multiple transient states that reduce the switching energy barrier. Our findings connect atomic-scale dipole structures to polarization switching kinetics, enabling the rational design of wurtzite ferroelectrics.</w:t>
      </w:r>
    </w:p>
    <w:p>
      <w:pPr>
        <w:spacing w:before="120" w:after="120"/>
      </w:pPr>
      <w:r>
        <w:rPr>
          <w:sz w:val="18"/>
        </w:rPr>
        <w:t>——————————————————————————————————————————————————————————————————————</w:t>
      </w:r>
    </w:p>
    <w:p>
      <w:pPr>
        <w:spacing w:before="160" w:after="40" w:line="240" w:lineRule="auto"/>
      </w:pPr>
      <w:r>
        <w:rPr>
          <w:b/>
        </w:rPr>
        <w:t xml:space="preserve">[553] </w:t>
      </w:r>
      <w:hyperlink r:id="rId1161">
        <w:r>
          <w:rPr>
            <w:color w:val="1155CC"/>
            <w:u w:val="single"/>
          </w:rPr>
          <w:t>饮食改变会促进感觉神经元依赖性癌症相关恶病质</w:t>
        </w:r>
      </w:hyperlink>
    </w:p>
    <w:p>
      <w:pPr>
        <w:spacing w:before="0" w:after="80"/>
      </w:pPr>
      <w:r>
        <w:rPr>
          <w:i/>
          <w:sz w:val="20"/>
        </w:rPr>
        <w:t>EN: A dietary switch promotes sensory neuron–dependent cancer-associated cachexia</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62">
        <w:r>
          <w:rPr>
            <w:color w:val="1155CC"/>
            <w:u w:val="single"/>
          </w:rPr>
          <w:t>10.1126/science.adz4196</w:t>
        </w:r>
      </w:hyperlink>
    </w:p>
    <w:p>
      <w:pPr>
        <w:spacing w:before="0" w:after="120"/>
      </w:pPr>
      <w:r>
        <w:rPr>
          <w:b/>
        </w:rPr>
        <w:t xml:space="preserve">Notes: </w:t>
      </w:r>
      <w:r>
        <w:t>abstract_source=crossref</w:t>
      </w:r>
    </w:p>
    <w:p>
      <w:pPr>
        <w:spacing w:before="0" w:after="80" w:lineRule="auto" w:line="276"/>
      </w:pPr>
      <w:r>
        <w:rPr>
          <w:b/>
        </w:rPr>
        <w:t xml:space="preserve">摘要（ZH）: </w:t>
      </w:r>
      <w:r>
        <w:t>疾病行为在癌症相关恶病质中很常见，影响多达一半的肺癌患者。我们证明，在最常见的癌症突变中，肝激酶 B1 的缺失（</w:t>
      </w:r>
      <w:r>
        <w:t xml:space="preserve"> </w:t>
      </w:r>
      <w:r>
        <w:t>Lkb1</w:t>
      </w:r>
      <w:r>
        <w:t xml:space="preserve"> </w:t>
      </w:r>
      <w:r>
        <w:t>）促进肺癌临床前模型中恶病质的发展。为了通过致胖的高脂肪饮食来改善热量摄入，我们矛盾地观察到与恶病质相关的疾病恶化。我们发现本地生产的前列腺素 E2 (PGE</w:t>
      </w:r>
      <w:r>
        <w:rPr>
          <w:vertAlign w:val="subscript"/>
        </w:rPr>
        <w:t>2</w:t>
      </w:r>
      <w:r>
        <w:t>），而不是循环因素，会促进疾病，并且遗传、饮食和药理学抑制肿瘤衍生的 PGE</w:t>
      </w:r>
      <w:r>
        <w:rPr>
          <w:vertAlign w:val="subscript"/>
        </w:rPr>
        <w:t>2</w:t>
      </w:r>
      <w:r>
        <w:t>抑制疾病和恶病质。值得注意的是，我们证明肺感觉神经元消除可以预防 PGE</w:t>
      </w:r>
      <w:r>
        <w:rPr>
          <w:vertAlign w:val="subscript"/>
        </w:rPr>
        <w:t>2</w:t>
      </w:r>
      <w:r>
        <w:t>依赖性恶病质。我们的研究确定了感觉神经元的局部肿瘤衍生信号，而不是循环因子，作为恶病质的驱动因素，并强调了周围神经系统在癌症恶病质中以前未知的作用。</w:t>
      </w:r>
    </w:p>
    <w:p>
      <w:pPr>
        <w:spacing w:before="0" w:after="200" w:lineRule="auto" w:line="276"/>
      </w:pPr>
      <w:r>
        <w:rPr>
          <w:b/>
        </w:rPr>
        <w:t xml:space="preserve">Abstract (EN): </w:t>
      </w:r>
      <w:r>
        <w:t>Sickness behaviors are common in cancer-associated cachexia and affect up to half of lung cancer patients. We demonstrate that among the most common cancer mutations, loss of liver kinase B1 (</w:t>
      </w:r>
      <w:r>
        <w:t xml:space="preserve"> </w:t>
      </w:r>
      <w:r>
        <w:t>Lkb1</w:t>
      </w:r>
      <w:r>
        <w:t xml:space="preserve"> </w:t>
      </w:r>
      <w:r>
        <w:t>) promotes the development of cachexia in preclinical models of lung cancer. In an effort to improve caloric intake with an obesogenic high-fat diet, we paradoxically observed worsened cachexia-associated sickness. We found that local production of prostaglandin E2 (PGE</w:t>
      </w:r>
      <w:r>
        <w:rPr>
          <w:vertAlign w:val="subscript"/>
        </w:rPr>
        <w:t>2</w:t>
      </w:r>
      <w:r>
        <w:t>), rather than circulating factors, promotes sickness and that genetic, dietary, and pharmacological inhibition of tumor-derived PGE</w:t>
      </w:r>
      <w:r>
        <w:rPr>
          <w:vertAlign w:val="subscript"/>
        </w:rPr>
        <w:t>2</w:t>
      </w:r>
      <w:r>
        <w:t>suppresses sickness and cachexia. Notably, we demonstrate that lung sensory neuron abrogation prevents PGE</w:t>
      </w:r>
      <w:r>
        <w:rPr>
          <w:vertAlign w:val="subscript"/>
        </w:rPr>
        <w:t>2</w:t>
      </w:r>
      <w:r>
        <w:t>-dependent cachexia. Our study establishes localized tumor-derived signals to sensory neurons, rather than circulating factors, as drivers of cachexia and highlights a previously unknown role of the peripheral nervous system in cancer cachexia.</w:t>
      </w:r>
    </w:p>
    <w:p>
      <w:pPr>
        <w:spacing w:before="120" w:after="120"/>
      </w:pPr>
      <w:r>
        <w:rPr>
          <w:sz w:val="18"/>
        </w:rPr>
        <w:t>——————————————————————————————————————————————————————————————————————</w:t>
      </w:r>
    </w:p>
    <w:p>
      <w:pPr>
        <w:spacing w:before="160" w:after="40" w:line="240" w:lineRule="auto"/>
      </w:pPr>
      <w:r>
        <w:rPr>
          <w:b/>
        </w:rPr>
        <w:t xml:space="preserve">[554] </w:t>
      </w:r>
      <w:hyperlink r:id="rId1163">
        <w:r>
          <w:rPr>
            <w:color w:val="1155CC"/>
            <w:u w:val="single"/>
          </w:rPr>
          <w:t>表面免疫信号通过 mRNA 选择性剪接解锁 NLR 激活</w:t>
        </w:r>
      </w:hyperlink>
    </w:p>
    <w:p>
      <w:pPr>
        <w:spacing w:before="0" w:after="80"/>
      </w:pPr>
      <w:r>
        <w:rPr>
          <w:i/>
          <w:sz w:val="20"/>
        </w:rPr>
        <w:t>EN: Surface immune signaling unlocks NLR activation through mRNA alternative splicing</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64">
        <w:r>
          <w:rPr>
            <w:color w:val="1155CC"/>
            <w:u w:val="single"/>
          </w:rPr>
          <w:t>10.1126/science.adx9929</w:t>
        </w:r>
      </w:hyperlink>
    </w:p>
    <w:p>
      <w:pPr>
        <w:spacing w:before="0" w:after="120"/>
      </w:pPr>
      <w:r>
        <w:rPr>
          <w:b/>
        </w:rPr>
        <w:t xml:space="preserve">Notes: </w:t>
      </w:r>
      <w:r>
        <w:t>abstract_source=crossref</w:t>
      </w:r>
    </w:p>
    <w:p>
      <w:pPr>
        <w:spacing w:before="0" w:after="80" w:lineRule="auto" w:line="276"/>
      </w:pPr>
      <w:r>
        <w:rPr>
          <w:b/>
        </w:rPr>
        <w:t xml:space="preserve">摘要（ZH）: </w:t>
      </w:r>
      <w:r>
        <w:t>植物激活模式触发免疫（PTI）和效应触发免疫（ETI）来对抗病原体。然而，这些系统如何在预防自身免疫的同时协调免疫激活仍知之甚少。在这项研究中，我们发现了一种调节机制，其中表面免疫信号通过 mRNA 剪接解锁核苷酸结合富含亮氨酸重复序列 (NLR) 免疫受体的激活。我们在马铃薯晚疫病抗性蛋白 Rpi-vnt1.1 中发现了一个 N 末端前结构域，它可以抑制抗性体的形成，从而防止该 NLR 的潜在自动激活。在病原体感知后，PTI 信号传导诱导 Rpi-vnt1.1 mRNA 的选择性剪接，从而消除这种抑制元件。这为 Rpi-vnt1.1 的激活做好了准备</w:t>
      </w:r>
      <w:r>
        <w:t xml:space="preserve"> </w:t>
      </w:r>
      <w:r>
        <w:t>马铃薯晚疫病</w:t>
      </w:r>
      <w:r>
        <w:t xml:space="preserve"> </w:t>
      </w:r>
      <w:r>
        <w:t>效应子 AVRvnt1，实现抗性体组装和免疫信号传导。卷曲线圈型 NLR 中 N 端延伸的广泛保守性表明了一种共同的调节机制，可以防止潜在的自动激活，同时保持病原体敏感性。</w:t>
      </w:r>
    </w:p>
    <w:p>
      <w:pPr>
        <w:spacing w:before="0" w:after="200" w:lineRule="auto" w:line="276"/>
      </w:pPr>
      <w:r>
        <w:rPr>
          <w:b/>
        </w:rPr>
        <w:t xml:space="preserve">Abstract (EN): </w:t>
      </w:r>
      <w:r>
        <w:t>Plants activate pattern-triggered immunity (PTI) and effector-triggered immunity (ETI) to combat pathogens. However, how these systems coordinate immune activation while preventing autoimmunity remains poorly understood. In this study, we uncovered a regulatory mechanism in which surface immune signaling unlocks nucleotide-binding leucine-rich repeat (NLR) immune receptor activation through mRNA splicing. We identified an N-terminal prodomain in the potato late blight resistance protein Rpi-vnt1.1 that inhibits resistosome formation, preventing potential autoactivation of this NLR. Upon pathogen perception, PTI signaling induced alternative splicing of Rpi-vnt1.1 mRNA, removing this inhibitory element. This primed Rpi-vnt1.1 for activation by the</w:t>
      </w:r>
      <w:r>
        <w:t xml:space="preserve"> </w:t>
      </w:r>
      <w:r>
        <w:t>Phytophthora infestans</w:t>
      </w:r>
      <w:r>
        <w:t xml:space="preserve"> </w:t>
      </w:r>
      <w:r>
        <w:t>effector AVRvnt1, enabling resistosome assembly and immune signaling. The widespread conservation of N-terminal extensions in coiled coil–type NLRs points to a common regulatory mechanism in preventing potential autoactivation while preserving pathogen sensitivity.</w:t>
      </w:r>
    </w:p>
    <w:p>
      <w:pPr>
        <w:spacing w:before="120" w:after="120"/>
      </w:pPr>
      <w:r>
        <w:rPr>
          <w:sz w:val="18"/>
        </w:rPr>
        <w:t>——————————————————————————————————————————————————————————————————————</w:t>
      </w:r>
    </w:p>
    <w:p>
      <w:pPr>
        <w:spacing w:before="160" w:after="40" w:line="240" w:lineRule="auto"/>
      </w:pPr>
      <w:r>
        <w:rPr>
          <w:b/>
        </w:rPr>
        <w:t xml:space="preserve">[555] </w:t>
      </w:r>
      <w:hyperlink r:id="rId1165">
        <w:r>
          <w:rPr>
            <w:color w:val="1155CC"/>
            <w:u w:val="single"/>
          </w:rPr>
          <w:t>动态轨道角动量驱动的反铁磁体 CoO 中的轨道磁阻</w:t>
        </w:r>
      </w:hyperlink>
    </w:p>
    <w:p>
      <w:pPr>
        <w:spacing w:before="0" w:after="80"/>
      </w:pPr>
      <w:r>
        <w:rPr>
          <w:i/>
          <w:sz w:val="20"/>
        </w:rPr>
        <w:t>EN: Orbital magnetoresistance in the antiferromagnet CoO driven by dynamic orbital angular momentum</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66">
        <w:r>
          <w:rPr>
            <w:color w:val="1155CC"/>
            <w:u w:val="single"/>
          </w:rPr>
          <w:t>10.1126/science.adw1808</w:t>
        </w:r>
      </w:hyperlink>
    </w:p>
    <w:p>
      <w:pPr>
        <w:spacing w:before="0" w:after="120"/>
      </w:pPr>
      <w:r>
        <w:rPr>
          <w:b/>
        </w:rPr>
        <w:t xml:space="preserve">Notes: </w:t>
      </w:r>
      <w:r>
        <w:t>abstract_source=crossref</w:t>
      </w:r>
    </w:p>
    <w:p>
      <w:pPr>
        <w:spacing w:before="0" w:after="80" w:lineRule="auto" w:line="276"/>
      </w:pPr>
      <w:r>
        <w:rPr>
          <w:b/>
        </w:rPr>
        <w:t xml:space="preserve">摘要（ZH）: </w:t>
      </w:r>
      <w:r>
        <w:t>最近关于轨道电流效应比自旋电流大几个数量级的预测引起了人们极大的兴趣。然而，轨道电流必须首先转换为自旋电流，以与传统磁体中由自旋角动量主导的静态磁化强度相互作用。通过使用以轨道角动量 (OAM) 为主的磁体，我们证明了二氧化钴/铜 (CoO/Cu*) 中的轨道霍尔磁阻比二氧化钴/铂 (CoO/Pt) 中的自旋霍尔磁阻增强了 70 倍。这是由表面氧化 Cu* 的动态 OAM 与反铁磁绝缘体 CoO 中的静态 OAM 之间的相互作用引起的。我们的结果表明，通过使用 OAM 主导的材料，我们可以利用传统的自旋主导磁体无法实现的巨大轨道电流的优势。</w:t>
      </w:r>
    </w:p>
    <w:p>
      <w:pPr>
        <w:spacing w:before="0" w:after="200" w:lineRule="auto" w:line="276"/>
      </w:pPr>
      <w:r>
        <w:rPr>
          <w:b/>
        </w:rPr>
        <w:t xml:space="preserve">Abstract (EN): </w:t>
      </w:r>
      <w:r>
        <w:t>Recent predictions of orders of magnitude larger orbital current effects compared with spin currents have attracted considerable interest. However, orbital currents must first be converted into spin currents to interact with the static magnetization dominated by spin angular momentum in conventional magnets. By using a magnet dominated by orbital angular momentum (OAM), we demonstrate a 70-fold enhancement in orbital Hall magnetoresistance in cobalt II oxide/copper (CoO/Cu*), compared with spin Hall magnetoresistance in cobalt II oxide/platinum (CoO/Pt). This arises from interactions between dynamic OAM from surface-oxidized Cu* and static OAM in the antiferromagnetic insulator CoO. Our results show how by using OAM-dominated materials, we can harness the benefits of giant orbital currents that have not been possible using conventional spin-dominated magnets.</w:t>
      </w:r>
    </w:p>
    <w:p>
      <w:pPr>
        <w:spacing w:before="120" w:after="120"/>
      </w:pPr>
      <w:r>
        <w:rPr>
          <w:sz w:val="18"/>
        </w:rPr>
        <w:t>——————————————————————————————————————————————————————————————————————</w:t>
      </w:r>
    </w:p>
    <w:p>
      <w:pPr>
        <w:spacing w:before="160" w:after="40" w:line="240" w:lineRule="auto"/>
      </w:pPr>
      <w:r>
        <w:rPr>
          <w:b/>
        </w:rPr>
        <w:t xml:space="preserve">[556] </w:t>
      </w:r>
      <w:hyperlink r:id="rId1167">
        <w:r>
          <w:rPr>
            <w:color w:val="1155CC"/>
            <w:u w:val="single"/>
          </w:rPr>
          <w:t>在量子处理器上使用 (2+1)D 晶格规范理论观察无序定位</w:t>
        </w:r>
      </w:hyperlink>
    </w:p>
    <w:p>
      <w:pPr>
        <w:spacing w:before="0" w:after="80"/>
      </w:pPr>
      <w:r>
        <w:rPr>
          <w:i/>
          <w:sz w:val="20"/>
        </w:rPr>
        <w:t>EN: Observation of disorder-free localization using a (2+1)D lattice gauge theory on a quantum processor</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68">
        <w:r>
          <w:rPr>
            <w:color w:val="1155CC"/>
            <w:u w:val="single"/>
          </w:rPr>
          <w:t>10.1126/science.adr9680</w:t>
        </w:r>
      </w:hyperlink>
    </w:p>
    <w:p>
      <w:pPr>
        <w:spacing w:before="0" w:after="120"/>
      </w:pPr>
      <w:r>
        <w:rPr>
          <w:b/>
        </w:rPr>
        <w:t xml:space="preserve">Notes: </w:t>
      </w:r>
      <w:r>
        <w:t>abstract_source=crossref</w:t>
      </w:r>
    </w:p>
    <w:p>
      <w:pPr>
        <w:spacing w:before="0" w:after="80" w:lineRule="auto" w:line="276"/>
      </w:pPr>
      <w:r>
        <w:rPr>
          <w:b/>
        </w:rPr>
        <w:t xml:space="preserve">摘要（ZH）: </w:t>
      </w:r>
      <w:r>
        <w:t>量子多体系统中的无序诱发现象对相关时间和系统尺度的分析和数值方法提出了挑战。为了降低无序采样的成本，我们研究了在所有无序配置上形成可调叠加的状态下初始化的量子电路，这在晶格规范理论中可以解释为规范扇区上的叠加。在实验可访问的时间尺度上，我们观察到在一维和二维没有无序的情况下的局域化：尽管完全无序进化和初始状态，扰动未能扩散。然而，熵测量表明，叠加准备的状态与直接无序采样获得的状态根本不同。利用叠加，我们提出了一种在采样无序配置中具有多项式加速的算法，这是多体定位研究中长期存在的挑战。</w:t>
      </w:r>
    </w:p>
    <w:p>
      <w:pPr>
        <w:spacing w:before="0" w:after="200" w:lineRule="auto" w:line="276"/>
      </w:pPr>
      <w:r>
        <w:rPr>
          <w:b/>
        </w:rPr>
        <w:t xml:space="preserve">Abstract (EN): </w:t>
      </w:r>
      <w:r>
        <w:t>Disorder-induced phenomena in quantum many-body systems pose a challenge for analytical and numerical approaches at relevant time and system scales. To reduce the cost of disorder sampling, we investigated quantum circuits initialized in states that form tunable superpositions over all disorder configurations, which in lattice gauge theories can be interpreted as superpositions over gauge sectors. On the experimentally accessible timescales, we observed localization in the absence of disorder in one and two dimensions: Perturbations failed to diffuse despite fully disorder-free evolution and initial states. However, entropy measurements revealed that superposition-prepared states fundamentally differ from those obtained by direct disorder sampling. Leveraging superposition, we propose an algorithm with a polynomial speedup in sampling disorder configurations, a long-standing challenge in many-body localization studies.</w:t>
      </w:r>
    </w:p>
    <w:p>
      <w:pPr>
        <w:spacing w:before="120" w:after="120"/>
      </w:pPr>
      <w:r>
        <w:rPr>
          <w:sz w:val="18"/>
        </w:rPr>
        <w:t>——————————————————————————————————————————————————————————————————————</w:t>
      </w:r>
    </w:p>
    <w:p>
      <w:pPr>
        <w:spacing w:before="160" w:after="40" w:line="240" w:lineRule="auto"/>
      </w:pPr>
      <w:r>
        <w:rPr>
          <w:b/>
        </w:rPr>
        <w:t xml:space="preserve">[557] </w:t>
      </w:r>
      <w:hyperlink r:id="rId1169">
        <w:r>
          <w:rPr>
            <w:color w:val="1155CC"/>
            <w:u w:val="single"/>
          </w:rPr>
          <w:t>美国科学250周年</w:t>
        </w:r>
      </w:hyperlink>
    </w:p>
    <w:p>
      <w:pPr>
        <w:spacing w:before="0" w:after="80"/>
      </w:pPr>
      <w:r>
        <w:rPr>
          <w:i/>
          <w:sz w:val="20"/>
        </w:rPr>
        <w:t>EN: American science at 250</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70">
        <w:r>
          <w:rPr>
            <w:color w:val="1155CC"/>
            <w:u w:val="single"/>
          </w:rPr>
          <w:t>10.1126/science.aej4833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[558] </w:t>
      </w:r>
      <w:hyperlink r:id="rId1171">
        <w:r>
          <w:rPr>
            <w:color w:val="1155CC"/>
            <w:u w:val="single"/>
          </w:rPr>
          <w:t>在其他期刊中</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2026-07-02 06:00:12+00:00</w:t>
      </w:r>
      <w:r>
        <w:t xml:space="preserve">    </w:t>
      </w:r>
      <w:r>
        <w:rPr>
          <w:b/>
        </w:rPr>
        <w:t xml:space="preserve">DOI: </w:t>
      </w:r>
      <w:hyperlink r:id="rId1172">
        <w:r>
          <w:rPr>
            <w:color w:val="1155CC"/>
            <w:u w:val="single"/>
          </w:rPr>
          <w:t>10.1126/science.aek1434</w:t>
        </w:r>
      </w:hyperlink>
    </w:p>
    <w:p>
      <w:pPr>
        <w:spacing w:before="0" w:after="120"/>
      </w:pPr>
      <w:r>
        <w:rPr>
          <w:b/>
        </w:rPr>
        <w:t xml:space="preserve">Notes: </w:t>
      </w:r>
      <w:r>
        <w:t>abstract_source=crossref</w:t>
      </w:r>
    </w:p>
    <w:p>
      <w:pPr>
        <w:spacing w:before="0" w:after="80" w:lineRule="auto" w:line="276"/>
      </w:pPr>
      <w:r>
        <w:rPr>
          <w:b/>
        </w:rPr>
        <w:t xml:space="preserve">摘要（ZH）: </w:t>
      </w:r>
      <w:r>
        <w:t>编辑精选当前科学文献</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[559] </w:t>
      </w:r>
      <w:hyperlink r:id="rId1173">
        <w:r>
          <w:rPr>
            <w:color w:val="1155CC"/>
            <w:u w:val="single"/>
          </w:rPr>
          <w:t>研究文章“热浪期间检测超分子有机纳米粒子”的勘误</w:t>
        </w:r>
      </w:hyperlink>
    </w:p>
    <w:p>
      <w:pPr>
        <w:spacing w:before="0" w:after="80"/>
      </w:pPr>
      <w:r>
        <w:rPr>
          <w:i/>
          <w:sz w:val="20"/>
        </w:rPr>
        <w:t>EN: Erratum for the Research Article “Detecting supramolecular organic nanoparticles during heat wave”</w:t>
      </w:r>
    </w:p>
    <w:p>
      <w:pPr>
        <w:spacing w:before="0" w:after="120"/>
      </w:pPr>
      <w:r>
        <w:rPr>
          <w:b/>
        </w:rPr>
        <w:t xml:space="preserve">Source: </w:t>
      </w:r>
      <w:r>
        <w:t>AAAS: Science: Table of Contents</w:t>
      </w:r>
      <w:r>
        <w:t xml:space="preserve">    </w:t>
      </w:r>
      <w:r>
        <w:rPr>
          <w:b/>
        </w:rPr>
        <w:t xml:space="preserve">Pub date: </w:t>
      </w:r>
      <w:r>
        <w:t>2026-07-02 07:00:00+00:00</w:t>
      </w:r>
      <w:r>
        <w:t xml:space="preserve">    </w:t>
      </w:r>
      <w:r>
        <w:rPr>
          <w:b/>
        </w:rPr>
        <w:t xml:space="preserve">DOI: </w:t>
      </w:r>
      <w:hyperlink r:id="rId1174">
        <w:r>
          <w:rPr>
            <w:color w:val="1155CC"/>
            <w:u w:val="single"/>
          </w:rPr>
          <w:t>10.1126/science.aej7556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[560] </w:t>
      </w:r>
      <w:hyperlink r:id="rId1175">
        <w:r>
          <w:rPr>
            <w:color w:val="1155CC"/>
            <w:u w:val="single"/>
          </w:rPr>
          <w:t>PIEZO1 的分区机械传感控制肝脏再生</w:t>
        </w:r>
      </w:hyperlink>
    </w:p>
    <w:p>
      <w:pPr>
        <w:spacing w:before="0" w:after="80"/>
      </w:pPr>
      <w:r>
        <w:rPr>
          <w:i/>
          <w:sz w:val="20"/>
        </w:rPr>
        <w:t>EN: Zonated mechanosensing by PIEZO1 controls liver regeneration</w:t>
      </w:r>
    </w:p>
    <w:p>
      <w:pPr>
        <w:spacing w:before="0" w:after="120"/>
      </w:pPr>
      <w:r>
        <w:rPr>
          <w:b/>
        </w:rPr>
        <w:t xml:space="preserve">Source: </w:t>
      </w:r>
      <w:r>
        <w:t>AAAS: Science: Table of Contents</w:t>
      </w:r>
      <w:r>
        <w:t xml:space="preserve">    </w:t>
      </w:r>
      <w:r>
        <w:rPr>
          <w:b/>
        </w:rPr>
        <w:t xml:space="preserve">Pub date: </w:t>
      </w:r>
      <w:r>
        <w:t>2026-07-02 07:00:00+00:00</w:t>
      </w:r>
      <w:r>
        <w:t xml:space="preserve">    </w:t>
      </w:r>
      <w:r>
        <w:rPr>
          <w:b/>
        </w:rPr>
        <w:t xml:space="preserve">DOI: </w:t>
      </w:r>
      <w:hyperlink r:id="rId1176">
        <w:r>
          <w:rPr>
            <w:color w:val="1155CC"/>
            <w:u w:val="single"/>
          </w:rPr>
          <w:t>10.1126/science.aef0825</w:t>
        </w:r>
      </w:hyperlink>
    </w:p>
    <w:p>
      <w:pPr>
        <w:spacing w:before="0" w:after="120"/>
      </w:pPr>
      <w:r>
        <w:rPr>
          <w:b/>
        </w:rPr>
        <w:t xml:space="preserve">Notes: </w:t>
      </w:r>
      <w:r>
        <w:t>abstract_source=crossref</w:t>
      </w:r>
    </w:p>
    <w:p>
      <w:pPr>
        <w:spacing w:before="0" w:after="80" w:lineRule="auto" w:line="276"/>
      </w:pPr>
      <w:r>
        <w:rPr>
          <w:b/>
        </w:rPr>
        <w:t xml:space="preserve">摘要（ZH）: </w:t>
      </w:r>
      <w:r>
        <w:t>肝脏通过不同的区域组织起来表现出显着的再生能力，但组织力学如何协调分区增殖仍然难以捉摸。我们发现，机械信号通过中小叶肝细胞亚群的感知，以高度区域特异性的方式对小鼠肝脏再生做出关键贡献，中小叶肝细胞亚群的特征是二肽基肽酶-4（DPP4）表达，代表肝细胞的关键增殖池。 PIEZO1 是富含 2 区 DPP4 的主要机械传感器</w:t>
      </w:r>
      <w:r>
        <w:t xml:space="preserve"> </w:t>
      </w:r>
      <w:r>
        <w:t>+</w:t>
      </w:r>
      <w:r>
        <w:t xml:space="preserve"> </w:t>
      </w:r>
      <w:r>
        <w:t>肝细胞整合生物力学线索，通过胰岛素样生长因子结合蛋白 2 (IGFBP2) 驱动肝脏再生。 PIEZO1 的基因破坏会抑制肝细胞增殖并损害肝再生，而分区的 PIEZO1 功能增强会增强增殖并加速恢复。这些发现表明 DPP4</w:t>
      </w:r>
      <w:r>
        <w:t xml:space="preserve"> </w:t>
      </w:r>
      <w:r>
        <w:t>+</w:t>
      </w:r>
      <w:r>
        <w:t xml:space="preserve"> </w:t>
      </w:r>
      <w:r>
        <w:t>机械敏感肝细胞通过 PIEZO1 介导的机械传感协调肝脏再生，在组织力学和肝脏再生之间建立联系。</w:t>
      </w:r>
    </w:p>
    <w:p>
      <w:pPr>
        <w:spacing w:before="0" w:after="200" w:lineRule="auto" w:line="276"/>
      </w:pPr>
      <w:r>
        <w:rPr>
          <w:b/>
        </w:rPr>
        <w:t xml:space="preserve">Abstract (EN): </w:t>
      </w:r>
      <w:r>
        <w:t>The liver exhibits a marked regenerative capacity organized through distinct zones, yet how tissue mechanics coordinate zonated proliferation remains elusive. We reveal that mechanical cues critically contribute to mouse liver regeneration in a highly region-specific manner through sensing by a subpopulation of mid-lobular hepatocytes, which are characterized by dipeptidyl peptidase-4 (DPP4) expression and represent the key proliferative pool of hepatocytes. PIEZO1 is a primary mechanosensor enriched in zone 2 DPP4</w:t>
      </w:r>
      <w:r>
        <w:t xml:space="preserve"> </w:t>
      </w:r>
      <w:r>
        <w:t>+</w:t>
      </w:r>
      <w:r>
        <w:t xml:space="preserve"> </w:t>
      </w:r>
      <w:r>
        <w:t>hepatocytes that integrates biomechanical cues to drive liver regrowth by insulin-like growth factor binding protein 2 (IGFBP2). Genetic disruption of PIEZO1 restrains hepatocyte proliferation and compromises liver regeneration, whereas zonated PIEZO1 gain of function enhances proliferation and accelerates recovery. These findings reveal that DPP4</w:t>
      </w:r>
      <w:r>
        <w:t xml:space="preserve"> </w:t>
      </w:r>
      <w:r>
        <w:t>+</w:t>
      </w:r>
      <w:r>
        <w:t xml:space="preserve"> </w:t>
      </w:r>
      <w:r>
        <w:t>mechanosensitive hepatocytes orchestrate liver regrowth through PIEZO1-mediated mechanosensing, establishing a link between tissue mechanics and liver regeneration.</w:t>
      </w:r>
    </w:p>
    <w:p>
      <w:pPr>
        <w:spacing w:before="120" w:after="120"/>
      </w:pPr>
      <w:r>
        <w:rPr>
          <w:sz w:val="18"/>
        </w:rPr>
        <w:t>——————————————————————————————————————————————————————————————————————</w:t>
      </w:r>
    </w:p>
    <w:p>
      <w:pPr>
        <w:spacing w:before="160" w:after="40" w:line="240" w:lineRule="auto"/>
      </w:pPr>
      <w:r>
        <w:rPr>
          <w:b/>
        </w:rPr>
        <w:t xml:space="preserve">[561] </w:t>
      </w:r>
      <w:hyperlink r:id="rId1177">
        <w:r>
          <w:rPr>
            <w:color w:val="1155CC"/>
            <w:u w:val="single"/>
          </w:rPr>
          <w:t>大陆破裂驱动的隆升促使东南部冰盖形成</w:t>
        </w:r>
      </w:hyperlink>
    </w:p>
    <w:p>
      <w:pPr>
        <w:spacing w:before="0" w:after="80"/>
      </w:pPr>
      <w:r>
        <w:rPr>
          <w:i/>
          <w:sz w:val="20"/>
        </w:rPr>
        <w:t>EN: Continental breakup–driven uplift instigated East Antarctic Ice Sheet formation</w:t>
      </w:r>
    </w:p>
    <w:p>
      <w:pPr>
        <w:spacing w:before="0" w:after="120"/>
      </w:pPr>
      <w:r>
        <w:rPr>
          <w:b/>
        </w:rPr>
        <w:t xml:space="preserve">Source: </w:t>
      </w:r>
      <w:r>
        <w:t>AAAS: Science: Table of Contents</w:t>
      </w:r>
      <w:r>
        <w:t xml:space="preserve">    </w:t>
      </w:r>
      <w:r>
        <w:rPr>
          <w:b/>
        </w:rPr>
        <w:t xml:space="preserve">Pub date: </w:t>
      </w:r>
      <w:r>
        <w:t>2026-07-02 07:00:00+00:00</w:t>
      </w:r>
      <w:r>
        <w:t xml:space="preserve">    </w:t>
      </w:r>
      <w:r>
        <w:rPr>
          <w:b/>
        </w:rPr>
        <w:t xml:space="preserve">DOI: </w:t>
      </w:r>
      <w:hyperlink r:id="rId1178">
        <w:r>
          <w:rPr>
            <w:color w:val="1155CC"/>
            <w:u w:val="single"/>
          </w:rPr>
          <w:t>10.1126/science.adz6758</w:t>
        </w:r>
      </w:hyperlink>
    </w:p>
    <w:p>
      <w:pPr>
        <w:spacing w:before="0" w:after="120"/>
      </w:pPr>
      <w:r>
        <w:rPr>
          <w:b/>
        </w:rPr>
        <w:t xml:space="preserve">Notes: </w:t>
      </w:r>
      <w:r>
        <w:t>abstract_source=crossref</w:t>
      </w:r>
    </w:p>
    <w:p>
      <w:pPr>
        <w:spacing w:before="0" w:after="80" w:lineRule="auto" w:line="276"/>
      </w:pPr>
      <w:r>
        <w:rPr>
          <w:b/>
        </w:rPr>
        <w:t xml:space="preserve">摘要（ZH）: </w:t>
      </w:r>
      <w:r>
        <w:t>为什么南极洲在大约 3400 万年前（Ma）变成冰川仍然存在争议，因为相对温暖的气候和海水温度似乎与冰盖的形成不一致。尽管二氧化碳排放量大幅下降</w:t>
      </w:r>
      <w:r>
        <w:rPr>
          <w:vertAlign w:val="subscript"/>
        </w:rPr>
        <w:t>2</w:t>
      </w:r>
      <w:r>
        <w:t>被认为是主要责任，但有证据表明其他因素也很重要。我们研究了源于侏罗纪大陆破裂和地幔表面反馈的区域地形隆升是否使东南极冰盖（EAIS）成核。通过将地球动力学地形模型与冰盖和能量平衡模型相结合，我们发现东南极洲高原的渐进生长，包括始新世甘布尔采夫山脉的隆升，将地貌推高至冰盖成核阈值~45 Ma。抬升使 EAIS 在比预期更温暖的气候下生长，在早期冰川作用中产生半球不对称，并使渐新世极地温暖与现代冰室世界的开始相协调。</w:t>
      </w:r>
    </w:p>
    <w:p>
      <w:pPr>
        <w:spacing w:before="0" w:after="200" w:lineRule="auto" w:line="276"/>
      </w:pPr>
      <w:r>
        <w:rPr>
          <w:b/>
        </w:rPr>
        <w:t xml:space="preserve">Abstract (EN): </w:t>
      </w:r>
      <w:r>
        <w:t>Why Antarctica became glaciated ∼34 million years ago (Ma) remains debated, as relatively warm climates and sea temperatures appear inconsistent with ice sheet formation. Although a critical decline in CO</w:t>
      </w:r>
      <w:r>
        <w:rPr>
          <w:vertAlign w:val="subscript"/>
        </w:rPr>
        <w:t>2</w:t>
      </w:r>
      <w:r>
        <w:t>is considered primarily responsible, evidence suggests that other factors were important, too. We investigated whether regional topographic uplift, rooted in Jurassic continental breakup and mantle-surface feedbacks, enabled nucleation of the East Antarctic Ice Sheet (EAIS). By integrating geodynamic-topographic models with ice sheet and energy balance models, we show that progressive plateau growth in East Antarctica, including Eocene uplift of the Gamburtsev Mountains, pushed landscapes above the threshold for ice sheet nucleation by ∼45 Ma. Uplift enabled EAIS growth under warmer-than-expected climates, producing hemispheric asymmetry in early glaciation and reconciling Oligocene polar warmth with the onset of the modern icehouse world.</w:t>
      </w:r>
    </w:p>
    <w:p>
      <w:pPr>
        <w:spacing w:before="120" w:after="120"/>
      </w:pPr>
      <w:r>
        <w:rPr>
          <w:sz w:val="18"/>
        </w:rPr>
        <w:t>——————————————————————————————————————————————————————————————————————</w:t>
      </w:r>
    </w:p>
    <w:p>
      <w:pPr>
        <w:spacing w:before="160" w:after="40" w:line="240" w:lineRule="auto"/>
      </w:pPr>
      <w:r>
        <w:rPr>
          <w:b/>
        </w:rPr>
        <w:t xml:space="preserve">[562] </w:t>
      </w:r>
      <w:hyperlink r:id="rId1179">
        <w:r>
          <w:rPr>
            <w:color w:val="1155CC"/>
            <w:u w:val="single"/>
          </w:rPr>
          <w:t>使用从头设计的蛋白质溶解膜蛋白质并确定结构</w:t>
        </w:r>
      </w:hyperlink>
    </w:p>
    <w:p>
      <w:pPr>
        <w:spacing w:before="0" w:after="80"/>
      </w:pPr>
      <w:r>
        <w:rPr>
          <w:i/>
          <w:sz w:val="20"/>
        </w:rPr>
        <w:t>EN: Membrane protein solubilization and structure determination using de novo–designed proteins</w:t>
      </w:r>
    </w:p>
    <w:p>
      <w:pPr>
        <w:spacing w:before="0" w:after="120"/>
      </w:pPr>
      <w:r>
        <w:rPr>
          <w:b/>
        </w:rPr>
        <w:t xml:space="preserve">Source: </w:t>
      </w:r>
      <w:r>
        <w:t>AAAS: Science: Table of Contents</w:t>
      </w:r>
      <w:r>
        <w:t xml:space="preserve">    </w:t>
      </w:r>
      <w:r>
        <w:rPr>
          <w:b/>
        </w:rPr>
        <w:t xml:space="preserve">Pub date: </w:t>
      </w:r>
      <w:r>
        <w:t>2026-07-02 07:00:00+00:00</w:t>
      </w:r>
      <w:r>
        <w:t xml:space="preserve">    </w:t>
      </w:r>
      <w:r>
        <w:rPr>
          <w:b/>
        </w:rPr>
        <w:t xml:space="preserve">DOI: </w:t>
      </w:r>
      <w:hyperlink r:id="rId1180">
        <w:r>
          <w:rPr>
            <w:color w:val="1155CC"/>
            <w:u w:val="single"/>
          </w:rPr>
          <w:t>10.1126/science.adr3817</w:t>
        </w:r>
      </w:hyperlink>
    </w:p>
    <w:p>
      <w:pPr>
        <w:spacing w:before="0" w:after="120"/>
      </w:pPr>
      <w:r>
        <w:rPr>
          <w:b/>
        </w:rPr>
        <w:t xml:space="preserve">Notes: </w:t>
      </w:r>
      <w:r>
        <w:t>abstract_source=crossref</w:t>
      </w:r>
    </w:p>
    <w:p>
      <w:pPr>
        <w:spacing w:before="0" w:after="80" w:lineRule="auto" w:line="276"/>
      </w:pPr>
      <w:r>
        <w:rPr>
          <w:b/>
        </w:rPr>
        <w:t xml:space="preserve">摘要（ZH）: </w:t>
      </w:r>
      <w:r>
        <w:t>整合膜蛋白广泛的疏水性表面阻碍了针对整合膜蛋白的疗法和疫苗的开发，这使得生产和结构分析变得复杂。在这里，我们描述了一种基于深度学习的通用设计方法，用于溶解天然膜蛋白，同时保留其序列、折叠、活性位点和配体结合特性。基因编码的从头蛋白 WRAP（水溶性 RF 扩散两亲蛋白）围绕脂质相互作用的疏水表面，使其具有热稳定性和水溶性，无需洗涤剂。我们为单体和寡聚β-桶外膜蛋白以及螺旋多次跨膜蛋白设计WRAP。 WRAP 分枝杆菌孔蛋白的 2.95 埃分辨率冷冻电子显微镜结构表明，WRAP 可用于溶液中膜蛋白的结构测定。作为梅毒疫苗开发的一步，我们生成了可溶版本</w:t>
      </w:r>
      <w:r>
        <w:t xml:space="preserve"> </w:t>
      </w:r>
      <w:r>
        <w:t>梅毒螺旋体</w:t>
      </w:r>
      <w:r>
        <w:t xml:space="preserve"> </w:t>
      </w:r>
      <w:r>
        <w:t>抗原。</w:t>
      </w:r>
    </w:p>
    <w:p>
      <w:pPr>
        <w:spacing w:before="0" w:after="200" w:lineRule="auto" w:line="276"/>
      </w:pPr>
      <w:r>
        <w:rPr>
          <w:b/>
        </w:rPr>
        <w:t xml:space="preserve">Abstract (EN): </w:t>
      </w:r>
      <w:r>
        <w:t>Developing therapies and vaccines against integral membrane proteins is hindered by their extensive hydrophobic surfaces, which complicate production and structural analysis. Here, we describe a general deep learning–based design approach for solubilizing native membrane proteins while preserving their sequence, fold, active-site, and ligand-binding properties. Genetically encoded de novo protein WRAPs [water-soluble RFdiffused amphipathic proteins] surround the lipid-interacting hydrophobic surfaces, rendering them thermostable and water-soluble without the need for detergents. We design WRAPs for both monomeric and oligomeric beta-barrel outer membrane proteins and helical multipass transmembrane proteins. A 2.95-angstrom-resolution cryo–electron microscopy structure of WRAPed mycobacterial porin demonstrates that WRAPs can be used for the structural determination of membrane proteins in solution. As a step toward syphilis vaccine development, we generated soluble versions of</w:t>
      </w:r>
      <w:r>
        <w:t xml:space="preserve"> </w:t>
      </w:r>
      <w:r>
        <w:t>Treponema pallidum</w:t>
      </w:r>
      <w:r>
        <w:t xml:space="preserve"> </w:t>
      </w:r>
      <w:r>
        <w:t>antigens.</w:t>
      </w:r>
    </w:p>
    <w:p>
      <w:pPr>
        <w:spacing w:before="120" w:after="120"/>
      </w:pPr>
      <w:r>
        <w:rPr>
          <w:sz w:val="18"/>
        </w:rPr>
        <w:t>——————————————————————————————————————————————————————————————————————</w:t>
      </w:r>
    </w:p>
    <w:p>
      <w:pPr>
        <w:spacing w:before="160" w:after="40" w:line="240" w:lineRule="auto"/>
      </w:pPr>
      <w:r>
        <w:rPr>
          <w:b/>
        </w:rPr>
        <w:t xml:space="preserve">[563] </w:t>
      </w:r>
      <w:hyperlink r:id="rId1181">
        <w:r>
          <w:rPr>
            <w:color w:val="1155CC"/>
            <w:u w:val="single"/>
          </w:rPr>
          <w:t>ILC2 调节胰腺中的成纤维细胞祖细胞生态位</w:t>
        </w:r>
      </w:hyperlink>
    </w:p>
    <w:p>
      <w:pPr>
        <w:spacing w:before="0" w:after="80"/>
      </w:pPr>
      <w:r>
        <w:rPr>
          <w:i/>
          <w:sz w:val="20"/>
        </w:rPr>
        <w:t>EN: ILC2s regulate a fibroblast progenitor niche in the pancreas</w:t>
      </w:r>
    </w:p>
    <w:p>
      <w:pPr>
        <w:spacing w:before="0" w:after="120"/>
      </w:pPr>
      <w:r>
        <w:rPr>
          <w:b/>
        </w:rPr>
        <w:t xml:space="preserve">Source: </w:t>
      </w:r>
      <w:r>
        <w:t>AAAS: Science: Table of Contents</w:t>
      </w:r>
      <w:r>
        <w:t xml:space="preserve">    </w:t>
      </w:r>
      <w:r>
        <w:rPr>
          <w:b/>
        </w:rPr>
        <w:t xml:space="preserve">Pub date: </w:t>
      </w:r>
      <w:r>
        <w:t>2026-07-02 07:00:00+00:00</w:t>
      </w:r>
      <w:r>
        <w:t xml:space="preserve">    </w:t>
      </w:r>
      <w:r>
        <w:rPr>
          <w:b/>
        </w:rPr>
        <w:t xml:space="preserve">DOI: </w:t>
      </w:r>
      <w:hyperlink r:id="rId1182">
        <w:r>
          <w:rPr>
            <w:color w:val="1155CC"/>
            <w:u w:val="single"/>
          </w:rPr>
          <w:t>10.1126/science.aea5113</w:t>
        </w:r>
      </w:hyperlink>
    </w:p>
    <w:p>
      <w:pPr>
        <w:spacing w:before="0" w:after="120"/>
      </w:pPr>
      <w:r>
        <w:rPr>
          <w:b/>
        </w:rPr>
        <w:t xml:space="preserve">Notes: </w:t>
      </w:r>
      <w:r>
        <w:t>abstract_source=crossref</w:t>
      </w:r>
    </w:p>
    <w:p>
      <w:pPr>
        <w:spacing w:before="0" w:after="80" w:lineRule="auto" w:line="276"/>
      </w:pPr>
      <w:r>
        <w:rPr>
          <w:b/>
        </w:rPr>
        <w:t xml:space="preserve">摘要（ZH）: </w:t>
      </w:r>
      <w:r>
        <w:t>局部成纤维细胞的发育和密度影响器官的健康和疾病，尽管目前尚不清楚组织成纤维细胞的形态是如何在原位控制的。在这里，我们将第 2 组先天淋巴细胞 (ILC2) 定义为胰腺成纤维细胞稳态的关键调节因子。 ILC2 与表达基因的成纤维细胞共定位</w:t>
      </w:r>
      <w:r>
        <w:t xml:space="preserve"> </w:t>
      </w:r>
      <w:r>
        <w:t>Pi16</w:t>
      </w:r>
      <w:r>
        <w:t xml:space="preserve"> </w:t>
      </w:r>
      <w:r>
        <w:t>+</w:t>
      </w:r>
      <w:r>
        <w:t xml:space="preserve"> </w:t>
      </w:r>
      <w:r>
        <w:t>DPP4</w:t>
      </w:r>
      <w:r>
        <w:t xml:space="preserve"> </w:t>
      </w:r>
      <w:r>
        <w:t>+</w:t>
      </w:r>
      <w:r>
        <w:t xml:space="preserve"> </w:t>
      </w:r>
      <w:r>
        <w:t>ly6c</w:t>
      </w:r>
      <w:r>
        <w:t xml:space="preserve"> </w:t>
      </w:r>
      <w:r>
        <w:t>+</w:t>
      </w:r>
      <w:r>
        <w:t xml:space="preserve"> </w:t>
      </w:r>
      <w:r>
        <w:t>位于外分泌胰腺的间质壁龛中，包裹着器官实质。 ILC2专门调节</w:t>
      </w:r>
      <w:r>
        <w:t xml:space="preserve"> </w:t>
      </w:r>
      <w:r>
        <w:t>Pi16</w:t>
      </w:r>
      <w:r>
        <w:t xml:space="preserve"> </w:t>
      </w:r>
      <w:r>
        <w:t>+</w:t>
      </w:r>
      <w:r>
        <w:t xml:space="preserve"> </w:t>
      </w:r>
      <w:r>
        <w:t>DPP4</w:t>
      </w:r>
      <w:r>
        <w:t xml:space="preserve"> </w:t>
      </w:r>
      <w:r>
        <w:t>+</w:t>
      </w:r>
      <w:r>
        <w:t xml:space="preserve"> </w:t>
      </w:r>
      <w:r>
        <w:t>ly6c</w:t>
      </w:r>
      <w:r>
        <w:t xml:space="preserve"> </w:t>
      </w:r>
      <w:r>
        <w:t>+</w:t>
      </w:r>
      <w:r>
        <w:t xml:space="preserve"> </w:t>
      </w:r>
      <w:r>
        <w:t>成纤维细胞，具有祖细胞能力，同时抑制实质内的分化</w:t>
      </w:r>
      <w:r>
        <w:t xml:space="preserve"> </w:t>
      </w:r>
      <w:r>
        <w:t>Col15a1</w:t>
      </w:r>
      <w:r>
        <w:t xml:space="preserve"> </w:t>
      </w:r>
      <w:r>
        <w:t>+</w:t>
      </w:r>
      <w:r>
        <w:t xml:space="preserve"> </w:t>
      </w:r>
      <w:r>
        <w:t>炎症期间的成纤维细胞。这些回路增强了损伤后成纤维细胞的数量，并设定了炎症阈值。 ILC2 和</w:t>
      </w:r>
      <w:r>
        <w:t xml:space="preserve"> </w:t>
      </w:r>
      <w:r>
        <w:t>Pi16</w:t>
      </w:r>
      <w:r>
        <w:t xml:space="preserve"> </w:t>
      </w:r>
      <w:r>
        <w:t>+</w:t>
      </w:r>
      <w:r>
        <w:t xml:space="preserve"> </w:t>
      </w:r>
      <w:r>
        <w:t>DPP4</w:t>
      </w:r>
      <w:r>
        <w:t xml:space="preserve"> </w:t>
      </w:r>
      <w:r>
        <w:t>+</w:t>
      </w:r>
      <w:r>
        <w:t xml:space="preserve"> </w:t>
      </w:r>
      <w:r>
        <w:t>ly6c</w:t>
      </w:r>
      <w:r>
        <w:t xml:space="preserve"> </w:t>
      </w:r>
      <w:r>
        <w:t>+</w:t>
      </w:r>
      <w:r>
        <w:t xml:space="preserve"> </w:t>
      </w:r>
      <w:r>
        <w:t>成纤维细胞祖细胞生态位在肿瘤周围扩展并控制与癌症相关的成纤维细胞个体发育和密度。因此，ILC2-fib</w:t>
      </w:r>
    </w:p>
    <w:p>
      <w:pPr>
        <w:spacing w:before="0" w:after="200" w:lineRule="auto" w:line="276"/>
      </w:pPr>
      <w:r>
        <w:rPr>
          <w:b/>
        </w:rPr>
        <w:t xml:space="preserve">Abstract (EN): </w:t>
      </w:r>
      <w:r>
        <w:t>Local fibroblast development and densities influence organ health and disease, although it remains unclear how tissue fibroblast topography is controlled in situ. Here, we defined Group 2 innate lymphoid cells (ILC2s) as key regulators of fibroblast homeostasis in the pancreas. ILC2s colocalized with fibroblasts expressing the genes</w:t>
      </w:r>
      <w:r>
        <w:t xml:space="preserve"> </w:t>
      </w:r>
      <w:r>
        <w:t>Pi16</w:t>
      </w:r>
      <w:r>
        <w:t xml:space="preserve"> </w:t>
      </w:r>
      <w:r>
        <w:t>+</w:t>
      </w:r>
      <w:r>
        <w:t xml:space="preserve"> </w:t>
      </w:r>
      <w:r>
        <w:t>Dpp4</w:t>
      </w:r>
      <w:r>
        <w:t xml:space="preserve"> </w:t>
      </w:r>
      <w:r>
        <w:t>+</w:t>
      </w:r>
      <w:r>
        <w:t xml:space="preserve"> </w:t>
      </w:r>
      <w:r>
        <w:t>Ly6c</w:t>
      </w:r>
      <w:r>
        <w:t xml:space="preserve"> </w:t>
      </w:r>
      <w:r>
        <w:t>+</w:t>
      </w:r>
      <w:r>
        <w:t xml:space="preserve"> </w:t>
      </w:r>
      <w:r>
        <w:t>in an interstitial niche of the exocrine pancreas, which encapsulates the organ parenchyma. ILC2s specifically regulated the expansion of</w:t>
      </w:r>
      <w:r>
        <w:t xml:space="preserve"> </w:t>
      </w:r>
      <w:r>
        <w:t>Pi16</w:t>
      </w:r>
      <w:r>
        <w:t xml:space="preserve"> </w:t>
      </w:r>
      <w:r>
        <w:t>+</w:t>
      </w:r>
      <w:r>
        <w:t xml:space="preserve"> </w:t>
      </w:r>
      <w:r>
        <w:t>Dpp4</w:t>
      </w:r>
      <w:r>
        <w:t xml:space="preserve"> </w:t>
      </w:r>
      <w:r>
        <w:t>+</w:t>
      </w:r>
      <w:r>
        <w:t xml:space="preserve"> </w:t>
      </w:r>
      <w:r>
        <w:t>Ly6c</w:t>
      </w:r>
      <w:r>
        <w:t xml:space="preserve"> </w:t>
      </w:r>
      <w:r>
        <w:t>+</w:t>
      </w:r>
      <w:r>
        <w:t xml:space="preserve"> </w:t>
      </w:r>
      <w:r>
        <w:t>fibroblasts, which have progenitor capacity, while restraining differentiated intraparenchymal</w:t>
      </w:r>
      <w:r>
        <w:t xml:space="preserve"> </w:t>
      </w:r>
      <w:r>
        <w:t>Col15a1</w:t>
      </w:r>
      <w:r>
        <w:t xml:space="preserve"> </w:t>
      </w:r>
      <w:r>
        <w:t>+</w:t>
      </w:r>
      <w:r>
        <w:t xml:space="preserve"> </w:t>
      </w:r>
      <w:r>
        <w:t>fibroblasts during inflammation. These circuits reinforced fibroblast numbers after injury and set an inflammatory threshold. The ILC2 and</w:t>
      </w:r>
      <w:r>
        <w:t xml:space="preserve"> </w:t>
      </w:r>
      <w:r>
        <w:t>Pi16</w:t>
      </w:r>
      <w:r>
        <w:t xml:space="preserve"> </w:t>
      </w:r>
      <w:r>
        <w:t>+</w:t>
      </w:r>
      <w:r>
        <w:t xml:space="preserve"> </w:t>
      </w:r>
      <w:r>
        <w:t>Dpp4</w:t>
      </w:r>
      <w:r>
        <w:t xml:space="preserve"> </w:t>
      </w:r>
      <w:r>
        <w:t>+</w:t>
      </w:r>
      <w:r>
        <w:t xml:space="preserve"> </w:t>
      </w:r>
      <w:r>
        <w:t>Ly6c</w:t>
      </w:r>
      <w:r>
        <w:t xml:space="preserve"> </w:t>
      </w:r>
      <w:r>
        <w:t>+</w:t>
      </w:r>
      <w:r>
        <w:t xml:space="preserve"> </w:t>
      </w:r>
      <w:r>
        <w:t>fibroblast progenitor niche expanded around tumors and controlled cancer-associated fibroblast ontogeny and density. Hence, ILC2-fibroblast dialogue represents a regulatory node that locally orchestrates tissue homeostasis and pathology.</w:t>
      </w:r>
    </w:p>
    <w:p>
      <w:pPr>
        <w:spacing w:before="120" w:after="120"/>
      </w:pPr>
      <w:r>
        <w:rPr>
          <w:sz w:val="18"/>
        </w:rPr>
        <w:t>——————————————————————————————————————————————————————————————————————</w:t>
      </w:r>
    </w:p>
    <w:p>
      <w:pPr>
        <w:spacing w:before="160" w:after="40" w:line="240" w:lineRule="auto"/>
      </w:pPr>
      <w:r>
        <w:rPr>
          <w:b/>
        </w:rPr>
        <w:t xml:space="preserve">[564] </w:t>
      </w:r>
      <w:hyperlink r:id="rId1183">
        <w:r>
          <w:rPr>
            <w:color w:val="1155CC"/>
            <w:u w:val="single"/>
          </w:rPr>
          <w:t>用合成的 Wnt 分泌组织者构建人类肾脏类器官的图案</w:t>
        </w:r>
      </w:hyperlink>
    </w:p>
    <w:p>
      <w:pPr>
        <w:spacing w:before="0" w:after="80"/>
      </w:pPr>
      <w:r>
        <w:rPr>
          <w:i/>
          <w:sz w:val="20"/>
        </w:rPr>
        <w:t>EN: Patterning human kidney organoids with synthetic Wnt-secreting organizers</w:t>
      </w:r>
    </w:p>
    <w:p>
      <w:pPr>
        <w:spacing w:before="0" w:after="120"/>
      </w:pPr>
      <w:r>
        <w:rPr>
          <w:b/>
        </w:rPr>
        <w:t xml:space="preserve">Source: </w:t>
      </w:r>
      <w:r>
        <w:t>AAAS: Science: Table of Contents</w:t>
      </w:r>
      <w:r>
        <w:t xml:space="preserve">    </w:t>
      </w:r>
      <w:r>
        <w:rPr>
          <w:b/>
        </w:rPr>
        <w:t xml:space="preserve">Pub date: </w:t>
      </w:r>
      <w:r>
        <w:t>2026-07-02 07:00:00+00:00</w:t>
      </w:r>
      <w:r>
        <w:t xml:space="preserve">    </w:t>
      </w:r>
      <w:r>
        <w:rPr>
          <w:b/>
        </w:rPr>
        <w:t xml:space="preserve">DOI: </w:t>
      </w:r>
      <w:hyperlink r:id="rId1184">
        <w:r>
          <w:rPr>
            <w:color w:val="1155CC"/>
            <w:u w:val="single"/>
          </w:rPr>
          <w:t>10.1126/science.adu9122</w:t>
        </w:r>
      </w:hyperlink>
    </w:p>
    <w:p>
      <w:pPr>
        <w:spacing w:before="0" w:after="120"/>
      </w:pPr>
      <w:r>
        <w:rPr>
          <w:b/>
        </w:rPr>
        <w:t xml:space="preserve">Notes: </w:t>
      </w:r>
      <w:r>
        <w:t>abstract_source=crossref</w:t>
      </w:r>
    </w:p>
    <w:p>
      <w:pPr>
        <w:spacing w:before="0" w:after="80" w:lineRule="auto" w:line="276"/>
      </w:pPr>
      <w:r>
        <w:rPr>
          <w:b/>
        </w:rPr>
        <w:t xml:space="preserve">摘要（ZH）: </w:t>
      </w:r>
      <w:r>
        <w:t>人类干细胞衍生的微型器官，包括肾类器官，可以再现组织发育的各个方面，但缺乏可靠的空间模式。在胚胎中，空间组织通常是由产生形态发生场的发育组织者建立的。然而，这种组织几何结构如何在肾发生中发挥作用以及是否可以在体外重建仍不清楚。利用人类肾脏发育的空间转录组学，我们发现新生肾单位建立了一个邻近远极性的集合管，该集合管与</w:t>
      </w:r>
      <w:r>
        <w:t xml:space="preserve"> </w:t>
      </w:r>
      <w:r>
        <w:t>WNT11</w:t>
      </w:r>
      <w:r>
        <w:t xml:space="preserve"> </w:t>
      </w:r>
      <w:r>
        <w:t>-</w:t>
      </w:r>
      <w:r>
        <w:t>WNT9B</w:t>
      </w:r>
      <w:r>
        <w:t xml:space="preserve"> </w:t>
      </w:r>
      <w:r>
        <w:t>信令边界。将工程化的 WNT 分泌细胞组织体引入肾脏类器官中，恢复了这种组织几何结构，使远端肾单位分化偏向并使肾单位形态发生朝向信号源，这表明可以综合重建发育信号传导几何结构以控制组织模式。</w:t>
      </w:r>
    </w:p>
    <w:p>
      <w:pPr>
        <w:spacing w:before="0" w:after="200" w:lineRule="auto" w:line="276"/>
      </w:pPr>
      <w:r>
        <w:rPr>
          <w:b/>
        </w:rPr>
        <w:t xml:space="preserve">Abstract (EN): </w:t>
      </w:r>
      <w:r>
        <w:t>Human stem cell–derived miniature organs, including kidney organoids, reproduce aspects of tissue development but lack reliable spatial patterning. In embryos, spatial organization is often established by developmental organizers that generate morphogenetic fields. However, how such organizing geometry operates in kidney nephrogenesis—and whether it can be reconstructed in vitro—has remained unclear. Using spatial transcriptomics of human kidney development, we found that nascent nephrons establish a collecting duct adjacent-to-distant polarity bordering a</w:t>
      </w:r>
      <w:r>
        <w:t xml:space="preserve"> </w:t>
      </w:r>
      <w:r>
        <w:t>WNT11</w:t>
      </w:r>
      <w:r>
        <w:t xml:space="preserve"> </w:t>
      </w:r>
      <w:r>
        <w:t>-</w:t>
      </w:r>
      <w:r>
        <w:t>WNT9B</w:t>
      </w:r>
      <w:r>
        <w:t xml:space="preserve"> </w:t>
      </w:r>
      <w:r>
        <w:t>signaling boundary. Engineered WNT-secreting cellular organizers introduced into kidney organoids restored this organizing geometry, biasing distal nephron differentiation and orienting nephron morphogenesis toward the signal source, which demonstrates that developmental signaling geometry can be reconstructed synthetically to control tissue patterning.</w:t>
      </w:r>
    </w:p>
    <w:p>
      <w:pPr>
        <w:spacing w:before="120" w:after="120"/>
      </w:pPr>
      <w:r>
        <w:rPr>
          <w:sz w:val="18"/>
        </w:rPr>
        <w:t>——————————————————————————————————————————————————————————————————————</w:t>
      </w:r>
    </w:p>
    <w:p>
      <w:pPr>
        <w:spacing w:before="160" w:after="40" w:line="240" w:lineRule="auto"/>
      </w:pPr>
      <w:r>
        <w:rPr>
          <w:b/>
        </w:rPr>
        <w:t xml:space="preserve">[565] </w:t>
      </w:r>
      <w:hyperlink r:id="rId1185">
        <w:r>
          <w:rPr>
            <w:color w:val="1155CC"/>
            <w:u w:val="single"/>
          </w:rPr>
          <w:t>非洲人工智能外交制度化</w:t>
        </w:r>
      </w:hyperlink>
    </w:p>
    <w:p>
      <w:pPr>
        <w:spacing w:before="0" w:after="80"/>
      </w:pPr>
      <w:r>
        <w:rPr>
          <w:i/>
          <w:sz w:val="20"/>
        </w:rPr>
        <w:t>EN: Institutionalizing AI diplomacy in Africa</w:t>
      </w:r>
    </w:p>
    <w:p>
      <w:pPr>
        <w:spacing w:before="0" w:after="120"/>
      </w:pPr>
      <w:r>
        <w:rPr>
          <w:b/>
        </w:rPr>
        <w:t xml:space="preserve">Source: </w:t>
      </w:r>
      <w:r>
        <w:t>AAAS: Science: Table of Contents</w:t>
      </w:r>
      <w:r>
        <w:t xml:space="preserve">    </w:t>
      </w:r>
      <w:r>
        <w:rPr>
          <w:b/>
        </w:rPr>
        <w:t xml:space="preserve">Pub date: </w:t>
      </w:r>
      <w:r>
        <w:t>2026-07-02 07:00:00+00:00</w:t>
      </w:r>
      <w:r>
        <w:t xml:space="preserve">    </w:t>
      </w:r>
      <w:r>
        <w:rPr>
          <w:b/>
        </w:rPr>
        <w:t xml:space="preserve">DOI: </w:t>
      </w:r>
      <w:hyperlink r:id="rId1186">
        <w:r>
          <w:rPr>
            <w:color w:val="1155CC"/>
            <w:u w:val="single"/>
          </w:rPr>
          <w:t>10.1126/science.aei7835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[566] </w:t>
      </w:r>
      <w:hyperlink r:id="rId1187">
        <w:r>
          <w:rPr>
            <w:color w:val="1155CC"/>
            <w:u w:val="single"/>
          </w:rPr>
          <w:t>激素细胞图谱以细胞分辨率绘制人类内分泌系统图谱</w:t>
        </w:r>
      </w:hyperlink>
    </w:p>
    <w:p>
      <w:pPr>
        <w:spacing w:before="0" w:after="80"/>
      </w:pPr>
      <w:r>
        <w:rPr>
          <w:i/>
          <w:sz w:val="20"/>
        </w:rPr>
        <w:t>EN: A Hormone Cell Atlas maps the human endocrine system at cellular resolution</w:t>
      </w:r>
    </w:p>
    <w:p>
      <w:pPr>
        <w:spacing w:before="0" w:after="120"/>
      </w:pPr>
      <w:r>
        <w:rPr>
          <w:b/>
        </w:rPr>
        <w:t xml:space="preserve">Source: </w:t>
      </w:r>
      <w:r>
        <w:t>AAAS: Science: Table of Contents</w:t>
      </w:r>
      <w:r>
        <w:t xml:space="preserve">    </w:t>
      </w:r>
      <w:r>
        <w:rPr>
          <w:b/>
        </w:rPr>
        <w:t xml:space="preserve">Pub date: </w:t>
      </w:r>
      <w:r>
        <w:t>2026-07-02 07:00:00+00:00</w:t>
      </w:r>
      <w:r>
        <w:t xml:space="preserve">    </w:t>
      </w:r>
      <w:r>
        <w:rPr>
          <w:b/>
        </w:rPr>
        <w:t xml:space="preserve">DOI: </w:t>
      </w:r>
      <w:hyperlink r:id="rId1188">
        <w:r>
          <w:rPr>
            <w:color w:val="1155CC"/>
            <w:u w:val="single"/>
          </w:rPr>
          <w:t>10.1126/science.aeb2672</w:t>
        </w:r>
      </w:hyperlink>
    </w:p>
    <w:p>
      <w:pPr>
        <w:spacing w:before="0" w:after="120"/>
      </w:pPr>
      <w:r>
        <w:rPr>
          <w:b/>
        </w:rPr>
        <w:t xml:space="preserve">Notes: </w:t>
      </w:r>
      <w:r>
        <w:t>abstract_source=crossref</w:t>
      </w:r>
    </w:p>
    <w:p>
      <w:pPr>
        <w:spacing w:before="0" w:after="80" w:lineRule="auto" w:line="276"/>
      </w:pPr>
      <w:r>
        <w:rPr>
          <w:b/>
        </w:rPr>
        <w:t xml:space="preserve">摘要（ZH）: </w:t>
      </w:r>
      <w:r>
        <w:t>激素跨组织和器官发挥作用，协调生理功能。从人类细胞图谱中汲取灵感，我们分析了转录组数据集中 379 个激素和受体基因的表达，该数据集包含 47 个人体组织的 1400 万个单细胞和细胞核。使用hormone2cell，我们绘制了假定的激素产生和激素接受细胞类型，定义了组织特异性和跨组织内分泌特征。我们预测了激素表达的非经典位点，包括浆细胞样树突状细胞中的促胰液素，推断出趋同激素作用和内分泌反馈回路，以及单基因内分泌疾病中涉及的细胞群。在脂肪细胞数据集的跨组织整合中，我们发现了跨库、脂肪细胞亚型内以及通过脂肪形成分化的动态内分泌程序。累积起来，激素细胞图谱（</w:t>
      </w:r>
      <w:r>
        <w:t xml:space="preserve"> </w:t>
      </w:r>
      <w:r>
        <w:t>英国激素细胞图谱网站</w:t>
      </w:r>
      <w:r>
        <w:t xml:space="preserve"> </w:t>
      </w:r>
      <w:r>
        <w:t>）提供了一个全面的框架来剖析荷尔蒙对健康和疾病的影响。</w:t>
      </w:r>
    </w:p>
    <w:p>
      <w:pPr>
        <w:spacing w:before="0" w:after="200" w:lineRule="auto" w:line="276"/>
      </w:pPr>
      <w:r>
        <w:rPr>
          <w:b/>
        </w:rPr>
        <w:t xml:space="preserve">Abstract (EN): </w:t>
      </w:r>
      <w:r>
        <w:t>Hormones act across tissues and organs to coordinate physiological functions. Drawing inspiration from the Human Cell Atlas, we analyzed the expression of 379 hormone and receptor genes in a transcriptomic dataset comprising 14 million single cells and nuclei across 47 human tissues. Using hormone2cell, we mapped putative hormone-producing and hormone-receiving cell types, defining tissue-specific and cross-tissue endocrine signatures. We predicted nonclassical sites of hormone expression, including secretin in plasmacytoid dendritic cells, inferred convergent hormone action and endocrine feedback loops, and implicated cell populations in monogenic endocrine disorders. In a cross-tissue integration of adipocyte datasets, we uncovered dynamic endocrine programs across depots, within adipocyte subtypes and through adipogenic differentiation. Cumulatively, the Hormone Cell Atlas (</w:t>
      </w:r>
      <w:r>
        <w:t xml:space="preserve"> </w:t>
      </w:r>
      <w:r>
        <w:t>hormonecellatlas.org.uk</w:t>
      </w:r>
      <w:r>
        <w:t xml:space="preserve"> </w:t>
      </w:r>
      <w:r>
        <w:t>) provides a comprehensive framework for dissecting hormonal impact on health and disease.</w:t>
      </w:r>
    </w:p>
    <w:p>
      <w:pPr>
        <w:spacing w:before="120" w:after="120"/>
      </w:pPr>
      <w:r>
        <w:rPr>
          <w:sz w:val="18"/>
        </w:rPr>
        <w:t>——————————————————————————————————————————————————————————————————————</w:t>
      </w:r>
    </w:p>
    <w:p>
      <w:pPr>
        <w:spacing w:before="160" w:after="40" w:line="240" w:lineRule="auto"/>
      </w:pPr>
      <w:r>
        <w:rPr>
          <w:b/>
        </w:rPr>
        <w:t xml:space="preserve">[567] </w:t>
      </w:r>
      <w:hyperlink r:id="rId1189">
        <w:r>
          <w:rPr>
            <w:color w:val="1155CC"/>
            <w:u w:val="single"/>
          </w:rPr>
          <w:t>TranscriptFormer：跨越 15 亿年进化的生殖细胞图谱</w:t>
        </w:r>
      </w:hyperlink>
    </w:p>
    <w:p>
      <w:pPr>
        <w:spacing w:before="0" w:after="80"/>
      </w:pPr>
      <w:r>
        <w:rPr>
          <w:i/>
          <w:sz w:val="20"/>
        </w:rPr>
        <w:t>EN: TranscriptFormer: A generative cell atlas across 1.5 billion years of evolution</w:t>
      </w:r>
    </w:p>
    <w:p>
      <w:pPr>
        <w:spacing w:before="0" w:after="120"/>
      </w:pPr>
      <w:r>
        <w:rPr>
          <w:b/>
        </w:rPr>
        <w:t xml:space="preserve">Source: </w:t>
      </w:r>
      <w:r>
        <w:t>AAAS: Science: Table of Contents</w:t>
      </w:r>
      <w:r>
        <w:t xml:space="preserve">    </w:t>
      </w:r>
      <w:r>
        <w:rPr>
          <w:b/>
        </w:rPr>
        <w:t xml:space="preserve">Pub date: </w:t>
      </w:r>
      <w:r>
        <w:t>2026-07-02 07:00:00+00:00</w:t>
      </w:r>
      <w:r>
        <w:t xml:space="preserve">    </w:t>
      </w:r>
      <w:r>
        <w:rPr>
          <w:b/>
        </w:rPr>
        <w:t xml:space="preserve">DOI: </w:t>
      </w:r>
      <w:hyperlink r:id="rId1190">
        <w:r>
          <w:rPr>
            <w:color w:val="1155CC"/>
            <w:u w:val="single"/>
          </w:rPr>
          <w:t>10.1126/science.aec8514</w:t>
        </w:r>
      </w:hyperlink>
    </w:p>
    <w:p>
      <w:pPr>
        <w:spacing w:before="0" w:after="120"/>
      </w:pPr>
      <w:r>
        <w:rPr>
          <w:b/>
        </w:rPr>
        <w:t xml:space="preserve">Notes: </w:t>
      </w:r>
      <w:r>
        <w:t>abstract_source=crossref</w:t>
      </w:r>
    </w:p>
    <w:p>
      <w:pPr>
        <w:spacing w:before="0" w:after="80" w:lineRule="auto" w:line="276"/>
      </w:pPr>
      <w:r>
        <w:rPr>
          <w:b/>
        </w:rPr>
        <w:t xml:space="preserve">摘要（ZH）: </w:t>
      </w:r>
      <w:r>
        <w:t>单细胞转录组学正在彻底改变我们对细胞多样性的理解，但比较整个生命树的转录程序仍然具有挑战性。我们开发了 TranscriptFormer，这是一个生成基础模型系列，在 12 个物种的 1.12 亿个细胞上进行训练，跨越 15.3 亿年的进化史。我们展示了最先进的细胞类型分类性能，甚至对于经过超过 6.85 亿年进化而分离的物种，以及人类细胞中的零次疾病状态识别。发育轨迹、系统发育关系和细胞层次结构自然地出现在 TranscriptFormer 的表示中，无需对这些注释进行任何明确的训练。这项工作为定量单细胞分析和比较细胞生物学建立了强大的框架，从而证明可以在整个生命树中学习和预测细胞组织的普遍原理。</w:t>
      </w:r>
    </w:p>
    <w:p>
      <w:pPr>
        <w:spacing w:before="0" w:after="200" w:lineRule="auto" w:line="276"/>
      </w:pPr>
      <w:r>
        <w:rPr>
          <w:b/>
        </w:rPr>
        <w:t xml:space="preserve">Abstract (EN): </w:t>
      </w:r>
      <w:r>
        <w:t>Single-cell transcriptomics is revolutionizing our understanding of cellular diversity, yet comparing transcriptional programs across the tree of life remains challenging. We developed TranscriptFormer, a family of generative foundation models trained on up to 112 million cells spanning 1.53 billion years of evolution across 12 species. We demonstrate state-of-the-art performance on cell type classification, even for species separated by over 685 million years of evolution, and zero-shot disease state identification in human cells. Developmental trajectories, phylogenetic relationships, and cellular hierarchies emerge naturally in TranscriptFormer’s representations without any explicit training on these annotations. This work establishes a powerful framework for quantitative single-cell analysis and comparative cellular biology, thus demonstrating that universal principles of cellular organization can be learned and predicted across the tree of life.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0306261926008822?dgcid=rss_sd_all" TargetMode="External"/><Relationship Id="rId10" Type="http://schemas.openxmlformats.org/officeDocument/2006/relationships/hyperlink" Target="https://www.sciencedirect.com/science/article/pii/S0306261926009347?dgcid=rss_sd_all" TargetMode="External"/><Relationship Id="rId11" Type="http://schemas.openxmlformats.org/officeDocument/2006/relationships/hyperlink" Target="https://www.sciencedirect.com/science/article/pii/S0306261926009207?dgcid=rss_sd_all" TargetMode="External"/><Relationship Id="rId12" Type="http://schemas.openxmlformats.org/officeDocument/2006/relationships/hyperlink" Target="https://www.sciencedirect.com/science/article/pii/S0306261926008640?dgcid=rss_sd_all" TargetMode="External"/><Relationship Id="rId13" Type="http://schemas.openxmlformats.org/officeDocument/2006/relationships/hyperlink" Target="http://pubs.rsc.org/en/Content/ArticleLanding/2026/EE/D6EE02777F" TargetMode="External"/><Relationship Id="rId14" Type="http://schemas.openxmlformats.org/officeDocument/2006/relationships/hyperlink" Target="https://advanced.onlinelibrary.wiley.com/doi/10.1002/adma.73833?af=R" TargetMode="External"/><Relationship Id="rId15" Type="http://schemas.openxmlformats.org/officeDocument/2006/relationships/hyperlink" Target="https://doi.org/10.1002/adma.73833" TargetMode="External"/><Relationship Id="rId16" Type="http://schemas.openxmlformats.org/officeDocument/2006/relationships/hyperlink" Target="https://onlinelibrary.wiley.com/doi/10.1002/anie.2974414?af=R" TargetMode="External"/><Relationship Id="rId17" Type="http://schemas.openxmlformats.org/officeDocument/2006/relationships/hyperlink" Target="https://doi.org/10.1002/anie.2974414" TargetMode="External"/><Relationship Id="rId18" Type="http://schemas.openxmlformats.org/officeDocument/2006/relationships/hyperlink" Target="https://advanced.onlinelibrary.wiley.com/doi/10.1002/adma.73855?af=R" TargetMode="External"/><Relationship Id="rId19" Type="http://schemas.openxmlformats.org/officeDocument/2006/relationships/hyperlink" Target="https://doi.org/10.1002/adma.73855" TargetMode="External"/><Relationship Id="rId20" Type="http://schemas.openxmlformats.org/officeDocument/2006/relationships/hyperlink" Target="https://www.nature.com/articles/s41565-026-02207-z" TargetMode="External"/><Relationship Id="rId21" Type="http://schemas.openxmlformats.org/officeDocument/2006/relationships/hyperlink" Target="https://doi.org/10.1038/s41565-026-02207-z" TargetMode="External"/><Relationship Id="rId22" Type="http://schemas.openxmlformats.org/officeDocument/2006/relationships/hyperlink" Target="https://advanced.onlinelibrary.wiley.com/doi/10.1002/aenm.202506753?af=R" TargetMode="External"/><Relationship Id="rId23" Type="http://schemas.openxmlformats.org/officeDocument/2006/relationships/hyperlink" Target="https://doi.org/10.1002/aenm.202506753" TargetMode="External"/><Relationship Id="rId24" Type="http://schemas.openxmlformats.org/officeDocument/2006/relationships/hyperlink" Target="https://www.science.org/doi/abs/10.1126/sciadv.aed6327?af=R" TargetMode="External"/><Relationship Id="rId25" Type="http://schemas.openxmlformats.org/officeDocument/2006/relationships/hyperlink" Target="https://doi.org/10.1126/sciadv.aed6327" TargetMode="External"/><Relationship Id="rId26" Type="http://schemas.openxmlformats.org/officeDocument/2006/relationships/hyperlink" Target="https://www.science.org/doi/abs/10.1126/sciadv.aec3186?af=R" TargetMode="External"/><Relationship Id="rId27" Type="http://schemas.openxmlformats.org/officeDocument/2006/relationships/hyperlink" Target="https://doi.org/10.1126/sciadv.aec3186" TargetMode="External"/><Relationship Id="rId28" Type="http://schemas.openxmlformats.org/officeDocument/2006/relationships/hyperlink" Target="https://www.nature.com/articles/s41467-026-74601-z" TargetMode="External"/><Relationship Id="rId29" Type="http://schemas.openxmlformats.org/officeDocument/2006/relationships/hyperlink" Target="https://www.nmlett.org/index.php/nml/article/view/2564" TargetMode="External"/><Relationship Id="rId30" Type="http://schemas.openxmlformats.org/officeDocument/2006/relationships/hyperlink" Target="https://doi.org/10.1007/s40820-026-02256-y" TargetMode="External"/><Relationship Id="rId31" Type="http://schemas.openxmlformats.org/officeDocument/2006/relationships/hyperlink" Target="https://advanced.onlinelibrary.wiley.com/doi/10.1002/adma.73891?af=R" TargetMode="External"/><Relationship Id="rId32" Type="http://schemas.openxmlformats.org/officeDocument/2006/relationships/hyperlink" Target="https://doi.org/10.1002/adma.73891" TargetMode="External"/><Relationship Id="rId33" Type="http://schemas.openxmlformats.org/officeDocument/2006/relationships/hyperlink" Target="http://pubs.rsc.org/en/Content/ArticleLanding/2026/EE/D6EE03238A" TargetMode="External"/><Relationship Id="rId34" Type="http://schemas.openxmlformats.org/officeDocument/2006/relationships/hyperlink" Target="https://www.cell.com/joule/fulltext/S2542-4351(26)00225-4?rss=yes" TargetMode="External"/><Relationship Id="rId35" Type="http://schemas.openxmlformats.org/officeDocument/2006/relationships/hyperlink" Target="https://doi.org/10.1016/j.joule.2026.102541" TargetMode="External"/><Relationship Id="rId36" Type="http://schemas.openxmlformats.org/officeDocument/2006/relationships/hyperlink" Target="https://onlinelibrary.wiley.com/doi/10.1002/anie.7428603?af=R" TargetMode="External"/><Relationship Id="rId37" Type="http://schemas.openxmlformats.org/officeDocument/2006/relationships/hyperlink" Target="https://doi.org/10.1002/anie.7428603" TargetMode="External"/><Relationship Id="rId38" Type="http://schemas.openxmlformats.org/officeDocument/2006/relationships/hyperlink" Target="https://onlinelibrary.wiley.com/doi/10.1002/anie.4944842?af=R" TargetMode="External"/><Relationship Id="rId39" Type="http://schemas.openxmlformats.org/officeDocument/2006/relationships/hyperlink" Target="https://doi.org/10.1002/anie.4944842" TargetMode="External"/><Relationship Id="rId40" Type="http://schemas.openxmlformats.org/officeDocument/2006/relationships/hyperlink" Target="https://onlinelibrary.wiley.com/doi/10.1002/anie.3876577?af=R" TargetMode="External"/><Relationship Id="rId41" Type="http://schemas.openxmlformats.org/officeDocument/2006/relationships/hyperlink" Target="https://doi.org/10.1002/anie.3876577" TargetMode="External"/><Relationship Id="rId42" Type="http://schemas.openxmlformats.org/officeDocument/2006/relationships/hyperlink" Target="https://advanced.onlinelibrary.wiley.com/doi/10.1002/aenm.71232?af=R" TargetMode="External"/><Relationship Id="rId43" Type="http://schemas.openxmlformats.org/officeDocument/2006/relationships/hyperlink" Target="https://doi.org/10.1002/aenm.71232" TargetMode="External"/><Relationship Id="rId44" Type="http://schemas.openxmlformats.org/officeDocument/2006/relationships/hyperlink" Target="https://advanced.onlinelibrary.wiley.com/doi/10.1002/aenm.71212?af=R" TargetMode="External"/><Relationship Id="rId45" Type="http://schemas.openxmlformats.org/officeDocument/2006/relationships/hyperlink" Target="https://doi.org/10.1002/aenm.71212" TargetMode="External"/><Relationship Id="rId46" Type="http://schemas.openxmlformats.org/officeDocument/2006/relationships/hyperlink" Target="https://www.nature.com/articles/s41467-026-74160-3" TargetMode="External"/><Relationship Id="rId47" Type="http://schemas.openxmlformats.org/officeDocument/2006/relationships/hyperlink" Target="https://www.nature.com/articles/s41467-026-75101-w" TargetMode="External"/><Relationship Id="rId48" Type="http://schemas.openxmlformats.org/officeDocument/2006/relationships/hyperlink" Target="https://www.science.org/doi/abs/10.1126/sciadv.aec1952?af=R" TargetMode="External"/><Relationship Id="rId49" Type="http://schemas.openxmlformats.org/officeDocument/2006/relationships/hyperlink" Target="https://doi.org/10.1126/sciadv.aec1952" TargetMode="External"/><Relationship Id="rId50" Type="http://schemas.openxmlformats.org/officeDocument/2006/relationships/hyperlink" Target="https://advanced.onlinelibrary.wiley.com/doi/10.1002/adma.73888?af=R" TargetMode="External"/><Relationship Id="rId51" Type="http://schemas.openxmlformats.org/officeDocument/2006/relationships/hyperlink" Target="https://doi.org/10.1002/adma.73888" TargetMode="External"/><Relationship Id="rId52" Type="http://schemas.openxmlformats.org/officeDocument/2006/relationships/hyperlink" Target="https://onlinelibrary.wiley.com/doi/10.1002/anie.5759017?af=R" TargetMode="External"/><Relationship Id="rId53" Type="http://schemas.openxmlformats.org/officeDocument/2006/relationships/hyperlink" Target="https://doi.org/10.1002/anie.5759017" TargetMode="External"/><Relationship Id="rId54" Type="http://schemas.openxmlformats.org/officeDocument/2006/relationships/hyperlink" Target="https://advanced.onlinelibrary.wiley.com/doi/10.1002/adma.73795?af=R" TargetMode="External"/><Relationship Id="rId55" Type="http://schemas.openxmlformats.org/officeDocument/2006/relationships/hyperlink" Target="https://doi.org/10.1002/adma.73795" TargetMode="External"/><Relationship Id="rId56" Type="http://schemas.openxmlformats.org/officeDocument/2006/relationships/hyperlink" Target="https://www.nmlett.org/index.php/nml/article/view/2565" TargetMode="External"/><Relationship Id="rId57" Type="http://schemas.openxmlformats.org/officeDocument/2006/relationships/hyperlink" Target="https://doi.org/10.1007/s40820-026-02262-0" TargetMode="External"/><Relationship Id="rId58" Type="http://schemas.openxmlformats.org/officeDocument/2006/relationships/hyperlink" Target="https://advanced.onlinelibrary.wiley.com/doi/10.1002/adma.73769?af=R" TargetMode="External"/><Relationship Id="rId59" Type="http://schemas.openxmlformats.org/officeDocument/2006/relationships/hyperlink" Target="https://doi.org/10.1002/adma.73769" TargetMode="External"/><Relationship Id="rId60" Type="http://schemas.openxmlformats.org/officeDocument/2006/relationships/hyperlink" Target="https://advanced.onlinelibrary.wiley.com/doi/10.1002/adma.73893?af=R" TargetMode="External"/><Relationship Id="rId61" Type="http://schemas.openxmlformats.org/officeDocument/2006/relationships/hyperlink" Target="https://doi.org/10.1002/adma.73893" TargetMode="External"/><Relationship Id="rId62" Type="http://schemas.openxmlformats.org/officeDocument/2006/relationships/hyperlink" Target="https://advanced.onlinelibrary.wiley.com/doi/10.1002/adma.73862?af=R" TargetMode="External"/><Relationship Id="rId63" Type="http://schemas.openxmlformats.org/officeDocument/2006/relationships/hyperlink" Target="https://doi.org/10.1002/adma.73862" TargetMode="External"/><Relationship Id="rId64" Type="http://schemas.openxmlformats.org/officeDocument/2006/relationships/hyperlink" Target="http://pubs.rsc.org/en/Content/ArticleLanding/2026/EE/D6EE03332F" TargetMode="External"/><Relationship Id="rId65" Type="http://schemas.openxmlformats.org/officeDocument/2006/relationships/hyperlink" Target="http://pubs.rsc.org/en/Content/ArticleLanding/2026/EE/D6EE02798A" TargetMode="External"/><Relationship Id="rId66" Type="http://schemas.openxmlformats.org/officeDocument/2006/relationships/hyperlink" Target="https://onlinelibrary.wiley.com/doi/10.1002/anie.3778349?af=R" TargetMode="External"/><Relationship Id="rId67" Type="http://schemas.openxmlformats.org/officeDocument/2006/relationships/hyperlink" Target="https://doi.org/10.1002/anie.3778349" TargetMode="External"/><Relationship Id="rId68" Type="http://schemas.openxmlformats.org/officeDocument/2006/relationships/hyperlink" Target="https://advanced.onlinelibrary.wiley.com/doi/10.1002/aenm.71183?af=R" TargetMode="External"/><Relationship Id="rId69" Type="http://schemas.openxmlformats.org/officeDocument/2006/relationships/hyperlink" Target="https://doi.org/10.1002/aenm.71183" TargetMode="External"/><Relationship Id="rId70" Type="http://schemas.openxmlformats.org/officeDocument/2006/relationships/hyperlink" Target="https://www.nature.com/articles/s41467-026-74338-9" TargetMode="External"/><Relationship Id="rId71" Type="http://schemas.openxmlformats.org/officeDocument/2006/relationships/hyperlink" Target="https://advanced.onlinelibrary.wiley.com/doi/10.1002/aenm.71206?af=R" TargetMode="External"/><Relationship Id="rId72" Type="http://schemas.openxmlformats.org/officeDocument/2006/relationships/hyperlink" Target="https://doi.org/10.1002/aenm.71206" TargetMode="External"/><Relationship Id="rId73" Type="http://schemas.openxmlformats.org/officeDocument/2006/relationships/hyperlink" Target="https://advanced.onlinelibrary.wiley.com/doi/10.1002/aenm.71235?af=R" TargetMode="External"/><Relationship Id="rId74" Type="http://schemas.openxmlformats.org/officeDocument/2006/relationships/hyperlink" Target="https://doi.org/10.1002/aenm.71235" TargetMode="External"/><Relationship Id="rId75" Type="http://schemas.openxmlformats.org/officeDocument/2006/relationships/hyperlink" Target="https://www.nature.com/articles/s41467-026-74887-z" TargetMode="External"/><Relationship Id="rId76" Type="http://schemas.openxmlformats.org/officeDocument/2006/relationships/hyperlink" Target="https://onlinelibrary.wiley.com/doi/10.1002/anie.5195226?af=R" TargetMode="External"/><Relationship Id="rId77" Type="http://schemas.openxmlformats.org/officeDocument/2006/relationships/hyperlink" Target="https://doi.org/10.1002/anie.5195226" TargetMode="External"/><Relationship Id="rId78" Type="http://schemas.openxmlformats.org/officeDocument/2006/relationships/hyperlink" Target="https://onlinelibrary.wiley.com/doi/10.1002/anie.1155052?af=R" TargetMode="External"/><Relationship Id="rId79" Type="http://schemas.openxmlformats.org/officeDocument/2006/relationships/hyperlink" Target="https://doi.org/10.1002/anie.1155052" TargetMode="External"/><Relationship Id="rId80" Type="http://schemas.openxmlformats.org/officeDocument/2006/relationships/hyperlink" Target="https://onlinelibrary.wiley.com/doi/10.1002/anie.9983580?af=R" TargetMode="External"/><Relationship Id="rId81" Type="http://schemas.openxmlformats.org/officeDocument/2006/relationships/hyperlink" Target="https://doi.org/10.1002/anie.9983580" TargetMode="External"/><Relationship Id="rId82" Type="http://schemas.openxmlformats.org/officeDocument/2006/relationships/hyperlink" Target="https://advanced.onlinelibrary.wiley.com/doi/10.1002/adma.73805?af=R" TargetMode="External"/><Relationship Id="rId83" Type="http://schemas.openxmlformats.org/officeDocument/2006/relationships/hyperlink" Target="https://doi.org/10.1002/adma.73805" TargetMode="External"/><Relationship Id="rId84" Type="http://schemas.openxmlformats.org/officeDocument/2006/relationships/hyperlink" Target="https://www.nature.com/articles/s41586-026-10734-x" TargetMode="External"/><Relationship Id="rId85" Type="http://schemas.openxmlformats.org/officeDocument/2006/relationships/hyperlink" Target="https://doi.org/10.1038/s41586-026-10734-x" TargetMode="External"/><Relationship Id="rId86" Type="http://schemas.openxmlformats.org/officeDocument/2006/relationships/hyperlink" Target="https://www.science.org/doi/abs/10.1126/sciadv.aee2065?af=R" TargetMode="External"/><Relationship Id="rId87" Type="http://schemas.openxmlformats.org/officeDocument/2006/relationships/hyperlink" Target="https://doi.org/10.1126/sciadv.aee2065" TargetMode="External"/><Relationship Id="rId88" Type="http://schemas.openxmlformats.org/officeDocument/2006/relationships/hyperlink" Target="https://www.sciencedirect.com/science/article/pii/S0306261926009189?dgcid=rss_sd_all" TargetMode="External"/><Relationship Id="rId89" Type="http://schemas.openxmlformats.org/officeDocument/2006/relationships/hyperlink" Target="https://www.sciencedirect.com/science/article/pii/S0306261926009141?dgcid=rss_sd_all" TargetMode="External"/><Relationship Id="rId90" Type="http://schemas.openxmlformats.org/officeDocument/2006/relationships/hyperlink" Target="https://www.sciencedirect.com/science/article/pii/S0306261926009037?dgcid=rss_sd_all" TargetMode="External"/><Relationship Id="rId91" Type="http://schemas.openxmlformats.org/officeDocument/2006/relationships/hyperlink" Target="https://www.sciencedirect.com/science/article/pii/S030626192600886X?dgcid=rss_sd_all" TargetMode="External"/><Relationship Id="rId92" Type="http://schemas.openxmlformats.org/officeDocument/2006/relationships/hyperlink" Target="https://www.sciencedirect.com/science/article/pii/S0306261926008962?dgcid=rss_sd_all" TargetMode="External"/><Relationship Id="rId93" Type="http://schemas.openxmlformats.org/officeDocument/2006/relationships/hyperlink" Target="https://www.sciencedirect.com/science/article/pii/S0306261926008263?dgcid=rss_sd_all" TargetMode="External"/><Relationship Id="rId94" Type="http://schemas.openxmlformats.org/officeDocument/2006/relationships/hyperlink" Target="https://www.cell.com/joule/fulltext/S2542-4351(26)00224-2?rss=yes" TargetMode="External"/><Relationship Id="rId95" Type="http://schemas.openxmlformats.org/officeDocument/2006/relationships/hyperlink" Target="https://doi.org/10.1016/j.joule.2026.102540" TargetMode="External"/><Relationship Id="rId96" Type="http://schemas.openxmlformats.org/officeDocument/2006/relationships/hyperlink" Target="https://www.nature.com/articles/s41560-026-02087-6" TargetMode="External"/><Relationship Id="rId97" Type="http://schemas.openxmlformats.org/officeDocument/2006/relationships/hyperlink" Target="https://doi.org/10.1038/s41560-026-02087-6" TargetMode="External"/><Relationship Id="rId98" Type="http://schemas.openxmlformats.org/officeDocument/2006/relationships/hyperlink" Target="https://www.nature.com/articles/s41467-026-74830-2" TargetMode="External"/><Relationship Id="rId99" Type="http://schemas.openxmlformats.org/officeDocument/2006/relationships/hyperlink" Target="https://www.sciencedirect.com/science/article/pii/S0306261926009153?dgcid=rss_sd_all" TargetMode="External"/><Relationship Id="rId100" Type="http://schemas.openxmlformats.org/officeDocument/2006/relationships/hyperlink" Target="https://www.sciencedirect.com/science/article/pii/S0306261926009049?dgcid=rss_sd_all" TargetMode="External"/><Relationship Id="rId101" Type="http://schemas.openxmlformats.org/officeDocument/2006/relationships/hyperlink" Target="https://www.nature.com/articles/s41557-026-02191-w" TargetMode="External"/><Relationship Id="rId102" Type="http://schemas.openxmlformats.org/officeDocument/2006/relationships/hyperlink" Target="https://doi.org/10.1038/s41557-026-02191-w" TargetMode="External"/><Relationship Id="rId103" Type="http://schemas.openxmlformats.org/officeDocument/2006/relationships/hyperlink" Target="https://advanced.onlinelibrary.wiley.com/doi/10.1002/adma.73852?af=R" TargetMode="External"/><Relationship Id="rId104" Type="http://schemas.openxmlformats.org/officeDocument/2006/relationships/hyperlink" Target="https://doi.org/10.1002/adma.73852" TargetMode="External"/><Relationship Id="rId105" Type="http://schemas.openxmlformats.org/officeDocument/2006/relationships/hyperlink" Target="https://onlinelibrary.wiley.com/doi/10.1002/anie.1920552?af=R" TargetMode="External"/><Relationship Id="rId106" Type="http://schemas.openxmlformats.org/officeDocument/2006/relationships/hyperlink" Target="https://doi.org/10.1002/anie.1920552" TargetMode="External"/><Relationship Id="rId107" Type="http://schemas.openxmlformats.org/officeDocument/2006/relationships/hyperlink" Target="https://onlinelibrary.wiley.com/doi/10.1002/anie.1831149?af=R" TargetMode="External"/><Relationship Id="rId108" Type="http://schemas.openxmlformats.org/officeDocument/2006/relationships/hyperlink" Target="https://doi.org/10.1002/anie.1831149" TargetMode="External"/><Relationship Id="rId109" Type="http://schemas.openxmlformats.org/officeDocument/2006/relationships/hyperlink" Target="https://www.pnas.org/doi/abs/10.1073/pnas.2600644123?mi=eymic2&amp;af=R&amp;access=on&amp;content=articlesChapters&amp;publication=pnas&amp;sortBy=Earliest&amp;target=default" TargetMode="External"/><Relationship Id="rId110" Type="http://schemas.openxmlformats.org/officeDocument/2006/relationships/hyperlink" Target="https://doi.org/10.1073/pnas.2600644123" TargetMode="External"/><Relationship Id="rId111" Type="http://schemas.openxmlformats.org/officeDocument/2006/relationships/hyperlink" Target="https://www.science.org/doi/abs/10.1126/sciadv.aed5447?af=R" TargetMode="External"/><Relationship Id="rId112" Type="http://schemas.openxmlformats.org/officeDocument/2006/relationships/hyperlink" Target="https://doi.org/10.1126/sciadv.aed5447" TargetMode="External"/><Relationship Id="rId113" Type="http://schemas.openxmlformats.org/officeDocument/2006/relationships/hyperlink" Target="https://advanced.onlinelibrary.wiley.com/doi/10.1002/adma.73786?af=R" TargetMode="External"/><Relationship Id="rId114" Type="http://schemas.openxmlformats.org/officeDocument/2006/relationships/hyperlink" Target="https://doi.org/10.1002/adma.73786" TargetMode="External"/><Relationship Id="rId115" Type="http://schemas.openxmlformats.org/officeDocument/2006/relationships/hyperlink" Target="https://www.nature.com/articles/s41467-026-74805-3" TargetMode="External"/><Relationship Id="rId116" Type="http://schemas.openxmlformats.org/officeDocument/2006/relationships/hyperlink" Target="https://www.sciencedirect.com/science/article/pii/S0306261926008779?dgcid=rss_sd_all" TargetMode="External"/><Relationship Id="rId117" Type="http://schemas.openxmlformats.org/officeDocument/2006/relationships/hyperlink" Target="https://www.nature.com/articles/s41467-026-75062-0" TargetMode="External"/><Relationship Id="rId118" Type="http://schemas.openxmlformats.org/officeDocument/2006/relationships/hyperlink" Target="https://advanced.onlinelibrary.wiley.com/doi/10.1002/adma.202518096?af=R" TargetMode="External"/><Relationship Id="rId119" Type="http://schemas.openxmlformats.org/officeDocument/2006/relationships/hyperlink" Target="https://doi.org/10.1002/adma.202518096" TargetMode="External"/><Relationship Id="rId120" Type="http://schemas.openxmlformats.org/officeDocument/2006/relationships/hyperlink" Target="https://advanced.onlinelibrary.wiley.com/doi/10.1002/adma.73653?af=R" TargetMode="External"/><Relationship Id="rId121" Type="http://schemas.openxmlformats.org/officeDocument/2006/relationships/hyperlink" Target="https://doi.org/10.1002/adma.73653" TargetMode="External"/><Relationship Id="rId122" Type="http://schemas.openxmlformats.org/officeDocument/2006/relationships/hyperlink" Target="https://onlinelibrary.wiley.com/doi/10.1002/anie.3652353?af=R" TargetMode="External"/><Relationship Id="rId123" Type="http://schemas.openxmlformats.org/officeDocument/2006/relationships/hyperlink" Target="https://doi.org/10.1002/anie.3652353" TargetMode="External"/><Relationship Id="rId124" Type="http://schemas.openxmlformats.org/officeDocument/2006/relationships/hyperlink" Target="http://link.aps.org/doi/10.1103/qq98-z7gq" TargetMode="External"/><Relationship Id="rId125" Type="http://schemas.openxmlformats.org/officeDocument/2006/relationships/hyperlink" Target="https://doi.org/10.1103/qq98-z7gq" TargetMode="External"/><Relationship Id="rId126" Type="http://schemas.openxmlformats.org/officeDocument/2006/relationships/hyperlink" Target="https://onlinelibrary.wiley.com/doi/10.1002/anie.1499416?af=R" TargetMode="External"/><Relationship Id="rId127" Type="http://schemas.openxmlformats.org/officeDocument/2006/relationships/hyperlink" Target="https://doi.org/10.1002/anie.1499416" TargetMode="External"/><Relationship Id="rId128" Type="http://schemas.openxmlformats.org/officeDocument/2006/relationships/hyperlink" Target="https://advanced.onlinelibrary.wiley.com/doi/10.1002/aenm.71192?af=R" TargetMode="External"/><Relationship Id="rId129" Type="http://schemas.openxmlformats.org/officeDocument/2006/relationships/hyperlink" Target="https://doi.org/10.1002/aenm.71192" TargetMode="External"/><Relationship Id="rId130" Type="http://schemas.openxmlformats.org/officeDocument/2006/relationships/hyperlink" Target="https://advanced.onlinelibrary.wiley.com/doi/10.1002/adma.73841?af=R" TargetMode="External"/><Relationship Id="rId131" Type="http://schemas.openxmlformats.org/officeDocument/2006/relationships/hyperlink" Target="https://doi.org/10.1002/adma.73841" TargetMode="External"/><Relationship Id="rId132" Type="http://schemas.openxmlformats.org/officeDocument/2006/relationships/hyperlink" Target="https://www.nature.com/articles/s44359-026-00177-y" TargetMode="External"/><Relationship Id="rId133" Type="http://schemas.openxmlformats.org/officeDocument/2006/relationships/hyperlink" Target="https://doi.org/10.1038/s44359-026-00177-y" TargetMode="External"/><Relationship Id="rId134" Type="http://schemas.openxmlformats.org/officeDocument/2006/relationships/hyperlink" Target="https://www.sciencedirect.com/science/article/pii/S0306261926009062?dgcid=rss_sd_all" TargetMode="External"/><Relationship Id="rId135" Type="http://schemas.openxmlformats.org/officeDocument/2006/relationships/hyperlink" Target="https://iopscience.iop.org/article/10.1088/1741-4326/ae71eb" TargetMode="External"/><Relationship Id="rId136" Type="http://schemas.openxmlformats.org/officeDocument/2006/relationships/hyperlink" Target="https://doi.org/10.1088/1741-4326/ae71eb" TargetMode="External"/><Relationship Id="rId137" Type="http://schemas.openxmlformats.org/officeDocument/2006/relationships/hyperlink" Target="https://iopscience.iop.org/article/10.1088/1741-4326/ae7a8f" TargetMode="External"/><Relationship Id="rId138" Type="http://schemas.openxmlformats.org/officeDocument/2006/relationships/hyperlink" Target="https://doi.org/10.1088/1741-4326/ae7a8f" TargetMode="External"/><Relationship Id="rId139" Type="http://schemas.openxmlformats.org/officeDocument/2006/relationships/hyperlink" Target="https://iopscience.iop.org/article/10.1088/1741-4326/ae72a5" TargetMode="External"/><Relationship Id="rId140" Type="http://schemas.openxmlformats.org/officeDocument/2006/relationships/hyperlink" Target="https://doi.org/10.1088/1741-4326/ae72a5" TargetMode="External"/><Relationship Id="rId141" Type="http://schemas.openxmlformats.org/officeDocument/2006/relationships/hyperlink" Target="https://iopscience.iop.org/article/10.1088/1741-4326/ae78e7" TargetMode="External"/><Relationship Id="rId142" Type="http://schemas.openxmlformats.org/officeDocument/2006/relationships/hyperlink" Target="https://doi.org/10.1088/1741-4326/ae78e7" TargetMode="External"/><Relationship Id="rId143" Type="http://schemas.openxmlformats.org/officeDocument/2006/relationships/hyperlink" Target="https://www.nature.com/articles/s41467-026-75035-3" TargetMode="External"/><Relationship Id="rId144" Type="http://schemas.openxmlformats.org/officeDocument/2006/relationships/hyperlink" Target="http://link.aps.org/doi/10.1103/jrh6-rh6h" TargetMode="External"/><Relationship Id="rId145" Type="http://schemas.openxmlformats.org/officeDocument/2006/relationships/hyperlink" Target="https://doi.org/10.1103/jrh6-rh6h" TargetMode="External"/><Relationship Id="rId146" Type="http://schemas.openxmlformats.org/officeDocument/2006/relationships/hyperlink" Target="http://link.aps.org/doi/10.1103/w3y1-6xw1" TargetMode="External"/><Relationship Id="rId147" Type="http://schemas.openxmlformats.org/officeDocument/2006/relationships/hyperlink" Target="https://doi.org/10.1103/w3y1-6xw1" TargetMode="External"/><Relationship Id="rId148" Type="http://schemas.openxmlformats.org/officeDocument/2006/relationships/hyperlink" Target="https://iopscience.iop.org/article/10.1088/1741-4326/ae7986" TargetMode="External"/><Relationship Id="rId149" Type="http://schemas.openxmlformats.org/officeDocument/2006/relationships/hyperlink" Target="https://doi.org/10.1088/1741-4326/ae7986" TargetMode="External"/><Relationship Id="rId150" Type="http://schemas.openxmlformats.org/officeDocument/2006/relationships/hyperlink" Target="https://iopscience.iop.org/article/10.1088/1741-4326/ae6f31" TargetMode="External"/><Relationship Id="rId151" Type="http://schemas.openxmlformats.org/officeDocument/2006/relationships/hyperlink" Target="https://doi.org/10.1088/1741-4326/ae6f31" TargetMode="External"/><Relationship Id="rId152" Type="http://schemas.openxmlformats.org/officeDocument/2006/relationships/hyperlink" Target="https://iopscience.iop.org/article/10.1088/1741-4326/ae7c14" TargetMode="External"/><Relationship Id="rId153" Type="http://schemas.openxmlformats.org/officeDocument/2006/relationships/hyperlink" Target="https://doi.org/10.1088/1741-4326/ae7c14" TargetMode="External"/><Relationship Id="rId154" Type="http://schemas.openxmlformats.org/officeDocument/2006/relationships/hyperlink" Target="https://iopscience.iop.org/article/10.1088/1741-4326/ae7c83" TargetMode="External"/><Relationship Id="rId155" Type="http://schemas.openxmlformats.org/officeDocument/2006/relationships/hyperlink" Target="https://doi.org/10.1088/1741-4326/ae7c83" TargetMode="External"/><Relationship Id="rId156" Type="http://schemas.openxmlformats.org/officeDocument/2006/relationships/hyperlink" Target="https://iopscience.iop.org/article/10.1088/1741-4326/ae7a8e" TargetMode="External"/><Relationship Id="rId157" Type="http://schemas.openxmlformats.org/officeDocument/2006/relationships/hyperlink" Target="https://doi.org/10.1088/1741-4326/ae7a8e" TargetMode="External"/><Relationship Id="rId158" Type="http://schemas.openxmlformats.org/officeDocument/2006/relationships/hyperlink" Target="http://link.aps.org/doi/10.1103/353g-7f4s" TargetMode="External"/><Relationship Id="rId159" Type="http://schemas.openxmlformats.org/officeDocument/2006/relationships/hyperlink" Target="https://doi.org/10.1103/353g-7f4s" TargetMode="External"/><Relationship Id="rId160" Type="http://schemas.openxmlformats.org/officeDocument/2006/relationships/hyperlink" Target="http://link.aps.org/doi/10.1103/l863-z5rj" TargetMode="External"/><Relationship Id="rId161" Type="http://schemas.openxmlformats.org/officeDocument/2006/relationships/hyperlink" Target="https://doi.org/10.1103/l863-z5rj" TargetMode="External"/><Relationship Id="rId162" Type="http://schemas.openxmlformats.org/officeDocument/2006/relationships/hyperlink" Target="http://link.aps.org/doi/10.1103/jh7w-x7n8" TargetMode="External"/><Relationship Id="rId163" Type="http://schemas.openxmlformats.org/officeDocument/2006/relationships/hyperlink" Target="https://doi.org/10.1103/jh7w-x7n8" TargetMode="External"/><Relationship Id="rId164" Type="http://schemas.openxmlformats.org/officeDocument/2006/relationships/hyperlink" Target="https://iopscience.iop.org/article/10.1088/1741-4326/ae7f9d" TargetMode="External"/><Relationship Id="rId165" Type="http://schemas.openxmlformats.org/officeDocument/2006/relationships/hyperlink" Target="https://doi.org/10.1088/1741-4326/ae7f9d" TargetMode="External"/><Relationship Id="rId166" Type="http://schemas.openxmlformats.org/officeDocument/2006/relationships/hyperlink" Target="https://iopscience.iop.org/article/10.1088/1741-4326/ae7e05" TargetMode="External"/><Relationship Id="rId167" Type="http://schemas.openxmlformats.org/officeDocument/2006/relationships/hyperlink" Target="https://doi.org/10.1088/1741-4326/ae7e05" TargetMode="External"/><Relationship Id="rId168" Type="http://schemas.openxmlformats.org/officeDocument/2006/relationships/hyperlink" Target="https://iopscience.iop.org/article/10.1088/1741-4326/ae7615" TargetMode="External"/><Relationship Id="rId169" Type="http://schemas.openxmlformats.org/officeDocument/2006/relationships/hyperlink" Target="https://doi.org/10.1088/1741-4326/ae7615" TargetMode="External"/><Relationship Id="rId170" Type="http://schemas.openxmlformats.org/officeDocument/2006/relationships/hyperlink" Target="https://iopscience.iop.org/article/10.1088/1741-4326/ae78e6" TargetMode="External"/><Relationship Id="rId171" Type="http://schemas.openxmlformats.org/officeDocument/2006/relationships/hyperlink" Target="https://doi.org/10.1088/1741-4326/ae78e6" TargetMode="External"/><Relationship Id="rId172" Type="http://schemas.openxmlformats.org/officeDocument/2006/relationships/hyperlink" Target="https://www.sciencedirect.com/science/article/pii/S0306261926008986?dgcid=rss_sd_all" TargetMode="External"/><Relationship Id="rId173" Type="http://schemas.openxmlformats.org/officeDocument/2006/relationships/hyperlink" Target="https://www.sciencedirect.com/science/article/pii/S0306261926008561?dgcid=rss_sd_all" TargetMode="External"/><Relationship Id="rId174" Type="http://schemas.openxmlformats.org/officeDocument/2006/relationships/hyperlink" Target="https://www.sciencedirect.com/science/article/pii/S0306261926009128?dgcid=rss_sd_all" TargetMode="External"/><Relationship Id="rId175" Type="http://schemas.openxmlformats.org/officeDocument/2006/relationships/hyperlink" Target="https://www.sciencedirect.com/science/article/pii/S030626192600872X?dgcid=rss_sd_all" TargetMode="External"/><Relationship Id="rId176" Type="http://schemas.openxmlformats.org/officeDocument/2006/relationships/hyperlink" Target="https://www.sciencedirect.com/science/article/pii/S030626192600749X?dgcid=rss_sd_all" TargetMode="External"/><Relationship Id="rId177" Type="http://schemas.openxmlformats.org/officeDocument/2006/relationships/hyperlink" Target="https://www.sciencedirect.com/science/article/pii/S0306261926008755?dgcid=rss_sd_all" TargetMode="External"/><Relationship Id="rId178" Type="http://schemas.openxmlformats.org/officeDocument/2006/relationships/hyperlink" Target="http://pubs.rsc.org/en/Content/ArticleLanding/2026/EE/D6EE02489K" TargetMode="External"/><Relationship Id="rId179" Type="http://schemas.openxmlformats.org/officeDocument/2006/relationships/hyperlink" Target="https://www.nature.com/articles/s41467-026-74405-1" TargetMode="External"/><Relationship Id="rId180" Type="http://schemas.openxmlformats.org/officeDocument/2006/relationships/hyperlink" Target="https://advanced.onlinelibrary.wiley.com/doi/10.1002/adma.73885?af=R" TargetMode="External"/><Relationship Id="rId181" Type="http://schemas.openxmlformats.org/officeDocument/2006/relationships/hyperlink" Target="https://doi.org/10.1002/adma.73885" TargetMode="External"/><Relationship Id="rId182" Type="http://schemas.openxmlformats.org/officeDocument/2006/relationships/hyperlink" Target="https://advanced.onlinelibrary.wiley.com/doi/10.1002/adma.73857?af=R" TargetMode="External"/><Relationship Id="rId183" Type="http://schemas.openxmlformats.org/officeDocument/2006/relationships/hyperlink" Target="https://doi.org/10.1002/adma.73857" TargetMode="External"/><Relationship Id="rId184" Type="http://schemas.openxmlformats.org/officeDocument/2006/relationships/hyperlink" Target="https://www.nature.com/articles/s41467-026-75029-1" TargetMode="External"/><Relationship Id="rId185" Type="http://schemas.openxmlformats.org/officeDocument/2006/relationships/hyperlink" Target="https://www.nature.com/articles/s41467-026-74913-0" TargetMode="External"/><Relationship Id="rId186" Type="http://schemas.openxmlformats.org/officeDocument/2006/relationships/hyperlink" Target="https://onlinelibrary.wiley.com/doi/10.1002/anie.8850754?af=R" TargetMode="External"/><Relationship Id="rId187" Type="http://schemas.openxmlformats.org/officeDocument/2006/relationships/hyperlink" Target="https://doi.org/10.1002/anie.8850754" TargetMode="External"/><Relationship Id="rId188" Type="http://schemas.openxmlformats.org/officeDocument/2006/relationships/hyperlink" Target="https://www.nature.com/articles/s41467-026-75223-1" TargetMode="External"/><Relationship Id="rId189" Type="http://schemas.openxmlformats.org/officeDocument/2006/relationships/hyperlink" Target="https://www.pnas.org/doi/abs/10.1073/pnas.2606452123?mi=eymic2&amp;af=R&amp;access=on&amp;content=articlesChapters&amp;publication=pnas&amp;sortBy=Earliest&amp;target=default" TargetMode="External"/><Relationship Id="rId190" Type="http://schemas.openxmlformats.org/officeDocument/2006/relationships/hyperlink" Target="https://doi.org/10.1073/pnas.2606452123" TargetMode="External"/><Relationship Id="rId191" Type="http://schemas.openxmlformats.org/officeDocument/2006/relationships/hyperlink" Target="https://www.cell.com/joule/fulltext/S2542-4351(26)00229-1?rss=yes" TargetMode="External"/><Relationship Id="rId192" Type="http://schemas.openxmlformats.org/officeDocument/2006/relationships/hyperlink" Target="https://doi.org/10.1016/j.joule.2026.102545" TargetMode="External"/><Relationship Id="rId193" Type="http://schemas.openxmlformats.org/officeDocument/2006/relationships/hyperlink" Target="https://www.nature.com/articles/s41560-026-02108-4" TargetMode="External"/><Relationship Id="rId194" Type="http://schemas.openxmlformats.org/officeDocument/2006/relationships/hyperlink" Target="https://doi.org/10.1038/s41560-026-02108-4" TargetMode="External"/><Relationship Id="rId195" Type="http://schemas.openxmlformats.org/officeDocument/2006/relationships/hyperlink" Target="https://www.nature.com/articles/s44359-026-00198-7" TargetMode="External"/><Relationship Id="rId196" Type="http://schemas.openxmlformats.org/officeDocument/2006/relationships/hyperlink" Target="https://doi.org/10.1038/s44359-026-00198-7" TargetMode="External"/><Relationship Id="rId197" Type="http://schemas.openxmlformats.org/officeDocument/2006/relationships/hyperlink" Target="https://www.sciencedirect.com/science/article/pii/S0306261926008731?dgcid=rss_sd_all" TargetMode="External"/><Relationship Id="rId198" Type="http://schemas.openxmlformats.org/officeDocument/2006/relationships/hyperlink" Target="https://www.sciencedirect.com/science/article/pii/S0301421526003691?dgcid=rss_sd_all" TargetMode="External"/><Relationship Id="rId199" Type="http://schemas.openxmlformats.org/officeDocument/2006/relationships/hyperlink" Target="https://www.sciencedirect.com/science/article/pii/S0306261926008688?dgcid=rss_sd_all" TargetMode="External"/><Relationship Id="rId200" Type="http://schemas.openxmlformats.org/officeDocument/2006/relationships/hyperlink" Target="https://www.sciencedirect.com/science/article/pii/S0301421526003927?dgcid=rss_sd_all" TargetMode="External"/><Relationship Id="rId201" Type="http://schemas.openxmlformats.org/officeDocument/2006/relationships/hyperlink" Target="https://www.cell.com/joule/fulltext/S2542-4351(26)00220-5?rss=yes" TargetMode="External"/><Relationship Id="rId202" Type="http://schemas.openxmlformats.org/officeDocument/2006/relationships/hyperlink" Target="https://doi.org/10.1016/j.joule.2026.102536" TargetMode="External"/><Relationship Id="rId203" Type="http://schemas.openxmlformats.org/officeDocument/2006/relationships/hyperlink" Target="https://www.nature.com/articles/s41893-026-01884-x" TargetMode="External"/><Relationship Id="rId204" Type="http://schemas.openxmlformats.org/officeDocument/2006/relationships/hyperlink" Target="https://doi.org/10.1038/s41893-026-01884-x" TargetMode="External"/><Relationship Id="rId205" Type="http://schemas.openxmlformats.org/officeDocument/2006/relationships/hyperlink" Target="https://www.pnas.org/doi/abs/10.1073/pnas.2619888123?mi=eymic2&amp;af=R&amp;access=on&amp;content=articlesChapters&amp;publication=pnas&amp;sortBy=Earliest&amp;target=default" TargetMode="External"/><Relationship Id="rId206" Type="http://schemas.openxmlformats.org/officeDocument/2006/relationships/hyperlink" Target="https://doi.org/10.1073/pnas.2619888123" TargetMode="External"/><Relationship Id="rId207" Type="http://schemas.openxmlformats.org/officeDocument/2006/relationships/hyperlink" Target="https://www.pnas.org/doi/abs/10.1073/pnas.2614642123?mi=eymic2&amp;af=R&amp;access=on&amp;content=articlesChapters&amp;publication=pnas&amp;sortBy=Earliest&amp;target=default" TargetMode="External"/><Relationship Id="rId208" Type="http://schemas.openxmlformats.org/officeDocument/2006/relationships/hyperlink" Target="https://doi.org/10.1073/pnas.2614642123" TargetMode="External"/><Relationship Id="rId209" Type="http://schemas.openxmlformats.org/officeDocument/2006/relationships/hyperlink" Target="https://www.pnas.org/doi/abs/10.1073/pnas.2612835123?mi=eymic2&amp;af=R&amp;access=on&amp;content=articlesChapters&amp;publication=pnas&amp;sortBy=Earliest&amp;target=default" TargetMode="External"/><Relationship Id="rId210" Type="http://schemas.openxmlformats.org/officeDocument/2006/relationships/hyperlink" Target="https://doi.org/10.1073/pnas.2612835123" TargetMode="External"/><Relationship Id="rId211" Type="http://schemas.openxmlformats.org/officeDocument/2006/relationships/hyperlink" Target="https://www.nature.com/articles/s41467-026-74909-w" TargetMode="External"/><Relationship Id="rId212" Type="http://schemas.openxmlformats.org/officeDocument/2006/relationships/hyperlink" Target="https://www.cell.com/joule/fulltext/S2542-4351(26)00226-6?rss=yes" TargetMode="External"/><Relationship Id="rId213" Type="http://schemas.openxmlformats.org/officeDocument/2006/relationships/hyperlink" Target="https://doi.org/10.1016/j.joule.2026.102542" TargetMode="External"/><Relationship Id="rId214" Type="http://schemas.openxmlformats.org/officeDocument/2006/relationships/hyperlink" Target="https://www.nature.com/articles/s41467-026-75003-x" TargetMode="External"/><Relationship Id="rId215" Type="http://schemas.openxmlformats.org/officeDocument/2006/relationships/hyperlink" Target="https://www.nature.com/articles/s41467-026-75080-y" TargetMode="External"/><Relationship Id="rId216" Type="http://schemas.openxmlformats.org/officeDocument/2006/relationships/hyperlink" Target="https://www.sciencedirect.com/science/article/pii/S030626192600869X?dgcid=rss_sd_all" TargetMode="External"/><Relationship Id="rId217" Type="http://schemas.openxmlformats.org/officeDocument/2006/relationships/hyperlink" Target="https://www.nature.com/articles/s41467-026-74877-1" TargetMode="External"/><Relationship Id="rId218" Type="http://schemas.openxmlformats.org/officeDocument/2006/relationships/hyperlink" Target="https://onlinelibrary.wiley.com/doi/10.1002/anie.6944015?af=R" TargetMode="External"/><Relationship Id="rId219" Type="http://schemas.openxmlformats.org/officeDocument/2006/relationships/hyperlink" Target="https://doi.org/10.1002/anie.6944015" TargetMode="External"/><Relationship Id="rId220" Type="http://schemas.openxmlformats.org/officeDocument/2006/relationships/hyperlink" Target="https://onlinelibrary.wiley.com/doi/10.1002/anie.1392489?af=R" TargetMode="External"/><Relationship Id="rId221" Type="http://schemas.openxmlformats.org/officeDocument/2006/relationships/hyperlink" Target="https://doi.org/10.1002/anie.1392489" TargetMode="External"/><Relationship Id="rId222" Type="http://schemas.openxmlformats.org/officeDocument/2006/relationships/hyperlink" Target="https://onlinelibrary.wiley.com/doi/10.1002/anie.8261978?af=R" TargetMode="External"/><Relationship Id="rId223" Type="http://schemas.openxmlformats.org/officeDocument/2006/relationships/hyperlink" Target="https://doi.org/10.1002/anie.8261978" TargetMode="External"/><Relationship Id="rId224" Type="http://schemas.openxmlformats.org/officeDocument/2006/relationships/hyperlink" Target="https://www.nature.com/articles/s44359-026-00192-z" TargetMode="External"/><Relationship Id="rId225" Type="http://schemas.openxmlformats.org/officeDocument/2006/relationships/hyperlink" Target="https://doi.org/10.1038/s44359-026-00192-z" TargetMode="External"/><Relationship Id="rId226" Type="http://schemas.openxmlformats.org/officeDocument/2006/relationships/hyperlink" Target="https://www.cell.com/joule/fulltext/S2542-4351(26)00228-X?rss=yes" TargetMode="External"/><Relationship Id="rId227" Type="http://schemas.openxmlformats.org/officeDocument/2006/relationships/hyperlink" Target="https://doi.org/10.1016/j.joule.2026.102544" TargetMode="External"/><Relationship Id="rId228" Type="http://schemas.openxmlformats.org/officeDocument/2006/relationships/hyperlink" Target="https://www.nature.com/articles/s41467-026-73889-1" TargetMode="External"/><Relationship Id="rId229" Type="http://schemas.openxmlformats.org/officeDocument/2006/relationships/hyperlink" Target="https://www.nature.com/articles/s41467-026-74562-3" TargetMode="External"/><Relationship Id="rId230" Type="http://schemas.openxmlformats.org/officeDocument/2006/relationships/hyperlink" Target="https://advanced.onlinelibrary.wiley.com/doi/10.1002/adma.73873?af=R" TargetMode="External"/><Relationship Id="rId231" Type="http://schemas.openxmlformats.org/officeDocument/2006/relationships/hyperlink" Target="https://doi.org/10.1002/adma.73873" TargetMode="External"/><Relationship Id="rId232" Type="http://schemas.openxmlformats.org/officeDocument/2006/relationships/hyperlink" Target="https://onlinelibrary.wiley.com/doi/10.1002/anie.4831016?af=R" TargetMode="External"/><Relationship Id="rId233" Type="http://schemas.openxmlformats.org/officeDocument/2006/relationships/hyperlink" Target="https://doi.org/10.1002/anie.4831016" TargetMode="External"/><Relationship Id="rId234" Type="http://schemas.openxmlformats.org/officeDocument/2006/relationships/hyperlink" Target="https://onlinelibrary.wiley.com/doi/10.1002/anie.4158531?af=R" TargetMode="External"/><Relationship Id="rId235" Type="http://schemas.openxmlformats.org/officeDocument/2006/relationships/hyperlink" Target="https://doi.org/10.1002/anie.4158531" TargetMode="External"/><Relationship Id="rId236" Type="http://schemas.openxmlformats.org/officeDocument/2006/relationships/hyperlink" Target="https://onlinelibrary.wiley.com/doi/10.1002/anie.6761777?af=R" TargetMode="External"/><Relationship Id="rId237" Type="http://schemas.openxmlformats.org/officeDocument/2006/relationships/hyperlink" Target="https://doi.org/10.1002/anie.6761777" TargetMode="External"/><Relationship Id="rId238" Type="http://schemas.openxmlformats.org/officeDocument/2006/relationships/hyperlink" Target="https://www.nature.com/articles/s41467-026-74953-6" TargetMode="External"/><Relationship Id="rId239" Type="http://schemas.openxmlformats.org/officeDocument/2006/relationships/hyperlink" Target="https://www.sciencedirect.com/science/article/pii/S030142152600368X?dgcid=rss_sd_all" TargetMode="External"/><Relationship Id="rId240" Type="http://schemas.openxmlformats.org/officeDocument/2006/relationships/hyperlink" Target="https://www.sciencedirect.com/science/article/pii/S0301421526003824?dgcid=rss_sd_all" TargetMode="External"/><Relationship Id="rId241" Type="http://schemas.openxmlformats.org/officeDocument/2006/relationships/hyperlink" Target="https://www.nature.com/articles/s41467-026-74850-y" TargetMode="External"/><Relationship Id="rId242" Type="http://schemas.openxmlformats.org/officeDocument/2006/relationships/hyperlink" Target="https://www.nature.com/articles/s41467-026-74941-w" TargetMode="External"/><Relationship Id="rId243" Type="http://schemas.openxmlformats.org/officeDocument/2006/relationships/hyperlink" Target="https://www.nature.com/articles/s41467-026-75005-9" TargetMode="External"/><Relationship Id="rId244" Type="http://schemas.openxmlformats.org/officeDocument/2006/relationships/hyperlink" Target="https://www.nature.com/articles/s41467-026-74924-x" TargetMode="External"/><Relationship Id="rId245" Type="http://schemas.openxmlformats.org/officeDocument/2006/relationships/hyperlink" Target="https://www.nature.com/articles/s41467-026-74763-w" TargetMode="External"/><Relationship Id="rId246" Type="http://schemas.openxmlformats.org/officeDocument/2006/relationships/hyperlink" Target="https://www.nature.com/articles/s41467-026-74926-9" TargetMode="External"/><Relationship Id="rId247" Type="http://schemas.openxmlformats.org/officeDocument/2006/relationships/hyperlink" Target="https://www.nature.com/articles/s41467-026-74900-5" TargetMode="External"/><Relationship Id="rId248" Type="http://schemas.openxmlformats.org/officeDocument/2006/relationships/hyperlink" Target="https://www.nature.com/articles/s41467-026-74447-5" TargetMode="External"/><Relationship Id="rId249" Type="http://schemas.openxmlformats.org/officeDocument/2006/relationships/hyperlink" Target="https://www.nature.com/articles/s41467-026-75037-1" TargetMode="External"/><Relationship Id="rId250" Type="http://schemas.openxmlformats.org/officeDocument/2006/relationships/hyperlink" Target="https://www.nature.com/articles/s41467-026-74956-3" TargetMode="External"/><Relationship Id="rId251" Type="http://schemas.openxmlformats.org/officeDocument/2006/relationships/hyperlink" Target="https://www.nature.com/articles/s41467-026-74358-5" TargetMode="External"/><Relationship Id="rId252" Type="http://schemas.openxmlformats.org/officeDocument/2006/relationships/hyperlink" Target="https://www.nature.com/articles/s41467-026-74873-5" TargetMode="External"/><Relationship Id="rId253" Type="http://schemas.openxmlformats.org/officeDocument/2006/relationships/hyperlink" Target="https://www.nature.com/articles/s41467-026-74812-4" TargetMode="External"/><Relationship Id="rId254" Type="http://schemas.openxmlformats.org/officeDocument/2006/relationships/hyperlink" Target="https://www.nature.com/articles/s41467-026-73814-6" TargetMode="External"/><Relationship Id="rId255" Type="http://schemas.openxmlformats.org/officeDocument/2006/relationships/hyperlink" Target="https://www.nature.com/articles/s41467-026-74819-x" TargetMode="External"/><Relationship Id="rId256" Type="http://schemas.openxmlformats.org/officeDocument/2006/relationships/hyperlink" Target="https://www.nature.com/articles/s41467-026-74559-y" TargetMode="External"/><Relationship Id="rId257" Type="http://schemas.openxmlformats.org/officeDocument/2006/relationships/hyperlink" Target="https://www.nature.com/articles/s41467-026-74947-4" TargetMode="External"/><Relationship Id="rId258" Type="http://schemas.openxmlformats.org/officeDocument/2006/relationships/hyperlink" Target="https://www.nature.com/articles/s41467-026-74964-3" TargetMode="External"/><Relationship Id="rId259" Type="http://schemas.openxmlformats.org/officeDocument/2006/relationships/hyperlink" Target="https://academic.oup.com/nsr/advance-article/doi/10.1093/nsr/nwag396/8719657?rss=1" TargetMode="External"/><Relationship Id="rId260" Type="http://schemas.openxmlformats.org/officeDocument/2006/relationships/hyperlink" Target="https://doi.org/10.1093/nsr/nwag396" TargetMode="External"/><Relationship Id="rId261" Type="http://schemas.openxmlformats.org/officeDocument/2006/relationships/hyperlink" Target="https://www.nature.com/articles/s41467-026-74326-z" TargetMode="External"/><Relationship Id="rId262" Type="http://schemas.openxmlformats.org/officeDocument/2006/relationships/hyperlink" Target="https://www.nature.com/articles/s41467-026-74882-4" TargetMode="External"/><Relationship Id="rId263" Type="http://schemas.openxmlformats.org/officeDocument/2006/relationships/hyperlink" Target="https://www.nature.com/articles/s41467-026-73994-1" TargetMode="External"/><Relationship Id="rId264" Type="http://schemas.openxmlformats.org/officeDocument/2006/relationships/hyperlink" Target="https://www.nature.com/articles/s41467-026-74400-6" TargetMode="External"/><Relationship Id="rId265" Type="http://schemas.openxmlformats.org/officeDocument/2006/relationships/hyperlink" Target="https://www.nature.com/articles/s41467-026-74828-w" TargetMode="External"/><Relationship Id="rId266" Type="http://schemas.openxmlformats.org/officeDocument/2006/relationships/hyperlink" Target="https://www.nature.com/articles/s41467-026-74883-3" TargetMode="External"/><Relationship Id="rId267" Type="http://schemas.openxmlformats.org/officeDocument/2006/relationships/hyperlink" Target="https://www.nature.com/articles/s41467-026-74722-5" TargetMode="External"/><Relationship Id="rId268" Type="http://schemas.openxmlformats.org/officeDocument/2006/relationships/hyperlink" Target="https://www.nature.com/articles/s41467-026-74992-z" TargetMode="External"/><Relationship Id="rId269" Type="http://schemas.openxmlformats.org/officeDocument/2006/relationships/hyperlink" Target="https://www.nature.com/articles/s41467-026-74742-1" TargetMode="External"/><Relationship Id="rId270" Type="http://schemas.openxmlformats.org/officeDocument/2006/relationships/hyperlink" Target="https://www.nature.com/articles/s41467-026-74864-6" TargetMode="External"/><Relationship Id="rId271" Type="http://schemas.openxmlformats.org/officeDocument/2006/relationships/hyperlink" Target="https://www.nature.com/articles/s41467-026-74762-x" TargetMode="External"/><Relationship Id="rId272" Type="http://schemas.openxmlformats.org/officeDocument/2006/relationships/hyperlink" Target="https://www.nature.com/articles/s41467-026-74914-z" TargetMode="External"/><Relationship Id="rId273" Type="http://schemas.openxmlformats.org/officeDocument/2006/relationships/hyperlink" Target="https://www.nature.com/articles/s41467-026-74793-4" TargetMode="External"/><Relationship Id="rId274" Type="http://schemas.openxmlformats.org/officeDocument/2006/relationships/hyperlink" Target="https://www.nature.com/articles/s41467-026-74875-3" TargetMode="External"/><Relationship Id="rId275" Type="http://schemas.openxmlformats.org/officeDocument/2006/relationships/hyperlink" Target="https://www.sciencedirect.com/science/article/pii/S030626192600855X?dgcid=rss_sd_all" TargetMode="External"/><Relationship Id="rId276" Type="http://schemas.openxmlformats.org/officeDocument/2006/relationships/hyperlink" Target="https://www.nature.com/articles/s41467-026-74948-3" TargetMode="External"/><Relationship Id="rId277" Type="http://schemas.openxmlformats.org/officeDocument/2006/relationships/hyperlink" Target="https://advanced.onlinelibrary.wiley.com/doi/10.1002/adma.73719?af=R" TargetMode="External"/><Relationship Id="rId278" Type="http://schemas.openxmlformats.org/officeDocument/2006/relationships/hyperlink" Target="https://doi.org/10.1002/adma.73719" TargetMode="External"/><Relationship Id="rId279" Type="http://schemas.openxmlformats.org/officeDocument/2006/relationships/hyperlink" Target="https://advanced.onlinelibrary.wiley.com/doi/10.1002/adma.73718?af=R" TargetMode="External"/><Relationship Id="rId280" Type="http://schemas.openxmlformats.org/officeDocument/2006/relationships/hyperlink" Target="https://doi.org/10.1002/adma.73718" TargetMode="External"/><Relationship Id="rId281" Type="http://schemas.openxmlformats.org/officeDocument/2006/relationships/hyperlink" Target="https://advanced.onlinelibrary.wiley.com/doi/10.1002/adma.73716?af=R" TargetMode="External"/><Relationship Id="rId282" Type="http://schemas.openxmlformats.org/officeDocument/2006/relationships/hyperlink" Target="https://doi.org/10.1002/adma.73716" TargetMode="External"/><Relationship Id="rId283" Type="http://schemas.openxmlformats.org/officeDocument/2006/relationships/hyperlink" Target="https://advanced.onlinelibrary.wiley.com/doi/10.1002/adma.73715?af=R" TargetMode="External"/><Relationship Id="rId284" Type="http://schemas.openxmlformats.org/officeDocument/2006/relationships/hyperlink" Target="https://doi.org/10.1002/adma.73715" TargetMode="External"/><Relationship Id="rId285" Type="http://schemas.openxmlformats.org/officeDocument/2006/relationships/hyperlink" Target="https://advanced.onlinelibrary.wiley.com/doi/10.1002/adma.73717?af=R" TargetMode="External"/><Relationship Id="rId286" Type="http://schemas.openxmlformats.org/officeDocument/2006/relationships/hyperlink" Target="https://doi.org/10.1002/adma.73717" TargetMode="External"/><Relationship Id="rId287" Type="http://schemas.openxmlformats.org/officeDocument/2006/relationships/hyperlink" Target="https://www.sciencedirect.com/science/article/pii/S0306261926008901?dgcid=rss_sd_all" TargetMode="External"/><Relationship Id="rId288" Type="http://schemas.openxmlformats.org/officeDocument/2006/relationships/hyperlink" Target="https://www.sciencedirect.com/science/article/pii/S0306261926009098?dgcid=rss_sd_all" TargetMode="External"/><Relationship Id="rId289" Type="http://schemas.openxmlformats.org/officeDocument/2006/relationships/hyperlink" Target="https://www.sciencedirect.com/science/article/pii/S0301421526003605?dgcid=rss_sd_all" TargetMode="External"/><Relationship Id="rId290" Type="http://schemas.openxmlformats.org/officeDocument/2006/relationships/hyperlink" Target="https://www.sciencedirect.com/science/article/pii/S030142152600385X?dgcid=rss_sd_all" TargetMode="External"/><Relationship Id="rId291" Type="http://schemas.openxmlformats.org/officeDocument/2006/relationships/hyperlink" Target="https://www.sciencedirect.com/science/article/pii/S0301421526003873?dgcid=rss_sd_all" TargetMode="External"/><Relationship Id="rId292" Type="http://schemas.openxmlformats.org/officeDocument/2006/relationships/hyperlink" Target="https://www.sciencedirect.com/science/article/pii/S0306261926008998?dgcid=rss_sd_all" TargetMode="External"/><Relationship Id="rId293" Type="http://schemas.openxmlformats.org/officeDocument/2006/relationships/hyperlink" Target="https://www.sciencedirect.com/science/article/pii/S0306261926008810?dgcid=rss_sd_all" TargetMode="External"/><Relationship Id="rId294" Type="http://schemas.openxmlformats.org/officeDocument/2006/relationships/hyperlink" Target="https://www.sciencedirect.com/science/article/pii/S0306261926009256?dgcid=rss_sd_all" TargetMode="External"/><Relationship Id="rId295" Type="http://schemas.openxmlformats.org/officeDocument/2006/relationships/hyperlink" Target="https://www.sciencedirect.com/science/article/pii/S0306261926007580?dgcid=rss_sd_all" TargetMode="External"/><Relationship Id="rId296" Type="http://schemas.openxmlformats.org/officeDocument/2006/relationships/hyperlink" Target="https://iopscience.iop.org/article/10.1088/1741-4326/ae7e09" TargetMode="External"/><Relationship Id="rId297" Type="http://schemas.openxmlformats.org/officeDocument/2006/relationships/hyperlink" Target="https://doi.org/10.1088/1741-4326/ae7e09" TargetMode="External"/><Relationship Id="rId298" Type="http://schemas.openxmlformats.org/officeDocument/2006/relationships/hyperlink" Target="https://www.nature.com/articles/s41557-026-02193-8" TargetMode="External"/><Relationship Id="rId299" Type="http://schemas.openxmlformats.org/officeDocument/2006/relationships/hyperlink" Target="https://doi.org/10.1038/s41557-026-02193-8" TargetMode="External"/><Relationship Id="rId300" Type="http://schemas.openxmlformats.org/officeDocument/2006/relationships/hyperlink" Target="https://www.nature.com/articles/s41928-026-01671-8" TargetMode="External"/><Relationship Id="rId301" Type="http://schemas.openxmlformats.org/officeDocument/2006/relationships/hyperlink" Target="https://doi.org/10.1038/s41928-026-01671-8" TargetMode="External"/><Relationship Id="rId302" Type="http://schemas.openxmlformats.org/officeDocument/2006/relationships/hyperlink" Target="https://www.nature.com/articles/s41467-026-75079-5" TargetMode="External"/><Relationship Id="rId303" Type="http://schemas.openxmlformats.org/officeDocument/2006/relationships/hyperlink" Target="https://www.nature.com/articles/s41467-026-74832-0" TargetMode="External"/><Relationship Id="rId304" Type="http://schemas.openxmlformats.org/officeDocument/2006/relationships/hyperlink" Target="https://www.nature.com/articles/s41467-026-74575-y" TargetMode="External"/><Relationship Id="rId305" Type="http://schemas.openxmlformats.org/officeDocument/2006/relationships/hyperlink" Target="https://www.nature.com/articles/s41467-026-73854-y" TargetMode="External"/><Relationship Id="rId306" Type="http://schemas.openxmlformats.org/officeDocument/2006/relationships/hyperlink" Target="https://www.nature.com/articles/s41467-026-74235-1" TargetMode="External"/><Relationship Id="rId307" Type="http://schemas.openxmlformats.org/officeDocument/2006/relationships/hyperlink" Target="https://www.nature.com/articles/s41467-026-75045-1" TargetMode="External"/><Relationship Id="rId308" Type="http://schemas.openxmlformats.org/officeDocument/2006/relationships/hyperlink" Target="https://www.nature.com/articles/s41467-026-74853-9" TargetMode="External"/><Relationship Id="rId309" Type="http://schemas.openxmlformats.org/officeDocument/2006/relationships/hyperlink" Target="https://www.nature.com/articles/s41467-026-74433-x" TargetMode="External"/><Relationship Id="rId310" Type="http://schemas.openxmlformats.org/officeDocument/2006/relationships/hyperlink" Target="https://www.nature.com/articles/s41557-026-02188-5" TargetMode="External"/><Relationship Id="rId311" Type="http://schemas.openxmlformats.org/officeDocument/2006/relationships/hyperlink" Target="https://doi.org/10.1038/s41557-026-02188-5" TargetMode="External"/><Relationship Id="rId312" Type="http://schemas.openxmlformats.org/officeDocument/2006/relationships/hyperlink" Target="https://www.nature.com/articles/d41586-026-02063-w" TargetMode="External"/><Relationship Id="rId313" Type="http://schemas.openxmlformats.org/officeDocument/2006/relationships/hyperlink" Target="https://doi.org/10.1038/d41586-026-02063-w" TargetMode="External"/><Relationship Id="rId314" Type="http://schemas.openxmlformats.org/officeDocument/2006/relationships/hyperlink" Target="https://www.nature.com/articles/s41578-026-00941-3" TargetMode="External"/><Relationship Id="rId315" Type="http://schemas.openxmlformats.org/officeDocument/2006/relationships/hyperlink" Target="https://doi.org/10.1038/s41578-026-00941-3" TargetMode="External"/><Relationship Id="rId316" Type="http://schemas.openxmlformats.org/officeDocument/2006/relationships/hyperlink" Target="https://www.nature.com/articles/d41586-026-01496-7" TargetMode="External"/><Relationship Id="rId317" Type="http://schemas.openxmlformats.org/officeDocument/2006/relationships/hyperlink" Target="https://doi.org/10.1038/d41586-026-01496-7" TargetMode="External"/><Relationship Id="rId318" Type="http://schemas.openxmlformats.org/officeDocument/2006/relationships/hyperlink" Target="https://www.nature.com/articles/d41586-026-01979-7" TargetMode="External"/><Relationship Id="rId319" Type="http://schemas.openxmlformats.org/officeDocument/2006/relationships/hyperlink" Target="https://doi.org/10.1038/d41586-026-01979-7" TargetMode="External"/><Relationship Id="rId320" Type="http://schemas.openxmlformats.org/officeDocument/2006/relationships/hyperlink" Target="https://www.nature.com/articles/d41586-026-01672-9" TargetMode="External"/><Relationship Id="rId321" Type="http://schemas.openxmlformats.org/officeDocument/2006/relationships/hyperlink" Target="https://doi.org/10.1038/d41586-026-01672-9" TargetMode="External"/><Relationship Id="rId322" Type="http://schemas.openxmlformats.org/officeDocument/2006/relationships/hyperlink" Target="https://www.nature.com/articles/d41586-026-01137-z" TargetMode="External"/><Relationship Id="rId323" Type="http://schemas.openxmlformats.org/officeDocument/2006/relationships/hyperlink" Target="https://doi.org/10.1038/d41586-026-01137-z" TargetMode="External"/><Relationship Id="rId324" Type="http://schemas.openxmlformats.org/officeDocument/2006/relationships/hyperlink" Target="https://www.nature.com/articles/d41586-026-02023-4" TargetMode="External"/><Relationship Id="rId325" Type="http://schemas.openxmlformats.org/officeDocument/2006/relationships/hyperlink" Target="https://doi.org/10.1038/d41586-026-02023-4" TargetMode="External"/><Relationship Id="rId326" Type="http://schemas.openxmlformats.org/officeDocument/2006/relationships/hyperlink" Target="https://www.nature.com/articles/s41586-026-10815-x" TargetMode="External"/><Relationship Id="rId327" Type="http://schemas.openxmlformats.org/officeDocument/2006/relationships/hyperlink" Target="https://doi.org/10.1038/s41586-026-10815-x" TargetMode="External"/><Relationship Id="rId328" Type="http://schemas.openxmlformats.org/officeDocument/2006/relationships/hyperlink" Target="https://academic.oup.com/nsr/advance-article/doi/10.1093/nsr/nwag397/8721500?rss=1" TargetMode="External"/><Relationship Id="rId329" Type="http://schemas.openxmlformats.org/officeDocument/2006/relationships/hyperlink" Target="https://doi.org/10.1093/nsr/nwag397" TargetMode="External"/><Relationship Id="rId330" Type="http://schemas.openxmlformats.org/officeDocument/2006/relationships/hyperlink" Target="https://www.nature.com/articles/s41467-026-75052-2" TargetMode="External"/><Relationship Id="rId331" Type="http://schemas.openxmlformats.org/officeDocument/2006/relationships/hyperlink" Target="https://www.nature.com/articles/d41586-026-02075-6" TargetMode="External"/><Relationship Id="rId332" Type="http://schemas.openxmlformats.org/officeDocument/2006/relationships/hyperlink" Target="https://doi.org/10.1038/d41586-026-02075-6" TargetMode="External"/><Relationship Id="rId333" Type="http://schemas.openxmlformats.org/officeDocument/2006/relationships/hyperlink" Target="https://www.nature.com/articles/s41467-026-74528-5" TargetMode="External"/><Relationship Id="rId334" Type="http://schemas.openxmlformats.org/officeDocument/2006/relationships/hyperlink" Target="https://www.nature.com/articles/s41557-026-02197-4" TargetMode="External"/><Relationship Id="rId335" Type="http://schemas.openxmlformats.org/officeDocument/2006/relationships/hyperlink" Target="https://doi.org/10.1038/s41557-026-02197-4" TargetMode="External"/><Relationship Id="rId336" Type="http://schemas.openxmlformats.org/officeDocument/2006/relationships/hyperlink" Target="https://www.nature.com/articles/s41467-026-74927-8" TargetMode="External"/><Relationship Id="rId337" Type="http://schemas.openxmlformats.org/officeDocument/2006/relationships/hyperlink" Target="https://www.nature.com/articles/s41467-026-74894-0" TargetMode="External"/><Relationship Id="rId338" Type="http://schemas.openxmlformats.org/officeDocument/2006/relationships/hyperlink" Target="https://www.nature.com/articles/s41467-026-74867-3" TargetMode="External"/><Relationship Id="rId339" Type="http://schemas.openxmlformats.org/officeDocument/2006/relationships/hyperlink" Target="https://www.nature.com/articles/s41467-026-74902-3" TargetMode="External"/><Relationship Id="rId340" Type="http://schemas.openxmlformats.org/officeDocument/2006/relationships/hyperlink" Target="https://www.nature.com/articles/s41467-026-74362-9" TargetMode="External"/><Relationship Id="rId341" Type="http://schemas.openxmlformats.org/officeDocument/2006/relationships/hyperlink" Target="https://www.nature.com/articles/s41467-026-75197-0" TargetMode="External"/><Relationship Id="rId342" Type="http://schemas.openxmlformats.org/officeDocument/2006/relationships/hyperlink" Target="https://www.nature.com/articles/s41467-026-74403-3" TargetMode="External"/><Relationship Id="rId343" Type="http://schemas.openxmlformats.org/officeDocument/2006/relationships/hyperlink" Target="https://www.nature.com/articles/s41467-026-74905-0" TargetMode="External"/><Relationship Id="rId344" Type="http://schemas.openxmlformats.org/officeDocument/2006/relationships/hyperlink" Target="https://www.nature.com/articles/s41467-026-75137-y" TargetMode="External"/><Relationship Id="rId345" Type="http://schemas.openxmlformats.org/officeDocument/2006/relationships/hyperlink" Target="https://www.nature.com/articles/s41467-026-74925-w" TargetMode="External"/><Relationship Id="rId346" Type="http://schemas.openxmlformats.org/officeDocument/2006/relationships/hyperlink" Target="https://www.nature.com/articles/s41467-026-74723-4" TargetMode="External"/><Relationship Id="rId347" Type="http://schemas.openxmlformats.org/officeDocument/2006/relationships/hyperlink" Target="https://www.nature.com/articles/s41467-026-74530-x" TargetMode="External"/><Relationship Id="rId348" Type="http://schemas.openxmlformats.org/officeDocument/2006/relationships/hyperlink" Target="https://www.nature.com/articles/s41467-026-74910-3" TargetMode="External"/><Relationship Id="rId349" Type="http://schemas.openxmlformats.org/officeDocument/2006/relationships/hyperlink" Target="https://www.nature.com/articles/s41467-026-74361-w" TargetMode="External"/><Relationship Id="rId350" Type="http://schemas.openxmlformats.org/officeDocument/2006/relationships/hyperlink" Target="https://www.nature.com/articles/s41467-026-74230-6" TargetMode="External"/><Relationship Id="rId351" Type="http://schemas.openxmlformats.org/officeDocument/2006/relationships/hyperlink" Target="https://www.nature.com/articles/s41467-026-74998-7" TargetMode="External"/><Relationship Id="rId352" Type="http://schemas.openxmlformats.org/officeDocument/2006/relationships/hyperlink" Target="https://www.nature.com/articles/s41467-026-74979-w" TargetMode="External"/><Relationship Id="rId353" Type="http://schemas.openxmlformats.org/officeDocument/2006/relationships/hyperlink" Target="https://www.nature.com/articles/s41467-026-74633-5" TargetMode="External"/><Relationship Id="rId354" Type="http://schemas.openxmlformats.org/officeDocument/2006/relationships/hyperlink" Target="https://www.nature.com/articles/s41467-026-74976-z" TargetMode="External"/><Relationship Id="rId355" Type="http://schemas.openxmlformats.org/officeDocument/2006/relationships/hyperlink" Target="https://www.nature.com/articles/s41467-026-74806-2" TargetMode="External"/><Relationship Id="rId356" Type="http://schemas.openxmlformats.org/officeDocument/2006/relationships/hyperlink" Target="https://www.nature.com/articles/s41467-026-74831-1" TargetMode="External"/><Relationship Id="rId357" Type="http://schemas.openxmlformats.org/officeDocument/2006/relationships/hyperlink" Target="https://www.nature.com/articles/s41467-026-73652-6" TargetMode="External"/><Relationship Id="rId358" Type="http://schemas.openxmlformats.org/officeDocument/2006/relationships/hyperlink" Target="https://www.nature.com/articles/s41467-026-75058-w" TargetMode="External"/><Relationship Id="rId359" Type="http://schemas.openxmlformats.org/officeDocument/2006/relationships/hyperlink" Target="https://www.nature.com/articles/s41467-026-72513-6" TargetMode="External"/><Relationship Id="rId360" Type="http://schemas.openxmlformats.org/officeDocument/2006/relationships/hyperlink" Target="https://www.nature.com/articles/s41467-026-74908-x" TargetMode="External"/><Relationship Id="rId361" Type="http://schemas.openxmlformats.org/officeDocument/2006/relationships/hyperlink" Target="https://www.pnas.org/doi/abs/10.1073/pnas.2617762123?mi=eymic2&amp;af=R&amp;access=on&amp;content=articlesChapters&amp;publication=pnas&amp;sortBy=Earliest&amp;target=default" TargetMode="External"/><Relationship Id="rId362" Type="http://schemas.openxmlformats.org/officeDocument/2006/relationships/hyperlink" Target="https://doi.org/10.1073/pnas.2617762123" TargetMode="External"/><Relationship Id="rId363" Type="http://schemas.openxmlformats.org/officeDocument/2006/relationships/hyperlink" Target="https://www.pnas.org/doi/abs/10.1073/pnas.2616276123?mi=eymic2&amp;af=R&amp;access=on&amp;content=articlesChapters&amp;publication=pnas&amp;sortBy=Earliest&amp;target=default" TargetMode="External"/><Relationship Id="rId364" Type="http://schemas.openxmlformats.org/officeDocument/2006/relationships/hyperlink" Target="https://doi.org/10.1073/pnas.2616276123" TargetMode="External"/><Relationship Id="rId365" Type="http://schemas.openxmlformats.org/officeDocument/2006/relationships/hyperlink" Target="https://www.pnas.org/doi/abs/10.1073/pnas.2608286123?mi=eymic2&amp;af=R&amp;access=on&amp;content=articlesChapters&amp;publication=pnas&amp;sortBy=Earliest&amp;target=default" TargetMode="External"/><Relationship Id="rId366" Type="http://schemas.openxmlformats.org/officeDocument/2006/relationships/hyperlink" Target="https://doi.org/10.1073/pnas.2608286123" TargetMode="External"/><Relationship Id="rId367" Type="http://schemas.openxmlformats.org/officeDocument/2006/relationships/hyperlink" Target="https://www.pnas.org/doi/abs/10.1073/pnas.2616703123?mi=eymic2&amp;af=R&amp;access=on&amp;content=articlesChapters&amp;publication=pnas&amp;sortBy=Earliest&amp;target=default" TargetMode="External"/><Relationship Id="rId368" Type="http://schemas.openxmlformats.org/officeDocument/2006/relationships/hyperlink" Target="https://doi.org/10.1073/pnas.2616703123" TargetMode="External"/><Relationship Id="rId369" Type="http://schemas.openxmlformats.org/officeDocument/2006/relationships/hyperlink" Target="https://www.pnas.org/doi/abs/10.1073/pnas.2617312123?mi=eymic2&amp;af=R&amp;access=on&amp;content=articlesChapters&amp;publication=pnas&amp;sortBy=Earliest&amp;target=default" TargetMode="External"/><Relationship Id="rId370" Type="http://schemas.openxmlformats.org/officeDocument/2006/relationships/hyperlink" Target="https://doi.org/10.1073/pnas.2617312123" TargetMode="External"/><Relationship Id="rId371" Type="http://schemas.openxmlformats.org/officeDocument/2006/relationships/hyperlink" Target="https://www.pnas.org/doi/abs/10.1073/pnas.2617172123?mi=eymic2&amp;af=R&amp;access=on&amp;content=articlesChapters&amp;publication=pnas&amp;sortBy=Earliest&amp;target=default" TargetMode="External"/><Relationship Id="rId372" Type="http://schemas.openxmlformats.org/officeDocument/2006/relationships/hyperlink" Target="https://doi.org/10.1073/pnas.2617172123" TargetMode="External"/><Relationship Id="rId373" Type="http://schemas.openxmlformats.org/officeDocument/2006/relationships/hyperlink" Target="https://www.pnas.org/doi/abs/10.1073/pnas.2620564123?mi=eymic2&amp;af=R&amp;access=on&amp;content=articlesChapters&amp;publication=pnas&amp;sortBy=Earliest&amp;target=default" TargetMode="External"/><Relationship Id="rId374" Type="http://schemas.openxmlformats.org/officeDocument/2006/relationships/hyperlink" Target="https://doi.org/10.1073/pnas.2620564123" TargetMode="External"/><Relationship Id="rId375" Type="http://schemas.openxmlformats.org/officeDocument/2006/relationships/hyperlink" Target="https://www.pnas.org/doi/abs/10.1073/pnas.2621332123?mi=eymic2&amp;af=R&amp;access=on&amp;content=articlesChapters&amp;publication=pnas&amp;sortBy=Earliest&amp;target=default" TargetMode="External"/><Relationship Id="rId376" Type="http://schemas.openxmlformats.org/officeDocument/2006/relationships/hyperlink" Target="https://doi.org/10.1073/pnas.2621332123" TargetMode="External"/><Relationship Id="rId377" Type="http://schemas.openxmlformats.org/officeDocument/2006/relationships/hyperlink" Target="https://www.pnas.org/doi/abs/10.1073/pnas.2529234123?mi=eymic2&amp;af=R&amp;access=on&amp;content=articlesChapters&amp;publication=pnas&amp;sortBy=Earliest&amp;target=default" TargetMode="External"/><Relationship Id="rId378" Type="http://schemas.openxmlformats.org/officeDocument/2006/relationships/hyperlink" Target="https://doi.org/10.1073/pnas.2529234123" TargetMode="External"/><Relationship Id="rId379" Type="http://schemas.openxmlformats.org/officeDocument/2006/relationships/hyperlink" Target="https://www.pnas.org/doi/abs/10.1073/pnas.2610119123?mi=eymic2&amp;af=R&amp;access=on&amp;content=articlesChapters&amp;publication=pnas&amp;sortBy=Earliest&amp;target=default" TargetMode="External"/><Relationship Id="rId380" Type="http://schemas.openxmlformats.org/officeDocument/2006/relationships/hyperlink" Target="https://doi.org/10.1073/pnas.2610119123" TargetMode="External"/><Relationship Id="rId381" Type="http://schemas.openxmlformats.org/officeDocument/2006/relationships/hyperlink" Target="https://www.pnas.org/doi/abs/10.1073/pnas.2607964123?mi=eymic2&amp;af=R&amp;access=on&amp;content=articlesChapters&amp;publication=pnas&amp;sortBy=Earliest&amp;target=default" TargetMode="External"/><Relationship Id="rId382" Type="http://schemas.openxmlformats.org/officeDocument/2006/relationships/hyperlink" Target="https://doi.org/10.1073/pnas.2607964123" TargetMode="External"/><Relationship Id="rId383" Type="http://schemas.openxmlformats.org/officeDocument/2006/relationships/hyperlink" Target="https://www.pnas.org/doi/abs/10.1073/pnas.2600491123?mi=eymic2&amp;af=R&amp;access=on&amp;content=articlesChapters&amp;publication=pnas&amp;sortBy=Earliest&amp;target=default" TargetMode="External"/><Relationship Id="rId384" Type="http://schemas.openxmlformats.org/officeDocument/2006/relationships/hyperlink" Target="https://doi.org/10.1073/pnas.2600491123" TargetMode="External"/><Relationship Id="rId385" Type="http://schemas.openxmlformats.org/officeDocument/2006/relationships/hyperlink" Target="https://www.pnas.org/doi/abs/10.1073/pnas.2615768123?mi=eymic2&amp;af=R&amp;access=on&amp;content=articlesChapters&amp;publication=pnas&amp;sortBy=Earliest&amp;target=default" TargetMode="External"/><Relationship Id="rId386" Type="http://schemas.openxmlformats.org/officeDocument/2006/relationships/hyperlink" Target="https://doi.org/10.1073/pnas.2615768123" TargetMode="External"/><Relationship Id="rId387" Type="http://schemas.openxmlformats.org/officeDocument/2006/relationships/hyperlink" Target="https://www.pnas.org/doi/abs/10.1073/pnas.2620356123?mi=eymic2&amp;af=R&amp;access=on&amp;content=articlesChapters&amp;publication=pnas&amp;sortBy=Earliest&amp;target=default" TargetMode="External"/><Relationship Id="rId388" Type="http://schemas.openxmlformats.org/officeDocument/2006/relationships/hyperlink" Target="https://doi.org/10.1073/pnas.2620356123" TargetMode="External"/><Relationship Id="rId389" Type="http://schemas.openxmlformats.org/officeDocument/2006/relationships/hyperlink" Target="https://www.pnas.org/doi/abs/10.1073/pnas.2521663123?mi=eymic2&amp;af=R&amp;access=on&amp;content=articlesChapters&amp;publication=pnas&amp;sortBy=Earliest&amp;target=default" TargetMode="External"/><Relationship Id="rId390" Type="http://schemas.openxmlformats.org/officeDocument/2006/relationships/hyperlink" Target="https://doi.org/10.1073/pnas.2521663123" TargetMode="External"/><Relationship Id="rId391" Type="http://schemas.openxmlformats.org/officeDocument/2006/relationships/hyperlink" Target="https://www.pnas.org/doi/abs/10.1073/pnas.2613745123?mi=eymic2&amp;af=R&amp;access=on&amp;content=articlesChapters&amp;publication=pnas&amp;sortBy=Earliest&amp;target=default" TargetMode="External"/><Relationship Id="rId392" Type="http://schemas.openxmlformats.org/officeDocument/2006/relationships/hyperlink" Target="https://doi.org/10.1073/pnas.2613745123" TargetMode="External"/><Relationship Id="rId393" Type="http://schemas.openxmlformats.org/officeDocument/2006/relationships/hyperlink" Target="https://www.pnas.org/doi/abs/10.1073/pnas.2532281123?mi=eymic2&amp;af=R&amp;access=on&amp;content=articlesChapters&amp;publication=pnas&amp;sortBy=Earliest&amp;target=default" TargetMode="External"/><Relationship Id="rId394" Type="http://schemas.openxmlformats.org/officeDocument/2006/relationships/hyperlink" Target="https://doi.org/10.1073/pnas.2532281123" TargetMode="External"/><Relationship Id="rId395" Type="http://schemas.openxmlformats.org/officeDocument/2006/relationships/hyperlink" Target="https://www.pnas.org/doi/abs/10.1073/pnas.2528037123?mi=eymic2&amp;af=R&amp;access=on&amp;content=articlesChapters&amp;publication=pnas&amp;sortBy=Earliest&amp;target=default" TargetMode="External"/><Relationship Id="rId396" Type="http://schemas.openxmlformats.org/officeDocument/2006/relationships/hyperlink" Target="https://doi.org/10.1073/pnas.2528037123" TargetMode="External"/><Relationship Id="rId397" Type="http://schemas.openxmlformats.org/officeDocument/2006/relationships/hyperlink" Target="https://www.pnas.org/doi/abs/10.1073/pnas.2400023123?mi=eymic2&amp;af=R&amp;access=on&amp;content=articlesChapters&amp;publication=pnas&amp;sortBy=Earliest&amp;target=default" TargetMode="External"/><Relationship Id="rId398" Type="http://schemas.openxmlformats.org/officeDocument/2006/relationships/hyperlink" Target="https://doi.org/10.1073/pnas.2400023123" TargetMode="External"/><Relationship Id="rId399" Type="http://schemas.openxmlformats.org/officeDocument/2006/relationships/hyperlink" Target="https://www.pnas.org/doi/abs/10.1073/pnas.2520677123?mi=eymic2&amp;af=R&amp;access=on&amp;content=articlesChapters&amp;publication=pnas&amp;sortBy=Earliest&amp;target=default" TargetMode="External"/><Relationship Id="rId400" Type="http://schemas.openxmlformats.org/officeDocument/2006/relationships/hyperlink" Target="https://doi.org/10.1073/pnas.2520677123" TargetMode="External"/><Relationship Id="rId401" Type="http://schemas.openxmlformats.org/officeDocument/2006/relationships/hyperlink" Target="https://www.pnas.org/doi/abs/10.1073/pnas.2522718123?mi=eymic2&amp;af=R&amp;access=on&amp;content=articlesChapters&amp;publication=pnas&amp;sortBy=Earliest&amp;target=default" TargetMode="External"/><Relationship Id="rId402" Type="http://schemas.openxmlformats.org/officeDocument/2006/relationships/hyperlink" Target="https://doi.org/10.1073/pnas.2522718123" TargetMode="External"/><Relationship Id="rId403" Type="http://schemas.openxmlformats.org/officeDocument/2006/relationships/hyperlink" Target="https://www.pnas.org/doi/abs/10.1073/pnas.2523274123?mi=eymic2&amp;af=R&amp;access=on&amp;content=articlesChapters&amp;publication=pnas&amp;sortBy=Earliest&amp;target=default" TargetMode="External"/><Relationship Id="rId404" Type="http://schemas.openxmlformats.org/officeDocument/2006/relationships/hyperlink" Target="https://doi.org/10.1073/pnas.2523274123" TargetMode="External"/><Relationship Id="rId405" Type="http://schemas.openxmlformats.org/officeDocument/2006/relationships/hyperlink" Target="https://www.pnas.org/doi/abs/10.1073/pnas.2524283123?mi=eymic2&amp;af=R&amp;access=on&amp;content=articlesChapters&amp;publication=pnas&amp;sortBy=Earliest&amp;target=default" TargetMode="External"/><Relationship Id="rId406" Type="http://schemas.openxmlformats.org/officeDocument/2006/relationships/hyperlink" Target="https://doi.org/10.1073/pnas.2524283123" TargetMode="External"/><Relationship Id="rId407" Type="http://schemas.openxmlformats.org/officeDocument/2006/relationships/hyperlink" Target="https://www.pnas.org/doi/abs/10.1073/pnas.2524943123?mi=eymic2&amp;af=R&amp;access=on&amp;content=articlesChapters&amp;publication=pnas&amp;sortBy=Earliest&amp;target=default" TargetMode="External"/><Relationship Id="rId408" Type="http://schemas.openxmlformats.org/officeDocument/2006/relationships/hyperlink" Target="https://doi.org/10.1073/pnas.2524943123" TargetMode="External"/><Relationship Id="rId409" Type="http://schemas.openxmlformats.org/officeDocument/2006/relationships/hyperlink" Target="https://www.pnas.org/doi/abs/10.1073/pnas.2619590123?mi=eymic2&amp;af=R&amp;access=on&amp;content=articlesChapters&amp;publication=pnas&amp;sortBy=Earliest&amp;target=default" TargetMode="External"/><Relationship Id="rId410" Type="http://schemas.openxmlformats.org/officeDocument/2006/relationships/hyperlink" Target="https://doi.org/10.1073/pnas.2619590123" TargetMode="External"/><Relationship Id="rId411" Type="http://schemas.openxmlformats.org/officeDocument/2006/relationships/hyperlink" Target="https://www.pnas.org/doi/abs/10.1073/pnas.2528109123?mi=eymic2&amp;af=R&amp;access=on&amp;content=articlesChapters&amp;publication=pnas&amp;sortBy=Earliest&amp;target=default" TargetMode="External"/><Relationship Id="rId412" Type="http://schemas.openxmlformats.org/officeDocument/2006/relationships/hyperlink" Target="https://doi.org/10.1073/pnas.2528109123" TargetMode="External"/><Relationship Id="rId413" Type="http://schemas.openxmlformats.org/officeDocument/2006/relationships/hyperlink" Target="https://www.pnas.org/doi/abs/10.1073/pnas.2616023123?mi=eymic2&amp;af=R&amp;access=on&amp;content=articlesChapters&amp;publication=pnas&amp;sortBy=Earliest&amp;target=default" TargetMode="External"/><Relationship Id="rId414" Type="http://schemas.openxmlformats.org/officeDocument/2006/relationships/hyperlink" Target="https://doi.org/10.1073/pnas.2616023123" TargetMode="External"/><Relationship Id="rId415" Type="http://schemas.openxmlformats.org/officeDocument/2006/relationships/hyperlink" Target="https://www.pnas.org/doi/abs/10.1073/pnas.2610438123?mi=eymic2&amp;af=R&amp;access=on&amp;content=articlesChapters&amp;publication=pnas&amp;sortBy=Earliest&amp;target=default" TargetMode="External"/><Relationship Id="rId416" Type="http://schemas.openxmlformats.org/officeDocument/2006/relationships/hyperlink" Target="https://doi.org/10.1073/pnas.2610438123" TargetMode="External"/><Relationship Id="rId417" Type="http://schemas.openxmlformats.org/officeDocument/2006/relationships/hyperlink" Target="https://www.pnas.org/doi/abs/10.1073/pnas.2610441123?mi=eymic2&amp;af=R&amp;access=on&amp;content=articlesChapters&amp;publication=pnas&amp;sortBy=Earliest&amp;target=default" TargetMode="External"/><Relationship Id="rId418" Type="http://schemas.openxmlformats.org/officeDocument/2006/relationships/hyperlink" Target="https://doi.org/10.1073/pnas.2610441123" TargetMode="External"/><Relationship Id="rId419" Type="http://schemas.openxmlformats.org/officeDocument/2006/relationships/hyperlink" Target="https://www.pnas.org/doi/abs/10.1073/pnas.2613722123?mi=eymic2&amp;af=R&amp;access=on&amp;content=articlesChapters&amp;publication=pnas&amp;sortBy=Earliest&amp;target=default" TargetMode="External"/><Relationship Id="rId420" Type="http://schemas.openxmlformats.org/officeDocument/2006/relationships/hyperlink" Target="https://doi.org/10.1073/pnas.2613722123" TargetMode="External"/><Relationship Id="rId421" Type="http://schemas.openxmlformats.org/officeDocument/2006/relationships/hyperlink" Target="https://www.pnas.org/doi/abs/10.1073/pnas.2614422123?mi=eymic2&amp;af=R&amp;access=on&amp;content=articlesChapters&amp;publication=pnas&amp;sortBy=Earliest&amp;target=default" TargetMode="External"/><Relationship Id="rId422" Type="http://schemas.openxmlformats.org/officeDocument/2006/relationships/hyperlink" Target="https://doi.org/10.1073/pnas.2614422123" TargetMode="External"/><Relationship Id="rId423" Type="http://schemas.openxmlformats.org/officeDocument/2006/relationships/hyperlink" Target="https://www.pnas.org/doi/abs/10.1073/pnas.2607167123?mi=eymic2&amp;af=R&amp;access=on&amp;content=articlesChapters&amp;publication=pnas&amp;sortBy=Earliest&amp;target=default" TargetMode="External"/><Relationship Id="rId424" Type="http://schemas.openxmlformats.org/officeDocument/2006/relationships/hyperlink" Target="https://doi.org/10.1073/pnas.2607167123" TargetMode="External"/><Relationship Id="rId425" Type="http://schemas.openxmlformats.org/officeDocument/2006/relationships/hyperlink" Target="https://www.pnas.org/doi/abs/10.1073/pnas.2604111123?mi=eymic2&amp;af=R&amp;access=on&amp;content=articlesChapters&amp;publication=pnas&amp;sortBy=Earliest&amp;target=default" TargetMode="External"/><Relationship Id="rId426" Type="http://schemas.openxmlformats.org/officeDocument/2006/relationships/hyperlink" Target="https://doi.org/10.1073/pnas.2604111123" TargetMode="External"/><Relationship Id="rId427" Type="http://schemas.openxmlformats.org/officeDocument/2006/relationships/hyperlink" Target="https://www.pnas.org/doi/abs/10.1073/pnas.2535920123?mi=eymic2&amp;af=R&amp;access=on&amp;content=articlesChapters&amp;publication=pnas&amp;sortBy=Earliest&amp;target=default" TargetMode="External"/><Relationship Id="rId428" Type="http://schemas.openxmlformats.org/officeDocument/2006/relationships/hyperlink" Target="https://doi.org/10.1073/pnas.2535920123" TargetMode="External"/><Relationship Id="rId429" Type="http://schemas.openxmlformats.org/officeDocument/2006/relationships/hyperlink" Target="https://www.pnas.org/doi/abs/10.1073/pnas.2604658123?mi=eymic2&amp;af=R&amp;access=on&amp;content=articlesChapters&amp;publication=pnas&amp;sortBy=Earliest&amp;target=default" TargetMode="External"/><Relationship Id="rId430" Type="http://schemas.openxmlformats.org/officeDocument/2006/relationships/hyperlink" Target="https://doi.org/10.1073/pnas.2604658123" TargetMode="External"/><Relationship Id="rId431" Type="http://schemas.openxmlformats.org/officeDocument/2006/relationships/hyperlink" Target="https://www.pnas.org/doi/abs/10.1073/pnas.2601806123?mi=eymic2&amp;af=R&amp;access=on&amp;content=articlesChapters&amp;publication=pnas&amp;sortBy=Earliest&amp;target=default" TargetMode="External"/><Relationship Id="rId432" Type="http://schemas.openxmlformats.org/officeDocument/2006/relationships/hyperlink" Target="https://doi.org/10.1073/pnas.2601806123" TargetMode="External"/><Relationship Id="rId433" Type="http://schemas.openxmlformats.org/officeDocument/2006/relationships/hyperlink" Target="https://www.pnas.org/doi/abs/10.1073/pnas.2535076123?mi=eymic2&amp;af=R&amp;access=on&amp;content=articlesChapters&amp;publication=pnas&amp;sortBy=Earliest&amp;target=default" TargetMode="External"/><Relationship Id="rId434" Type="http://schemas.openxmlformats.org/officeDocument/2006/relationships/hyperlink" Target="https://doi.org/10.1073/pnas.2535076123" TargetMode="External"/><Relationship Id="rId435" Type="http://schemas.openxmlformats.org/officeDocument/2006/relationships/hyperlink" Target="https://www.pnas.org/doi/abs/10.1073/pnas.2603045123?mi=eymic2&amp;af=R&amp;access=on&amp;content=articlesChapters&amp;publication=pnas&amp;sortBy=Earliest&amp;target=default" TargetMode="External"/><Relationship Id="rId436" Type="http://schemas.openxmlformats.org/officeDocument/2006/relationships/hyperlink" Target="https://doi.org/10.1073/pnas.2603045123" TargetMode="External"/><Relationship Id="rId437" Type="http://schemas.openxmlformats.org/officeDocument/2006/relationships/hyperlink" Target="https://www.pnas.org/doi/abs/10.1073/pnas.2602570123?mi=eymic2&amp;af=R&amp;access=on&amp;content=articlesChapters&amp;publication=pnas&amp;sortBy=Earliest&amp;target=default" TargetMode="External"/><Relationship Id="rId438" Type="http://schemas.openxmlformats.org/officeDocument/2006/relationships/hyperlink" Target="https://doi.org/10.1073/pnas.2602570123" TargetMode="External"/><Relationship Id="rId439" Type="http://schemas.openxmlformats.org/officeDocument/2006/relationships/hyperlink" Target="https://www.pnas.org/doi/abs/10.1073/pnas.2602122123?mi=eymic2&amp;af=R&amp;access=on&amp;content=articlesChapters&amp;publication=pnas&amp;sortBy=Earliest&amp;target=default" TargetMode="External"/><Relationship Id="rId440" Type="http://schemas.openxmlformats.org/officeDocument/2006/relationships/hyperlink" Target="https://doi.org/10.1073/pnas.2602122123" TargetMode="External"/><Relationship Id="rId441" Type="http://schemas.openxmlformats.org/officeDocument/2006/relationships/hyperlink" Target="https://www.pnas.org/doi/abs/10.1073/pnas.2606412123?mi=eymic2&amp;af=R&amp;access=on&amp;content=articlesChapters&amp;publication=pnas&amp;sortBy=Earliest&amp;target=default" TargetMode="External"/><Relationship Id="rId442" Type="http://schemas.openxmlformats.org/officeDocument/2006/relationships/hyperlink" Target="https://doi.org/10.1073/pnas.2606412123" TargetMode="External"/><Relationship Id="rId443" Type="http://schemas.openxmlformats.org/officeDocument/2006/relationships/hyperlink" Target="https://www.pnas.org/doi/abs/10.1073/pnas.2601775123?mi=eymic2&amp;af=R&amp;access=on&amp;content=articlesChapters&amp;publication=pnas&amp;sortBy=Earliest&amp;target=default" TargetMode="External"/><Relationship Id="rId444" Type="http://schemas.openxmlformats.org/officeDocument/2006/relationships/hyperlink" Target="https://doi.org/10.1073/pnas.2601775123" TargetMode="External"/><Relationship Id="rId445" Type="http://schemas.openxmlformats.org/officeDocument/2006/relationships/hyperlink" Target="https://www.pnas.org/doi/abs/10.1073/pnas.2536525123?mi=eymic2&amp;af=R&amp;access=on&amp;content=articlesChapters&amp;publication=pnas&amp;sortBy=Earliest&amp;target=default" TargetMode="External"/><Relationship Id="rId446" Type="http://schemas.openxmlformats.org/officeDocument/2006/relationships/hyperlink" Target="https://doi.org/10.1073/pnas.2536525123" TargetMode="External"/><Relationship Id="rId447" Type="http://schemas.openxmlformats.org/officeDocument/2006/relationships/hyperlink" Target="https://www.pnas.org/doi/abs/10.1073/pnas.2537487123?mi=eymic2&amp;af=R&amp;access=on&amp;content=articlesChapters&amp;publication=pnas&amp;sortBy=Earliest&amp;target=default" TargetMode="External"/><Relationship Id="rId448" Type="http://schemas.openxmlformats.org/officeDocument/2006/relationships/hyperlink" Target="https://doi.org/10.1073/pnas.2537487123" TargetMode="External"/><Relationship Id="rId449" Type="http://schemas.openxmlformats.org/officeDocument/2006/relationships/hyperlink" Target="https://www.pnas.org/doi/abs/10.1073/pnas.2537345123?mi=eymic2&amp;af=R&amp;access=on&amp;content=articlesChapters&amp;publication=pnas&amp;sortBy=Earliest&amp;target=default" TargetMode="External"/><Relationship Id="rId450" Type="http://schemas.openxmlformats.org/officeDocument/2006/relationships/hyperlink" Target="https://doi.org/10.1073/pnas.2537345123" TargetMode="External"/><Relationship Id="rId451" Type="http://schemas.openxmlformats.org/officeDocument/2006/relationships/hyperlink" Target="https://www.pnas.org/doi/abs/10.1073/pnas.2537126123?mi=eymic2&amp;af=R&amp;access=on&amp;content=articlesChapters&amp;publication=pnas&amp;sortBy=Earliest&amp;target=default" TargetMode="External"/><Relationship Id="rId452" Type="http://schemas.openxmlformats.org/officeDocument/2006/relationships/hyperlink" Target="https://doi.org/10.1073/pnas.2537126123" TargetMode="External"/><Relationship Id="rId453" Type="http://schemas.openxmlformats.org/officeDocument/2006/relationships/hyperlink" Target="https://www.pnas.org/doi/abs/10.1073/pnas.2536181123?mi=eymic2&amp;af=R&amp;access=on&amp;content=articlesChapters&amp;publication=pnas&amp;sortBy=Earliest&amp;target=default" TargetMode="External"/><Relationship Id="rId454" Type="http://schemas.openxmlformats.org/officeDocument/2006/relationships/hyperlink" Target="https://doi.org/10.1073/pnas.2536181123" TargetMode="External"/><Relationship Id="rId455" Type="http://schemas.openxmlformats.org/officeDocument/2006/relationships/hyperlink" Target="https://www.pnas.org/doi/abs/10.1073/pnas.2602084123?mi=eymic2&amp;af=R&amp;access=on&amp;content=articlesChapters&amp;publication=pnas&amp;sortBy=Earliest&amp;target=default" TargetMode="External"/><Relationship Id="rId456" Type="http://schemas.openxmlformats.org/officeDocument/2006/relationships/hyperlink" Target="https://doi.org/10.1073/pnas.2602084123" TargetMode="External"/><Relationship Id="rId457" Type="http://schemas.openxmlformats.org/officeDocument/2006/relationships/hyperlink" Target="https://advanced.onlinelibrary.wiley.com/doi/10.1002/adma.202600030?af=R" TargetMode="External"/><Relationship Id="rId458" Type="http://schemas.openxmlformats.org/officeDocument/2006/relationships/hyperlink" Target="https://doi.org/10.1002/adma.202600030" TargetMode="External"/><Relationship Id="rId459" Type="http://schemas.openxmlformats.org/officeDocument/2006/relationships/hyperlink" Target="https://advanced.onlinelibrary.wiley.com/doi/10.1002/adma.73861?af=R" TargetMode="External"/><Relationship Id="rId460" Type="http://schemas.openxmlformats.org/officeDocument/2006/relationships/hyperlink" Target="https://doi.org/10.1002/adma.73861" TargetMode="External"/><Relationship Id="rId461" Type="http://schemas.openxmlformats.org/officeDocument/2006/relationships/hyperlink" Target="http://link.aps.org/doi/10.1103/grkg-jm2z" TargetMode="External"/><Relationship Id="rId462" Type="http://schemas.openxmlformats.org/officeDocument/2006/relationships/hyperlink" Target="https://doi.org/10.1103/grkg-jm2z" TargetMode="External"/><Relationship Id="rId463" Type="http://schemas.openxmlformats.org/officeDocument/2006/relationships/hyperlink" Target="http://link.aps.org/doi/10.1103/ybrp-jdrm" TargetMode="External"/><Relationship Id="rId464" Type="http://schemas.openxmlformats.org/officeDocument/2006/relationships/hyperlink" Target="https://doi.org/10.1103/ybrp-jdrm" TargetMode="External"/><Relationship Id="rId465" Type="http://schemas.openxmlformats.org/officeDocument/2006/relationships/hyperlink" Target="http://link.aps.org/doi/10.1103/n7xg-dbfz" TargetMode="External"/><Relationship Id="rId466" Type="http://schemas.openxmlformats.org/officeDocument/2006/relationships/hyperlink" Target="https://doi.org/10.1103/n7xg-dbfz" TargetMode="External"/><Relationship Id="rId467" Type="http://schemas.openxmlformats.org/officeDocument/2006/relationships/hyperlink" Target="http://link.aps.org/doi/10.1103/k9sj-9g8t" TargetMode="External"/><Relationship Id="rId468" Type="http://schemas.openxmlformats.org/officeDocument/2006/relationships/hyperlink" Target="https://doi.org/10.1103/k9sj-9g8t" TargetMode="External"/><Relationship Id="rId469" Type="http://schemas.openxmlformats.org/officeDocument/2006/relationships/hyperlink" Target="http://link.aps.org/doi/10.1103/ldzg-gtdc" TargetMode="External"/><Relationship Id="rId470" Type="http://schemas.openxmlformats.org/officeDocument/2006/relationships/hyperlink" Target="https://doi.org/10.1103/ldzg-gtdc" TargetMode="External"/><Relationship Id="rId471" Type="http://schemas.openxmlformats.org/officeDocument/2006/relationships/hyperlink" Target="http://link.aps.org/doi/10.1103/qr8m-drrl" TargetMode="External"/><Relationship Id="rId472" Type="http://schemas.openxmlformats.org/officeDocument/2006/relationships/hyperlink" Target="https://doi.org/10.1103/qr8m-drrl" TargetMode="External"/><Relationship Id="rId473" Type="http://schemas.openxmlformats.org/officeDocument/2006/relationships/hyperlink" Target="http://link.aps.org/doi/10.1103/t58j-5htf" TargetMode="External"/><Relationship Id="rId474" Type="http://schemas.openxmlformats.org/officeDocument/2006/relationships/hyperlink" Target="https://doi.org/10.1103/t58j-5htf" TargetMode="External"/><Relationship Id="rId475" Type="http://schemas.openxmlformats.org/officeDocument/2006/relationships/hyperlink" Target="http://link.aps.org/doi/10.1103/1ft8-9hkv" TargetMode="External"/><Relationship Id="rId476" Type="http://schemas.openxmlformats.org/officeDocument/2006/relationships/hyperlink" Target="https://doi.org/10.1103/1ft8-9hkv" TargetMode="External"/><Relationship Id="rId477" Type="http://schemas.openxmlformats.org/officeDocument/2006/relationships/hyperlink" Target="http://link.aps.org/doi/10.1103/mbrf-3ly5" TargetMode="External"/><Relationship Id="rId478" Type="http://schemas.openxmlformats.org/officeDocument/2006/relationships/hyperlink" Target="https://doi.org/10.1103/mbrf-3ly5" TargetMode="External"/><Relationship Id="rId479" Type="http://schemas.openxmlformats.org/officeDocument/2006/relationships/hyperlink" Target="http://link.aps.org/doi/10.1103/p836-tdgw" TargetMode="External"/><Relationship Id="rId480" Type="http://schemas.openxmlformats.org/officeDocument/2006/relationships/hyperlink" Target="https://doi.org/10.1103/p836-tdgw" TargetMode="External"/><Relationship Id="rId481" Type="http://schemas.openxmlformats.org/officeDocument/2006/relationships/hyperlink" Target="http://link.aps.org/doi/10.1103/ztcl-lpdf" TargetMode="External"/><Relationship Id="rId482" Type="http://schemas.openxmlformats.org/officeDocument/2006/relationships/hyperlink" Target="https://doi.org/10.1103/ztcl-lpdf" TargetMode="External"/><Relationship Id="rId483" Type="http://schemas.openxmlformats.org/officeDocument/2006/relationships/hyperlink" Target="http://link.aps.org/doi/10.1103/951q-j8kq" TargetMode="External"/><Relationship Id="rId484" Type="http://schemas.openxmlformats.org/officeDocument/2006/relationships/hyperlink" Target="https://doi.org/10.1103/951q-j8kq" TargetMode="External"/><Relationship Id="rId485" Type="http://schemas.openxmlformats.org/officeDocument/2006/relationships/hyperlink" Target="http://link.aps.org/doi/10.1103/2c1p-8vx9" TargetMode="External"/><Relationship Id="rId486" Type="http://schemas.openxmlformats.org/officeDocument/2006/relationships/hyperlink" Target="https://doi.org/10.1103/2c1p-8vx9" TargetMode="External"/><Relationship Id="rId487" Type="http://schemas.openxmlformats.org/officeDocument/2006/relationships/hyperlink" Target="http://link.aps.org/doi/10.1103/v435-qnhl" TargetMode="External"/><Relationship Id="rId488" Type="http://schemas.openxmlformats.org/officeDocument/2006/relationships/hyperlink" Target="https://doi.org/10.1103/v435-qnhl" TargetMode="External"/><Relationship Id="rId489" Type="http://schemas.openxmlformats.org/officeDocument/2006/relationships/hyperlink" Target="http://link.aps.org/doi/10.1103/w4s1-rtqm" TargetMode="External"/><Relationship Id="rId490" Type="http://schemas.openxmlformats.org/officeDocument/2006/relationships/hyperlink" Target="https://doi.org/10.1103/w4s1-rtqm" TargetMode="External"/><Relationship Id="rId491" Type="http://schemas.openxmlformats.org/officeDocument/2006/relationships/hyperlink" Target="http://link.aps.org/doi/10.1103/yl6l-ldhn" TargetMode="External"/><Relationship Id="rId492" Type="http://schemas.openxmlformats.org/officeDocument/2006/relationships/hyperlink" Target="https://doi.org/10.1103/yl6l-ldhn" TargetMode="External"/><Relationship Id="rId493" Type="http://schemas.openxmlformats.org/officeDocument/2006/relationships/hyperlink" Target="https://advanced.onlinelibrary.wiley.com/doi/10.1002/adma.202521589?af=R" TargetMode="External"/><Relationship Id="rId494" Type="http://schemas.openxmlformats.org/officeDocument/2006/relationships/hyperlink" Target="https://doi.org/10.1002/adma.202521589" TargetMode="External"/><Relationship Id="rId495" Type="http://schemas.openxmlformats.org/officeDocument/2006/relationships/hyperlink" Target="https://advanced.onlinelibrary.wiley.com/doi/10.1002/adma.73850?af=R" TargetMode="External"/><Relationship Id="rId496" Type="http://schemas.openxmlformats.org/officeDocument/2006/relationships/hyperlink" Target="https://doi.org/10.1002/adma.73850" TargetMode="External"/><Relationship Id="rId497" Type="http://schemas.openxmlformats.org/officeDocument/2006/relationships/hyperlink" Target="https://advanced.onlinelibrary.wiley.com/doi/10.1002/adma.73874?af=R" TargetMode="External"/><Relationship Id="rId498" Type="http://schemas.openxmlformats.org/officeDocument/2006/relationships/hyperlink" Target="https://doi.org/10.1002/adma.73874" TargetMode="External"/><Relationship Id="rId499" Type="http://schemas.openxmlformats.org/officeDocument/2006/relationships/hyperlink" Target="https://advanced.onlinelibrary.wiley.com/doi/10.1002/adma.202518938?af=R" TargetMode="External"/><Relationship Id="rId500" Type="http://schemas.openxmlformats.org/officeDocument/2006/relationships/hyperlink" Target="https://doi.org/10.1002/adma.202518938" TargetMode="External"/><Relationship Id="rId501" Type="http://schemas.openxmlformats.org/officeDocument/2006/relationships/hyperlink" Target="https://advanced.onlinelibrary.wiley.com/doi/10.1002/adma.73870?af=R" TargetMode="External"/><Relationship Id="rId502" Type="http://schemas.openxmlformats.org/officeDocument/2006/relationships/hyperlink" Target="https://doi.org/10.1002/adma.73870" TargetMode="External"/><Relationship Id="rId503" Type="http://schemas.openxmlformats.org/officeDocument/2006/relationships/hyperlink" Target="https://advanced.onlinelibrary.wiley.com/doi/10.1002/adma.73777?af=R" TargetMode="External"/><Relationship Id="rId504" Type="http://schemas.openxmlformats.org/officeDocument/2006/relationships/hyperlink" Target="https://doi.org/10.1002/adma.73777" TargetMode="External"/><Relationship Id="rId505" Type="http://schemas.openxmlformats.org/officeDocument/2006/relationships/hyperlink" Target="https://advanced.onlinelibrary.wiley.com/doi/10.1002/adma.73823?af=R" TargetMode="External"/><Relationship Id="rId506" Type="http://schemas.openxmlformats.org/officeDocument/2006/relationships/hyperlink" Target="https://doi.org/10.1002/adma.73823" TargetMode="External"/><Relationship Id="rId507" Type="http://schemas.openxmlformats.org/officeDocument/2006/relationships/hyperlink" Target="https://advanced.onlinelibrary.wiley.com/doi/10.1002/adma.73826?af=R" TargetMode="External"/><Relationship Id="rId508" Type="http://schemas.openxmlformats.org/officeDocument/2006/relationships/hyperlink" Target="https://doi.org/10.1002/adma.73826" TargetMode="External"/><Relationship Id="rId509" Type="http://schemas.openxmlformats.org/officeDocument/2006/relationships/hyperlink" Target="https://advanced.onlinelibrary.wiley.com/doi/10.1002/adma.202522822?af=R" TargetMode="External"/><Relationship Id="rId510" Type="http://schemas.openxmlformats.org/officeDocument/2006/relationships/hyperlink" Target="https://doi.org/10.1002/adma.202522822" TargetMode="External"/><Relationship Id="rId511" Type="http://schemas.openxmlformats.org/officeDocument/2006/relationships/hyperlink" Target="https://advanced.onlinelibrary.wiley.com/doi/10.1002/adma.73856?af=R" TargetMode="External"/><Relationship Id="rId512" Type="http://schemas.openxmlformats.org/officeDocument/2006/relationships/hyperlink" Target="https://doi.org/10.1002/adma.73856" TargetMode="External"/><Relationship Id="rId513" Type="http://schemas.openxmlformats.org/officeDocument/2006/relationships/hyperlink" Target="https://www.nature.com/articles/s41467-026-74779-2" TargetMode="External"/><Relationship Id="rId514" Type="http://schemas.openxmlformats.org/officeDocument/2006/relationships/hyperlink" Target="https://www.nature.com/articles/s41467-026-75098-2" TargetMode="External"/><Relationship Id="rId515" Type="http://schemas.openxmlformats.org/officeDocument/2006/relationships/hyperlink" Target="https://www.nature.com/articles/s41467-026-74759-6" TargetMode="External"/><Relationship Id="rId516" Type="http://schemas.openxmlformats.org/officeDocument/2006/relationships/hyperlink" Target="https://www.nature.com/articles/s41467-026-74615-7" TargetMode="External"/><Relationship Id="rId517" Type="http://schemas.openxmlformats.org/officeDocument/2006/relationships/hyperlink" Target="https://www.nature.com/articles/s41467-026-74493-z" TargetMode="External"/><Relationship Id="rId518" Type="http://schemas.openxmlformats.org/officeDocument/2006/relationships/hyperlink" Target="https://www.cell.com/matter/fulltext/S2590-2385(26)00269-9?rss=yes" TargetMode="External"/><Relationship Id="rId519" Type="http://schemas.openxmlformats.org/officeDocument/2006/relationships/hyperlink" Target="https://doi.org/10.1016/j.matt.2026.102906" TargetMode="External"/><Relationship Id="rId520" Type="http://schemas.openxmlformats.org/officeDocument/2006/relationships/hyperlink" Target="https://www.nature.com/articles/d41586-026-01980-0" TargetMode="External"/><Relationship Id="rId521" Type="http://schemas.openxmlformats.org/officeDocument/2006/relationships/hyperlink" Target="https://doi.org/10.1038/d41586-026-01980-0" TargetMode="External"/><Relationship Id="rId522" Type="http://schemas.openxmlformats.org/officeDocument/2006/relationships/hyperlink" Target="https://www.nature.com/articles/d41586-026-02069-4" TargetMode="External"/><Relationship Id="rId523" Type="http://schemas.openxmlformats.org/officeDocument/2006/relationships/hyperlink" Target="https://doi.org/10.1038/d41586-026-02069-4" TargetMode="External"/><Relationship Id="rId524" Type="http://schemas.openxmlformats.org/officeDocument/2006/relationships/hyperlink" Target="https://www.nature.com/articles/d41586-026-01813-0" TargetMode="External"/><Relationship Id="rId525" Type="http://schemas.openxmlformats.org/officeDocument/2006/relationships/hyperlink" Target="https://doi.org/10.1038/d41586-026-01813-0" TargetMode="External"/><Relationship Id="rId526" Type="http://schemas.openxmlformats.org/officeDocument/2006/relationships/hyperlink" Target="https://www.nature.com/articles/d41586-026-02068-5" TargetMode="External"/><Relationship Id="rId527" Type="http://schemas.openxmlformats.org/officeDocument/2006/relationships/hyperlink" Target="https://doi.org/10.1038/d41586-026-02068-5" TargetMode="External"/><Relationship Id="rId528" Type="http://schemas.openxmlformats.org/officeDocument/2006/relationships/hyperlink" Target="https://www.nature.com/articles/s41586-026-10838-4" TargetMode="External"/><Relationship Id="rId529" Type="http://schemas.openxmlformats.org/officeDocument/2006/relationships/hyperlink" Target="https://doi.org/10.1038/s41586-026-10838-4" TargetMode="External"/><Relationship Id="rId530" Type="http://schemas.openxmlformats.org/officeDocument/2006/relationships/hyperlink" Target="https://www.nature.com/articles/s41586-026-10837-5" TargetMode="External"/><Relationship Id="rId531" Type="http://schemas.openxmlformats.org/officeDocument/2006/relationships/hyperlink" Target="https://doi.org/10.1038/s41586-026-10837-5" TargetMode="External"/><Relationship Id="rId532" Type="http://schemas.openxmlformats.org/officeDocument/2006/relationships/hyperlink" Target="https://www.nature.com/articles/s41563-026-02647-x" TargetMode="External"/><Relationship Id="rId533" Type="http://schemas.openxmlformats.org/officeDocument/2006/relationships/hyperlink" Target="https://doi.org/10.1038/s41563-026-02647-x" TargetMode="External"/><Relationship Id="rId534" Type="http://schemas.openxmlformats.org/officeDocument/2006/relationships/hyperlink" Target="https://www.nature.com/articles/s41563-026-02594-7" TargetMode="External"/><Relationship Id="rId535" Type="http://schemas.openxmlformats.org/officeDocument/2006/relationships/hyperlink" Target="https://doi.org/10.1038/s41563-026-02594-7" TargetMode="External"/><Relationship Id="rId536" Type="http://schemas.openxmlformats.org/officeDocument/2006/relationships/hyperlink" Target="https://www.nature.com/articles/s41563-026-02595-6" TargetMode="External"/><Relationship Id="rId537" Type="http://schemas.openxmlformats.org/officeDocument/2006/relationships/hyperlink" Target="https://doi.org/10.1038/s41563-026-02595-6" TargetMode="External"/><Relationship Id="rId538" Type="http://schemas.openxmlformats.org/officeDocument/2006/relationships/hyperlink" Target="https://www.nature.com/articles/s41563-026-02672-w" TargetMode="External"/><Relationship Id="rId539" Type="http://schemas.openxmlformats.org/officeDocument/2006/relationships/hyperlink" Target="https://doi.org/10.1038/s41563-026-02672-w" TargetMode="External"/><Relationship Id="rId540" Type="http://schemas.openxmlformats.org/officeDocument/2006/relationships/hyperlink" Target="https://www.nature.com/articles/d41586-026-02070-x" TargetMode="External"/><Relationship Id="rId541" Type="http://schemas.openxmlformats.org/officeDocument/2006/relationships/hyperlink" Target="https://doi.org/10.1038/d41586-026-02070-x" TargetMode="External"/><Relationship Id="rId542" Type="http://schemas.openxmlformats.org/officeDocument/2006/relationships/hyperlink" Target="https://academic.oup.com/nsr/advance-article/doi/10.1093/nsr/nwag399/8722218?rss=1" TargetMode="External"/><Relationship Id="rId543" Type="http://schemas.openxmlformats.org/officeDocument/2006/relationships/hyperlink" Target="https://doi.org/10.1093/nsr/nwag399" TargetMode="External"/><Relationship Id="rId544" Type="http://schemas.openxmlformats.org/officeDocument/2006/relationships/hyperlink" Target="https://www.nature.com/articles/d41586-026-01965-z" TargetMode="External"/><Relationship Id="rId545" Type="http://schemas.openxmlformats.org/officeDocument/2006/relationships/hyperlink" Target="https://doi.org/10.1038/d41586-026-01965-z" TargetMode="External"/><Relationship Id="rId546" Type="http://schemas.openxmlformats.org/officeDocument/2006/relationships/hyperlink" Target="https://www.nature.com/articles/d41586-026-01873-2" TargetMode="External"/><Relationship Id="rId547" Type="http://schemas.openxmlformats.org/officeDocument/2006/relationships/hyperlink" Target="https://doi.org/10.1038/d41586-026-01873-2" TargetMode="External"/><Relationship Id="rId548" Type="http://schemas.openxmlformats.org/officeDocument/2006/relationships/hyperlink" Target="https://www.nature.com/articles/s41467-026-74775-6" TargetMode="External"/><Relationship Id="rId549" Type="http://schemas.openxmlformats.org/officeDocument/2006/relationships/hyperlink" Target="https://www.nature.com/articles/s41467-026-74821-3" TargetMode="External"/><Relationship Id="rId550" Type="http://schemas.openxmlformats.org/officeDocument/2006/relationships/hyperlink" Target="https://www.nature.com/articles/s41467-026-75092-8" TargetMode="External"/><Relationship Id="rId551" Type="http://schemas.openxmlformats.org/officeDocument/2006/relationships/hyperlink" Target="https://www.nature.com/articles/s41586-026-10816-w" TargetMode="External"/><Relationship Id="rId552" Type="http://schemas.openxmlformats.org/officeDocument/2006/relationships/hyperlink" Target="https://doi.org/10.1038/s41586-026-10816-w" TargetMode="External"/><Relationship Id="rId553" Type="http://schemas.openxmlformats.org/officeDocument/2006/relationships/hyperlink" Target="https://www.nature.com/articles/s41467-026-74486-y" TargetMode="External"/><Relationship Id="rId554" Type="http://schemas.openxmlformats.org/officeDocument/2006/relationships/hyperlink" Target="https://www.nature.com/articles/s41467-026-75106-5" TargetMode="External"/><Relationship Id="rId555" Type="http://schemas.openxmlformats.org/officeDocument/2006/relationships/hyperlink" Target="https://www.nature.com/articles/s41467-026-75014-8" TargetMode="External"/><Relationship Id="rId556" Type="http://schemas.openxmlformats.org/officeDocument/2006/relationships/hyperlink" Target="https://www.nature.com/articles/s41467-026-74983-0" TargetMode="External"/><Relationship Id="rId557" Type="http://schemas.openxmlformats.org/officeDocument/2006/relationships/hyperlink" Target="https://www.nature.com/articles/s41467-026-74870-8" TargetMode="External"/><Relationship Id="rId558" Type="http://schemas.openxmlformats.org/officeDocument/2006/relationships/hyperlink" Target="https://www.nature.com/articles/s41467-026-74950-9" TargetMode="External"/><Relationship Id="rId559" Type="http://schemas.openxmlformats.org/officeDocument/2006/relationships/hyperlink" Target="https://www.nature.com/articles/s41467-026-74227-1" TargetMode="External"/><Relationship Id="rId560" Type="http://schemas.openxmlformats.org/officeDocument/2006/relationships/hyperlink" Target="https://www.nature.com/articles/s41467-026-75010-y" TargetMode="External"/><Relationship Id="rId561" Type="http://schemas.openxmlformats.org/officeDocument/2006/relationships/hyperlink" Target="https://www.nature.com/articles/s41467-026-74785-4" TargetMode="External"/><Relationship Id="rId562" Type="http://schemas.openxmlformats.org/officeDocument/2006/relationships/hyperlink" Target="https://www.nature.com/articles/s41467-026-74489-9" TargetMode="External"/><Relationship Id="rId563" Type="http://schemas.openxmlformats.org/officeDocument/2006/relationships/hyperlink" Target="https://www.nature.com/articles/s41467-026-75078-6" TargetMode="External"/><Relationship Id="rId564" Type="http://schemas.openxmlformats.org/officeDocument/2006/relationships/hyperlink" Target="https://www.nature.com/articles/s41467-026-74670-0" TargetMode="External"/><Relationship Id="rId565" Type="http://schemas.openxmlformats.org/officeDocument/2006/relationships/hyperlink" Target="https://www.nature.com/articles/s41467-026-75036-2" TargetMode="External"/><Relationship Id="rId566" Type="http://schemas.openxmlformats.org/officeDocument/2006/relationships/hyperlink" Target="https://www.nature.com/articles/s41467-026-75027-3" TargetMode="External"/><Relationship Id="rId567" Type="http://schemas.openxmlformats.org/officeDocument/2006/relationships/hyperlink" Target="https://www.nature.com/articles/s41467-026-74457-3" TargetMode="External"/><Relationship Id="rId568" Type="http://schemas.openxmlformats.org/officeDocument/2006/relationships/hyperlink" Target="https://www.nature.com/articles/s41467-026-74651-3" TargetMode="External"/><Relationship Id="rId569" Type="http://schemas.openxmlformats.org/officeDocument/2006/relationships/hyperlink" Target="https://www.nature.com/articles/s41467-026-74770-x" TargetMode="External"/><Relationship Id="rId570" Type="http://schemas.openxmlformats.org/officeDocument/2006/relationships/hyperlink" Target="https://www.nature.com/articles/s41467-026-75033-5" TargetMode="External"/><Relationship Id="rId571" Type="http://schemas.openxmlformats.org/officeDocument/2006/relationships/hyperlink" Target="https://www.nature.com/articles/s41467-026-74795-2" TargetMode="External"/><Relationship Id="rId572" Type="http://schemas.openxmlformats.org/officeDocument/2006/relationships/hyperlink" Target="https://www.nature.com/articles/s41467-026-75018-4" TargetMode="External"/><Relationship Id="rId573" Type="http://schemas.openxmlformats.org/officeDocument/2006/relationships/hyperlink" Target="https://www.nature.com/articles/s41467-026-74932-x" TargetMode="External"/><Relationship Id="rId574" Type="http://schemas.openxmlformats.org/officeDocument/2006/relationships/hyperlink" Target="https://www.nature.com/articles/s41467-026-75001-z" TargetMode="External"/><Relationship Id="rId575" Type="http://schemas.openxmlformats.org/officeDocument/2006/relationships/hyperlink" Target="https://www.nature.com/articles/s41467-026-74861-9" TargetMode="External"/><Relationship Id="rId576" Type="http://schemas.openxmlformats.org/officeDocument/2006/relationships/hyperlink" Target="https://www.nature.com/articles/s41467-026-74092-y" TargetMode="External"/><Relationship Id="rId577" Type="http://schemas.openxmlformats.org/officeDocument/2006/relationships/hyperlink" Target="https://www.nature.com/articles/s41467-026-74657-x" TargetMode="External"/><Relationship Id="rId578" Type="http://schemas.openxmlformats.org/officeDocument/2006/relationships/hyperlink" Target="https://www.nature.com/articles/s41467-026-75042-4" TargetMode="External"/><Relationship Id="rId579" Type="http://schemas.openxmlformats.org/officeDocument/2006/relationships/hyperlink" Target="https://www.nature.com/articles/s41467-026-74863-7" TargetMode="External"/><Relationship Id="rId580" Type="http://schemas.openxmlformats.org/officeDocument/2006/relationships/hyperlink" Target="https://www.nature.com/articles/s41467-026-74989-8" TargetMode="External"/><Relationship Id="rId581" Type="http://schemas.openxmlformats.org/officeDocument/2006/relationships/hyperlink" Target="https://www.nature.com/articles/s41467-026-75096-4" TargetMode="External"/><Relationship Id="rId582" Type="http://schemas.openxmlformats.org/officeDocument/2006/relationships/hyperlink" Target="https://www.nature.com/articles/s41467-026-74276-6" TargetMode="External"/><Relationship Id="rId583" Type="http://schemas.openxmlformats.org/officeDocument/2006/relationships/hyperlink" Target="https://www.pnas.org/doi/abs/10.1073/pnas.2536746123?mi=eymic2&amp;af=R&amp;access=on&amp;content=articlesChapters&amp;publication=pnas&amp;sortBy=Earliest&amp;target=default" TargetMode="External"/><Relationship Id="rId584" Type="http://schemas.openxmlformats.org/officeDocument/2006/relationships/hyperlink" Target="https://doi.org/10.1073/pnas.2536746123" TargetMode="External"/><Relationship Id="rId585" Type="http://schemas.openxmlformats.org/officeDocument/2006/relationships/hyperlink" Target="https://www.pnas.org/doi/abs/10.1073/pnas.2602385123?mi=eymic2&amp;af=R&amp;access=on&amp;content=articlesChapters&amp;publication=pnas&amp;sortBy=Earliest&amp;target=default" TargetMode="External"/><Relationship Id="rId586" Type="http://schemas.openxmlformats.org/officeDocument/2006/relationships/hyperlink" Target="https://doi.org/10.1073/pnas.2602385123" TargetMode="External"/><Relationship Id="rId587" Type="http://schemas.openxmlformats.org/officeDocument/2006/relationships/hyperlink" Target="https://www.pnas.org/doi/abs/10.1073/pnas.2602272123?mi=eymic2&amp;af=R&amp;access=on&amp;content=articlesChapters&amp;publication=pnas&amp;sortBy=Earliest&amp;target=default" TargetMode="External"/><Relationship Id="rId588" Type="http://schemas.openxmlformats.org/officeDocument/2006/relationships/hyperlink" Target="https://doi.org/10.1073/pnas.2602272123" TargetMode="External"/><Relationship Id="rId589" Type="http://schemas.openxmlformats.org/officeDocument/2006/relationships/hyperlink" Target="https://www.pnas.org/doi/abs/10.1073/pnas.2612800123?mi=eymic2&amp;af=R&amp;access=on&amp;content=articlesChapters&amp;publication=pnas&amp;sortBy=Earliest&amp;target=default" TargetMode="External"/><Relationship Id="rId590" Type="http://schemas.openxmlformats.org/officeDocument/2006/relationships/hyperlink" Target="https://doi.org/10.1073/pnas.2612800123" TargetMode="External"/><Relationship Id="rId591" Type="http://schemas.openxmlformats.org/officeDocument/2006/relationships/hyperlink" Target="https://www.pnas.org/doi/abs/10.1073/pnas.2611876123?mi=eymic2&amp;af=R&amp;access=on&amp;content=articlesChapters&amp;publication=pnas&amp;sortBy=Earliest&amp;target=default" TargetMode="External"/><Relationship Id="rId592" Type="http://schemas.openxmlformats.org/officeDocument/2006/relationships/hyperlink" Target="https://doi.org/10.1073/pnas.2611876123" TargetMode="External"/><Relationship Id="rId593" Type="http://schemas.openxmlformats.org/officeDocument/2006/relationships/hyperlink" Target="https://www.pnas.org/doi/abs/10.1073/pnas.2605120123?mi=eymic2&amp;af=R&amp;access=on&amp;content=articlesChapters&amp;publication=pnas&amp;sortBy=Earliest&amp;target=default" TargetMode="External"/><Relationship Id="rId594" Type="http://schemas.openxmlformats.org/officeDocument/2006/relationships/hyperlink" Target="https://doi.org/10.1073/pnas.2605120123" TargetMode="External"/><Relationship Id="rId595" Type="http://schemas.openxmlformats.org/officeDocument/2006/relationships/hyperlink" Target="https://www.pnas.org/doi/abs/10.1073/pnas.2606092123?mi=eymic2&amp;af=R&amp;access=on&amp;content=articlesChapters&amp;publication=pnas&amp;sortBy=Earliest&amp;target=default" TargetMode="External"/><Relationship Id="rId596" Type="http://schemas.openxmlformats.org/officeDocument/2006/relationships/hyperlink" Target="https://doi.org/10.1073/pnas.2606092123" TargetMode="External"/><Relationship Id="rId597" Type="http://schemas.openxmlformats.org/officeDocument/2006/relationships/hyperlink" Target="https://www.pnas.org/doi/abs/10.1073/pnas.2613063123?mi=eymic2&amp;af=R&amp;access=on&amp;content=articlesChapters&amp;publication=pnas&amp;sortBy=Earliest&amp;target=default" TargetMode="External"/><Relationship Id="rId598" Type="http://schemas.openxmlformats.org/officeDocument/2006/relationships/hyperlink" Target="https://doi.org/10.1073/pnas.2613063123" TargetMode="External"/><Relationship Id="rId599" Type="http://schemas.openxmlformats.org/officeDocument/2006/relationships/hyperlink" Target="https://www.pnas.org/doi/abs/10.1073/pnas.2603538123?mi=eymic2&amp;af=R&amp;access=on&amp;content=articlesChapters&amp;publication=pnas&amp;sortBy=Earliest&amp;target=default" TargetMode="External"/><Relationship Id="rId600" Type="http://schemas.openxmlformats.org/officeDocument/2006/relationships/hyperlink" Target="https://doi.org/10.1073/pnas.2603538123" TargetMode="External"/><Relationship Id="rId601" Type="http://schemas.openxmlformats.org/officeDocument/2006/relationships/hyperlink" Target="https://www.pnas.org/doi/abs/10.1073/pnas.2603591123?mi=eymic2&amp;af=R&amp;access=on&amp;content=articlesChapters&amp;publication=pnas&amp;sortBy=Earliest&amp;target=default" TargetMode="External"/><Relationship Id="rId602" Type="http://schemas.openxmlformats.org/officeDocument/2006/relationships/hyperlink" Target="https://doi.org/10.1073/pnas.2603591123" TargetMode="External"/><Relationship Id="rId603" Type="http://schemas.openxmlformats.org/officeDocument/2006/relationships/hyperlink" Target="https://www.pnas.org/doi/abs/10.1073/pnas.2605881123?mi=eymic2&amp;af=R&amp;access=on&amp;content=articlesChapters&amp;publication=pnas&amp;sortBy=Earliest&amp;target=default" TargetMode="External"/><Relationship Id="rId604" Type="http://schemas.openxmlformats.org/officeDocument/2006/relationships/hyperlink" Target="https://doi.org/10.1073/pnas.2605881123" TargetMode="External"/><Relationship Id="rId605" Type="http://schemas.openxmlformats.org/officeDocument/2006/relationships/hyperlink" Target="https://www.pnas.org/doi/abs/10.1073/pnas.2609228123?mi=eymic2&amp;af=R&amp;access=on&amp;content=articlesChapters&amp;publication=pnas&amp;sortBy=Earliest&amp;target=default" TargetMode="External"/><Relationship Id="rId606" Type="http://schemas.openxmlformats.org/officeDocument/2006/relationships/hyperlink" Target="https://doi.org/10.1073/pnas.2609228123" TargetMode="External"/><Relationship Id="rId607" Type="http://schemas.openxmlformats.org/officeDocument/2006/relationships/hyperlink" Target="https://www.pnas.org/doi/abs/10.1073/pnas.2517454123?mi=eymic2&amp;af=R&amp;access=on&amp;content=articlesChapters&amp;publication=pnas&amp;sortBy=Earliest&amp;target=default" TargetMode="External"/><Relationship Id="rId608" Type="http://schemas.openxmlformats.org/officeDocument/2006/relationships/hyperlink" Target="https://doi.org/10.1073/pnas.2517454123" TargetMode="External"/><Relationship Id="rId609" Type="http://schemas.openxmlformats.org/officeDocument/2006/relationships/hyperlink" Target="https://www.pnas.org/doi/abs/10.1073/pnas.2601782123?mi=eymic2&amp;af=R&amp;access=on&amp;content=articlesChapters&amp;publication=pnas&amp;sortBy=Earliest&amp;target=default" TargetMode="External"/><Relationship Id="rId610" Type="http://schemas.openxmlformats.org/officeDocument/2006/relationships/hyperlink" Target="https://doi.org/10.1073/pnas.2601782123" TargetMode="External"/><Relationship Id="rId611" Type="http://schemas.openxmlformats.org/officeDocument/2006/relationships/hyperlink" Target="https://www.pnas.org/doi/abs/10.1073/pnas.2530939123?mi=eymic2&amp;af=R&amp;access=on&amp;content=articlesChapters&amp;publication=pnas&amp;sortBy=Earliest&amp;target=default" TargetMode="External"/><Relationship Id="rId612" Type="http://schemas.openxmlformats.org/officeDocument/2006/relationships/hyperlink" Target="https://doi.org/10.1073/pnas.2530939123" TargetMode="External"/><Relationship Id="rId613" Type="http://schemas.openxmlformats.org/officeDocument/2006/relationships/hyperlink" Target="https://www.pnas.org/doi/abs/10.1073/pnas.2535787123?mi=eymic2&amp;af=R&amp;access=on&amp;content=articlesChapters&amp;publication=pnas&amp;sortBy=Earliest&amp;target=default" TargetMode="External"/><Relationship Id="rId614" Type="http://schemas.openxmlformats.org/officeDocument/2006/relationships/hyperlink" Target="https://doi.org/10.1073/pnas.2535787123" TargetMode="External"/><Relationship Id="rId615" Type="http://schemas.openxmlformats.org/officeDocument/2006/relationships/hyperlink" Target="https://www.pnas.org/doi/abs/10.1073/pnas.2533994123?mi=eymic2&amp;af=R&amp;access=on&amp;content=articlesChapters&amp;publication=pnas&amp;sortBy=Earliest&amp;target=default" TargetMode="External"/><Relationship Id="rId616" Type="http://schemas.openxmlformats.org/officeDocument/2006/relationships/hyperlink" Target="https://doi.org/10.1073/pnas.2533994123" TargetMode="External"/><Relationship Id="rId617" Type="http://schemas.openxmlformats.org/officeDocument/2006/relationships/hyperlink" Target="https://www.pnas.org/doi/abs/10.1073/pnas.2616668123?mi=eymic2&amp;af=R&amp;access=on&amp;content=articlesChapters&amp;publication=pnas&amp;sortBy=Earliest&amp;target=default" TargetMode="External"/><Relationship Id="rId618" Type="http://schemas.openxmlformats.org/officeDocument/2006/relationships/hyperlink" Target="https://doi.org/10.1073/pnas.2616668123" TargetMode="External"/><Relationship Id="rId619" Type="http://schemas.openxmlformats.org/officeDocument/2006/relationships/hyperlink" Target="https://www.pnas.org/doi/abs/10.1073/pnas.2600627123?mi=eymic2&amp;af=R&amp;access=on&amp;content=articlesChapters&amp;publication=pnas&amp;sortBy=Earliest&amp;target=default" TargetMode="External"/><Relationship Id="rId620" Type="http://schemas.openxmlformats.org/officeDocument/2006/relationships/hyperlink" Target="https://doi.org/10.1073/pnas.2600627123" TargetMode="External"/><Relationship Id="rId621" Type="http://schemas.openxmlformats.org/officeDocument/2006/relationships/hyperlink" Target="https://www.pnas.org/doi/abs/10.1073/pnas.2600341123?mi=eymic2&amp;af=R&amp;access=on&amp;content=articlesChapters&amp;publication=pnas&amp;sortBy=Earliest&amp;target=default" TargetMode="External"/><Relationship Id="rId622" Type="http://schemas.openxmlformats.org/officeDocument/2006/relationships/hyperlink" Target="https://doi.org/10.1073/pnas.2600341123" TargetMode="External"/><Relationship Id="rId623" Type="http://schemas.openxmlformats.org/officeDocument/2006/relationships/hyperlink" Target="https://www.pnas.org/doi/abs/10.1073/pnas.2537976123?mi=eymic2&amp;af=R&amp;access=on&amp;content=articlesChapters&amp;publication=pnas&amp;sortBy=Earliest&amp;target=default" TargetMode="External"/><Relationship Id="rId624" Type="http://schemas.openxmlformats.org/officeDocument/2006/relationships/hyperlink" Target="https://doi.org/10.1073/pnas.2537976123" TargetMode="External"/><Relationship Id="rId625" Type="http://schemas.openxmlformats.org/officeDocument/2006/relationships/hyperlink" Target="https://www.pnas.org/doi/abs/10.1073/pnas.2537087123?mi=eymic2&amp;af=R&amp;access=on&amp;content=articlesChapters&amp;publication=pnas&amp;sortBy=Earliest&amp;target=default" TargetMode="External"/><Relationship Id="rId626" Type="http://schemas.openxmlformats.org/officeDocument/2006/relationships/hyperlink" Target="https://doi.org/10.1073/pnas.2537087123" TargetMode="External"/><Relationship Id="rId627" Type="http://schemas.openxmlformats.org/officeDocument/2006/relationships/hyperlink" Target="https://www.pnas.org/doi/abs/10.1073/iti2626123?mi=eymic2&amp;af=R&amp;access=on&amp;content=articlesChapters&amp;publication=pnas&amp;sortBy=Earliest&amp;target=default" TargetMode="External"/><Relationship Id="rId628" Type="http://schemas.openxmlformats.org/officeDocument/2006/relationships/hyperlink" Target="https://doi.org/10.1073/iti2626123" TargetMode="External"/><Relationship Id="rId629" Type="http://schemas.openxmlformats.org/officeDocument/2006/relationships/hyperlink" Target="https://www.pnas.org/doi/abs/10.1073/pnas.2536520123?mi=eymic2&amp;af=R&amp;access=on&amp;content=articlesChapters&amp;publication=pnas&amp;sortBy=Earliest&amp;target=default" TargetMode="External"/><Relationship Id="rId630" Type="http://schemas.openxmlformats.org/officeDocument/2006/relationships/hyperlink" Target="https://doi.org/10.1073/pnas.2536520123" TargetMode="External"/><Relationship Id="rId631" Type="http://schemas.openxmlformats.org/officeDocument/2006/relationships/hyperlink" Target="https://www.pnas.org/doi/abs/10.1073/pnas.2601569123?mi=eymic2&amp;af=R&amp;access=on&amp;content=articlesChapters&amp;publication=pnas&amp;sortBy=Earliest&amp;target=default" TargetMode="External"/><Relationship Id="rId632" Type="http://schemas.openxmlformats.org/officeDocument/2006/relationships/hyperlink" Target="https://doi.org/10.1073/pnas.2601569123" TargetMode="External"/><Relationship Id="rId633" Type="http://schemas.openxmlformats.org/officeDocument/2006/relationships/hyperlink" Target="https://www.pnas.org/doi/abs/10.1073/pnas.2521642123?mi=eymic2&amp;af=R&amp;access=on&amp;content=articlesChapters&amp;publication=pnas&amp;sortBy=Earliest&amp;target=default" TargetMode="External"/><Relationship Id="rId634" Type="http://schemas.openxmlformats.org/officeDocument/2006/relationships/hyperlink" Target="https://doi.org/10.1073/pnas.2521642123" TargetMode="External"/><Relationship Id="rId635" Type="http://schemas.openxmlformats.org/officeDocument/2006/relationships/hyperlink" Target="https://www.pnas.org/doi/abs/10.1073/pnas.2522636123?mi=eymic2&amp;af=R&amp;access=on&amp;content=articlesChapters&amp;publication=pnas&amp;sortBy=Earliest&amp;target=default" TargetMode="External"/><Relationship Id="rId636" Type="http://schemas.openxmlformats.org/officeDocument/2006/relationships/hyperlink" Target="https://doi.org/10.1073/pnas.2522636123" TargetMode="External"/><Relationship Id="rId637" Type="http://schemas.openxmlformats.org/officeDocument/2006/relationships/hyperlink" Target="https://www.pnas.org/doi/abs/10.1073/pnas.2526798123?mi=eymic2&amp;af=R&amp;access=on&amp;content=articlesChapters&amp;publication=pnas&amp;sortBy=Earliest&amp;target=default" TargetMode="External"/><Relationship Id="rId638" Type="http://schemas.openxmlformats.org/officeDocument/2006/relationships/hyperlink" Target="https://doi.org/10.1073/pnas.2526798123" TargetMode="External"/><Relationship Id="rId639" Type="http://schemas.openxmlformats.org/officeDocument/2006/relationships/hyperlink" Target="https://www.pnas.org/doi/abs/10.1073/pnas.2529768123?mi=eymic2&amp;af=R&amp;access=on&amp;content=articlesChapters&amp;publication=pnas&amp;sortBy=Earliest&amp;target=default" TargetMode="External"/><Relationship Id="rId640" Type="http://schemas.openxmlformats.org/officeDocument/2006/relationships/hyperlink" Target="https://doi.org/10.1073/pnas.2529768123" TargetMode="External"/><Relationship Id="rId641" Type="http://schemas.openxmlformats.org/officeDocument/2006/relationships/hyperlink" Target="https://www.pnas.org/doi/abs/10.1073/pnas.2536387123?mi=eymic2&amp;af=R&amp;access=on&amp;content=articlesChapters&amp;publication=pnas&amp;sortBy=Earliest&amp;target=default" TargetMode="External"/><Relationship Id="rId642" Type="http://schemas.openxmlformats.org/officeDocument/2006/relationships/hyperlink" Target="https://doi.org/10.1073/pnas.2536387123" TargetMode="External"/><Relationship Id="rId643" Type="http://schemas.openxmlformats.org/officeDocument/2006/relationships/hyperlink" Target="https://onlinelibrary.wiley.com/doi/10.1002/anie.4081888?af=R" TargetMode="External"/><Relationship Id="rId644" Type="http://schemas.openxmlformats.org/officeDocument/2006/relationships/hyperlink" Target="https://doi.org/10.1002/anie.4081888" TargetMode="External"/><Relationship Id="rId645" Type="http://schemas.openxmlformats.org/officeDocument/2006/relationships/hyperlink" Target="https://onlinelibrary.wiley.com/doi/10.1002/anie.6152447?af=R" TargetMode="External"/><Relationship Id="rId646" Type="http://schemas.openxmlformats.org/officeDocument/2006/relationships/hyperlink" Target="https://doi.org/10.1002/anie.6152447" TargetMode="External"/><Relationship Id="rId647" Type="http://schemas.openxmlformats.org/officeDocument/2006/relationships/hyperlink" Target="https://onlinelibrary.wiley.com/doi/10.1002/anie.1809869?af=R" TargetMode="External"/><Relationship Id="rId648" Type="http://schemas.openxmlformats.org/officeDocument/2006/relationships/hyperlink" Target="https://doi.org/10.1002/anie.1809869" TargetMode="External"/><Relationship Id="rId649" Type="http://schemas.openxmlformats.org/officeDocument/2006/relationships/hyperlink" Target="https://onlinelibrary.wiley.com/doi/10.1002/anie.2634196?af=R" TargetMode="External"/><Relationship Id="rId650" Type="http://schemas.openxmlformats.org/officeDocument/2006/relationships/hyperlink" Target="https://doi.org/10.1002/anie.2634196" TargetMode="External"/><Relationship Id="rId651" Type="http://schemas.openxmlformats.org/officeDocument/2006/relationships/hyperlink" Target="https://onlinelibrary.wiley.com/doi/10.1002/anie.4352204?af=R" TargetMode="External"/><Relationship Id="rId652" Type="http://schemas.openxmlformats.org/officeDocument/2006/relationships/hyperlink" Target="https://doi.org/10.1002/anie.4352204" TargetMode="External"/><Relationship Id="rId653" Type="http://schemas.openxmlformats.org/officeDocument/2006/relationships/hyperlink" Target="https://onlinelibrary.wiley.com/doi/10.1002/anie.2026722?af=R" TargetMode="External"/><Relationship Id="rId654" Type="http://schemas.openxmlformats.org/officeDocument/2006/relationships/hyperlink" Target="https://doi.org/10.1002/anie.2026722" TargetMode="External"/><Relationship Id="rId655" Type="http://schemas.openxmlformats.org/officeDocument/2006/relationships/hyperlink" Target="https://onlinelibrary.wiley.com/doi/10.1002/anie.7918717?af=R" TargetMode="External"/><Relationship Id="rId656" Type="http://schemas.openxmlformats.org/officeDocument/2006/relationships/hyperlink" Target="https://doi.org/10.1002/anie.7918717" TargetMode="External"/><Relationship Id="rId657" Type="http://schemas.openxmlformats.org/officeDocument/2006/relationships/hyperlink" Target="https://onlinelibrary.wiley.com/doi/10.1002/anie.9267462?af=R" TargetMode="External"/><Relationship Id="rId658" Type="http://schemas.openxmlformats.org/officeDocument/2006/relationships/hyperlink" Target="https://doi.org/10.1002/anie.9267462" TargetMode="External"/><Relationship Id="rId659" Type="http://schemas.openxmlformats.org/officeDocument/2006/relationships/hyperlink" Target="https://onlinelibrary.wiley.com/doi/10.1002/anie.9164765?af=R" TargetMode="External"/><Relationship Id="rId660" Type="http://schemas.openxmlformats.org/officeDocument/2006/relationships/hyperlink" Target="https://doi.org/10.1002/anie.9164765" TargetMode="External"/><Relationship Id="rId661" Type="http://schemas.openxmlformats.org/officeDocument/2006/relationships/hyperlink" Target="https://onlinelibrary.wiley.com/doi/10.1002/anie.9747437?af=R" TargetMode="External"/><Relationship Id="rId662" Type="http://schemas.openxmlformats.org/officeDocument/2006/relationships/hyperlink" Target="https://doi.org/10.1002/anie.9747437" TargetMode="External"/><Relationship Id="rId663" Type="http://schemas.openxmlformats.org/officeDocument/2006/relationships/hyperlink" Target="https://advanced.onlinelibrary.wiley.com/doi/10.1002/adma.73895?af=R" TargetMode="External"/><Relationship Id="rId664" Type="http://schemas.openxmlformats.org/officeDocument/2006/relationships/hyperlink" Target="https://doi.org/10.1002/adma.73895" TargetMode="External"/><Relationship Id="rId665" Type="http://schemas.openxmlformats.org/officeDocument/2006/relationships/hyperlink" Target="https://advanced.onlinelibrary.wiley.com/doi/10.1002/adma.73884?af=R" TargetMode="External"/><Relationship Id="rId666" Type="http://schemas.openxmlformats.org/officeDocument/2006/relationships/hyperlink" Target="https://doi.org/10.1002/adma.73884" TargetMode="External"/><Relationship Id="rId667" Type="http://schemas.openxmlformats.org/officeDocument/2006/relationships/hyperlink" Target="https://onlinelibrary.wiley.com/doi/10.1002/anie.8869640?af=R" TargetMode="External"/><Relationship Id="rId668" Type="http://schemas.openxmlformats.org/officeDocument/2006/relationships/hyperlink" Target="https://doi.org/10.1002/anie.8869640" TargetMode="External"/><Relationship Id="rId669" Type="http://schemas.openxmlformats.org/officeDocument/2006/relationships/hyperlink" Target="https://advanced.onlinelibrary.wiley.com/doi/10.1002/adma.73853?af=R" TargetMode="External"/><Relationship Id="rId670" Type="http://schemas.openxmlformats.org/officeDocument/2006/relationships/hyperlink" Target="https://doi.org/10.1002/adma.73853" TargetMode="External"/><Relationship Id="rId671" Type="http://schemas.openxmlformats.org/officeDocument/2006/relationships/hyperlink" Target="https://onlinelibrary.wiley.com/doi/10.1002/anie.8824438?af=R" TargetMode="External"/><Relationship Id="rId672" Type="http://schemas.openxmlformats.org/officeDocument/2006/relationships/hyperlink" Target="https://doi.org/10.1002/anie.8824438" TargetMode="External"/><Relationship Id="rId673" Type="http://schemas.openxmlformats.org/officeDocument/2006/relationships/hyperlink" Target="https://advanced.onlinelibrary.wiley.com/doi/10.1002/adma.202523703?af=R" TargetMode="External"/><Relationship Id="rId674" Type="http://schemas.openxmlformats.org/officeDocument/2006/relationships/hyperlink" Target="https://doi.org/10.1002/adma.202523703" TargetMode="External"/><Relationship Id="rId675" Type="http://schemas.openxmlformats.org/officeDocument/2006/relationships/hyperlink" Target="https://onlinelibrary.wiley.com/doi/10.1002/anie.3488479?af=R" TargetMode="External"/><Relationship Id="rId676" Type="http://schemas.openxmlformats.org/officeDocument/2006/relationships/hyperlink" Target="https://doi.org/10.1002/anie.3488479" TargetMode="External"/><Relationship Id="rId677" Type="http://schemas.openxmlformats.org/officeDocument/2006/relationships/hyperlink" Target="https://onlinelibrary.wiley.com/doi/10.1002/anie.2488797?af=R" TargetMode="External"/><Relationship Id="rId678" Type="http://schemas.openxmlformats.org/officeDocument/2006/relationships/hyperlink" Target="https://doi.org/10.1002/anie.2488797" TargetMode="External"/><Relationship Id="rId679" Type="http://schemas.openxmlformats.org/officeDocument/2006/relationships/hyperlink" Target="https://advanced.onlinelibrary.wiley.com/doi/10.1002/adma.73892?af=R" TargetMode="External"/><Relationship Id="rId680" Type="http://schemas.openxmlformats.org/officeDocument/2006/relationships/hyperlink" Target="https://doi.org/10.1002/adma.73892" TargetMode="External"/><Relationship Id="rId681" Type="http://schemas.openxmlformats.org/officeDocument/2006/relationships/hyperlink" Target="https://advanced.onlinelibrary.wiley.com/doi/10.1002/adma.73737?af=R" TargetMode="External"/><Relationship Id="rId682" Type="http://schemas.openxmlformats.org/officeDocument/2006/relationships/hyperlink" Target="https://doi.org/10.1002/adma.73737" TargetMode="External"/><Relationship Id="rId683" Type="http://schemas.openxmlformats.org/officeDocument/2006/relationships/hyperlink" Target="https://onlinelibrary.wiley.com/doi/10.1002/anie.1717647?af=R" TargetMode="External"/><Relationship Id="rId684" Type="http://schemas.openxmlformats.org/officeDocument/2006/relationships/hyperlink" Target="https://doi.org/10.1002/anie.1717647" TargetMode="External"/><Relationship Id="rId685" Type="http://schemas.openxmlformats.org/officeDocument/2006/relationships/hyperlink" Target="https://onlinelibrary.wiley.com/doi/10.1002/anie.3335355?af=R" TargetMode="External"/><Relationship Id="rId686" Type="http://schemas.openxmlformats.org/officeDocument/2006/relationships/hyperlink" Target="https://doi.org/10.1002/anie.3335355" TargetMode="External"/><Relationship Id="rId687" Type="http://schemas.openxmlformats.org/officeDocument/2006/relationships/hyperlink" Target="https://advanced.onlinelibrary.wiley.com/doi/10.1002/adma.73869?af=R" TargetMode="External"/><Relationship Id="rId688" Type="http://schemas.openxmlformats.org/officeDocument/2006/relationships/hyperlink" Target="https://doi.org/10.1002/adma.73869" TargetMode="External"/><Relationship Id="rId689" Type="http://schemas.openxmlformats.org/officeDocument/2006/relationships/hyperlink" Target="https://onlinelibrary.wiley.com/doi/10.1002/anie.7910152?af=R" TargetMode="External"/><Relationship Id="rId690" Type="http://schemas.openxmlformats.org/officeDocument/2006/relationships/hyperlink" Target="https://doi.org/10.1002/anie.7910152" TargetMode="External"/><Relationship Id="rId691" Type="http://schemas.openxmlformats.org/officeDocument/2006/relationships/hyperlink" Target="https://onlinelibrary.wiley.com/doi/10.1002/anie.6508645?af=R" TargetMode="External"/><Relationship Id="rId692" Type="http://schemas.openxmlformats.org/officeDocument/2006/relationships/hyperlink" Target="https://doi.org/10.1002/anie.6508645" TargetMode="External"/><Relationship Id="rId693" Type="http://schemas.openxmlformats.org/officeDocument/2006/relationships/hyperlink" Target="https://onlinelibrary.wiley.com/doi/10.1002/anie.1829910?af=R" TargetMode="External"/><Relationship Id="rId694" Type="http://schemas.openxmlformats.org/officeDocument/2006/relationships/hyperlink" Target="https://doi.org/10.1002/anie.1829910" TargetMode="External"/><Relationship Id="rId695" Type="http://schemas.openxmlformats.org/officeDocument/2006/relationships/hyperlink" Target="https://onlinelibrary.wiley.com/doi/10.1002/anie.4283917?af=R" TargetMode="External"/><Relationship Id="rId696" Type="http://schemas.openxmlformats.org/officeDocument/2006/relationships/hyperlink" Target="https://doi.org/10.1002/anie.4283917" TargetMode="External"/><Relationship Id="rId697" Type="http://schemas.openxmlformats.org/officeDocument/2006/relationships/hyperlink" Target="https://onlinelibrary.wiley.com/doi/10.1002/anie.4949539?af=R" TargetMode="External"/><Relationship Id="rId698" Type="http://schemas.openxmlformats.org/officeDocument/2006/relationships/hyperlink" Target="https://doi.org/10.1002/anie.4949539" TargetMode="External"/><Relationship Id="rId699" Type="http://schemas.openxmlformats.org/officeDocument/2006/relationships/hyperlink" Target="https://onlinelibrary.wiley.com/doi/10.1002/anie.8664414?af=R" TargetMode="External"/><Relationship Id="rId700" Type="http://schemas.openxmlformats.org/officeDocument/2006/relationships/hyperlink" Target="https://doi.org/10.1002/anie.8664414" TargetMode="External"/><Relationship Id="rId701" Type="http://schemas.openxmlformats.org/officeDocument/2006/relationships/hyperlink" Target="http://link.aps.org/doi/10.1103/tgtq-nrrt" TargetMode="External"/><Relationship Id="rId702" Type="http://schemas.openxmlformats.org/officeDocument/2006/relationships/hyperlink" Target="https://doi.org/10.1103/tgtq-nrrt" TargetMode="External"/><Relationship Id="rId703" Type="http://schemas.openxmlformats.org/officeDocument/2006/relationships/hyperlink" Target="http://link.aps.org/doi/10.1103/43cm-lhrk" TargetMode="External"/><Relationship Id="rId704" Type="http://schemas.openxmlformats.org/officeDocument/2006/relationships/hyperlink" Target="https://doi.org/10.1103/43cm-lhrk" TargetMode="External"/><Relationship Id="rId705" Type="http://schemas.openxmlformats.org/officeDocument/2006/relationships/hyperlink" Target="http://link.aps.org/doi/10.1103/pjlr-6t6w" TargetMode="External"/><Relationship Id="rId706" Type="http://schemas.openxmlformats.org/officeDocument/2006/relationships/hyperlink" Target="https://doi.org/10.1103/pjlr-6t6w" TargetMode="External"/><Relationship Id="rId707" Type="http://schemas.openxmlformats.org/officeDocument/2006/relationships/hyperlink" Target="http://link.aps.org/doi/10.1103/y222-kfxl" TargetMode="External"/><Relationship Id="rId708" Type="http://schemas.openxmlformats.org/officeDocument/2006/relationships/hyperlink" Target="https://doi.org/10.1103/y222-kfxl" TargetMode="External"/><Relationship Id="rId709" Type="http://schemas.openxmlformats.org/officeDocument/2006/relationships/hyperlink" Target="http://link.aps.org/doi/10.1103/nr71-phqw" TargetMode="External"/><Relationship Id="rId710" Type="http://schemas.openxmlformats.org/officeDocument/2006/relationships/hyperlink" Target="https://doi.org/10.1103/nr71-phqw" TargetMode="External"/><Relationship Id="rId711" Type="http://schemas.openxmlformats.org/officeDocument/2006/relationships/hyperlink" Target="http://link.aps.org/doi/10.1103/3vg5-vkzy" TargetMode="External"/><Relationship Id="rId712" Type="http://schemas.openxmlformats.org/officeDocument/2006/relationships/hyperlink" Target="https://doi.org/10.1103/3vg5-vkzy" TargetMode="External"/><Relationship Id="rId713" Type="http://schemas.openxmlformats.org/officeDocument/2006/relationships/hyperlink" Target="http://link.aps.org/doi/10.1103/42m7-p7l3" TargetMode="External"/><Relationship Id="rId714" Type="http://schemas.openxmlformats.org/officeDocument/2006/relationships/hyperlink" Target="https://doi.org/10.1103/42m7-p7l3" TargetMode="External"/><Relationship Id="rId715" Type="http://schemas.openxmlformats.org/officeDocument/2006/relationships/hyperlink" Target="http://link.aps.org/doi/10.1103/l8fc-dp36" TargetMode="External"/><Relationship Id="rId716" Type="http://schemas.openxmlformats.org/officeDocument/2006/relationships/hyperlink" Target="https://doi.org/10.1103/l8fc-dp36" TargetMode="External"/><Relationship Id="rId717" Type="http://schemas.openxmlformats.org/officeDocument/2006/relationships/hyperlink" Target="http://link.aps.org/doi/10.1103/sj9b-dcwd" TargetMode="External"/><Relationship Id="rId718" Type="http://schemas.openxmlformats.org/officeDocument/2006/relationships/hyperlink" Target="https://doi.org/10.1103/sj9b-dcwd" TargetMode="External"/><Relationship Id="rId719" Type="http://schemas.openxmlformats.org/officeDocument/2006/relationships/hyperlink" Target="http://link.aps.org/doi/10.1103/dn3v-9jv3" TargetMode="External"/><Relationship Id="rId720" Type="http://schemas.openxmlformats.org/officeDocument/2006/relationships/hyperlink" Target="https://doi.org/10.1103/dn3v-9jv3" TargetMode="External"/><Relationship Id="rId721" Type="http://schemas.openxmlformats.org/officeDocument/2006/relationships/hyperlink" Target="http://link.aps.org/doi/10.1103/crcq-spv4" TargetMode="External"/><Relationship Id="rId722" Type="http://schemas.openxmlformats.org/officeDocument/2006/relationships/hyperlink" Target="https://doi.org/10.1103/crcq-spv4" TargetMode="External"/><Relationship Id="rId723" Type="http://schemas.openxmlformats.org/officeDocument/2006/relationships/hyperlink" Target="http://link.aps.org/doi/10.1103/44nx-sgk4" TargetMode="External"/><Relationship Id="rId724" Type="http://schemas.openxmlformats.org/officeDocument/2006/relationships/hyperlink" Target="https://doi.org/10.1103/44nx-sgk4" TargetMode="External"/><Relationship Id="rId725" Type="http://schemas.openxmlformats.org/officeDocument/2006/relationships/hyperlink" Target="http://link.aps.org/doi/10.1103/h6pm-chbl" TargetMode="External"/><Relationship Id="rId726" Type="http://schemas.openxmlformats.org/officeDocument/2006/relationships/hyperlink" Target="https://doi.org/10.1103/h6pm-chbl" TargetMode="External"/><Relationship Id="rId727" Type="http://schemas.openxmlformats.org/officeDocument/2006/relationships/hyperlink" Target="http://link.aps.org/doi/10.1103/393p-ghvk" TargetMode="External"/><Relationship Id="rId728" Type="http://schemas.openxmlformats.org/officeDocument/2006/relationships/hyperlink" Target="https://doi.org/10.1103/393p-ghvk" TargetMode="External"/><Relationship Id="rId729" Type="http://schemas.openxmlformats.org/officeDocument/2006/relationships/hyperlink" Target="http://link.aps.org/doi/10.1103/dbtn-ydmp" TargetMode="External"/><Relationship Id="rId730" Type="http://schemas.openxmlformats.org/officeDocument/2006/relationships/hyperlink" Target="https://doi.org/10.1103/dbtn-ydmp" TargetMode="External"/><Relationship Id="rId731" Type="http://schemas.openxmlformats.org/officeDocument/2006/relationships/hyperlink" Target="http://link.aps.org/doi/10.1103/m8b9-lbw3" TargetMode="External"/><Relationship Id="rId732" Type="http://schemas.openxmlformats.org/officeDocument/2006/relationships/hyperlink" Target="https://doi.org/10.1103/m8b9-lbw3" TargetMode="External"/><Relationship Id="rId733" Type="http://schemas.openxmlformats.org/officeDocument/2006/relationships/hyperlink" Target="https://advanced.onlinelibrary.wiley.com/doi/10.1002/adma.73815?af=R" TargetMode="External"/><Relationship Id="rId734" Type="http://schemas.openxmlformats.org/officeDocument/2006/relationships/hyperlink" Target="https://doi.org/10.1002/adma.73815" TargetMode="External"/><Relationship Id="rId735" Type="http://schemas.openxmlformats.org/officeDocument/2006/relationships/hyperlink" Target="https://advanced.onlinelibrary.wiley.com/doi/10.1002/adma.73854?af=R" TargetMode="External"/><Relationship Id="rId736" Type="http://schemas.openxmlformats.org/officeDocument/2006/relationships/hyperlink" Target="https://doi.org/10.1002/adma.73854" TargetMode="External"/><Relationship Id="rId737" Type="http://schemas.openxmlformats.org/officeDocument/2006/relationships/hyperlink" Target="https://advanced.onlinelibrary.wiley.com/doi/10.1002/adma.73881?af=R" TargetMode="External"/><Relationship Id="rId738" Type="http://schemas.openxmlformats.org/officeDocument/2006/relationships/hyperlink" Target="https://doi.org/10.1002/adma.73881" TargetMode="External"/><Relationship Id="rId739" Type="http://schemas.openxmlformats.org/officeDocument/2006/relationships/hyperlink" Target="https://advanced.onlinelibrary.wiley.com/doi/10.1002/aenm.71174?af=R" TargetMode="External"/><Relationship Id="rId740" Type="http://schemas.openxmlformats.org/officeDocument/2006/relationships/hyperlink" Target="https://doi.org/10.1002/aenm.71174" TargetMode="External"/><Relationship Id="rId741" Type="http://schemas.openxmlformats.org/officeDocument/2006/relationships/hyperlink" Target="https://advanced.onlinelibrary.wiley.com/doi/10.1002/adma.73889?af=R" TargetMode="External"/><Relationship Id="rId742" Type="http://schemas.openxmlformats.org/officeDocument/2006/relationships/hyperlink" Target="https://doi.org/10.1002/adma.73889" TargetMode="External"/><Relationship Id="rId743" Type="http://schemas.openxmlformats.org/officeDocument/2006/relationships/hyperlink" Target="https://onlinelibrary.wiley.com/doi/10.1002/anie.8807652?af=R" TargetMode="External"/><Relationship Id="rId744" Type="http://schemas.openxmlformats.org/officeDocument/2006/relationships/hyperlink" Target="https://doi.org/10.1002/anie.8807652" TargetMode="External"/><Relationship Id="rId745" Type="http://schemas.openxmlformats.org/officeDocument/2006/relationships/hyperlink" Target="https://onlinelibrary.wiley.com/doi/10.1002/anie.1914460?af=R" TargetMode="External"/><Relationship Id="rId746" Type="http://schemas.openxmlformats.org/officeDocument/2006/relationships/hyperlink" Target="https://doi.org/10.1002/anie.1914460" TargetMode="External"/><Relationship Id="rId747" Type="http://schemas.openxmlformats.org/officeDocument/2006/relationships/hyperlink" Target="https://academic.oup.com/nsr/advance-article/doi/10.1093/nsr/nwag400/8722928?rss=1" TargetMode="External"/><Relationship Id="rId748" Type="http://schemas.openxmlformats.org/officeDocument/2006/relationships/hyperlink" Target="https://doi.org/10.1093/nsr/nwag400" TargetMode="External"/><Relationship Id="rId749" Type="http://schemas.openxmlformats.org/officeDocument/2006/relationships/hyperlink" Target="https://www.nature.com/articles/d41586-026-02007-4" TargetMode="External"/><Relationship Id="rId750" Type="http://schemas.openxmlformats.org/officeDocument/2006/relationships/hyperlink" Target="https://doi.org/10.1038/d41586-026-02007-4" TargetMode="External"/><Relationship Id="rId751" Type="http://schemas.openxmlformats.org/officeDocument/2006/relationships/hyperlink" Target="https://www.nature.com/articles/s41586-026-10729-8" TargetMode="External"/><Relationship Id="rId752" Type="http://schemas.openxmlformats.org/officeDocument/2006/relationships/hyperlink" Target="https://doi.org/10.1038/s41586-026-10729-8" TargetMode="External"/><Relationship Id="rId753" Type="http://schemas.openxmlformats.org/officeDocument/2006/relationships/hyperlink" Target="https://www.nature.com/articles/s41586-026-10731-0" TargetMode="External"/><Relationship Id="rId754" Type="http://schemas.openxmlformats.org/officeDocument/2006/relationships/hyperlink" Target="https://doi.org/10.1038/s41586-026-10731-0" TargetMode="External"/><Relationship Id="rId755" Type="http://schemas.openxmlformats.org/officeDocument/2006/relationships/hyperlink" Target="https://www.nature.com/articles/s41563-026-02650-2" TargetMode="External"/><Relationship Id="rId756" Type="http://schemas.openxmlformats.org/officeDocument/2006/relationships/hyperlink" Target="https://doi.org/10.1038/s41563-026-02650-2" TargetMode="External"/><Relationship Id="rId757" Type="http://schemas.openxmlformats.org/officeDocument/2006/relationships/hyperlink" Target="https://www.nature.com/articles/s41565-026-02208-y" TargetMode="External"/><Relationship Id="rId758" Type="http://schemas.openxmlformats.org/officeDocument/2006/relationships/hyperlink" Target="https://doi.org/10.1038/s41565-026-02208-y" TargetMode="External"/><Relationship Id="rId759" Type="http://schemas.openxmlformats.org/officeDocument/2006/relationships/hyperlink" Target="https://www.nature.com/articles/s41563-026-02645-z" TargetMode="External"/><Relationship Id="rId760" Type="http://schemas.openxmlformats.org/officeDocument/2006/relationships/hyperlink" Target="https://doi.org/10.1038/s41563-026-02645-z" TargetMode="External"/><Relationship Id="rId761" Type="http://schemas.openxmlformats.org/officeDocument/2006/relationships/hyperlink" Target="https://www.nature.com/articles/s41563-026-02652-0" TargetMode="External"/><Relationship Id="rId762" Type="http://schemas.openxmlformats.org/officeDocument/2006/relationships/hyperlink" Target="https://doi.org/10.1038/s41563-026-02652-0" TargetMode="External"/><Relationship Id="rId763" Type="http://schemas.openxmlformats.org/officeDocument/2006/relationships/hyperlink" Target="https://academic.oup.com/nsr/advance-article/doi/10.1093/nsr/nwag392/8722937?rss=1" TargetMode="External"/><Relationship Id="rId764" Type="http://schemas.openxmlformats.org/officeDocument/2006/relationships/hyperlink" Target="https://doi.org/10.1093/nsr/nwag392" TargetMode="External"/><Relationship Id="rId765" Type="http://schemas.openxmlformats.org/officeDocument/2006/relationships/hyperlink" Target="https://www.nature.com/articles/s41586-026-10514-7" TargetMode="External"/><Relationship Id="rId766" Type="http://schemas.openxmlformats.org/officeDocument/2006/relationships/hyperlink" Target="https://doi.org/10.1038/s41586-026-10514-7" TargetMode="External"/><Relationship Id="rId767" Type="http://schemas.openxmlformats.org/officeDocument/2006/relationships/hyperlink" Target="https://www.nature.com/articles/d41586-026-02001-w" TargetMode="External"/><Relationship Id="rId768" Type="http://schemas.openxmlformats.org/officeDocument/2006/relationships/hyperlink" Target="https://doi.org/10.1038/d41586-026-02001-w" TargetMode="External"/><Relationship Id="rId769" Type="http://schemas.openxmlformats.org/officeDocument/2006/relationships/hyperlink" Target="https://www.nature.com/articles/d41586-026-01974-y" TargetMode="External"/><Relationship Id="rId770" Type="http://schemas.openxmlformats.org/officeDocument/2006/relationships/hyperlink" Target="https://doi.org/10.1038/d41586-026-01974-y" TargetMode="External"/><Relationship Id="rId771" Type="http://schemas.openxmlformats.org/officeDocument/2006/relationships/hyperlink" Target="https://www.nature.com/articles/d41586-026-01807-y" TargetMode="External"/><Relationship Id="rId772" Type="http://schemas.openxmlformats.org/officeDocument/2006/relationships/hyperlink" Target="https://doi.org/10.1038/d41586-026-01807-y" TargetMode="External"/><Relationship Id="rId773" Type="http://schemas.openxmlformats.org/officeDocument/2006/relationships/hyperlink" Target="https://www.nature.com/articles/d41586-026-01981-z" TargetMode="External"/><Relationship Id="rId774" Type="http://schemas.openxmlformats.org/officeDocument/2006/relationships/hyperlink" Target="https://doi.org/10.1038/d41586-026-01981-z" TargetMode="External"/><Relationship Id="rId775" Type="http://schemas.openxmlformats.org/officeDocument/2006/relationships/hyperlink" Target="https://www.nature.com/articles/s41563-026-02656-w" TargetMode="External"/><Relationship Id="rId776" Type="http://schemas.openxmlformats.org/officeDocument/2006/relationships/hyperlink" Target="https://doi.org/10.1038/s41563-026-02656-w" TargetMode="External"/><Relationship Id="rId777" Type="http://schemas.openxmlformats.org/officeDocument/2006/relationships/hyperlink" Target="https://www.nature.com/articles/d41586-026-01908-8" TargetMode="External"/><Relationship Id="rId778" Type="http://schemas.openxmlformats.org/officeDocument/2006/relationships/hyperlink" Target="https://doi.org/10.1038/d41586-026-01908-8" TargetMode="External"/><Relationship Id="rId779" Type="http://schemas.openxmlformats.org/officeDocument/2006/relationships/hyperlink" Target="https://www.nature.com/articles/d41586-026-01809-w" TargetMode="External"/><Relationship Id="rId780" Type="http://schemas.openxmlformats.org/officeDocument/2006/relationships/hyperlink" Target="https://doi.org/10.1038/d41586-026-01809-w" TargetMode="External"/><Relationship Id="rId781" Type="http://schemas.openxmlformats.org/officeDocument/2006/relationships/hyperlink" Target="https://www.nature.com/articles/d41586-026-01936-4" TargetMode="External"/><Relationship Id="rId782" Type="http://schemas.openxmlformats.org/officeDocument/2006/relationships/hyperlink" Target="https://doi.org/10.1038/d41586-026-01936-4" TargetMode="External"/><Relationship Id="rId783" Type="http://schemas.openxmlformats.org/officeDocument/2006/relationships/hyperlink" Target="https://www.nature.com/articles/d41586-026-01747-7" TargetMode="External"/><Relationship Id="rId784" Type="http://schemas.openxmlformats.org/officeDocument/2006/relationships/hyperlink" Target="https://doi.org/10.1038/d41586-026-01747-7" TargetMode="External"/><Relationship Id="rId785" Type="http://schemas.openxmlformats.org/officeDocument/2006/relationships/hyperlink" Target="https://www.nature.com/articles/s41586-026-10710-5" TargetMode="External"/><Relationship Id="rId786" Type="http://schemas.openxmlformats.org/officeDocument/2006/relationships/hyperlink" Target="https://doi.org/10.1038/s41586-026-10710-5" TargetMode="External"/><Relationship Id="rId787" Type="http://schemas.openxmlformats.org/officeDocument/2006/relationships/hyperlink" Target="https://www.nature.com/articles/d41586-026-01973-z" TargetMode="External"/><Relationship Id="rId788" Type="http://schemas.openxmlformats.org/officeDocument/2006/relationships/hyperlink" Target="https://doi.org/10.1038/d41586-026-01973-z" TargetMode="External"/><Relationship Id="rId789" Type="http://schemas.openxmlformats.org/officeDocument/2006/relationships/hyperlink" Target="https://www.nature.com/articles/d41586-026-02004-7" TargetMode="External"/><Relationship Id="rId790" Type="http://schemas.openxmlformats.org/officeDocument/2006/relationships/hyperlink" Target="https://doi.org/10.1038/d41586-026-02004-7" TargetMode="External"/><Relationship Id="rId791" Type="http://schemas.openxmlformats.org/officeDocument/2006/relationships/hyperlink" Target="https://www.nature.com/articles/d41586-026-01977-9" TargetMode="External"/><Relationship Id="rId792" Type="http://schemas.openxmlformats.org/officeDocument/2006/relationships/hyperlink" Target="https://doi.org/10.1038/d41586-026-01977-9" TargetMode="External"/><Relationship Id="rId793" Type="http://schemas.openxmlformats.org/officeDocument/2006/relationships/hyperlink" Target="https://www.nature.com/articles/s41563-026-02661-z" TargetMode="External"/><Relationship Id="rId794" Type="http://schemas.openxmlformats.org/officeDocument/2006/relationships/hyperlink" Target="https://doi.org/10.1038/s41563-026-02661-z" TargetMode="External"/><Relationship Id="rId795" Type="http://schemas.openxmlformats.org/officeDocument/2006/relationships/hyperlink" Target="https://www.nature.com/articles/s41586-026-10723-0" TargetMode="External"/><Relationship Id="rId796" Type="http://schemas.openxmlformats.org/officeDocument/2006/relationships/hyperlink" Target="https://doi.org/10.1038/s41586-026-10723-0" TargetMode="External"/><Relationship Id="rId797" Type="http://schemas.openxmlformats.org/officeDocument/2006/relationships/hyperlink" Target="https://www.nature.com/articles/s41586-026-10720-3" TargetMode="External"/><Relationship Id="rId798" Type="http://schemas.openxmlformats.org/officeDocument/2006/relationships/hyperlink" Target="https://doi.org/10.1038/s41586-026-10720-3" TargetMode="External"/><Relationship Id="rId799" Type="http://schemas.openxmlformats.org/officeDocument/2006/relationships/hyperlink" Target="https://academic.oup.com/nsr/advance-article/doi/10.1093/nsr/nwag403/8723317?rss=1" TargetMode="External"/><Relationship Id="rId800" Type="http://schemas.openxmlformats.org/officeDocument/2006/relationships/hyperlink" Target="https://doi.org/10.1093/nsr/nwag403" TargetMode="External"/><Relationship Id="rId801" Type="http://schemas.openxmlformats.org/officeDocument/2006/relationships/hyperlink" Target="https://academic.oup.com/nsr/advance-article/doi/10.1093/nsr/nwag408/8723318?rss=1" TargetMode="External"/><Relationship Id="rId802" Type="http://schemas.openxmlformats.org/officeDocument/2006/relationships/hyperlink" Target="https://doi.org/10.1093/nsr/nwag408" TargetMode="External"/><Relationship Id="rId803" Type="http://schemas.openxmlformats.org/officeDocument/2006/relationships/hyperlink" Target="https://academic.oup.com/nsr/advance-article/doi/10.1093/nsr/nwag402/8723319?rss=1" TargetMode="External"/><Relationship Id="rId804" Type="http://schemas.openxmlformats.org/officeDocument/2006/relationships/hyperlink" Target="https://doi.org/10.1093/nsr/nwag402" TargetMode="External"/><Relationship Id="rId805" Type="http://schemas.openxmlformats.org/officeDocument/2006/relationships/hyperlink" Target="https://www.nature.com/articles/d41586-026-02084-5" TargetMode="External"/><Relationship Id="rId806" Type="http://schemas.openxmlformats.org/officeDocument/2006/relationships/hyperlink" Target="https://doi.org/10.1038/d41586-026-02084-5" TargetMode="External"/><Relationship Id="rId807" Type="http://schemas.openxmlformats.org/officeDocument/2006/relationships/hyperlink" Target="https://www.nature.com/articles/d41586-026-02019-0" TargetMode="External"/><Relationship Id="rId808" Type="http://schemas.openxmlformats.org/officeDocument/2006/relationships/hyperlink" Target="https://doi.org/10.1038/d41586-026-02019-0" TargetMode="External"/><Relationship Id="rId809" Type="http://schemas.openxmlformats.org/officeDocument/2006/relationships/hyperlink" Target="https://www.nature.com/articles/s41586-026-10705-2" TargetMode="External"/><Relationship Id="rId810" Type="http://schemas.openxmlformats.org/officeDocument/2006/relationships/hyperlink" Target="https://doi.org/10.1038/s41586-026-10705-2" TargetMode="External"/><Relationship Id="rId811" Type="http://schemas.openxmlformats.org/officeDocument/2006/relationships/hyperlink" Target="https://www.nature.com/articles/s41586-026-10726-x" TargetMode="External"/><Relationship Id="rId812" Type="http://schemas.openxmlformats.org/officeDocument/2006/relationships/hyperlink" Target="https://doi.org/10.1038/s41586-026-10726-x" TargetMode="External"/><Relationship Id="rId813" Type="http://schemas.openxmlformats.org/officeDocument/2006/relationships/hyperlink" Target="https://www.nature.com/articles/s41586-026-10641-1" TargetMode="External"/><Relationship Id="rId814" Type="http://schemas.openxmlformats.org/officeDocument/2006/relationships/hyperlink" Target="https://doi.org/10.1038/s41586-026-10641-1" TargetMode="External"/><Relationship Id="rId815" Type="http://schemas.openxmlformats.org/officeDocument/2006/relationships/hyperlink" Target="https://www.nature.com/articles/s41586-026-10424-8" TargetMode="External"/><Relationship Id="rId816" Type="http://schemas.openxmlformats.org/officeDocument/2006/relationships/hyperlink" Target="https://doi.org/10.1038/s41586-026-10424-8" TargetMode="External"/><Relationship Id="rId817" Type="http://schemas.openxmlformats.org/officeDocument/2006/relationships/hyperlink" Target="https://www.nature.com/articles/s41586-026-10686-2" TargetMode="External"/><Relationship Id="rId818" Type="http://schemas.openxmlformats.org/officeDocument/2006/relationships/hyperlink" Target="https://doi.org/10.1038/s41586-026-10686-2" TargetMode="External"/><Relationship Id="rId819" Type="http://schemas.openxmlformats.org/officeDocument/2006/relationships/hyperlink" Target="https://www.nature.com/articles/s41586-026-10719-w" TargetMode="External"/><Relationship Id="rId820" Type="http://schemas.openxmlformats.org/officeDocument/2006/relationships/hyperlink" Target="https://doi.org/10.1038/s41586-026-10719-w" TargetMode="External"/><Relationship Id="rId821" Type="http://schemas.openxmlformats.org/officeDocument/2006/relationships/hyperlink" Target="https://www.nature.com/articles/s41586-026-10714-1" TargetMode="External"/><Relationship Id="rId822" Type="http://schemas.openxmlformats.org/officeDocument/2006/relationships/hyperlink" Target="https://doi.org/10.1038/s41586-026-10714-1" TargetMode="External"/><Relationship Id="rId823" Type="http://schemas.openxmlformats.org/officeDocument/2006/relationships/hyperlink" Target="https://www.nature.com/articles/s41586-026-10671-9" TargetMode="External"/><Relationship Id="rId824" Type="http://schemas.openxmlformats.org/officeDocument/2006/relationships/hyperlink" Target="https://doi.org/10.1038/s41586-026-10671-9" TargetMode="External"/><Relationship Id="rId825" Type="http://schemas.openxmlformats.org/officeDocument/2006/relationships/hyperlink" Target="https://www.nature.com/articles/s41586-026-10707-0" TargetMode="External"/><Relationship Id="rId826" Type="http://schemas.openxmlformats.org/officeDocument/2006/relationships/hyperlink" Target="https://doi.org/10.1038/s41586-026-10707-0" TargetMode="External"/><Relationship Id="rId827" Type="http://schemas.openxmlformats.org/officeDocument/2006/relationships/hyperlink" Target="https://www.nature.com/articles/s41586-026-10730-1" TargetMode="External"/><Relationship Id="rId828" Type="http://schemas.openxmlformats.org/officeDocument/2006/relationships/hyperlink" Target="https://doi.org/10.1038/s41586-026-10730-1" TargetMode="External"/><Relationship Id="rId829" Type="http://schemas.openxmlformats.org/officeDocument/2006/relationships/hyperlink" Target="https://www.nature.com/articles/s41586-026-10695-1" TargetMode="External"/><Relationship Id="rId830" Type="http://schemas.openxmlformats.org/officeDocument/2006/relationships/hyperlink" Target="https://doi.org/10.1038/s41586-026-10695-1" TargetMode="External"/><Relationship Id="rId831" Type="http://schemas.openxmlformats.org/officeDocument/2006/relationships/hyperlink" Target="https://www.nature.com/articles/s41586-026-10711-4" TargetMode="External"/><Relationship Id="rId832" Type="http://schemas.openxmlformats.org/officeDocument/2006/relationships/hyperlink" Target="https://doi.org/10.1038/s41586-026-10711-4" TargetMode="External"/><Relationship Id="rId833" Type="http://schemas.openxmlformats.org/officeDocument/2006/relationships/hyperlink" Target="https://www.nature.com/articles/d41586-026-01808-x" TargetMode="External"/><Relationship Id="rId834" Type="http://schemas.openxmlformats.org/officeDocument/2006/relationships/hyperlink" Target="https://doi.org/10.1038/d41586-026-01808-x" TargetMode="External"/><Relationship Id="rId835" Type="http://schemas.openxmlformats.org/officeDocument/2006/relationships/hyperlink" Target="https://www.nature.com/articles/s41586-026-10574-9" TargetMode="External"/><Relationship Id="rId836" Type="http://schemas.openxmlformats.org/officeDocument/2006/relationships/hyperlink" Target="https://doi.org/10.1038/s41586-026-10574-9" TargetMode="External"/><Relationship Id="rId837" Type="http://schemas.openxmlformats.org/officeDocument/2006/relationships/hyperlink" Target="https://www.nature.com/articles/s41586-026-10621-5" TargetMode="External"/><Relationship Id="rId838" Type="http://schemas.openxmlformats.org/officeDocument/2006/relationships/hyperlink" Target="https://doi.org/10.1038/s41586-026-10621-5" TargetMode="External"/><Relationship Id="rId839" Type="http://schemas.openxmlformats.org/officeDocument/2006/relationships/hyperlink" Target="https://www.nature.com/articles/d41586-026-02067-6" TargetMode="External"/><Relationship Id="rId840" Type="http://schemas.openxmlformats.org/officeDocument/2006/relationships/hyperlink" Target="https://doi.org/10.1038/d41586-026-02067-6" TargetMode="External"/><Relationship Id="rId841" Type="http://schemas.openxmlformats.org/officeDocument/2006/relationships/hyperlink" Target="https://www.nature.com/articles/d41586-026-01982-y" TargetMode="External"/><Relationship Id="rId842" Type="http://schemas.openxmlformats.org/officeDocument/2006/relationships/hyperlink" Target="https://doi.org/10.1038/d41586-026-01982-y" TargetMode="External"/><Relationship Id="rId843" Type="http://schemas.openxmlformats.org/officeDocument/2006/relationships/hyperlink" Target="https://www.nature.com/articles/s41467-026-74838-8" TargetMode="External"/><Relationship Id="rId844" Type="http://schemas.openxmlformats.org/officeDocument/2006/relationships/hyperlink" Target="https://www.nature.com/articles/s41586-026-10718-x" TargetMode="External"/><Relationship Id="rId845" Type="http://schemas.openxmlformats.org/officeDocument/2006/relationships/hyperlink" Target="https://doi.org/10.1038/s41586-026-10718-x" TargetMode="External"/><Relationship Id="rId846" Type="http://schemas.openxmlformats.org/officeDocument/2006/relationships/hyperlink" Target="https://www.nature.com/articles/s41467-026-75133-2" TargetMode="External"/><Relationship Id="rId847" Type="http://schemas.openxmlformats.org/officeDocument/2006/relationships/hyperlink" Target="https://www.nature.com/articles/s41467-026-74938-5" TargetMode="External"/><Relationship Id="rId848" Type="http://schemas.openxmlformats.org/officeDocument/2006/relationships/hyperlink" Target="https://www.nature.com/articles/s41467-026-74383-4" TargetMode="External"/><Relationship Id="rId849" Type="http://schemas.openxmlformats.org/officeDocument/2006/relationships/hyperlink" Target="https://www.nature.com/articles/s41467-026-74708-3" TargetMode="External"/><Relationship Id="rId850" Type="http://schemas.openxmlformats.org/officeDocument/2006/relationships/hyperlink" Target="https://www.nature.com/articles/s41467-026-74567-y" TargetMode="External"/><Relationship Id="rId851" Type="http://schemas.openxmlformats.org/officeDocument/2006/relationships/hyperlink" Target="https://www.nature.com/articles/s41467-026-75158-7" TargetMode="External"/><Relationship Id="rId852" Type="http://schemas.openxmlformats.org/officeDocument/2006/relationships/hyperlink" Target="https://www.nature.com/articles/s41467-026-74987-w" TargetMode="External"/><Relationship Id="rId853" Type="http://schemas.openxmlformats.org/officeDocument/2006/relationships/hyperlink" Target="https://www.nature.com/articles/s41467-026-74994-x" TargetMode="External"/><Relationship Id="rId854" Type="http://schemas.openxmlformats.org/officeDocument/2006/relationships/hyperlink" Target="https://www.nature.com/articles/d41586-026-01975-x" TargetMode="External"/><Relationship Id="rId855" Type="http://schemas.openxmlformats.org/officeDocument/2006/relationships/hyperlink" Target="https://doi.org/10.1038/d41586-026-01975-x" TargetMode="External"/><Relationship Id="rId856" Type="http://schemas.openxmlformats.org/officeDocument/2006/relationships/hyperlink" Target="https://www.nature.com/articles/s41467-026-74962-5" TargetMode="External"/><Relationship Id="rId857" Type="http://schemas.openxmlformats.org/officeDocument/2006/relationships/hyperlink" Target="https://www.nature.com/articles/s41467-026-75182-7" TargetMode="External"/><Relationship Id="rId858" Type="http://schemas.openxmlformats.org/officeDocument/2006/relationships/hyperlink" Target="https://www.nature.com/articles/s41467-026-74767-6" TargetMode="External"/><Relationship Id="rId859" Type="http://schemas.openxmlformats.org/officeDocument/2006/relationships/hyperlink" Target="https://www.nature.com/articles/s41467-026-74750-1" TargetMode="External"/><Relationship Id="rId860" Type="http://schemas.openxmlformats.org/officeDocument/2006/relationships/hyperlink" Target="https://www.nature.com/articles/s41467-026-73879-3" TargetMode="External"/><Relationship Id="rId861" Type="http://schemas.openxmlformats.org/officeDocument/2006/relationships/hyperlink" Target="https://www.nature.com/articles/s41467-026-74786-3" TargetMode="External"/><Relationship Id="rId862" Type="http://schemas.openxmlformats.org/officeDocument/2006/relationships/hyperlink" Target="https://www.nature.com/articles/s41467-026-74718-1" TargetMode="External"/><Relationship Id="rId863" Type="http://schemas.openxmlformats.org/officeDocument/2006/relationships/hyperlink" Target="https://www.nature.com/articles/s41467-026-75022-8" TargetMode="External"/><Relationship Id="rId864" Type="http://schemas.openxmlformats.org/officeDocument/2006/relationships/hyperlink" Target="https://www.nature.com/articles/s41467-026-74945-6" TargetMode="External"/><Relationship Id="rId865" Type="http://schemas.openxmlformats.org/officeDocument/2006/relationships/hyperlink" Target="https://www.nature.com/articles/s41467-026-75013-9" TargetMode="External"/><Relationship Id="rId866" Type="http://schemas.openxmlformats.org/officeDocument/2006/relationships/hyperlink" Target="https://www.nature.com/articles/s41467-026-74920-1" TargetMode="External"/><Relationship Id="rId867" Type="http://schemas.openxmlformats.org/officeDocument/2006/relationships/hyperlink" Target="https://www.nature.com/articles/s41467-026-75006-8" TargetMode="External"/><Relationship Id="rId868" Type="http://schemas.openxmlformats.org/officeDocument/2006/relationships/hyperlink" Target="https://www.nature.com/articles/s41467-026-74381-6" TargetMode="External"/><Relationship Id="rId869" Type="http://schemas.openxmlformats.org/officeDocument/2006/relationships/hyperlink" Target="https://www.nature.com/articles/s41467-026-74918-9" TargetMode="External"/><Relationship Id="rId870" Type="http://schemas.openxmlformats.org/officeDocument/2006/relationships/hyperlink" Target="https://www.nature.com/articles/s41467-026-74963-4" TargetMode="External"/><Relationship Id="rId871" Type="http://schemas.openxmlformats.org/officeDocument/2006/relationships/hyperlink" Target="https://www.nature.com/articles/s41467-026-74966-1" TargetMode="External"/><Relationship Id="rId872" Type="http://schemas.openxmlformats.org/officeDocument/2006/relationships/hyperlink" Target="https://www.nature.com/articles/s41586-026-10713-2" TargetMode="External"/><Relationship Id="rId873" Type="http://schemas.openxmlformats.org/officeDocument/2006/relationships/hyperlink" Target="https://doi.org/10.1038/s41586-026-10713-2" TargetMode="External"/><Relationship Id="rId874" Type="http://schemas.openxmlformats.org/officeDocument/2006/relationships/hyperlink" Target="https://www.nature.com/articles/s41586-026-10706-1" TargetMode="External"/><Relationship Id="rId875" Type="http://schemas.openxmlformats.org/officeDocument/2006/relationships/hyperlink" Target="https://doi.org/10.1038/s41586-026-10706-1" TargetMode="External"/><Relationship Id="rId876" Type="http://schemas.openxmlformats.org/officeDocument/2006/relationships/hyperlink" Target="https://www.nature.com/articles/s41586-026-10699-x" TargetMode="External"/><Relationship Id="rId877" Type="http://schemas.openxmlformats.org/officeDocument/2006/relationships/hyperlink" Target="https://doi.org/10.1038/s41586-026-10699-x" TargetMode="External"/><Relationship Id="rId878" Type="http://schemas.openxmlformats.org/officeDocument/2006/relationships/hyperlink" Target="https://www.nature.com/articles/s41467-026-75015-7" TargetMode="External"/><Relationship Id="rId879" Type="http://schemas.openxmlformats.org/officeDocument/2006/relationships/hyperlink" Target="https://www.nature.com/articles/s41467-026-74148-z" TargetMode="External"/><Relationship Id="rId880" Type="http://schemas.openxmlformats.org/officeDocument/2006/relationships/hyperlink" Target="https://www.nature.com/articles/s41467-026-75122-5" TargetMode="External"/><Relationship Id="rId881" Type="http://schemas.openxmlformats.org/officeDocument/2006/relationships/hyperlink" Target="https://www.nature.com/articles/s41467-026-74967-0" TargetMode="External"/><Relationship Id="rId882" Type="http://schemas.openxmlformats.org/officeDocument/2006/relationships/hyperlink" Target="https://www.nature.com/articles/s41467-026-74911-2" TargetMode="External"/><Relationship Id="rId883" Type="http://schemas.openxmlformats.org/officeDocument/2006/relationships/hyperlink" Target="https://www.nature.com/articles/s41467-026-74981-2" TargetMode="External"/><Relationship Id="rId884" Type="http://schemas.openxmlformats.org/officeDocument/2006/relationships/hyperlink" Target="https://www.nature.com/articles/s41467-026-74804-4" TargetMode="External"/><Relationship Id="rId885" Type="http://schemas.openxmlformats.org/officeDocument/2006/relationships/hyperlink" Target="https://www.nature.com/articles/s41467-026-75025-5" TargetMode="External"/><Relationship Id="rId886" Type="http://schemas.openxmlformats.org/officeDocument/2006/relationships/hyperlink" Target="https://www.nature.com/articles/s41467-026-74935-8" TargetMode="External"/><Relationship Id="rId887" Type="http://schemas.openxmlformats.org/officeDocument/2006/relationships/hyperlink" Target="https://www.nature.com/articles/s41467-026-75181-8" TargetMode="External"/><Relationship Id="rId888" Type="http://schemas.openxmlformats.org/officeDocument/2006/relationships/hyperlink" Target="https://www.nature.com/articles/s41467-026-74834-y" TargetMode="External"/><Relationship Id="rId889" Type="http://schemas.openxmlformats.org/officeDocument/2006/relationships/hyperlink" Target="https://www.nature.com/articles/s41467-026-75063-z" TargetMode="External"/><Relationship Id="rId890" Type="http://schemas.openxmlformats.org/officeDocument/2006/relationships/hyperlink" Target="https://www.nature.com/articles/s41467-026-74855-7" TargetMode="External"/><Relationship Id="rId891" Type="http://schemas.openxmlformats.org/officeDocument/2006/relationships/hyperlink" Target="https://www.nature.com/articles/s41467-026-75131-4" TargetMode="External"/><Relationship Id="rId892" Type="http://schemas.openxmlformats.org/officeDocument/2006/relationships/hyperlink" Target="https://www.pnas.org/doi/abs/10.1073/pnas.2602110123?mi=eymic2&amp;af=R&amp;access=on&amp;content=articlesChapters&amp;publication=pnas&amp;sortBy=Earliest&amp;target=default" TargetMode="External"/><Relationship Id="rId893" Type="http://schemas.openxmlformats.org/officeDocument/2006/relationships/hyperlink" Target="https://doi.org/10.1073/pnas.2602110123" TargetMode="External"/><Relationship Id="rId894" Type="http://schemas.openxmlformats.org/officeDocument/2006/relationships/hyperlink" Target="https://www.pnas.org/doi/abs/10.1073/pnas.2604532123?mi=eymic2&amp;af=R&amp;access=on&amp;content=articlesChapters&amp;publication=pnas&amp;sortBy=Earliest&amp;target=default" TargetMode="External"/><Relationship Id="rId895" Type="http://schemas.openxmlformats.org/officeDocument/2006/relationships/hyperlink" Target="https://doi.org/10.1073/pnas.2604532123" TargetMode="External"/><Relationship Id="rId896" Type="http://schemas.openxmlformats.org/officeDocument/2006/relationships/hyperlink" Target="https://www.science.org/doi/abs/10.1126/sciadv.aee1333?af=R" TargetMode="External"/><Relationship Id="rId897" Type="http://schemas.openxmlformats.org/officeDocument/2006/relationships/hyperlink" Target="https://doi.org/10.1126/sciadv.aee1333" TargetMode="External"/><Relationship Id="rId898" Type="http://schemas.openxmlformats.org/officeDocument/2006/relationships/hyperlink" Target="https://www.science.org/doi/abs/10.1126/sciadv.adv1982?af=R" TargetMode="External"/><Relationship Id="rId899" Type="http://schemas.openxmlformats.org/officeDocument/2006/relationships/hyperlink" Target="https://doi.org/10.1126/sciadv.adv1982" TargetMode="External"/><Relationship Id="rId900" Type="http://schemas.openxmlformats.org/officeDocument/2006/relationships/hyperlink" Target="https://www.pnas.org/doi/abs/10.1073/pnas.2618999123?mi=eymic2&amp;af=R&amp;access=on&amp;content=articlesChapters&amp;publication=pnas&amp;sortBy=Earliest&amp;target=default" TargetMode="External"/><Relationship Id="rId901" Type="http://schemas.openxmlformats.org/officeDocument/2006/relationships/hyperlink" Target="https://doi.org/10.1073/pnas.2618999123" TargetMode="External"/><Relationship Id="rId902" Type="http://schemas.openxmlformats.org/officeDocument/2006/relationships/hyperlink" Target="https://www.pnas.org/doi/abs/10.1073/pnas.2610149123?mi=eymic2&amp;af=R&amp;access=on&amp;content=articlesChapters&amp;publication=pnas&amp;sortBy=Earliest&amp;target=default" TargetMode="External"/><Relationship Id="rId903" Type="http://schemas.openxmlformats.org/officeDocument/2006/relationships/hyperlink" Target="https://doi.org/10.1073/pnas.2610149123" TargetMode="External"/><Relationship Id="rId904" Type="http://schemas.openxmlformats.org/officeDocument/2006/relationships/hyperlink" Target="https://www.pnas.org/doi/abs/10.1073/pnas.2612658123?mi=eymic2&amp;af=R&amp;access=on&amp;content=articlesChapters&amp;publication=pnas&amp;sortBy=Earliest&amp;target=default" TargetMode="External"/><Relationship Id="rId905" Type="http://schemas.openxmlformats.org/officeDocument/2006/relationships/hyperlink" Target="https://doi.org/10.1073/pnas.2612658123" TargetMode="External"/><Relationship Id="rId906" Type="http://schemas.openxmlformats.org/officeDocument/2006/relationships/hyperlink" Target="https://www.pnas.org/doi/abs/10.1073/pnas.2612169123?mi=eymic2&amp;af=R&amp;access=on&amp;content=articlesChapters&amp;publication=pnas&amp;sortBy=Earliest&amp;target=default" TargetMode="External"/><Relationship Id="rId907" Type="http://schemas.openxmlformats.org/officeDocument/2006/relationships/hyperlink" Target="https://doi.org/10.1073/pnas.2612169123" TargetMode="External"/><Relationship Id="rId908" Type="http://schemas.openxmlformats.org/officeDocument/2006/relationships/hyperlink" Target="https://www.pnas.org/doi/abs/10.1073/pnas.2610446123?mi=eymic2&amp;af=R&amp;access=on&amp;content=articlesChapters&amp;publication=pnas&amp;sortBy=Earliest&amp;target=default" TargetMode="External"/><Relationship Id="rId909" Type="http://schemas.openxmlformats.org/officeDocument/2006/relationships/hyperlink" Target="https://doi.org/10.1073/pnas.2610446123" TargetMode="External"/><Relationship Id="rId910" Type="http://schemas.openxmlformats.org/officeDocument/2006/relationships/hyperlink" Target="https://www.pnas.org/doi/abs/10.1073/pnas.2609659123?mi=eymic2&amp;af=R&amp;access=on&amp;content=articlesChapters&amp;publication=pnas&amp;sortBy=Earliest&amp;target=default" TargetMode="External"/><Relationship Id="rId911" Type="http://schemas.openxmlformats.org/officeDocument/2006/relationships/hyperlink" Target="https://doi.org/10.1073/pnas.2609659123" TargetMode="External"/><Relationship Id="rId912" Type="http://schemas.openxmlformats.org/officeDocument/2006/relationships/hyperlink" Target="https://www.pnas.org/doi/abs/10.1073/pnas.2606761123?mi=eymic2&amp;af=R&amp;access=on&amp;content=articlesChapters&amp;publication=pnas&amp;sortBy=Earliest&amp;target=default" TargetMode="External"/><Relationship Id="rId913" Type="http://schemas.openxmlformats.org/officeDocument/2006/relationships/hyperlink" Target="https://doi.org/10.1073/pnas.2606761123" TargetMode="External"/><Relationship Id="rId914" Type="http://schemas.openxmlformats.org/officeDocument/2006/relationships/hyperlink" Target="https://www.pnas.org/doi/abs/10.1073/pnas.2614400123?mi=eymic2&amp;af=R&amp;access=on&amp;content=articlesChapters&amp;publication=pnas&amp;sortBy=Earliest&amp;target=default" TargetMode="External"/><Relationship Id="rId915" Type="http://schemas.openxmlformats.org/officeDocument/2006/relationships/hyperlink" Target="https://doi.org/10.1073/pnas.2614400123" TargetMode="External"/><Relationship Id="rId916" Type="http://schemas.openxmlformats.org/officeDocument/2006/relationships/hyperlink" Target="https://www.pnas.org/doi/abs/10.1073/pnas.2531884123?mi=eymic2&amp;af=R&amp;access=on&amp;content=articlesChapters&amp;publication=pnas&amp;sortBy=Earliest&amp;target=default" TargetMode="External"/><Relationship Id="rId917" Type="http://schemas.openxmlformats.org/officeDocument/2006/relationships/hyperlink" Target="https://doi.org/10.1073/pnas.2531884123" TargetMode="External"/><Relationship Id="rId918" Type="http://schemas.openxmlformats.org/officeDocument/2006/relationships/hyperlink" Target="https://www.science.org/doi/abs/10.1126/sciadv.aeb5187?af=R" TargetMode="External"/><Relationship Id="rId919" Type="http://schemas.openxmlformats.org/officeDocument/2006/relationships/hyperlink" Target="https://doi.org/10.1126/sciadv.aeb5187" TargetMode="External"/><Relationship Id="rId920" Type="http://schemas.openxmlformats.org/officeDocument/2006/relationships/hyperlink" Target="https://www.pnas.org/doi/abs/10.1073/pnas.2514112123?mi=eymic2&amp;af=R&amp;access=on&amp;content=articlesChapters&amp;publication=pnas&amp;sortBy=Earliest&amp;target=default" TargetMode="External"/><Relationship Id="rId921" Type="http://schemas.openxmlformats.org/officeDocument/2006/relationships/hyperlink" Target="https://doi.org/10.1073/pnas.2514112123" TargetMode="External"/><Relationship Id="rId922" Type="http://schemas.openxmlformats.org/officeDocument/2006/relationships/hyperlink" Target="https://www.pnas.org/doi/abs/10.1073/pnas.2517987123?mi=eymic2&amp;af=R&amp;access=on&amp;content=articlesChapters&amp;publication=pnas&amp;sortBy=Earliest&amp;target=default" TargetMode="External"/><Relationship Id="rId923" Type="http://schemas.openxmlformats.org/officeDocument/2006/relationships/hyperlink" Target="https://doi.org/10.1073/pnas.2517987123" TargetMode="External"/><Relationship Id="rId924" Type="http://schemas.openxmlformats.org/officeDocument/2006/relationships/hyperlink" Target="https://www.pnas.org/doi/abs/10.1073/pnas.2523789123?mi=eymic2&amp;af=R&amp;access=on&amp;content=articlesChapters&amp;publication=pnas&amp;sortBy=Earliest&amp;target=default" TargetMode="External"/><Relationship Id="rId925" Type="http://schemas.openxmlformats.org/officeDocument/2006/relationships/hyperlink" Target="https://doi.org/10.1073/pnas.2523789123" TargetMode="External"/><Relationship Id="rId926" Type="http://schemas.openxmlformats.org/officeDocument/2006/relationships/hyperlink" Target="https://www.pnas.org/doi/abs/10.1073/pnas.2525403123?mi=eymic2&amp;af=R&amp;access=on&amp;content=articlesChapters&amp;publication=pnas&amp;sortBy=Earliest&amp;target=default" TargetMode="External"/><Relationship Id="rId927" Type="http://schemas.openxmlformats.org/officeDocument/2006/relationships/hyperlink" Target="https://doi.org/10.1073/pnas.2525403123" TargetMode="External"/><Relationship Id="rId928" Type="http://schemas.openxmlformats.org/officeDocument/2006/relationships/hyperlink" Target="https://www.pnas.org/doi/abs/10.1073/pnas.2601097123?mi=eymic2&amp;af=R&amp;access=on&amp;content=articlesChapters&amp;publication=pnas&amp;sortBy=Earliest&amp;target=default" TargetMode="External"/><Relationship Id="rId929" Type="http://schemas.openxmlformats.org/officeDocument/2006/relationships/hyperlink" Target="https://doi.org/10.1073/pnas.2601097123" TargetMode="External"/><Relationship Id="rId930" Type="http://schemas.openxmlformats.org/officeDocument/2006/relationships/hyperlink" Target="https://www.pnas.org/doi/abs/10.1073/pnas.2608048123?mi=eymic2&amp;af=R&amp;access=on&amp;content=articlesChapters&amp;publication=pnas&amp;sortBy=Earliest&amp;target=default" TargetMode="External"/><Relationship Id="rId931" Type="http://schemas.openxmlformats.org/officeDocument/2006/relationships/hyperlink" Target="https://doi.org/10.1073/pnas.2608048123" TargetMode="External"/><Relationship Id="rId932" Type="http://schemas.openxmlformats.org/officeDocument/2006/relationships/hyperlink" Target="https://www.pnas.org/doi/abs/10.1073/pnas.2536595123?mi=eymic2&amp;af=R&amp;access=on&amp;content=articlesChapters&amp;publication=pnas&amp;sortBy=Earliest&amp;target=default" TargetMode="External"/><Relationship Id="rId933" Type="http://schemas.openxmlformats.org/officeDocument/2006/relationships/hyperlink" Target="https://doi.org/10.1073/pnas.2536595123" TargetMode="External"/><Relationship Id="rId934" Type="http://schemas.openxmlformats.org/officeDocument/2006/relationships/hyperlink" Target="https://www.pnas.org/doi/abs/10.1073/pnas.2535452123?mi=eymic2&amp;af=R&amp;access=on&amp;content=articlesChapters&amp;publication=pnas&amp;sortBy=Earliest&amp;target=default" TargetMode="External"/><Relationship Id="rId935" Type="http://schemas.openxmlformats.org/officeDocument/2006/relationships/hyperlink" Target="https://doi.org/10.1073/pnas.2535452123" TargetMode="External"/><Relationship Id="rId936" Type="http://schemas.openxmlformats.org/officeDocument/2006/relationships/hyperlink" Target="https://www.pnas.org/doi/abs/10.1073/pnas.2530341123?mi=eymic2&amp;af=R&amp;access=on&amp;content=articlesChapters&amp;publication=pnas&amp;sortBy=Earliest&amp;target=default" TargetMode="External"/><Relationship Id="rId937" Type="http://schemas.openxmlformats.org/officeDocument/2006/relationships/hyperlink" Target="https://doi.org/10.1073/pnas.2530341123" TargetMode="External"/><Relationship Id="rId938" Type="http://schemas.openxmlformats.org/officeDocument/2006/relationships/hyperlink" Target="https://www.pnas.org/doi/abs/10.1073/pnas.2527873123?mi=eymic2&amp;af=R&amp;access=on&amp;content=articlesChapters&amp;publication=pnas&amp;sortBy=Earliest&amp;target=default" TargetMode="External"/><Relationship Id="rId939" Type="http://schemas.openxmlformats.org/officeDocument/2006/relationships/hyperlink" Target="https://doi.org/10.1073/pnas.2527873123" TargetMode="External"/><Relationship Id="rId940" Type="http://schemas.openxmlformats.org/officeDocument/2006/relationships/hyperlink" Target="https://www.pnas.org/doi/abs/10.1073/pnas.2609132123?mi=eymic2&amp;af=R&amp;access=on&amp;content=articlesChapters&amp;publication=pnas&amp;sortBy=Earliest&amp;target=default" TargetMode="External"/><Relationship Id="rId941" Type="http://schemas.openxmlformats.org/officeDocument/2006/relationships/hyperlink" Target="https://doi.org/10.1073/pnas.2609132123" TargetMode="External"/><Relationship Id="rId942" Type="http://schemas.openxmlformats.org/officeDocument/2006/relationships/hyperlink" Target="https://www.science.org/doi/abs/10.1126/sciadv.aeb5202?af=R" TargetMode="External"/><Relationship Id="rId943" Type="http://schemas.openxmlformats.org/officeDocument/2006/relationships/hyperlink" Target="https://doi.org/10.1126/sciadv.aeb5202" TargetMode="External"/><Relationship Id="rId944" Type="http://schemas.openxmlformats.org/officeDocument/2006/relationships/hyperlink" Target="https://www.pnas.org/doi/abs/10.1073/pnas.2608847123?mi=eymic2&amp;af=R&amp;access=on&amp;content=articlesChapters&amp;publication=pnas&amp;sortBy=Earliest&amp;target=default" TargetMode="External"/><Relationship Id="rId945" Type="http://schemas.openxmlformats.org/officeDocument/2006/relationships/hyperlink" Target="https://doi.org/10.1073/pnas.2608847123" TargetMode="External"/><Relationship Id="rId946" Type="http://schemas.openxmlformats.org/officeDocument/2006/relationships/hyperlink" Target="https://www.science.org/doi/abs/10.1126/sciadv.aeb3363?af=R" TargetMode="External"/><Relationship Id="rId947" Type="http://schemas.openxmlformats.org/officeDocument/2006/relationships/hyperlink" Target="https://doi.org/10.1126/sciadv.aeb3363" TargetMode="External"/><Relationship Id="rId948" Type="http://schemas.openxmlformats.org/officeDocument/2006/relationships/hyperlink" Target="https://www.science.org/doi/abs/10.1126/sciadv.aee5865?af=R" TargetMode="External"/><Relationship Id="rId949" Type="http://schemas.openxmlformats.org/officeDocument/2006/relationships/hyperlink" Target="https://doi.org/10.1126/sciadv.aee5865" TargetMode="External"/><Relationship Id="rId950" Type="http://schemas.openxmlformats.org/officeDocument/2006/relationships/hyperlink" Target="https://www.science.org/doi/abs/10.1126/sciadv.aee3921?af=R" TargetMode="External"/><Relationship Id="rId951" Type="http://schemas.openxmlformats.org/officeDocument/2006/relationships/hyperlink" Target="https://doi.org/10.1126/sciadv.aee3921" TargetMode="External"/><Relationship Id="rId952" Type="http://schemas.openxmlformats.org/officeDocument/2006/relationships/hyperlink" Target="https://www.science.org/doi/abs/10.1126/sciadv.aec4661?af=R" TargetMode="External"/><Relationship Id="rId953" Type="http://schemas.openxmlformats.org/officeDocument/2006/relationships/hyperlink" Target="https://doi.org/10.1126/sciadv.aec4661" TargetMode="External"/><Relationship Id="rId954" Type="http://schemas.openxmlformats.org/officeDocument/2006/relationships/hyperlink" Target="https://www.science.org/doi/abs/10.1126/sciadv.aec7011?af=R" TargetMode="External"/><Relationship Id="rId955" Type="http://schemas.openxmlformats.org/officeDocument/2006/relationships/hyperlink" Target="https://doi.org/10.1126/sciadv.aec7011" TargetMode="External"/><Relationship Id="rId956" Type="http://schemas.openxmlformats.org/officeDocument/2006/relationships/hyperlink" Target="https://www.science.org/doi/abs/10.1126/sciadv.aed0910?af=R" TargetMode="External"/><Relationship Id="rId957" Type="http://schemas.openxmlformats.org/officeDocument/2006/relationships/hyperlink" Target="https://doi.org/10.1126/sciadv.aed0910" TargetMode="External"/><Relationship Id="rId958" Type="http://schemas.openxmlformats.org/officeDocument/2006/relationships/hyperlink" Target="https://www.science.org/doi/abs/10.1126/sciadv.aee3487?af=R" TargetMode="External"/><Relationship Id="rId959" Type="http://schemas.openxmlformats.org/officeDocument/2006/relationships/hyperlink" Target="https://doi.org/10.1126/sciadv.aee3487" TargetMode="External"/><Relationship Id="rId960" Type="http://schemas.openxmlformats.org/officeDocument/2006/relationships/hyperlink" Target="https://www.pnas.org/doi/abs/10.1073/pnas.2608694123?mi=eymic2&amp;af=R&amp;access=on&amp;content=articlesChapters&amp;publication=pnas&amp;sortBy=Earliest&amp;target=default" TargetMode="External"/><Relationship Id="rId961" Type="http://schemas.openxmlformats.org/officeDocument/2006/relationships/hyperlink" Target="https://doi.org/10.1073/pnas.2608694123" TargetMode="External"/><Relationship Id="rId962" Type="http://schemas.openxmlformats.org/officeDocument/2006/relationships/hyperlink" Target="https://www.science.org/doi/abs/10.1126/sciadv.adu3822?af=R" TargetMode="External"/><Relationship Id="rId963" Type="http://schemas.openxmlformats.org/officeDocument/2006/relationships/hyperlink" Target="https://doi.org/10.1126/sciadv.adu3822" TargetMode="External"/><Relationship Id="rId964" Type="http://schemas.openxmlformats.org/officeDocument/2006/relationships/hyperlink" Target="https://www.science.org/doi/abs/10.1126/sciadv.aee3116?af=R" TargetMode="External"/><Relationship Id="rId965" Type="http://schemas.openxmlformats.org/officeDocument/2006/relationships/hyperlink" Target="https://doi.org/10.1126/sciadv.aee3116" TargetMode="External"/><Relationship Id="rId966" Type="http://schemas.openxmlformats.org/officeDocument/2006/relationships/hyperlink" Target="https://www.science.org/doi/abs/10.1126/sciadv.aee1510?af=R" TargetMode="External"/><Relationship Id="rId967" Type="http://schemas.openxmlformats.org/officeDocument/2006/relationships/hyperlink" Target="https://doi.org/10.1126/sciadv.aee1510" TargetMode="External"/><Relationship Id="rId968" Type="http://schemas.openxmlformats.org/officeDocument/2006/relationships/hyperlink" Target="https://www.science.org/doi/abs/10.1126/sciadv.aed8943?af=R" TargetMode="External"/><Relationship Id="rId969" Type="http://schemas.openxmlformats.org/officeDocument/2006/relationships/hyperlink" Target="https://doi.org/10.1126/sciadv.aed8943" TargetMode="External"/><Relationship Id="rId970" Type="http://schemas.openxmlformats.org/officeDocument/2006/relationships/hyperlink" Target="https://www.science.org/doi/abs/10.1126/sciadv.adu9309?af=R" TargetMode="External"/><Relationship Id="rId971" Type="http://schemas.openxmlformats.org/officeDocument/2006/relationships/hyperlink" Target="https://doi.org/10.1126/sciadv.adu9309" TargetMode="External"/><Relationship Id="rId972" Type="http://schemas.openxmlformats.org/officeDocument/2006/relationships/hyperlink" Target="https://www.science.org/doi/abs/10.1126/sciadv.aed7506?af=R" TargetMode="External"/><Relationship Id="rId973" Type="http://schemas.openxmlformats.org/officeDocument/2006/relationships/hyperlink" Target="https://doi.org/10.1126/sciadv.aed7506" TargetMode="External"/><Relationship Id="rId974" Type="http://schemas.openxmlformats.org/officeDocument/2006/relationships/hyperlink" Target="https://www.science.org/doi/abs/10.1126/sciadv.aee6932?af=R" TargetMode="External"/><Relationship Id="rId975" Type="http://schemas.openxmlformats.org/officeDocument/2006/relationships/hyperlink" Target="https://doi.org/10.1126/sciadv.aee6932" TargetMode="External"/><Relationship Id="rId976" Type="http://schemas.openxmlformats.org/officeDocument/2006/relationships/hyperlink" Target="https://www.science.org/doi/abs/10.1126/sciadv.aef4971?af=R" TargetMode="External"/><Relationship Id="rId977" Type="http://schemas.openxmlformats.org/officeDocument/2006/relationships/hyperlink" Target="https://doi.org/10.1126/sciadv.aef4971" TargetMode="External"/><Relationship Id="rId978" Type="http://schemas.openxmlformats.org/officeDocument/2006/relationships/hyperlink" Target="https://www.science.org/doi/abs/10.1126/sciadv.aeb5575?af=R" TargetMode="External"/><Relationship Id="rId979" Type="http://schemas.openxmlformats.org/officeDocument/2006/relationships/hyperlink" Target="https://doi.org/10.1126/sciadv.aeb5575" TargetMode="External"/><Relationship Id="rId980" Type="http://schemas.openxmlformats.org/officeDocument/2006/relationships/hyperlink" Target="https://www.science.org/doi/abs/10.1126/sciadv.aeb5510?af=R" TargetMode="External"/><Relationship Id="rId981" Type="http://schemas.openxmlformats.org/officeDocument/2006/relationships/hyperlink" Target="https://doi.org/10.1126/sciadv.aeb5510" TargetMode="External"/><Relationship Id="rId982" Type="http://schemas.openxmlformats.org/officeDocument/2006/relationships/hyperlink" Target="https://www.science.org/doi/abs/10.1126/sciadv.aeb7931?af=R" TargetMode="External"/><Relationship Id="rId983" Type="http://schemas.openxmlformats.org/officeDocument/2006/relationships/hyperlink" Target="https://doi.org/10.1126/sciadv.aeb7931" TargetMode="External"/><Relationship Id="rId984" Type="http://schemas.openxmlformats.org/officeDocument/2006/relationships/hyperlink" Target="https://www.science.org/doi/abs/10.1126/sciadv.aee4175?af=R" TargetMode="External"/><Relationship Id="rId985" Type="http://schemas.openxmlformats.org/officeDocument/2006/relationships/hyperlink" Target="https://doi.org/10.1126/sciadv.aee4175" TargetMode="External"/><Relationship Id="rId986" Type="http://schemas.openxmlformats.org/officeDocument/2006/relationships/hyperlink" Target="https://www.science.org/doi/abs/10.1126/sciadv.aef1695?af=R" TargetMode="External"/><Relationship Id="rId987" Type="http://schemas.openxmlformats.org/officeDocument/2006/relationships/hyperlink" Target="https://doi.org/10.1126/sciadv.aef1695" TargetMode="External"/><Relationship Id="rId988" Type="http://schemas.openxmlformats.org/officeDocument/2006/relationships/hyperlink" Target="https://www.science.org/doi/abs/10.1126/sciadv.aej2301?af=R" TargetMode="External"/><Relationship Id="rId989" Type="http://schemas.openxmlformats.org/officeDocument/2006/relationships/hyperlink" Target="https://doi.org/10.1126/sciadv.aej2301" TargetMode="External"/><Relationship Id="rId990" Type="http://schemas.openxmlformats.org/officeDocument/2006/relationships/hyperlink" Target="https://www.science.org/doi/abs/10.1126/sciadv.aec4197?af=R" TargetMode="External"/><Relationship Id="rId991" Type="http://schemas.openxmlformats.org/officeDocument/2006/relationships/hyperlink" Target="https://doi.org/10.1126/sciadv.aec4197" TargetMode="External"/><Relationship Id="rId992" Type="http://schemas.openxmlformats.org/officeDocument/2006/relationships/hyperlink" Target="https://www.science.org/doi/abs/10.1126/sciadv.aeg1456?af=R" TargetMode="External"/><Relationship Id="rId993" Type="http://schemas.openxmlformats.org/officeDocument/2006/relationships/hyperlink" Target="https://doi.org/10.1126/sciadv.aeg1456" TargetMode="External"/><Relationship Id="rId994" Type="http://schemas.openxmlformats.org/officeDocument/2006/relationships/hyperlink" Target="https://www.science.org/doi/abs/10.1126/sciadv.aea0592?af=R" TargetMode="External"/><Relationship Id="rId995" Type="http://schemas.openxmlformats.org/officeDocument/2006/relationships/hyperlink" Target="https://doi.org/10.1126/sciadv.aea0592" TargetMode="External"/><Relationship Id="rId996" Type="http://schemas.openxmlformats.org/officeDocument/2006/relationships/hyperlink" Target="https://www.science.org/doi/abs/10.1126/sciadv.aeg6081?af=R" TargetMode="External"/><Relationship Id="rId997" Type="http://schemas.openxmlformats.org/officeDocument/2006/relationships/hyperlink" Target="https://doi.org/10.1126/sciadv.aeg6081" TargetMode="External"/><Relationship Id="rId998" Type="http://schemas.openxmlformats.org/officeDocument/2006/relationships/hyperlink" Target="https://www.science.org/doi/abs/10.1126/sciadv.aeg5356?af=R" TargetMode="External"/><Relationship Id="rId999" Type="http://schemas.openxmlformats.org/officeDocument/2006/relationships/hyperlink" Target="https://doi.org/10.1126/sciadv.aeg5356" TargetMode="External"/><Relationship Id="rId1000" Type="http://schemas.openxmlformats.org/officeDocument/2006/relationships/hyperlink" Target="https://www.science.org/doi/abs/10.1126/sciadv.aef9628?af=R" TargetMode="External"/><Relationship Id="rId1001" Type="http://schemas.openxmlformats.org/officeDocument/2006/relationships/hyperlink" Target="https://doi.org/10.1126/sciadv.aef9628" TargetMode="External"/><Relationship Id="rId1002" Type="http://schemas.openxmlformats.org/officeDocument/2006/relationships/hyperlink" Target="https://www.science.org/doi/abs/10.1126/sciadv.aef8428?af=R" TargetMode="External"/><Relationship Id="rId1003" Type="http://schemas.openxmlformats.org/officeDocument/2006/relationships/hyperlink" Target="https://doi.org/10.1126/sciadv.aef8428" TargetMode="External"/><Relationship Id="rId1004" Type="http://schemas.openxmlformats.org/officeDocument/2006/relationships/hyperlink" Target="https://www.science.org/doi/abs/10.1126/sciadv.aed9156?af=R" TargetMode="External"/><Relationship Id="rId1005" Type="http://schemas.openxmlformats.org/officeDocument/2006/relationships/hyperlink" Target="https://doi.org/10.1126/sciadv.aed9156" TargetMode="External"/><Relationship Id="rId1006" Type="http://schemas.openxmlformats.org/officeDocument/2006/relationships/hyperlink" Target="https://advanced.onlinelibrary.wiley.com/doi/10.1002/adma.73787?af=R" TargetMode="External"/><Relationship Id="rId1007" Type="http://schemas.openxmlformats.org/officeDocument/2006/relationships/hyperlink" Target="https://doi.org/10.1002/adma.73787" TargetMode="External"/><Relationship Id="rId1008" Type="http://schemas.openxmlformats.org/officeDocument/2006/relationships/hyperlink" Target="http://link.aps.org/doi/10.1103/zdpd-v5fp" TargetMode="External"/><Relationship Id="rId1009" Type="http://schemas.openxmlformats.org/officeDocument/2006/relationships/hyperlink" Target="https://doi.org/10.1103/zdpd-v5fp" TargetMode="External"/><Relationship Id="rId1010" Type="http://schemas.openxmlformats.org/officeDocument/2006/relationships/hyperlink" Target="http://link.aps.org/doi/10.1103/mtjg-rff8" TargetMode="External"/><Relationship Id="rId1011" Type="http://schemas.openxmlformats.org/officeDocument/2006/relationships/hyperlink" Target="https://doi.org/10.1103/mtjg-rff8" TargetMode="External"/><Relationship Id="rId1012" Type="http://schemas.openxmlformats.org/officeDocument/2006/relationships/hyperlink" Target="http://link.aps.org/doi/10.1103/qhn9-42d5" TargetMode="External"/><Relationship Id="rId1013" Type="http://schemas.openxmlformats.org/officeDocument/2006/relationships/hyperlink" Target="https://doi.org/10.1103/qhn9-42d5" TargetMode="External"/><Relationship Id="rId1014" Type="http://schemas.openxmlformats.org/officeDocument/2006/relationships/hyperlink" Target="http://link.aps.org/doi/10.1103/zjy7-4jqd" TargetMode="External"/><Relationship Id="rId1015" Type="http://schemas.openxmlformats.org/officeDocument/2006/relationships/hyperlink" Target="https://doi.org/10.1103/zjy7-4jqd" TargetMode="External"/><Relationship Id="rId1016" Type="http://schemas.openxmlformats.org/officeDocument/2006/relationships/hyperlink" Target="http://link.aps.org/doi/10.1103/dct7-q652" TargetMode="External"/><Relationship Id="rId1017" Type="http://schemas.openxmlformats.org/officeDocument/2006/relationships/hyperlink" Target="https://doi.org/10.1103/dct7-q652" TargetMode="External"/><Relationship Id="rId1018" Type="http://schemas.openxmlformats.org/officeDocument/2006/relationships/hyperlink" Target="http://link.aps.org/doi/10.1103/qlgy-fj7k" TargetMode="External"/><Relationship Id="rId1019" Type="http://schemas.openxmlformats.org/officeDocument/2006/relationships/hyperlink" Target="https://doi.org/10.1103/qlgy-fj7k" TargetMode="External"/><Relationship Id="rId1020" Type="http://schemas.openxmlformats.org/officeDocument/2006/relationships/hyperlink" Target="http://link.aps.org/doi/10.1103/3tq7-ywf6" TargetMode="External"/><Relationship Id="rId1021" Type="http://schemas.openxmlformats.org/officeDocument/2006/relationships/hyperlink" Target="https://doi.org/10.1103/3tq7-ywf6" TargetMode="External"/><Relationship Id="rId1022" Type="http://schemas.openxmlformats.org/officeDocument/2006/relationships/hyperlink" Target="http://link.aps.org/doi/10.1103/sqvn-3n9g" TargetMode="External"/><Relationship Id="rId1023" Type="http://schemas.openxmlformats.org/officeDocument/2006/relationships/hyperlink" Target="https://doi.org/10.1103/sqvn-3n9g" TargetMode="External"/><Relationship Id="rId1024" Type="http://schemas.openxmlformats.org/officeDocument/2006/relationships/hyperlink" Target="http://link.aps.org/doi/10.1103/2hy7-w3qb" TargetMode="External"/><Relationship Id="rId1025" Type="http://schemas.openxmlformats.org/officeDocument/2006/relationships/hyperlink" Target="https://doi.org/10.1103/2hy7-w3qb" TargetMode="External"/><Relationship Id="rId1026" Type="http://schemas.openxmlformats.org/officeDocument/2006/relationships/hyperlink" Target="http://link.aps.org/doi/10.1103/y9wq-hhg2" TargetMode="External"/><Relationship Id="rId1027" Type="http://schemas.openxmlformats.org/officeDocument/2006/relationships/hyperlink" Target="https://doi.org/10.1103/y9wq-hhg2" TargetMode="External"/><Relationship Id="rId1028" Type="http://schemas.openxmlformats.org/officeDocument/2006/relationships/hyperlink" Target="http://link.aps.org/doi/10.1103/lqw3-gdvb" TargetMode="External"/><Relationship Id="rId1029" Type="http://schemas.openxmlformats.org/officeDocument/2006/relationships/hyperlink" Target="https://doi.org/10.1103/lqw3-gdvb" TargetMode="External"/><Relationship Id="rId1030" Type="http://schemas.openxmlformats.org/officeDocument/2006/relationships/hyperlink" Target="https://advanced.onlinelibrary.wiley.com/doi/10.1002/adma.73868?af=R" TargetMode="External"/><Relationship Id="rId1031" Type="http://schemas.openxmlformats.org/officeDocument/2006/relationships/hyperlink" Target="https://doi.org/10.1002/adma.73868" TargetMode="External"/><Relationship Id="rId1032" Type="http://schemas.openxmlformats.org/officeDocument/2006/relationships/hyperlink" Target="https://advanced.onlinelibrary.wiley.com/doi/10.1002/adma.73886?af=R" TargetMode="External"/><Relationship Id="rId1033" Type="http://schemas.openxmlformats.org/officeDocument/2006/relationships/hyperlink" Target="https://doi.org/10.1002/adma.73886" TargetMode="External"/><Relationship Id="rId1034" Type="http://schemas.openxmlformats.org/officeDocument/2006/relationships/hyperlink" Target="https://advanced.onlinelibrary.wiley.com/doi/10.1002/adma.73849?af=R" TargetMode="External"/><Relationship Id="rId1035" Type="http://schemas.openxmlformats.org/officeDocument/2006/relationships/hyperlink" Target="https://doi.org/10.1002/adma.73849" TargetMode="External"/><Relationship Id="rId1036" Type="http://schemas.openxmlformats.org/officeDocument/2006/relationships/hyperlink" Target="https://www.nature.com/articles/s41586-026-10844-6" TargetMode="External"/><Relationship Id="rId1037" Type="http://schemas.openxmlformats.org/officeDocument/2006/relationships/hyperlink" Target="https://doi.org/10.1038/s41586-026-10844-6" TargetMode="External"/><Relationship Id="rId1038" Type="http://schemas.openxmlformats.org/officeDocument/2006/relationships/hyperlink" Target="https://www.nature.com/articles/s41467-026-74988-9" TargetMode="External"/><Relationship Id="rId1039" Type="http://schemas.openxmlformats.org/officeDocument/2006/relationships/hyperlink" Target="https://www.nature.com/articles/s41893-026-01879-8" TargetMode="External"/><Relationship Id="rId1040" Type="http://schemas.openxmlformats.org/officeDocument/2006/relationships/hyperlink" Target="https://doi.org/10.1038/s41893-026-01879-8" TargetMode="External"/><Relationship Id="rId1041" Type="http://schemas.openxmlformats.org/officeDocument/2006/relationships/hyperlink" Target="https://www.nature.com/articles/d41586-026-02088-1" TargetMode="External"/><Relationship Id="rId1042" Type="http://schemas.openxmlformats.org/officeDocument/2006/relationships/hyperlink" Target="https://doi.org/10.1038/d41586-026-02088-1" TargetMode="External"/><Relationship Id="rId1043" Type="http://schemas.openxmlformats.org/officeDocument/2006/relationships/hyperlink" Target="https://www.nature.com/articles/s41467-026-73278-8" TargetMode="External"/><Relationship Id="rId1044" Type="http://schemas.openxmlformats.org/officeDocument/2006/relationships/hyperlink" Target="https://www.nature.com/articles/s41467-026-74172-z" TargetMode="External"/><Relationship Id="rId1045" Type="http://schemas.openxmlformats.org/officeDocument/2006/relationships/hyperlink" Target="https://www.nature.com/articles/s41467-026-75059-9" TargetMode="External"/><Relationship Id="rId1046" Type="http://schemas.openxmlformats.org/officeDocument/2006/relationships/hyperlink" Target="https://www.nature.com/articles/s41467-026-75123-4" TargetMode="External"/><Relationship Id="rId1047" Type="http://schemas.openxmlformats.org/officeDocument/2006/relationships/hyperlink" Target="https://www.cell.com/matter/fulltext/S2590-2385(26)00270-5?rss=yes" TargetMode="External"/><Relationship Id="rId1048" Type="http://schemas.openxmlformats.org/officeDocument/2006/relationships/hyperlink" Target="https://doi.org/10.1016/j.matt.2026.102907" TargetMode="External"/><Relationship Id="rId1049" Type="http://schemas.openxmlformats.org/officeDocument/2006/relationships/hyperlink" Target="https://www.cell.com/matter/fulltext/S2590-2385(26)00271-7?rss=yes" TargetMode="External"/><Relationship Id="rId1050" Type="http://schemas.openxmlformats.org/officeDocument/2006/relationships/hyperlink" Target="https://doi.org/10.1016/j.matt.2026.102908" TargetMode="External"/><Relationship Id="rId1051" Type="http://schemas.openxmlformats.org/officeDocument/2006/relationships/hyperlink" Target="https://www.cell.com/matter/fulltext/S2590-2385(26)00272-9?rss=yes" TargetMode="External"/><Relationship Id="rId1052" Type="http://schemas.openxmlformats.org/officeDocument/2006/relationships/hyperlink" Target="https://doi.org/10.1016/j.matt.2026.102909" TargetMode="External"/><Relationship Id="rId1053" Type="http://schemas.openxmlformats.org/officeDocument/2006/relationships/hyperlink" Target="https://www.cell.com/matter/fulltext/S2590-2385(26)00275-4?rss=yes" TargetMode="External"/><Relationship Id="rId1054" Type="http://schemas.openxmlformats.org/officeDocument/2006/relationships/hyperlink" Target="https://doi.org/10.1016/j.matt.2026.102912" TargetMode="External"/><Relationship Id="rId1055" Type="http://schemas.openxmlformats.org/officeDocument/2006/relationships/hyperlink" Target="https://www.nature.com/articles/s44359-026-00197-8" TargetMode="External"/><Relationship Id="rId1056" Type="http://schemas.openxmlformats.org/officeDocument/2006/relationships/hyperlink" Target="https://doi.org/10.1038/s44359-026-00197-8" TargetMode="External"/><Relationship Id="rId1057" Type="http://schemas.openxmlformats.org/officeDocument/2006/relationships/hyperlink" Target="https://www.nature.com/articles/s41467-026-74954-5" TargetMode="External"/><Relationship Id="rId1058" Type="http://schemas.openxmlformats.org/officeDocument/2006/relationships/hyperlink" Target="https://www.nature.com/articles/s41467-026-75068-8" TargetMode="External"/><Relationship Id="rId1059" Type="http://schemas.openxmlformats.org/officeDocument/2006/relationships/hyperlink" Target="https://www.nature.com/articles/s41467-026-75213-3" TargetMode="External"/><Relationship Id="rId1060" Type="http://schemas.openxmlformats.org/officeDocument/2006/relationships/hyperlink" Target="https://www.nature.com/articles/s41586-026-10854-4" TargetMode="External"/><Relationship Id="rId1061" Type="http://schemas.openxmlformats.org/officeDocument/2006/relationships/hyperlink" Target="https://doi.org/10.1038/s41586-026-10854-4" TargetMode="External"/><Relationship Id="rId1062" Type="http://schemas.openxmlformats.org/officeDocument/2006/relationships/hyperlink" Target="https://www.nature.com/articles/s41467-026-75180-9" TargetMode="External"/><Relationship Id="rId1063" Type="http://schemas.openxmlformats.org/officeDocument/2006/relationships/hyperlink" Target="https://www.nature.com/articles/d41586-026-02034-1" TargetMode="External"/><Relationship Id="rId1064" Type="http://schemas.openxmlformats.org/officeDocument/2006/relationships/hyperlink" Target="https://doi.org/10.1038/d41586-026-02034-1" TargetMode="External"/><Relationship Id="rId1065" Type="http://schemas.openxmlformats.org/officeDocument/2006/relationships/hyperlink" Target="https://www.nature.com/articles/s41557-026-02192-9" TargetMode="External"/><Relationship Id="rId1066" Type="http://schemas.openxmlformats.org/officeDocument/2006/relationships/hyperlink" Target="https://doi.org/10.1038/s41557-026-02192-9" TargetMode="External"/><Relationship Id="rId1067" Type="http://schemas.openxmlformats.org/officeDocument/2006/relationships/hyperlink" Target="https://www.nature.com/articles/s41557-026-02210-w" TargetMode="External"/><Relationship Id="rId1068" Type="http://schemas.openxmlformats.org/officeDocument/2006/relationships/hyperlink" Target="https://doi.org/10.1038/s41557-026-02210-w" TargetMode="External"/><Relationship Id="rId1069" Type="http://schemas.openxmlformats.org/officeDocument/2006/relationships/hyperlink" Target="https://www.nature.com/articles/s41467-026-74890-4" TargetMode="External"/><Relationship Id="rId1070" Type="http://schemas.openxmlformats.org/officeDocument/2006/relationships/hyperlink" Target="https://www.nature.com/articles/s41467-026-75007-7" TargetMode="External"/><Relationship Id="rId1071" Type="http://schemas.openxmlformats.org/officeDocument/2006/relationships/hyperlink" Target="https://www.nature.com/articles/s41467-026-75094-6" TargetMode="External"/><Relationship Id="rId1072" Type="http://schemas.openxmlformats.org/officeDocument/2006/relationships/hyperlink" Target="https://www.nature.com/articles/s41467-026-74880-6" TargetMode="External"/><Relationship Id="rId1073" Type="http://schemas.openxmlformats.org/officeDocument/2006/relationships/hyperlink" Target="https://academic.oup.com/nsr/advance-article/doi/10.1093/nsr/nwag398/8723923?rss=1" TargetMode="External"/><Relationship Id="rId1074" Type="http://schemas.openxmlformats.org/officeDocument/2006/relationships/hyperlink" Target="https://doi.org/10.1093/nsr/nwag398" TargetMode="External"/><Relationship Id="rId1075" Type="http://schemas.openxmlformats.org/officeDocument/2006/relationships/hyperlink" Target="https://academic.oup.com/nsr/advance-article/doi/10.1093/nsr/nwag409/8723916?rss=1" TargetMode="External"/><Relationship Id="rId1076" Type="http://schemas.openxmlformats.org/officeDocument/2006/relationships/hyperlink" Target="https://doi.org/10.1093/nsr/nwag409" TargetMode="External"/><Relationship Id="rId1077" Type="http://schemas.openxmlformats.org/officeDocument/2006/relationships/hyperlink" Target="https://academic.oup.com/nsr/advance-article/doi/10.1093/nsr/nwag405/8723906?rss=1" TargetMode="External"/><Relationship Id="rId1078" Type="http://schemas.openxmlformats.org/officeDocument/2006/relationships/hyperlink" Target="https://doi.org/10.1093/nsr/nwag405" TargetMode="External"/><Relationship Id="rId1079" Type="http://schemas.openxmlformats.org/officeDocument/2006/relationships/hyperlink" Target="https://www.nature.com/articles/s41467-026-75061-1" TargetMode="External"/><Relationship Id="rId1080" Type="http://schemas.openxmlformats.org/officeDocument/2006/relationships/hyperlink" Target="https://www.nature.com/articles/s41467-026-75225-z" TargetMode="External"/><Relationship Id="rId1081" Type="http://schemas.openxmlformats.org/officeDocument/2006/relationships/hyperlink" Target="https://www.nature.com/articles/s41467-026-74287-3" TargetMode="External"/><Relationship Id="rId1082" Type="http://schemas.openxmlformats.org/officeDocument/2006/relationships/hyperlink" Target="https://www.nature.com/articles/s41467-026-74995-w" TargetMode="External"/><Relationship Id="rId1083" Type="http://schemas.openxmlformats.org/officeDocument/2006/relationships/hyperlink" Target="https://www.nature.com/articles/s41467-026-74766-7" TargetMode="External"/><Relationship Id="rId1084" Type="http://schemas.openxmlformats.org/officeDocument/2006/relationships/hyperlink" Target="https://www.nature.com/articles/s41467-026-75046-0" TargetMode="External"/><Relationship Id="rId1085" Type="http://schemas.openxmlformats.org/officeDocument/2006/relationships/hyperlink" Target="https://www.nature.com/articles/s41467-026-75145-y" TargetMode="External"/><Relationship Id="rId1086" Type="http://schemas.openxmlformats.org/officeDocument/2006/relationships/hyperlink" Target="https://www.nature.com/articles/s41467-026-74443-9" TargetMode="External"/><Relationship Id="rId1087" Type="http://schemas.openxmlformats.org/officeDocument/2006/relationships/hyperlink" Target="https://www.nature.com/articles/s41557-026-02187-6" TargetMode="External"/><Relationship Id="rId1088" Type="http://schemas.openxmlformats.org/officeDocument/2006/relationships/hyperlink" Target="https://doi.org/10.1038/s41557-026-02187-6" TargetMode="External"/><Relationship Id="rId1089" Type="http://schemas.openxmlformats.org/officeDocument/2006/relationships/hyperlink" Target="https://www.nature.com/articles/s41557-026-02205-7" TargetMode="External"/><Relationship Id="rId1090" Type="http://schemas.openxmlformats.org/officeDocument/2006/relationships/hyperlink" Target="https://doi.org/10.1038/s41557-026-02205-7" TargetMode="External"/><Relationship Id="rId1091" Type="http://schemas.openxmlformats.org/officeDocument/2006/relationships/hyperlink" Target="https://www.nature.com/articles/s41467-026-74728-z" TargetMode="External"/><Relationship Id="rId1092" Type="http://schemas.openxmlformats.org/officeDocument/2006/relationships/hyperlink" Target="https://www.nature.com/articles/s41467-026-75246-8" TargetMode="External"/><Relationship Id="rId1093" Type="http://schemas.openxmlformats.org/officeDocument/2006/relationships/hyperlink" Target="https://www.nature.com/articles/d41586-026-01773-5" TargetMode="External"/><Relationship Id="rId1094" Type="http://schemas.openxmlformats.org/officeDocument/2006/relationships/hyperlink" Target="https://doi.org/10.1038/d41586-026-01773-5" TargetMode="External"/><Relationship Id="rId1095" Type="http://schemas.openxmlformats.org/officeDocument/2006/relationships/hyperlink" Target="https://onlinelibrary.wiley.com/doi/10.1002/anie.4569029?af=R" TargetMode="External"/><Relationship Id="rId1096" Type="http://schemas.openxmlformats.org/officeDocument/2006/relationships/hyperlink" Target="https://doi.org/10.1002/anie.4569029" TargetMode="External"/><Relationship Id="rId1097" Type="http://schemas.openxmlformats.org/officeDocument/2006/relationships/hyperlink" Target="https://onlinelibrary.wiley.com/doi/10.1002/anie.2551607?af=R" TargetMode="External"/><Relationship Id="rId1098" Type="http://schemas.openxmlformats.org/officeDocument/2006/relationships/hyperlink" Target="https://doi.org/10.1002/anie.2551607" TargetMode="External"/><Relationship Id="rId1099" Type="http://schemas.openxmlformats.org/officeDocument/2006/relationships/hyperlink" Target="https://advanced.onlinelibrary.wiley.com/doi/10.1002/adma.73847?af=R" TargetMode="External"/><Relationship Id="rId1100" Type="http://schemas.openxmlformats.org/officeDocument/2006/relationships/hyperlink" Target="https://doi.org/10.1002/adma.73847" TargetMode="External"/><Relationship Id="rId1101" Type="http://schemas.openxmlformats.org/officeDocument/2006/relationships/hyperlink" Target="https://www.science.org/doi/abs/10.1126/science.aej3933?af=R" TargetMode="External"/><Relationship Id="rId1102" Type="http://schemas.openxmlformats.org/officeDocument/2006/relationships/hyperlink" Target="https://doi.org/10.1126/science.aej3933" TargetMode="External"/><Relationship Id="rId1103" Type="http://schemas.openxmlformats.org/officeDocument/2006/relationships/hyperlink" Target="https://www.science.org/doi/abs/10.1126/science.aej0512?af=R" TargetMode="External"/><Relationship Id="rId1104" Type="http://schemas.openxmlformats.org/officeDocument/2006/relationships/hyperlink" Target="https://doi.org/10.1126/science.aej0512" TargetMode="External"/><Relationship Id="rId1105" Type="http://schemas.openxmlformats.org/officeDocument/2006/relationships/hyperlink" Target="https://www.science.org/doi/abs/10.1126/science.aej2367?af=R" TargetMode="External"/><Relationship Id="rId1106" Type="http://schemas.openxmlformats.org/officeDocument/2006/relationships/hyperlink" Target="https://doi.org/10.1126/science.aej2367" TargetMode="External"/><Relationship Id="rId1107" Type="http://schemas.openxmlformats.org/officeDocument/2006/relationships/hyperlink" Target="https://www.science.org/doi/abs/10.1126/science.aej2365?af=R" TargetMode="External"/><Relationship Id="rId1108" Type="http://schemas.openxmlformats.org/officeDocument/2006/relationships/hyperlink" Target="https://doi.org/10.1126/science.aej2365" TargetMode="External"/><Relationship Id="rId1109" Type="http://schemas.openxmlformats.org/officeDocument/2006/relationships/hyperlink" Target="https://www.science.org/doi/abs/10.1126/science.aej2364?af=R" TargetMode="External"/><Relationship Id="rId1110" Type="http://schemas.openxmlformats.org/officeDocument/2006/relationships/hyperlink" Target="https://doi.org/10.1126/science.aej2364" TargetMode="External"/><Relationship Id="rId1111" Type="http://schemas.openxmlformats.org/officeDocument/2006/relationships/hyperlink" Target="https://www.science.org/doi/abs/10.1126/science.aej2321?af=R" TargetMode="External"/><Relationship Id="rId1112" Type="http://schemas.openxmlformats.org/officeDocument/2006/relationships/hyperlink" Target="https://doi.org/10.1126/science.aej2321" TargetMode="External"/><Relationship Id="rId1113" Type="http://schemas.openxmlformats.org/officeDocument/2006/relationships/hyperlink" Target="https://www.science.org/doi/abs/10.1126/science.aek1833?af=R" TargetMode="External"/><Relationship Id="rId1114" Type="http://schemas.openxmlformats.org/officeDocument/2006/relationships/hyperlink" Target="https://doi.org/10.1126/science.aek1833" TargetMode="External"/><Relationship Id="rId1115" Type="http://schemas.openxmlformats.org/officeDocument/2006/relationships/hyperlink" Target="https://www.science.org/doi/abs/10.1126/science.aek1835?af=R" TargetMode="External"/><Relationship Id="rId1116" Type="http://schemas.openxmlformats.org/officeDocument/2006/relationships/hyperlink" Target="https://doi.org/10.1126/science.aek1835" TargetMode="External"/><Relationship Id="rId1117" Type="http://schemas.openxmlformats.org/officeDocument/2006/relationships/hyperlink" Target="https://www.science.org/doi/abs/10.1126/science.adw2239?af=R" TargetMode="External"/><Relationship Id="rId1118" Type="http://schemas.openxmlformats.org/officeDocument/2006/relationships/hyperlink" Target="https://doi.org/10.1126/science.adw2239" TargetMode="External"/><Relationship Id="rId1119" Type="http://schemas.openxmlformats.org/officeDocument/2006/relationships/hyperlink" Target="https://www.science.org/doi/abs/10.1126/science.aei5415?af=R" TargetMode="External"/><Relationship Id="rId1120" Type="http://schemas.openxmlformats.org/officeDocument/2006/relationships/hyperlink" Target="https://doi.org/10.1126/science.aei5415" TargetMode="External"/><Relationship Id="rId1121" Type="http://schemas.openxmlformats.org/officeDocument/2006/relationships/hyperlink" Target="https://www.science.org/doi/abs/10.1126/science.aek1828?af=R" TargetMode="External"/><Relationship Id="rId1122" Type="http://schemas.openxmlformats.org/officeDocument/2006/relationships/hyperlink" Target="https://doi.org/10.1126/science.aek1828" TargetMode="External"/><Relationship Id="rId1123" Type="http://schemas.openxmlformats.org/officeDocument/2006/relationships/hyperlink" Target="https://www.science.org/doi/abs/10.1126/science.aek1826?af=R" TargetMode="External"/><Relationship Id="rId1124" Type="http://schemas.openxmlformats.org/officeDocument/2006/relationships/hyperlink" Target="https://doi.org/10.1126/science.aek1826" TargetMode="External"/><Relationship Id="rId1125" Type="http://schemas.openxmlformats.org/officeDocument/2006/relationships/hyperlink" Target="https://www.science.org/doi/abs/10.1126/science.aek1827?af=R" TargetMode="External"/><Relationship Id="rId1126" Type="http://schemas.openxmlformats.org/officeDocument/2006/relationships/hyperlink" Target="https://doi.org/10.1126/science.aek1827" TargetMode="External"/><Relationship Id="rId1127" Type="http://schemas.openxmlformats.org/officeDocument/2006/relationships/hyperlink" Target="https://www.science.org/doi/abs/10.1126/science.aek1829?af=R" TargetMode="External"/><Relationship Id="rId1128" Type="http://schemas.openxmlformats.org/officeDocument/2006/relationships/hyperlink" Target="https://doi.org/10.1126/science.aek1829" TargetMode="External"/><Relationship Id="rId1129" Type="http://schemas.openxmlformats.org/officeDocument/2006/relationships/hyperlink" Target="https://www.science.org/doi/abs/10.1126/science.aek1832?af=R" TargetMode="External"/><Relationship Id="rId1130" Type="http://schemas.openxmlformats.org/officeDocument/2006/relationships/hyperlink" Target="https://doi.org/10.1126/science.aek1832" TargetMode="External"/><Relationship Id="rId1131" Type="http://schemas.openxmlformats.org/officeDocument/2006/relationships/hyperlink" Target="https://www.science.org/doi/abs/10.1126/science.aek1830?af=R" TargetMode="External"/><Relationship Id="rId1132" Type="http://schemas.openxmlformats.org/officeDocument/2006/relationships/hyperlink" Target="https://doi.org/10.1126/science.aek1830" TargetMode="External"/><Relationship Id="rId1133" Type="http://schemas.openxmlformats.org/officeDocument/2006/relationships/hyperlink" Target="https://www.science.org/doi/abs/10.1126/science.aek0783?af=R" TargetMode="External"/><Relationship Id="rId1134" Type="http://schemas.openxmlformats.org/officeDocument/2006/relationships/hyperlink" Target="https://doi.org/10.1126/science.aek0783" TargetMode="External"/><Relationship Id="rId1135" Type="http://schemas.openxmlformats.org/officeDocument/2006/relationships/hyperlink" Target="https://www.science.org/doi/abs/10.1126/science.aej0415?af=R" TargetMode="External"/><Relationship Id="rId1136" Type="http://schemas.openxmlformats.org/officeDocument/2006/relationships/hyperlink" Target="https://doi.org/10.1126/science.aej0415" TargetMode="External"/><Relationship Id="rId1137" Type="http://schemas.openxmlformats.org/officeDocument/2006/relationships/hyperlink" Target="https://www.science.org/doi/abs/10.1126/science.aea9013?af=R" TargetMode="External"/><Relationship Id="rId1138" Type="http://schemas.openxmlformats.org/officeDocument/2006/relationships/hyperlink" Target="https://doi.org/10.1126/science.aea9013" TargetMode="External"/><Relationship Id="rId1139" Type="http://schemas.openxmlformats.org/officeDocument/2006/relationships/hyperlink" Target="https://www.science.org/doi/abs/10.1126/science.aee6277?af=R" TargetMode="External"/><Relationship Id="rId1140" Type="http://schemas.openxmlformats.org/officeDocument/2006/relationships/hyperlink" Target="https://doi.org/10.1126/science.aee6277" TargetMode="External"/><Relationship Id="rId1141" Type="http://schemas.openxmlformats.org/officeDocument/2006/relationships/hyperlink" Target="https://www.science.org/doi/abs/10.1126/science.aek1834?af=R" TargetMode="External"/><Relationship Id="rId1142" Type="http://schemas.openxmlformats.org/officeDocument/2006/relationships/hyperlink" Target="https://doi.org/10.1126/science.aek1834" TargetMode="External"/><Relationship Id="rId1143" Type="http://schemas.openxmlformats.org/officeDocument/2006/relationships/hyperlink" Target="https://www.science.org/doi/abs/10.1126/science.aek1433?af=R" TargetMode="External"/><Relationship Id="rId1144" Type="http://schemas.openxmlformats.org/officeDocument/2006/relationships/hyperlink" Target="https://doi.org/10.1126/science.aek1433" TargetMode="External"/><Relationship Id="rId1145" Type="http://schemas.openxmlformats.org/officeDocument/2006/relationships/hyperlink" Target="https://www.science.org/doi/abs/10.1126/science.aei3868?af=R" TargetMode="External"/><Relationship Id="rId1146" Type="http://schemas.openxmlformats.org/officeDocument/2006/relationships/hyperlink" Target="https://doi.org/10.1126/science.aei3868" TargetMode="External"/><Relationship Id="rId1147" Type="http://schemas.openxmlformats.org/officeDocument/2006/relationships/hyperlink" Target="https://www.science.org/doi/abs/10.1126/science.aei8090?af=R" TargetMode="External"/><Relationship Id="rId1148" Type="http://schemas.openxmlformats.org/officeDocument/2006/relationships/hyperlink" Target="https://doi.org/10.1126/science.aei8090" TargetMode="External"/><Relationship Id="rId1149" Type="http://schemas.openxmlformats.org/officeDocument/2006/relationships/hyperlink" Target="https://www.science.org/doi/abs/10.1126/science.aei7784?af=R" TargetMode="External"/><Relationship Id="rId1150" Type="http://schemas.openxmlformats.org/officeDocument/2006/relationships/hyperlink" Target="https://doi.org/10.1126/science.aei7784" TargetMode="External"/><Relationship Id="rId1151" Type="http://schemas.openxmlformats.org/officeDocument/2006/relationships/hyperlink" Target="https://www.science.org/doi/abs/10.1126/science.aei6905?af=R" TargetMode="External"/><Relationship Id="rId1152" Type="http://schemas.openxmlformats.org/officeDocument/2006/relationships/hyperlink" Target="https://doi.org/10.1126/science.aei6905" TargetMode="External"/><Relationship Id="rId1153" Type="http://schemas.openxmlformats.org/officeDocument/2006/relationships/hyperlink" Target="https://www.science.org/doi/abs/10.1126/science.aek1435?af=R" TargetMode="External"/><Relationship Id="rId1154" Type="http://schemas.openxmlformats.org/officeDocument/2006/relationships/hyperlink" Target="https://doi.org/10.1126/science.aek1435" TargetMode="External"/><Relationship Id="rId1155" Type="http://schemas.openxmlformats.org/officeDocument/2006/relationships/hyperlink" Target="https://www.science.org/doi/abs/10.1126/science.aei5413?af=R" TargetMode="External"/><Relationship Id="rId1156" Type="http://schemas.openxmlformats.org/officeDocument/2006/relationships/hyperlink" Target="https://doi.org/10.1126/science.aei5413" TargetMode="External"/><Relationship Id="rId1157" Type="http://schemas.openxmlformats.org/officeDocument/2006/relationships/hyperlink" Target="https://www.science.org/doi/abs/10.1126/science.aei9444?af=R" TargetMode="External"/><Relationship Id="rId1158" Type="http://schemas.openxmlformats.org/officeDocument/2006/relationships/hyperlink" Target="https://doi.org/10.1126/science.aei9444" TargetMode="External"/><Relationship Id="rId1159" Type="http://schemas.openxmlformats.org/officeDocument/2006/relationships/hyperlink" Target="https://www.science.org/doi/abs/10.1126/science.aee9639?af=R" TargetMode="External"/><Relationship Id="rId1160" Type="http://schemas.openxmlformats.org/officeDocument/2006/relationships/hyperlink" Target="https://doi.org/10.1126/science.aee9639" TargetMode="External"/><Relationship Id="rId1161" Type="http://schemas.openxmlformats.org/officeDocument/2006/relationships/hyperlink" Target="https://www.science.org/doi/abs/10.1126/science.adz4196?af=R" TargetMode="External"/><Relationship Id="rId1162" Type="http://schemas.openxmlformats.org/officeDocument/2006/relationships/hyperlink" Target="https://doi.org/10.1126/science.adz4196" TargetMode="External"/><Relationship Id="rId1163" Type="http://schemas.openxmlformats.org/officeDocument/2006/relationships/hyperlink" Target="https://www.science.org/doi/abs/10.1126/science.adx9929?af=R" TargetMode="External"/><Relationship Id="rId1164" Type="http://schemas.openxmlformats.org/officeDocument/2006/relationships/hyperlink" Target="https://doi.org/10.1126/science.adx9929" TargetMode="External"/><Relationship Id="rId1165" Type="http://schemas.openxmlformats.org/officeDocument/2006/relationships/hyperlink" Target="https://www.science.org/doi/abs/10.1126/science.adw1808?af=R" TargetMode="External"/><Relationship Id="rId1166" Type="http://schemas.openxmlformats.org/officeDocument/2006/relationships/hyperlink" Target="https://doi.org/10.1126/science.adw1808" TargetMode="External"/><Relationship Id="rId1167" Type="http://schemas.openxmlformats.org/officeDocument/2006/relationships/hyperlink" Target="https://www.science.org/doi/abs/10.1126/science.adr9680?af=R" TargetMode="External"/><Relationship Id="rId1168" Type="http://schemas.openxmlformats.org/officeDocument/2006/relationships/hyperlink" Target="https://doi.org/10.1126/science.adr9680" TargetMode="External"/><Relationship Id="rId1169" Type="http://schemas.openxmlformats.org/officeDocument/2006/relationships/hyperlink" Target="https://www.science.org/doi/abs/10.1126/science.aej4833?af=R" TargetMode="External"/><Relationship Id="rId1170" Type="http://schemas.openxmlformats.org/officeDocument/2006/relationships/hyperlink" Target="https://doi.org/10.1126/science.aej4833" TargetMode="External"/><Relationship Id="rId1171" Type="http://schemas.openxmlformats.org/officeDocument/2006/relationships/hyperlink" Target="https://www.science.org/doi/abs/10.1126/science.aek1434?af=R" TargetMode="External"/><Relationship Id="rId1172" Type="http://schemas.openxmlformats.org/officeDocument/2006/relationships/hyperlink" Target="https://doi.org/10.1126/science.aek1434" TargetMode="External"/><Relationship Id="rId1173" Type="http://schemas.openxmlformats.org/officeDocument/2006/relationships/hyperlink" Target="https://www.science.org/doi/abs/10.1126/science.aej7556?af=R" TargetMode="External"/><Relationship Id="rId1174" Type="http://schemas.openxmlformats.org/officeDocument/2006/relationships/hyperlink" Target="https://doi.org/10.1126/science.aej7556" TargetMode="External"/><Relationship Id="rId1175" Type="http://schemas.openxmlformats.org/officeDocument/2006/relationships/hyperlink" Target="https://www.science.org/doi/abs/10.1126/science.aef0825?af=R" TargetMode="External"/><Relationship Id="rId1176" Type="http://schemas.openxmlformats.org/officeDocument/2006/relationships/hyperlink" Target="https://doi.org/10.1126/science.aef0825" TargetMode="External"/><Relationship Id="rId1177" Type="http://schemas.openxmlformats.org/officeDocument/2006/relationships/hyperlink" Target="https://www.science.org/doi/abs/10.1126/science.adz6758?af=R" TargetMode="External"/><Relationship Id="rId1178" Type="http://schemas.openxmlformats.org/officeDocument/2006/relationships/hyperlink" Target="https://doi.org/10.1126/science.adz6758" TargetMode="External"/><Relationship Id="rId1179" Type="http://schemas.openxmlformats.org/officeDocument/2006/relationships/hyperlink" Target="https://www.science.org/doi/abs/10.1126/science.adr3817?af=R" TargetMode="External"/><Relationship Id="rId1180" Type="http://schemas.openxmlformats.org/officeDocument/2006/relationships/hyperlink" Target="https://doi.org/10.1126/science.adr3817" TargetMode="External"/><Relationship Id="rId1181" Type="http://schemas.openxmlformats.org/officeDocument/2006/relationships/hyperlink" Target="https://www.science.org/doi/abs/10.1126/science.aea5113?af=R" TargetMode="External"/><Relationship Id="rId1182" Type="http://schemas.openxmlformats.org/officeDocument/2006/relationships/hyperlink" Target="https://doi.org/10.1126/science.aea5113" TargetMode="External"/><Relationship Id="rId1183" Type="http://schemas.openxmlformats.org/officeDocument/2006/relationships/hyperlink" Target="https://www.science.org/doi/abs/10.1126/science.adu9122?af=R" TargetMode="External"/><Relationship Id="rId1184" Type="http://schemas.openxmlformats.org/officeDocument/2006/relationships/hyperlink" Target="https://doi.org/10.1126/science.adu9122" TargetMode="External"/><Relationship Id="rId1185" Type="http://schemas.openxmlformats.org/officeDocument/2006/relationships/hyperlink" Target="https://www.science.org/doi/abs/10.1126/science.aei7835?af=R" TargetMode="External"/><Relationship Id="rId1186" Type="http://schemas.openxmlformats.org/officeDocument/2006/relationships/hyperlink" Target="https://doi.org/10.1126/science.aei7835" TargetMode="External"/><Relationship Id="rId1187" Type="http://schemas.openxmlformats.org/officeDocument/2006/relationships/hyperlink" Target="https://www.science.org/doi/abs/10.1126/science.aeb2672?af=R" TargetMode="External"/><Relationship Id="rId1188" Type="http://schemas.openxmlformats.org/officeDocument/2006/relationships/hyperlink" Target="https://doi.org/10.1126/science.aeb2672" TargetMode="External"/><Relationship Id="rId1189" Type="http://schemas.openxmlformats.org/officeDocument/2006/relationships/hyperlink" Target="https://www.science.org/doi/abs/10.1126/science.aec8514?af=R" TargetMode="External"/><Relationship Id="rId1190" Type="http://schemas.openxmlformats.org/officeDocument/2006/relationships/hyperlink" Target="https://doi.org/10.1126/science.aec85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